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3BF2" w14:textId="77777777" w:rsidR="00570C73" w:rsidRPr="002178B5" w:rsidRDefault="00570C73" w:rsidP="00CE1FAB">
      <w:pPr>
        <w:pStyle w:val="Title"/>
        <w:rPr>
          <w:color w:val="000000" w:themeColor="text1"/>
        </w:rPr>
      </w:pPr>
    </w:p>
    <w:p w14:paraId="510D9A3D" w14:textId="66CA55C4" w:rsidR="002976BE" w:rsidRPr="002178B5" w:rsidRDefault="007043AD" w:rsidP="001B5090">
      <w:pPr>
        <w:pStyle w:val="Title"/>
        <w:rPr>
          <w:color w:val="000000" w:themeColor="text1"/>
        </w:rPr>
      </w:pPr>
      <w:r w:rsidRPr="002178B5">
        <w:rPr>
          <w:color w:val="000000" w:themeColor="text1"/>
          <w:lang w:val="en-US"/>
        </w:rPr>
        <w:t xml:space="preserve">Import Tax Disputes: Identification of Causes and </w:t>
      </w:r>
      <w:r w:rsidR="003424DC" w:rsidRPr="002178B5">
        <w:rPr>
          <w:color w:val="000000" w:themeColor="text1"/>
          <w:lang w:val="en-US"/>
        </w:rPr>
        <w:t>Problem-Solving</w:t>
      </w:r>
      <w:r w:rsidRPr="002178B5">
        <w:rPr>
          <w:color w:val="000000" w:themeColor="text1"/>
          <w:lang w:val="en-US"/>
        </w:rPr>
        <w:t xml:space="preserve"> Strategies</w:t>
      </w:r>
    </w:p>
    <w:p w14:paraId="11E30282" w14:textId="77777777" w:rsidR="00056935" w:rsidRPr="002178B5" w:rsidRDefault="00056935" w:rsidP="00CE1FAB">
      <w:pPr>
        <w:pStyle w:val="VenturaCover1"/>
        <w:rPr>
          <w:color w:val="000000" w:themeColor="text1"/>
        </w:rPr>
      </w:pPr>
    </w:p>
    <w:p w14:paraId="4CE401BA" w14:textId="77777777" w:rsidR="00DF481C" w:rsidRPr="002178B5" w:rsidRDefault="00F5459A" w:rsidP="00CE1FAB">
      <w:pPr>
        <w:pStyle w:val="JAPPenulis"/>
        <w:rPr>
          <w:color w:val="000000" w:themeColor="text1"/>
        </w:rPr>
      </w:pPr>
      <w:r w:rsidRPr="002178B5">
        <w:rPr>
          <w:color w:val="000000" w:themeColor="text1"/>
        </w:rPr>
        <w:t xml:space="preserve">Nita Palupiningrum </w:t>
      </w:r>
      <w:r w:rsidR="00851403" w:rsidRPr="002178B5">
        <w:rPr>
          <w:color w:val="000000" w:themeColor="text1"/>
          <w:vertAlign w:val="superscript"/>
        </w:rPr>
        <w:t xml:space="preserve">1 </w:t>
      </w:r>
      <w:r w:rsidR="000B0B83" w:rsidRPr="002178B5">
        <w:rPr>
          <w:color w:val="000000" w:themeColor="text1"/>
        </w:rPr>
        <w:t xml:space="preserve">, Arifin Rosid </w:t>
      </w:r>
      <w:r w:rsidR="000B0B83" w:rsidRPr="002178B5">
        <w:rPr>
          <w:color w:val="000000" w:themeColor="text1"/>
          <w:vertAlign w:val="superscript"/>
        </w:rPr>
        <w:t>2</w:t>
      </w:r>
    </w:p>
    <w:p w14:paraId="622327DE" w14:textId="77777777" w:rsidR="00A95189" w:rsidRPr="002178B5" w:rsidRDefault="00A95189" w:rsidP="00CE1FAB">
      <w:pPr>
        <w:pStyle w:val="Ventura-AuthorAddress"/>
        <w:rPr>
          <w:color w:val="000000" w:themeColor="text1"/>
          <w:lang w:val="sv-SE"/>
        </w:rPr>
      </w:pPr>
    </w:p>
    <w:p w14:paraId="79BD4DAE" w14:textId="77777777" w:rsidR="00FD4966" w:rsidRPr="002178B5" w:rsidRDefault="00F5459A" w:rsidP="0066336B">
      <w:pPr>
        <w:pStyle w:val="JAPNamaInstansiPenulis"/>
        <w:rPr>
          <w:color w:val="000000" w:themeColor="text1"/>
        </w:rPr>
      </w:pPr>
      <w:r w:rsidRPr="002178B5">
        <w:rPr>
          <w:color w:val="000000" w:themeColor="text1"/>
        </w:rPr>
        <w:t>Master of Accounting, Faculty of Economics and Business, University of Indonesia, Prof. Building. Dr. M. Sadli FEB UI Sumitro Djojohadikusumo Campus Jl. Salemba Raya No. 4 Jakarta 10430, Indonesia</w:t>
      </w:r>
    </w:p>
    <w:p w14:paraId="6E5A0AD6" w14:textId="77777777" w:rsidR="00FD4966" w:rsidRPr="002178B5" w:rsidRDefault="00FD4966" w:rsidP="0066336B">
      <w:pPr>
        <w:pStyle w:val="Ventura-AuthorAddress"/>
        <w:jc w:val="center"/>
        <w:rPr>
          <w:color w:val="000000" w:themeColor="text1"/>
          <w:lang w:val="sv-SE"/>
        </w:rPr>
      </w:pPr>
    </w:p>
    <w:p w14:paraId="0F5EB30C" w14:textId="77777777" w:rsidR="00FD4966" w:rsidRPr="002178B5" w:rsidRDefault="00FD4966" w:rsidP="0066336B">
      <w:pPr>
        <w:pStyle w:val="Ventura-AuthorAddress"/>
        <w:jc w:val="center"/>
        <w:rPr>
          <w:color w:val="000000" w:themeColor="text1"/>
          <w:lang w:val="sv-SE"/>
        </w:rPr>
      </w:pPr>
      <w:r w:rsidRPr="002178B5">
        <w:rPr>
          <w:color w:val="000000" w:themeColor="text1"/>
          <w:lang w:val="sv-SE"/>
        </w:rPr>
        <w:t>DOI:</w:t>
      </w:r>
    </w:p>
    <w:p w14:paraId="3F079E37" w14:textId="77777777" w:rsidR="00FD4966" w:rsidRPr="002178B5" w:rsidRDefault="002041CA" w:rsidP="0066336B">
      <w:pPr>
        <w:pStyle w:val="Ventura-AuthorAddress"/>
        <w:jc w:val="center"/>
        <w:rPr>
          <w:color w:val="000000" w:themeColor="text1"/>
          <w:lang w:val="fr-FR"/>
        </w:rPr>
      </w:pPr>
      <w:r w:rsidRPr="002178B5">
        <w:rPr>
          <w:color w:val="000000" w:themeColor="text1"/>
          <w:lang w:val="fr-FR"/>
        </w:rPr>
        <w:t>xx.xxxx/JAP.20xx.xx</w:t>
      </w:r>
    </w:p>
    <w:p w14:paraId="224D6911" w14:textId="77777777" w:rsidR="00FD4966" w:rsidRPr="002178B5" w:rsidRDefault="00FD4966" w:rsidP="0066336B">
      <w:pPr>
        <w:pStyle w:val="Ventura-AuthorAddress"/>
        <w:jc w:val="center"/>
        <w:rPr>
          <w:color w:val="000000" w:themeColor="text1"/>
          <w:lang w:val="fr-FR"/>
        </w:rPr>
      </w:pPr>
    </w:p>
    <w:p w14:paraId="0EC476CA" w14:textId="77777777" w:rsidR="00FD4966" w:rsidRPr="002178B5" w:rsidRDefault="00FD4966" w:rsidP="0066336B">
      <w:pPr>
        <w:pStyle w:val="Ventura-AuthorAddress"/>
        <w:jc w:val="center"/>
        <w:rPr>
          <w:color w:val="000000" w:themeColor="text1"/>
          <w:lang w:val="fr-FR"/>
        </w:rPr>
      </w:pPr>
      <w:r w:rsidRPr="002178B5">
        <w:rPr>
          <w:color w:val="000000" w:themeColor="text1"/>
          <w:lang w:val="fr-FR"/>
        </w:rPr>
        <w:t>* nita.palupiningrum@ui.ac.id</w:t>
      </w:r>
    </w:p>
    <w:p w14:paraId="220DCD0C" w14:textId="77777777" w:rsidR="00FD4966" w:rsidRPr="002178B5" w:rsidRDefault="00FD4966" w:rsidP="0066336B">
      <w:pPr>
        <w:pStyle w:val="Ventura-AuthorAddress"/>
        <w:jc w:val="center"/>
        <w:rPr>
          <w:color w:val="000000" w:themeColor="text1"/>
          <w:lang w:val="fr-FR"/>
        </w:rPr>
      </w:pPr>
    </w:p>
    <w:p w14:paraId="067FF88A" w14:textId="77777777" w:rsidR="00FD4966" w:rsidRPr="002178B5" w:rsidRDefault="00FD4966" w:rsidP="0066336B">
      <w:pPr>
        <w:pStyle w:val="Ventura-AuthorAddress"/>
        <w:jc w:val="center"/>
        <w:rPr>
          <w:color w:val="000000" w:themeColor="text1"/>
          <w:lang w:val="fr-FR"/>
        </w:rPr>
      </w:pPr>
      <w:r w:rsidRPr="002178B5">
        <w:rPr>
          <w:color w:val="000000" w:themeColor="text1"/>
          <w:lang w:val="fr-FR"/>
        </w:rPr>
        <w:t>ISSN-P: 2338-6010</w:t>
      </w:r>
    </w:p>
    <w:p w14:paraId="766E7BEE" w14:textId="77777777" w:rsidR="00FD4966" w:rsidRPr="002178B5" w:rsidRDefault="00FD4966" w:rsidP="0066336B">
      <w:pPr>
        <w:pStyle w:val="Ventura-AuthorAddress"/>
        <w:jc w:val="center"/>
        <w:rPr>
          <w:color w:val="000000" w:themeColor="text1"/>
        </w:rPr>
      </w:pPr>
      <w:r w:rsidRPr="002178B5">
        <w:rPr>
          <w:color w:val="000000" w:themeColor="text1"/>
        </w:rPr>
        <w:t>ISSN-E: 2721-3692</w:t>
      </w:r>
    </w:p>
    <w:p w14:paraId="07954357" w14:textId="77777777" w:rsidR="00B57F21" w:rsidRPr="002178B5" w:rsidRDefault="00B57F21" w:rsidP="00CE1FAB">
      <w:pPr>
        <w:pStyle w:val="Ventura-AuthorAddress"/>
        <w:rPr>
          <w:color w:val="000000" w:themeColor="text1"/>
        </w:rPr>
      </w:pPr>
    </w:p>
    <w:p w14:paraId="0445070C" w14:textId="77777777" w:rsidR="003405D2" w:rsidRPr="002178B5" w:rsidRDefault="003405D2" w:rsidP="00CE1FAB">
      <w:pPr>
        <w:pStyle w:val="Ventura-AuthorAddress"/>
        <w:rPr>
          <w:color w:val="000000" w:themeColor="text1"/>
        </w:rPr>
      </w:pPr>
    </w:p>
    <w:p w14:paraId="672C11CD" w14:textId="77777777" w:rsidR="003405D2" w:rsidRPr="002178B5" w:rsidRDefault="003405D2" w:rsidP="00CE1FAB">
      <w:pPr>
        <w:pStyle w:val="Ventura-AuthorAddress"/>
        <w:rPr>
          <w:color w:val="000000" w:themeColor="text1"/>
        </w:rPr>
        <w:sectPr w:rsidR="003405D2" w:rsidRPr="002178B5" w:rsidSect="007D2587">
          <w:headerReference w:type="even" r:id="rId8"/>
          <w:headerReference w:type="default" r:id="rId9"/>
          <w:footerReference w:type="even" r:id="rId10"/>
          <w:footerReference w:type="default" r:id="rId11"/>
          <w:headerReference w:type="first" r:id="rId12"/>
          <w:footerReference w:type="first" r:id="rId13"/>
          <w:pgSz w:w="11907" w:h="16840" w:code="9"/>
          <w:pgMar w:top="1701" w:right="1247" w:bottom="1531" w:left="1134" w:header="1021" w:footer="1077" w:gutter="0"/>
          <w:pgNumType w:start="1"/>
          <w:cols w:space="720"/>
          <w:titlePg/>
          <w:docGrid w:linePitch="360"/>
        </w:sectPr>
      </w:pPr>
    </w:p>
    <w:p w14:paraId="20B3D964" w14:textId="77777777" w:rsidR="00FD4966" w:rsidRPr="002178B5" w:rsidRDefault="00FD4966" w:rsidP="00656FB8">
      <w:pPr>
        <w:pStyle w:val="Ventura-AuthorAddress"/>
        <w:jc w:val="center"/>
        <w:rPr>
          <w:b/>
          <w:bCs/>
          <w:color w:val="000000" w:themeColor="text1"/>
        </w:rPr>
      </w:pPr>
      <w:r w:rsidRPr="002178B5">
        <w:rPr>
          <w:b/>
          <w:bCs/>
          <w:color w:val="000000" w:themeColor="text1"/>
        </w:rPr>
        <w:t>ABSTRACT</w:t>
      </w:r>
    </w:p>
    <w:p w14:paraId="2EA784BB" w14:textId="3EE540C6" w:rsidR="00891382" w:rsidRPr="002178B5" w:rsidRDefault="004F38EC" w:rsidP="002054D4">
      <w:pPr>
        <w:pStyle w:val="JAPABSTRACT"/>
        <w:rPr>
          <w:color w:val="000000" w:themeColor="text1"/>
        </w:rPr>
      </w:pPr>
      <w:r w:rsidRPr="002178B5">
        <w:rPr>
          <w:color w:val="000000" w:themeColor="text1"/>
        </w:rPr>
        <w:t>According to Indonesian Taxation Law, the Directorate General of Customs and Excise (DGCE) holds the authority to collect import taxes. When there is a deficiency in the amount of taxes paid, DGCE issues a Notice of Underpayment. However, from 2016 to 2022, there have always been disputes that resulted in appeals regarding these notices, with an average of 105 documents per year. This study aims to analyze the different types of dispute materials, causes, and recommendations to minimize future occurrences. This research uses a case study approach and qualitative methods with the Root Cause Analysis framework as a basis for cause analysis and research recommendations. Content analysis was used to classify opinions from parties involved in Tax Court Rulings. Interviews were conducted to confirm the literature review and content analysis conducted beforehand. The results show that there are 5 (five) causes of import tax disputes: substances, procedures, authorities, examiners, and importers. This study recommends several points to minimize the occurrence of disputes in the future and eventually help the domestic industry to grow further, including changes in import tax regulations, solidification of customs regulations, standardization of examination procedures, more firm authority in import tax examination and determination, continuous education and training for examiners, and counseling to increase importers’ understanding of import taxes.</w:t>
      </w:r>
    </w:p>
    <w:p w14:paraId="6B9BC4A3" w14:textId="77777777" w:rsidR="00FD4966" w:rsidRPr="002178B5" w:rsidRDefault="00FD4966" w:rsidP="00656FB8">
      <w:pPr>
        <w:pStyle w:val="JAP-KeywordsABSTRACT"/>
        <w:jc w:val="center"/>
        <w:rPr>
          <w:color w:val="000000" w:themeColor="text1"/>
        </w:rPr>
      </w:pPr>
      <w:r w:rsidRPr="002178B5">
        <w:rPr>
          <w:color w:val="000000" w:themeColor="text1"/>
        </w:rPr>
        <w:t>Keywords:</w:t>
      </w:r>
    </w:p>
    <w:p w14:paraId="51D37EB9" w14:textId="77777777" w:rsidR="00FD4966" w:rsidRPr="002178B5" w:rsidRDefault="002E16AE" w:rsidP="00656FB8">
      <w:pPr>
        <w:pStyle w:val="Ventura-AuthorAddress"/>
        <w:jc w:val="center"/>
        <w:rPr>
          <w:color w:val="000000" w:themeColor="text1"/>
          <w:lang w:val="sv-SE"/>
        </w:rPr>
      </w:pPr>
      <w:r w:rsidRPr="002178B5">
        <w:rPr>
          <w:color w:val="000000" w:themeColor="text1"/>
          <w:lang w:val="sv-SE"/>
        </w:rPr>
        <w:t>Disputes; Fishbone diagram; Import; Root Cause Analysis; Taxes.</w:t>
      </w:r>
    </w:p>
    <w:p w14:paraId="39B1736C" w14:textId="77777777" w:rsidR="00FD4966" w:rsidRPr="002178B5" w:rsidRDefault="00FD4966" w:rsidP="00CE1FAB">
      <w:pPr>
        <w:pStyle w:val="Ventura-AuthorAddress"/>
        <w:rPr>
          <w:color w:val="000000" w:themeColor="text1"/>
          <w:lang w:val="sv-SE"/>
        </w:rPr>
      </w:pPr>
    </w:p>
    <w:p w14:paraId="67A5C582" w14:textId="77777777" w:rsidR="00E26597" w:rsidRPr="002178B5" w:rsidRDefault="00FD4966" w:rsidP="00CE1FAB">
      <w:pPr>
        <w:pStyle w:val="JAPSub-Judul"/>
        <w:rPr>
          <w:color w:val="000000" w:themeColor="text1"/>
        </w:rPr>
      </w:pPr>
      <w:r w:rsidRPr="002178B5">
        <w:rPr>
          <w:color w:val="000000" w:themeColor="text1"/>
        </w:rPr>
        <w:t>INTRODUCTION</w:t>
      </w:r>
    </w:p>
    <w:p w14:paraId="12261DAC" w14:textId="77777777" w:rsidR="00D26F04" w:rsidRPr="00934281" w:rsidRDefault="00B337AF" w:rsidP="00D26F04">
      <w:pPr>
        <w:pStyle w:val="JAPBODYTEXT"/>
        <w:ind w:firstLine="426"/>
        <w:rPr>
          <w:sz w:val="20"/>
          <w:szCs w:val="20"/>
        </w:rPr>
      </w:pPr>
      <w:r w:rsidRPr="00934281">
        <w:rPr>
          <w:sz w:val="20"/>
          <w:szCs w:val="20"/>
        </w:rPr>
        <w:t>Imports play a pivotal role in bolstering the Indonesian economy, fulfilling domestic demand, and reducing the cost of goods and service provision, as elucidated by Hodijah and Angelina (2021). They further augment a country's access to foreign-produced goods and technologies, subsequently facilitating economic advancement (Aigheyisi, 2021). However, the year 2022 witnessed a 3.1% decrease in imports from G20 member nations, a manifestation of global demand lethargy, according to the OECD (2023).</w:t>
      </w:r>
      <w:r w:rsidR="00D26F04" w:rsidRPr="00934281">
        <w:rPr>
          <w:sz w:val="20"/>
          <w:szCs w:val="20"/>
        </w:rPr>
        <w:t xml:space="preserve"> </w:t>
      </w:r>
      <w:r w:rsidRPr="00934281">
        <w:rPr>
          <w:sz w:val="20"/>
          <w:szCs w:val="20"/>
        </w:rPr>
        <w:t>In contrast, data from the World Bank (2023) indicate a surge in Indonesia's import value in comparison to the preceding year, with raw and auxiliary materials experiencing the most significant uptick at US$33.95 billion, and capital goods imports rising by US$7.72 billion (Central Statistics Agency, 2023). These trends are indicative of heightened domestic industrial activity, a viewpoint corroborated by a Fiscal Policy Agency (2022). Supporting this, Davis (2021) posited a direct correlation between the influx of raw materials and an increase in domestic industrial productivity.</w:t>
      </w:r>
    </w:p>
    <w:p w14:paraId="41B7B8D9" w14:textId="3371D4CF" w:rsidR="003424DC" w:rsidRPr="00934281" w:rsidRDefault="00B337AF" w:rsidP="00D26F04">
      <w:pPr>
        <w:pStyle w:val="JAPBODYTEXT"/>
        <w:ind w:firstLine="426"/>
        <w:rPr>
          <w:sz w:val="20"/>
          <w:szCs w:val="20"/>
        </w:rPr>
      </w:pPr>
      <w:r w:rsidRPr="00934281">
        <w:rPr>
          <w:sz w:val="20"/>
          <w:szCs w:val="20"/>
        </w:rPr>
        <w:t>The importation process in Indonesia is regulated through levies encompassing import duties and various import taxes, as stipulated by the Customs Law and Taxation Law (Government of the Republic of Indonesia, 2023). The Directorate General of Customs and Excise (DGCE) plays a critical role in industrial assistance by implementing tax collection strategies to bolster the competitiveness of domestic industries against the influx of finished imported goods (Anjarwi, 2021).</w:t>
      </w:r>
      <w:r w:rsidR="00D26F04" w:rsidRPr="00934281">
        <w:rPr>
          <w:sz w:val="20"/>
          <w:szCs w:val="20"/>
        </w:rPr>
        <w:t xml:space="preserve"> </w:t>
      </w:r>
      <w:r w:rsidRPr="00934281">
        <w:rPr>
          <w:sz w:val="20"/>
          <w:szCs w:val="20"/>
        </w:rPr>
        <w:t>To uphold regulatory compliance in import tax collection, the DGCE rigorously supervises goods importation and ensures the proper execution of the self-assessment system provided to importers (Government of the Republic of Indonesia, 2006). Discrepancies in import duty or tax notifications trigger the issuance of a Notice of Import Duty Underpayment (NIDU) or a Notice of Additional Import Duty Underpayment (NAIDU) by the DGCE (Government of the Republic of Indonesia, 2008). Importers, in turn, reserve the right to lodge objections and appeals against such notices, a practice prevalent from 2016 to 2022, as depicted in Graph 1.</w:t>
      </w:r>
    </w:p>
    <w:p w14:paraId="3D0BBADE" w14:textId="77777777" w:rsidR="003424DC" w:rsidRPr="00934281" w:rsidRDefault="003424DC" w:rsidP="00D26F04">
      <w:pPr>
        <w:pStyle w:val="JAPBODYTEXT"/>
        <w:rPr>
          <w:sz w:val="20"/>
          <w:szCs w:val="20"/>
        </w:rPr>
      </w:pPr>
    </w:p>
    <w:p w14:paraId="22B43430" w14:textId="77777777" w:rsidR="00E26597" w:rsidRPr="00934281" w:rsidRDefault="000906BC" w:rsidP="00707966">
      <w:pPr>
        <w:pStyle w:val="Caption"/>
        <w:rPr>
          <w:bCs/>
          <w:color w:val="000000" w:themeColor="text1"/>
          <w:szCs w:val="20"/>
        </w:rPr>
      </w:pPr>
      <w:r w:rsidRPr="00934281">
        <w:rPr>
          <w:color w:val="000000" w:themeColor="text1"/>
          <w:szCs w:val="20"/>
        </w:rPr>
        <w:t xml:space="preserve">Graph </w:t>
      </w:r>
      <w:r w:rsidRPr="00934281">
        <w:rPr>
          <w:color w:val="000000" w:themeColor="text1"/>
          <w:szCs w:val="20"/>
        </w:rPr>
        <w:fldChar w:fldCharType="begin"/>
      </w:r>
      <w:r w:rsidRPr="00934281">
        <w:rPr>
          <w:color w:val="000000" w:themeColor="text1"/>
          <w:szCs w:val="20"/>
        </w:rPr>
        <w:instrText xml:space="preserve"> SEQ Tabel \* ARABIC </w:instrText>
      </w:r>
      <w:r w:rsidRPr="00934281">
        <w:rPr>
          <w:color w:val="000000" w:themeColor="text1"/>
          <w:szCs w:val="20"/>
        </w:rPr>
        <w:fldChar w:fldCharType="separate"/>
      </w:r>
      <w:r w:rsidR="00E26597" w:rsidRPr="00934281">
        <w:rPr>
          <w:noProof/>
          <w:color w:val="000000" w:themeColor="text1"/>
          <w:szCs w:val="20"/>
        </w:rPr>
        <w:t xml:space="preserve">1 </w:t>
      </w:r>
      <w:r w:rsidRPr="00934281">
        <w:rPr>
          <w:noProof/>
          <w:color w:val="000000" w:themeColor="text1"/>
          <w:szCs w:val="20"/>
        </w:rPr>
        <w:fldChar w:fldCharType="end"/>
      </w:r>
      <w:r w:rsidR="00E26597" w:rsidRPr="00934281">
        <w:rPr>
          <w:color w:val="000000" w:themeColor="text1"/>
          <w:szCs w:val="20"/>
        </w:rPr>
        <w:t xml:space="preserve">. </w:t>
      </w:r>
      <w:r w:rsidR="00E157B4" w:rsidRPr="00934281">
        <w:rPr>
          <w:bCs/>
          <w:color w:val="000000" w:themeColor="text1"/>
          <w:szCs w:val="20"/>
        </w:rPr>
        <w:t>DGCE</w:t>
      </w:r>
      <w:r w:rsidR="00E26597" w:rsidRPr="00934281">
        <w:rPr>
          <w:bCs/>
          <w:color w:val="000000" w:themeColor="text1"/>
          <w:szCs w:val="20"/>
        </w:rPr>
        <w:t xml:space="preserve"> Dispute File Statistics</w:t>
      </w:r>
      <w:r w:rsidR="00707966" w:rsidRPr="00934281">
        <w:rPr>
          <w:bCs/>
          <w:color w:val="000000" w:themeColor="text1"/>
          <w:szCs w:val="20"/>
        </w:rPr>
        <w:t xml:space="preserve"> </w:t>
      </w:r>
      <w:r w:rsidR="00E26597" w:rsidRPr="00934281">
        <w:rPr>
          <w:color w:val="000000" w:themeColor="text1"/>
          <w:szCs w:val="20"/>
        </w:rPr>
        <w:t>2016 to 2022</w:t>
      </w:r>
    </w:p>
    <w:p w14:paraId="7642C7DC" w14:textId="77777777" w:rsidR="004119F2" w:rsidRPr="00934281" w:rsidRDefault="008E371A" w:rsidP="00FE42D3">
      <w:pPr>
        <w:pStyle w:val="JAPBODYTEXT"/>
        <w:jc w:val="center"/>
        <w:rPr>
          <w:sz w:val="20"/>
          <w:szCs w:val="20"/>
        </w:rPr>
      </w:pPr>
      <w:r w:rsidRPr="00934281">
        <w:rPr>
          <w:noProof/>
          <w:sz w:val="20"/>
          <w:szCs w:val="20"/>
        </w:rPr>
        <w:drawing>
          <wp:inline distT="0" distB="0" distL="0" distR="0" wp14:anchorId="190B5B00" wp14:editId="63AEDF2C">
            <wp:extent cx="4580255" cy="27838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0255" cy="2783840"/>
                    </a:xfrm>
                    <a:prstGeom prst="rect">
                      <a:avLst/>
                    </a:prstGeom>
                    <a:noFill/>
                    <a:ln>
                      <a:noFill/>
                    </a:ln>
                  </pic:spPr>
                </pic:pic>
              </a:graphicData>
            </a:graphic>
          </wp:inline>
        </w:drawing>
      </w:r>
    </w:p>
    <w:p w14:paraId="6D4B21F4" w14:textId="77777777" w:rsidR="00B337AF" w:rsidRPr="00934281" w:rsidRDefault="00B337AF" w:rsidP="00D26F04">
      <w:pPr>
        <w:pStyle w:val="JAPBODYTEXT"/>
        <w:rPr>
          <w:sz w:val="20"/>
          <w:szCs w:val="20"/>
        </w:rPr>
      </w:pPr>
    </w:p>
    <w:p w14:paraId="736D4F5D" w14:textId="1B3D65AF" w:rsidR="00B337AF" w:rsidRPr="00934281" w:rsidRDefault="00B337AF" w:rsidP="00D26F04">
      <w:pPr>
        <w:pStyle w:val="JAPBODYTEXT"/>
        <w:rPr>
          <w:sz w:val="20"/>
          <w:szCs w:val="20"/>
        </w:rPr>
      </w:pPr>
      <w:r w:rsidRPr="00934281">
        <w:rPr>
          <w:sz w:val="20"/>
          <w:szCs w:val="20"/>
        </w:rPr>
        <w:t>Note: Graph 1 shows the number of appeals submitted by importers between 2016 and 2022. The highest number of appeals occurred in 2017 (3, 994 files). The highest increase in appeals occurred in 2021 (53.1%) compared to the number of appeals in the previous year.</w:t>
      </w:r>
    </w:p>
    <w:p w14:paraId="7AFA4C7D" w14:textId="772E29C2" w:rsidR="00E26597" w:rsidRPr="00934281" w:rsidRDefault="00E26597" w:rsidP="00FE42D3">
      <w:pPr>
        <w:pStyle w:val="JAPBODYTEXT"/>
        <w:jc w:val="center"/>
        <w:rPr>
          <w:sz w:val="20"/>
          <w:szCs w:val="20"/>
        </w:rPr>
      </w:pPr>
      <w:r w:rsidRPr="00934281">
        <w:rPr>
          <w:sz w:val="20"/>
          <w:szCs w:val="20"/>
        </w:rPr>
        <w:t>Source: processed from the Tax Court Secretariat (2023)</w:t>
      </w:r>
    </w:p>
    <w:p w14:paraId="2B4AFC4D" w14:textId="585CAF7D" w:rsidR="006944F9" w:rsidRPr="00934281" w:rsidRDefault="006944F9" w:rsidP="00D26F04">
      <w:pPr>
        <w:pStyle w:val="JAPBODYTEXT"/>
        <w:rPr>
          <w:sz w:val="20"/>
          <w:szCs w:val="20"/>
        </w:rPr>
      </w:pPr>
    </w:p>
    <w:p w14:paraId="24C35689" w14:textId="0FE7B216" w:rsidR="006944F9" w:rsidRPr="00934281" w:rsidRDefault="006944F9" w:rsidP="001E2715">
      <w:pPr>
        <w:pStyle w:val="JAPBODYTEXT"/>
        <w:ind w:firstLine="426"/>
        <w:rPr>
          <w:sz w:val="20"/>
          <w:szCs w:val="20"/>
        </w:rPr>
      </w:pPr>
      <w:r w:rsidRPr="00934281">
        <w:rPr>
          <w:sz w:val="20"/>
          <w:szCs w:val="20"/>
        </w:rPr>
        <w:t>Tax disputes bring uncertainty to both governments and companies (Mann, 2022). Therefore, the number of tax disputes must be minimized to avoid large tax collection delays and high litigation costs (Mayanja, 2020). Based on DGCE appeals, the main types of disputes submitted by importers include classification rates, customs value, ease of import for export purposes, export duty, free trade agreement rates, tax rates for imports, audit number, audits, audits, import duty rates, and tariffs. This study focuses on import tax disputes. This is interesting because according to the Indonesian Taxation Law, DGCE holds the authority to collect import taxes, but there is no mention of DGCE's authority to determine import tax underpayments. A significant increase in the number of import tax disputes has occurred since the enactment of PMK-267/PMK.010/2015, which regulates the criteria and details of livestock and feed ingredients for making animal feed and fish feed, which are exempt from the imposition of value-added tax. Graph 2 shows data on import tax disputes from 2016 to 2022.</w:t>
      </w:r>
    </w:p>
    <w:p w14:paraId="31279485" w14:textId="77777777" w:rsidR="00627A8F" w:rsidRPr="00934281" w:rsidRDefault="007D0C06" w:rsidP="00FE42D3">
      <w:pPr>
        <w:pStyle w:val="JAPBODYTEXT"/>
        <w:jc w:val="center"/>
        <w:rPr>
          <w:sz w:val="20"/>
          <w:szCs w:val="20"/>
        </w:rPr>
      </w:pPr>
      <w:r w:rsidRPr="00934281">
        <w:rPr>
          <w:sz w:val="20"/>
          <w:szCs w:val="20"/>
        </w:rPr>
        <w:t xml:space="preserve">Graph 2. Data on </w:t>
      </w:r>
      <w:r w:rsidR="00707966" w:rsidRPr="00934281">
        <w:rPr>
          <w:sz w:val="20"/>
          <w:szCs w:val="20"/>
        </w:rPr>
        <w:t xml:space="preserve">Import </w:t>
      </w:r>
      <w:r w:rsidRPr="00934281">
        <w:rPr>
          <w:sz w:val="20"/>
          <w:szCs w:val="20"/>
        </w:rPr>
        <w:t>Tax Disputes from 2016 to 2022</w:t>
      </w:r>
    </w:p>
    <w:p w14:paraId="56796EB5" w14:textId="77777777" w:rsidR="007D0C06" w:rsidRPr="00934281" w:rsidRDefault="00C34CB3" w:rsidP="00FE42D3">
      <w:pPr>
        <w:pStyle w:val="JAPBODYTEXT"/>
        <w:jc w:val="center"/>
        <w:rPr>
          <w:sz w:val="20"/>
          <w:szCs w:val="20"/>
        </w:rPr>
      </w:pPr>
      <w:r w:rsidRPr="00934281">
        <w:rPr>
          <w:noProof/>
          <w:sz w:val="20"/>
          <w:szCs w:val="20"/>
        </w:rPr>
        <w:drawing>
          <wp:inline distT="0" distB="0" distL="0" distR="0" wp14:anchorId="46B48276" wp14:editId="6DCF2279">
            <wp:extent cx="4035287" cy="2233819"/>
            <wp:effectExtent l="0" t="0" r="3810" b="1905"/>
            <wp:docPr id="170795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58022" name=""/>
                    <pic:cNvPicPr/>
                  </pic:nvPicPr>
                  <pic:blipFill>
                    <a:blip r:embed="rId15"/>
                    <a:stretch>
                      <a:fillRect/>
                    </a:stretch>
                  </pic:blipFill>
                  <pic:spPr>
                    <a:xfrm>
                      <a:off x="0" y="0"/>
                      <a:ext cx="4105229" cy="2272537"/>
                    </a:xfrm>
                    <a:prstGeom prst="rect">
                      <a:avLst/>
                    </a:prstGeom>
                  </pic:spPr>
                </pic:pic>
              </a:graphicData>
            </a:graphic>
          </wp:inline>
        </w:drawing>
      </w:r>
    </w:p>
    <w:p w14:paraId="265C2E4E" w14:textId="1696AB5B" w:rsidR="006944F9" w:rsidRPr="001E2715" w:rsidRDefault="006944F9" w:rsidP="00D26F04">
      <w:pPr>
        <w:pStyle w:val="JAPBODYTEXT"/>
      </w:pPr>
      <w:r w:rsidRPr="001E2715">
        <w:t>Note: Figure 2 shows the number of appeals fluctuating between 2016 and 2022. The bar graph shows the value of disputes with a range of values as numbers on the left side, whereas the line graph shows the number of disputes with a range of amounts as numbers on the right side.</w:t>
      </w:r>
    </w:p>
    <w:p w14:paraId="0B98FF08" w14:textId="74DB9125" w:rsidR="008A4F95" w:rsidRPr="001E2715" w:rsidRDefault="00C90828" w:rsidP="00FE42D3">
      <w:pPr>
        <w:pStyle w:val="JAPBODYTEXT"/>
        <w:jc w:val="center"/>
      </w:pPr>
      <w:r w:rsidRPr="001E2715">
        <w:t xml:space="preserve">Source: processed from </w:t>
      </w:r>
      <w:r w:rsidR="00707966" w:rsidRPr="001E2715">
        <w:t>DGCE</w:t>
      </w:r>
      <w:r w:rsidRPr="001E2715">
        <w:t xml:space="preserve"> Appeal Recapitulation Data (2023)</w:t>
      </w:r>
    </w:p>
    <w:p w14:paraId="559721DC" w14:textId="77777777" w:rsidR="006944F9" w:rsidRPr="00934281" w:rsidRDefault="006944F9" w:rsidP="00D26F04">
      <w:pPr>
        <w:pStyle w:val="JAPBODYTEXT"/>
        <w:rPr>
          <w:sz w:val="20"/>
          <w:szCs w:val="20"/>
        </w:rPr>
      </w:pPr>
    </w:p>
    <w:p w14:paraId="4D591F28" w14:textId="287BBF37" w:rsidR="00FE42D3" w:rsidRDefault="006944F9" w:rsidP="00FE42D3">
      <w:pPr>
        <w:pStyle w:val="JAPBODYTEXT"/>
        <w:ind w:firstLine="426"/>
        <w:rPr>
          <w:sz w:val="20"/>
          <w:szCs w:val="20"/>
        </w:rPr>
      </w:pPr>
      <w:r w:rsidRPr="00934281">
        <w:rPr>
          <w:sz w:val="20"/>
          <w:szCs w:val="20"/>
        </w:rPr>
        <w:t>In 2016, only two import tax dispute decisions were made. However, there has been an increase in appeals since 2017, reaching a peak in 2019 with 221 decisions. The large number of decisions on appeals against import taxes shows that the intensity of appeals from importers is high. Based on the DGCE Appeal Recapitulation data, it is also known that the import tax dispute value in the 2016 to 2022 period was IDR 427</w:t>
      </w:r>
      <w:r w:rsidR="00277B0C" w:rsidRPr="00934281">
        <w:rPr>
          <w:sz w:val="20"/>
          <w:szCs w:val="20"/>
        </w:rPr>
        <w:t>.4 billion</w:t>
      </w:r>
      <w:r w:rsidRPr="00934281">
        <w:rPr>
          <w:sz w:val="20"/>
          <w:szCs w:val="20"/>
        </w:rPr>
        <w:t>. The large number of  decisions on appeal and the large value of these disputes demonstrate the importance of discussing import tax disputes</w:t>
      </w:r>
      <w:r w:rsidR="002A2484">
        <w:rPr>
          <w:sz w:val="20"/>
          <w:szCs w:val="20"/>
        </w:rPr>
        <w:t xml:space="preserve"> (Yunindar, 2023)</w:t>
      </w:r>
      <w:r w:rsidRPr="00934281">
        <w:rPr>
          <w:sz w:val="20"/>
          <w:szCs w:val="20"/>
        </w:rPr>
        <w:t xml:space="preserve">. </w:t>
      </w:r>
    </w:p>
    <w:p w14:paraId="50DD18B2" w14:textId="40703C69" w:rsidR="00150C58" w:rsidRPr="00934281" w:rsidRDefault="006944F9" w:rsidP="00FE42D3">
      <w:pPr>
        <w:pStyle w:val="JAPBODYTEXT"/>
        <w:ind w:firstLine="426"/>
        <w:rPr>
          <w:sz w:val="20"/>
          <w:szCs w:val="20"/>
        </w:rPr>
      </w:pPr>
      <w:r w:rsidRPr="00934281">
        <w:rPr>
          <w:sz w:val="20"/>
          <w:szCs w:val="20"/>
        </w:rPr>
        <w:t>There is limited research on tax disputes in the context of imports. However, much research has been conducted on the state revenue disputes. Rasfina (2012) researched import duty–tariff disputes. The research concluded that there are still weaknesses that need to be addressed in the tax court regarding the performance and legal knowledge of judges. Harsono (2018) researched the disputes over taxable goods. The research concluded that disputes related to determining whether coal is taxable are unlikely to become jurisprudent. Bangun (2018) studies customs value disputes. The research concluded that the Tax Court institution did not play the role it should play. Yulianto (2022) researched the promotional cost disputes. They concluded that promotional cost disputes were caused by differences in interpretation and evidentiary problems. Novita (2022) researched tax refund disputes. Research shows that disputes between Taxpayers and Tax Auditors cause tax disputes. Syafiqoh (2022) researched the value-added tax disputes. This study concludes that the cause of tax disputes is due to different interpretations of DGT and PGN. The analysis of Import Tax Disputes was conducted in this study to fill the re-search gap in previous research. Th</w:t>
      </w:r>
      <w:r w:rsidR="008732E3" w:rsidRPr="00934281">
        <w:rPr>
          <w:sz w:val="20"/>
          <w:szCs w:val="20"/>
        </w:rPr>
        <w:t xml:space="preserve">is study </w:t>
      </w:r>
      <w:r w:rsidRPr="00934281">
        <w:rPr>
          <w:sz w:val="20"/>
          <w:szCs w:val="20"/>
        </w:rPr>
        <w:t>will analyze different types of dispute materials, causes, and recommendations to minimize future occurrences. Based on the previous research above, it can be concluded that the causes of tax disputes include differences in orientation, demands for "justice" and "dignity,” failure of communication, statutory regulations, application of statutory regulations, differences in interpretation, problems of proof and lack of examiner's skills and expertise</w:t>
      </w:r>
      <w:r w:rsidR="00EF22A6" w:rsidRPr="00934281">
        <w:rPr>
          <w:sz w:val="20"/>
          <w:szCs w:val="20"/>
        </w:rPr>
        <w:t>.</w:t>
      </w:r>
    </w:p>
    <w:p w14:paraId="26E542F0" w14:textId="77777777" w:rsidR="00115556" w:rsidRPr="00934281" w:rsidRDefault="00115556" w:rsidP="00D26F04">
      <w:pPr>
        <w:pStyle w:val="JAPBODYTEXT"/>
        <w:rPr>
          <w:sz w:val="20"/>
          <w:szCs w:val="20"/>
        </w:rPr>
      </w:pPr>
    </w:p>
    <w:p w14:paraId="79FE8A5E" w14:textId="49B21DB5" w:rsidR="00115556" w:rsidRPr="00934281" w:rsidRDefault="00115556" w:rsidP="00115556">
      <w:pPr>
        <w:pStyle w:val="JAPSub-Judul"/>
        <w:rPr>
          <w:color w:val="000000" w:themeColor="text1"/>
          <w:szCs w:val="20"/>
        </w:rPr>
      </w:pPr>
      <w:r w:rsidRPr="00934281">
        <w:rPr>
          <w:color w:val="000000" w:themeColor="text1"/>
          <w:szCs w:val="20"/>
        </w:rPr>
        <w:t>LITERATURE REVIEW</w:t>
      </w:r>
    </w:p>
    <w:p w14:paraId="75035FCD" w14:textId="77777777" w:rsidR="00BD4D7C" w:rsidRPr="00934281" w:rsidRDefault="00BD4D7C" w:rsidP="00D26F04">
      <w:pPr>
        <w:pStyle w:val="JAPBODYTEXT"/>
        <w:rPr>
          <w:sz w:val="20"/>
          <w:szCs w:val="20"/>
        </w:rPr>
      </w:pPr>
      <w:r w:rsidRPr="00934281">
        <w:rPr>
          <w:sz w:val="20"/>
          <w:szCs w:val="20"/>
        </w:rPr>
        <w:t>Root Cause Analysis</w:t>
      </w:r>
    </w:p>
    <w:p w14:paraId="35188DE9" w14:textId="570A77A5" w:rsidR="00BD4D7C" w:rsidRPr="00934281" w:rsidRDefault="00115556" w:rsidP="00FE42D3">
      <w:pPr>
        <w:pStyle w:val="JAPBODYTEXT"/>
        <w:ind w:firstLine="426"/>
        <w:rPr>
          <w:sz w:val="20"/>
          <w:szCs w:val="20"/>
        </w:rPr>
      </w:pPr>
      <w:r w:rsidRPr="00934281">
        <w:rPr>
          <w:sz w:val="20"/>
          <w:szCs w:val="20"/>
        </w:rPr>
        <w:t>Root Cause Analysis is a structured analysis that aims to identify the root of the problem and the actions needed to solve it (Andersen et al., 2006). In root cause analysis, there are 6 (six) stages: understanding problems, brainstorming problems, problem cause data collection, problem cause data analysis, problem cause identification, problem cause elimination, and solution implementation (Andersen and Fagerhaug 2006). Root cause analysis was used as a framework for thinking in this study because it is in accordance with the research objectives. To find the root of the problem, researchers have used fishbone diagrams. Fishbone diagrams are also called cause and effect diagrams because their function is as an analytical tool for observing the effects and causes of these effects (Watson, 2004) in Gheorghe ILIE (2010). One of the categories that can be used in a fishbone diagram is 4 M, namely, material, methods, man, and machine. Several studies that use fishbone diagrams include Yuliyono, Baehaki, Luqman, Utama, and Wibowo (2022), who examine improving the tax refund process at the ((DGT) and Syahroni, Supriadi, and Supriadi (2019), who examine the effectiveness of local tax collection.</w:t>
      </w:r>
    </w:p>
    <w:p w14:paraId="685EE1AD" w14:textId="77777777" w:rsidR="00115556" w:rsidRPr="00934281" w:rsidRDefault="00115556" w:rsidP="00D26F04">
      <w:pPr>
        <w:pStyle w:val="JAPBODYTEXT"/>
        <w:rPr>
          <w:sz w:val="20"/>
          <w:szCs w:val="20"/>
        </w:rPr>
      </w:pPr>
    </w:p>
    <w:p w14:paraId="0A08E30A" w14:textId="20A13F68" w:rsidR="00C30981" w:rsidRPr="00934281" w:rsidRDefault="00C30981" w:rsidP="00D26F04">
      <w:pPr>
        <w:pStyle w:val="JAPBODYTEXT"/>
        <w:rPr>
          <w:sz w:val="20"/>
          <w:szCs w:val="20"/>
        </w:rPr>
      </w:pPr>
      <w:r w:rsidRPr="00934281">
        <w:rPr>
          <w:sz w:val="20"/>
          <w:szCs w:val="20"/>
        </w:rPr>
        <w:t>Import</w:t>
      </w:r>
      <w:r w:rsidR="00115556" w:rsidRPr="00934281">
        <w:rPr>
          <w:sz w:val="20"/>
          <w:szCs w:val="20"/>
        </w:rPr>
        <w:t xml:space="preserve"> and Import Taxes</w:t>
      </w:r>
    </w:p>
    <w:p w14:paraId="31F9ABD9" w14:textId="77777777" w:rsidR="006814D4" w:rsidRPr="00934281" w:rsidRDefault="006814D4" w:rsidP="00FE42D3">
      <w:pPr>
        <w:pStyle w:val="JAPBODYTEXT"/>
        <w:ind w:firstLine="426"/>
        <w:rPr>
          <w:sz w:val="20"/>
          <w:szCs w:val="20"/>
        </w:rPr>
      </w:pPr>
      <w:r w:rsidRPr="00934281">
        <w:rPr>
          <w:sz w:val="20"/>
          <w:szCs w:val="20"/>
        </w:rPr>
        <w:t>The definition of imports based on Customs Law is the activity of bringing goods into customs territory. The customs territory covers the territory of the Republic of Indonesia, including land, water, and air space above it, as well as certain places in the Exclusive Economic Zone and continental shelf to which Customs Law applies. Customs are defined as everything related to the supervision of the traffic of goods entering or leaving the customs territory as well as the collection of import and export duties. This supervision is carried out by the Directorate General of Customs and Excise to ensure that importers fulfill their customs duties.</w:t>
      </w:r>
    </w:p>
    <w:p w14:paraId="331B6ED4" w14:textId="5242725B" w:rsidR="009D05A4" w:rsidRPr="00934281" w:rsidRDefault="006814D4" w:rsidP="00D26F04">
      <w:pPr>
        <w:pStyle w:val="JAPBODYTEXT"/>
        <w:rPr>
          <w:sz w:val="20"/>
          <w:szCs w:val="20"/>
        </w:rPr>
      </w:pPr>
      <w:r w:rsidRPr="00934281">
        <w:rPr>
          <w:sz w:val="20"/>
          <w:szCs w:val="20"/>
        </w:rPr>
        <w:t>Import Taxes include value-added tax, luxury goods sales tax, and/or Income Tax Article 22 (Government of the Republic of Indonesia, 2023). Imposing import levies aims to protect domestic industry from the entry of imported goods from abroad. The barrier tariff is the percentage determined by the country to be collected by the DGCE in relation to imported goods (Semedi, 2011).</w:t>
      </w:r>
    </w:p>
    <w:p w14:paraId="169CBF6F" w14:textId="77777777" w:rsidR="006814D4" w:rsidRPr="00934281" w:rsidRDefault="006814D4" w:rsidP="00D26F04">
      <w:pPr>
        <w:pStyle w:val="JAPBODYTEXT"/>
        <w:rPr>
          <w:sz w:val="20"/>
          <w:szCs w:val="20"/>
        </w:rPr>
      </w:pPr>
    </w:p>
    <w:p w14:paraId="3E7792D5" w14:textId="686C7B71" w:rsidR="00C30981" w:rsidRPr="00934281" w:rsidRDefault="00291149" w:rsidP="00D26F04">
      <w:pPr>
        <w:pStyle w:val="JAPBODYTEXT"/>
        <w:rPr>
          <w:sz w:val="20"/>
          <w:szCs w:val="20"/>
        </w:rPr>
      </w:pPr>
      <w:r w:rsidRPr="00934281">
        <w:rPr>
          <w:sz w:val="20"/>
          <w:szCs w:val="20"/>
        </w:rPr>
        <w:t>Customs</w:t>
      </w:r>
      <w:r w:rsidR="00C30981" w:rsidRPr="00934281">
        <w:rPr>
          <w:sz w:val="20"/>
          <w:szCs w:val="20"/>
        </w:rPr>
        <w:t xml:space="preserve"> Control</w:t>
      </w:r>
      <w:r w:rsidR="006814D4" w:rsidRPr="00934281">
        <w:rPr>
          <w:sz w:val="20"/>
          <w:szCs w:val="20"/>
        </w:rPr>
        <w:t xml:space="preserve"> and Assessment</w:t>
      </w:r>
    </w:p>
    <w:p w14:paraId="1AC23B88" w14:textId="78CD62E8" w:rsidR="00C30981" w:rsidRPr="00934281" w:rsidRDefault="006814D4" w:rsidP="00FE42D3">
      <w:pPr>
        <w:pStyle w:val="JAPBODYTEXT"/>
        <w:ind w:firstLine="426"/>
        <w:rPr>
          <w:sz w:val="20"/>
          <w:szCs w:val="20"/>
        </w:rPr>
      </w:pPr>
      <w:r w:rsidRPr="00934281">
        <w:rPr>
          <w:sz w:val="20"/>
          <w:szCs w:val="20"/>
        </w:rPr>
        <w:t>Customs control is carried out through two mechanisms: clearance and postclearance. Clearance control is carried out through physical and document inspections at the Office of Customs Services. Physical examination was performed by the Physical Examiner Officer, and document examination was performed by the Functional Document Examiner Officer. Post-clearance control was conducted through re-</w:t>
      </w:r>
      <w:r w:rsidRPr="00934281">
        <w:rPr>
          <w:sz w:val="20"/>
          <w:szCs w:val="20"/>
        </w:rPr>
        <w:lastRenderedPageBreak/>
        <w:t>examination and customs audits. Re-examination is an examination of customs declarations in the context of re-determination by the Government of the Republic of Indonesia (DGCE, 2023). Meanwhile, Customs Audit is defined as the activity of examining financial reports, books, records, and documents, which are basic evidence of bookkeeping and letters relating to business activities, including electronic data, as well as letters relating to activities in the customs sector and/or the supply of goods, in the context of implementing statutory provisions in the field of customs (Government of the Republic of Indonesia, 2016)</w:t>
      </w:r>
      <w:r w:rsidR="00A30037" w:rsidRPr="00934281">
        <w:rPr>
          <w:sz w:val="20"/>
          <w:szCs w:val="20"/>
        </w:rPr>
        <w:t>.</w:t>
      </w:r>
      <w:r w:rsidR="00D76DD4" w:rsidRPr="00934281">
        <w:rPr>
          <w:sz w:val="20"/>
          <w:szCs w:val="20"/>
        </w:rPr>
        <w:t xml:space="preserve"> </w:t>
      </w:r>
      <w:r w:rsidR="000754A3" w:rsidRPr="00934281">
        <w:rPr>
          <w:sz w:val="20"/>
          <w:szCs w:val="20"/>
        </w:rPr>
        <w:t>Further, b</w:t>
      </w:r>
      <w:r w:rsidR="00AB056A" w:rsidRPr="00934281">
        <w:rPr>
          <w:sz w:val="20"/>
          <w:szCs w:val="20"/>
        </w:rPr>
        <w:t xml:space="preserve">ased on </w:t>
      </w:r>
      <w:r w:rsidR="000C565F" w:rsidRPr="00934281">
        <w:rPr>
          <w:sz w:val="20"/>
          <w:szCs w:val="20"/>
        </w:rPr>
        <w:t xml:space="preserve">Customs </w:t>
      </w:r>
      <w:r w:rsidR="00AB056A" w:rsidRPr="00934281">
        <w:rPr>
          <w:sz w:val="20"/>
          <w:szCs w:val="20"/>
        </w:rPr>
        <w:t xml:space="preserve">Law, two types of determination can be made. According to Article 16, customs tariffs and values are determined by customs and exercise officials using an </w:t>
      </w:r>
      <w:r w:rsidR="002178B5" w:rsidRPr="00934281">
        <w:rPr>
          <w:sz w:val="20"/>
          <w:szCs w:val="20"/>
        </w:rPr>
        <w:t>Notice of Import Duty Underpayment</w:t>
      </w:r>
      <w:r w:rsidR="002178B5" w:rsidRPr="00934281">
        <w:rPr>
          <w:sz w:val="20"/>
          <w:szCs w:val="20"/>
        </w:rPr>
        <w:t xml:space="preserve"> (NIDU)</w:t>
      </w:r>
      <w:r w:rsidR="00AB056A" w:rsidRPr="00934281">
        <w:rPr>
          <w:sz w:val="20"/>
          <w:szCs w:val="20"/>
        </w:rPr>
        <w:t>. Meanwhile, Article 17 is determined by the Director General of Customs and Excise using</w:t>
      </w:r>
      <w:r w:rsidR="002178B5" w:rsidRPr="00934281">
        <w:rPr>
          <w:sz w:val="20"/>
          <w:szCs w:val="20"/>
        </w:rPr>
        <w:t xml:space="preserve"> </w:t>
      </w:r>
      <w:r w:rsidR="002178B5" w:rsidRPr="00934281">
        <w:rPr>
          <w:sz w:val="20"/>
          <w:szCs w:val="20"/>
        </w:rPr>
        <w:t xml:space="preserve">Notice of </w:t>
      </w:r>
      <w:r w:rsidR="002178B5" w:rsidRPr="00934281">
        <w:rPr>
          <w:sz w:val="20"/>
          <w:szCs w:val="20"/>
        </w:rPr>
        <w:t xml:space="preserve">Additional </w:t>
      </w:r>
      <w:r w:rsidR="002178B5" w:rsidRPr="00934281">
        <w:rPr>
          <w:sz w:val="20"/>
          <w:szCs w:val="20"/>
        </w:rPr>
        <w:t>Import Duty Underpaymen</w:t>
      </w:r>
      <w:r w:rsidR="002178B5" w:rsidRPr="00934281">
        <w:rPr>
          <w:sz w:val="20"/>
          <w:szCs w:val="20"/>
        </w:rPr>
        <w:t>t (NAIDU)</w:t>
      </w:r>
      <w:r w:rsidR="00AB056A" w:rsidRPr="00934281">
        <w:rPr>
          <w:sz w:val="20"/>
          <w:szCs w:val="20"/>
        </w:rPr>
        <w:t>.</w:t>
      </w:r>
    </w:p>
    <w:p w14:paraId="28728947" w14:textId="77777777" w:rsidR="00C30981" w:rsidRPr="00934281" w:rsidRDefault="00C30981" w:rsidP="00D26F04">
      <w:pPr>
        <w:pStyle w:val="JAPBODYTEXT"/>
        <w:rPr>
          <w:sz w:val="20"/>
          <w:szCs w:val="20"/>
        </w:rPr>
      </w:pPr>
    </w:p>
    <w:p w14:paraId="4D093D76" w14:textId="77777777" w:rsidR="00C30981" w:rsidRPr="00934281" w:rsidRDefault="00C30981" w:rsidP="00D26F04">
      <w:pPr>
        <w:pStyle w:val="JAPBODYTEXT"/>
        <w:rPr>
          <w:sz w:val="20"/>
          <w:szCs w:val="20"/>
        </w:rPr>
      </w:pPr>
      <w:r w:rsidRPr="00934281">
        <w:rPr>
          <w:sz w:val="20"/>
          <w:szCs w:val="20"/>
        </w:rPr>
        <w:t>Objections and Appeals</w:t>
      </w:r>
    </w:p>
    <w:p w14:paraId="7687BB72" w14:textId="183A9258" w:rsidR="00C30981" w:rsidRPr="00934281" w:rsidRDefault="00277B0C" w:rsidP="00FE42D3">
      <w:pPr>
        <w:pStyle w:val="JAPBODYTEXT"/>
        <w:ind w:firstLine="426"/>
        <w:rPr>
          <w:color w:val="000000" w:themeColor="text1"/>
          <w:sz w:val="20"/>
          <w:szCs w:val="20"/>
        </w:rPr>
      </w:pPr>
      <w:r w:rsidRPr="00934281">
        <w:rPr>
          <w:color w:val="000000" w:themeColor="text1"/>
          <w:sz w:val="20"/>
          <w:szCs w:val="20"/>
        </w:rPr>
        <w:t>According to Article 93 of the Customs Law, importers who do not agree with the official's assessment can submit a written objection to the DGCE within 60 days of the date of determination. Article 95 of the Customs Law states that importers who object to the NIDU and the Decision of the Director General of Customs and Excise can submit an appeal to the Tax Court within 60 days from the date of determination or decision date. An appeal is a legal remedy that can be taken by a taxpayer or taxbearer against a decision that can be appealed based on applicable tax laws and regulations (Government of the Republic of Indonesia, 2002)</w:t>
      </w:r>
      <w:r w:rsidR="00AB056A" w:rsidRPr="00934281">
        <w:rPr>
          <w:color w:val="000000" w:themeColor="text1"/>
          <w:sz w:val="20"/>
          <w:szCs w:val="20"/>
        </w:rPr>
        <w:t>.</w:t>
      </w:r>
    </w:p>
    <w:p w14:paraId="502EED9D" w14:textId="77777777" w:rsidR="00C1634F" w:rsidRPr="00934281" w:rsidRDefault="00C1634F" w:rsidP="00D26F04">
      <w:pPr>
        <w:pStyle w:val="JAPBODYTEXT"/>
        <w:rPr>
          <w:sz w:val="20"/>
          <w:szCs w:val="20"/>
        </w:rPr>
      </w:pPr>
    </w:p>
    <w:p w14:paraId="335E7AC6" w14:textId="77777777" w:rsidR="00C30981" w:rsidRPr="00934281" w:rsidRDefault="00C30981" w:rsidP="00D26F04">
      <w:pPr>
        <w:pStyle w:val="JAPBODYTEXT"/>
        <w:rPr>
          <w:sz w:val="20"/>
          <w:szCs w:val="20"/>
        </w:rPr>
      </w:pPr>
      <w:r w:rsidRPr="00934281">
        <w:rPr>
          <w:sz w:val="20"/>
          <w:szCs w:val="20"/>
        </w:rPr>
        <w:t>Cause of Dispute</w:t>
      </w:r>
    </w:p>
    <w:p w14:paraId="0B70BD3D" w14:textId="41A8F227" w:rsidR="00277B0C" w:rsidRPr="00934281" w:rsidRDefault="00277B0C" w:rsidP="00FE42D3">
      <w:pPr>
        <w:pStyle w:val="JAPBODYTEXT"/>
        <w:ind w:firstLine="426"/>
        <w:rPr>
          <w:color w:val="000000" w:themeColor="text1"/>
          <w:sz w:val="20"/>
          <w:szCs w:val="20"/>
        </w:rPr>
      </w:pPr>
      <w:r w:rsidRPr="00934281">
        <w:rPr>
          <w:color w:val="000000" w:themeColor="text1"/>
          <w:sz w:val="20"/>
          <w:szCs w:val="20"/>
        </w:rPr>
        <w:t xml:space="preserve">Tax disputes in Indonesia manifest as intricate phenomena that stem from a multitude of factors. The genesis of such disputes often lies in the orientation discrepancy between the Directorate General of Customs and Excise (DGCE), tasked with collecting state revenue, and importers, who aim to fulfill their tax obligations while ensuring business sustainability. Rasfina (2012) elucidates how this disparity creates fertile ground for conflicts between the two entities. </w:t>
      </w:r>
    </w:p>
    <w:p w14:paraId="14764F04" w14:textId="77777777" w:rsidR="00277B0C" w:rsidRPr="00934281" w:rsidRDefault="00277B0C" w:rsidP="00FE42D3">
      <w:pPr>
        <w:pStyle w:val="JAPBODYTEXT"/>
        <w:ind w:firstLine="426"/>
        <w:rPr>
          <w:color w:val="000000" w:themeColor="text1"/>
          <w:sz w:val="20"/>
          <w:szCs w:val="20"/>
        </w:rPr>
      </w:pPr>
      <w:r w:rsidRPr="00934281">
        <w:rPr>
          <w:color w:val="000000" w:themeColor="text1"/>
          <w:sz w:val="20"/>
          <w:szCs w:val="20"/>
        </w:rPr>
        <w:t>The pursuit of “fairness” and “dignity” also plays a pivotal role, often prolonging the duration of tax disputes occasionally for decades. Novita, Rahim, and Adrianto (2022) discovered that taxpayers’ focus transcends the quantum of corrections made by tax inspectors, extending to seeking justice and the restoration of dignity. Rasfina (2012) further underlined the frequent disillusionment of justice seekers in tax courts. Wahyudi, Ludigdo, and Djamhuri (2017) interpreted tax disputes as protracted negotiations, with tax auditors navigating various negotiating strategies, balancing the pros and cons, and contending for the principles of justice.</w:t>
      </w:r>
    </w:p>
    <w:p w14:paraId="18DDF83E" w14:textId="311E02D2" w:rsidR="00277B0C" w:rsidRPr="00934281" w:rsidRDefault="00277B0C" w:rsidP="00FE42D3">
      <w:pPr>
        <w:pStyle w:val="JAPBODYTEXT"/>
        <w:ind w:firstLine="426"/>
        <w:rPr>
          <w:color w:val="000000" w:themeColor="text1"/>
          <w:sz w:val="20"/>
          <w:szCs w:val="20"/>
        </w:rPr>
      </w:pPr>
      <w:r w:rsidRPr="00934281">
        <w:rPr>
          <w:color w:val="000000" w:themeColor="text1"/>
          <w:sz w:val="20"/>
          <w:szCs w:val="20"/>
        </w:rPr>
        <w:t>Ineffective communication between taxpayers and tax-auditors is another contributing factor. Novita, Rahim, and Adrianto (2022) identify communication breakdowns as frequent conflict catalysts, indicating a malfunction in the crucial communication channel between the two “poles.” Harsono (2018) complements this perspective, pointing out that unclear regulations and their inconsistent application often pose significant challenges, corroborated by Sebele-Mpofu, Mashiri, Korera (2021)</w:t>
      </w:r>
      <w:r w:rsidR="007B171C">
        <w:rPr>
          <w:color w:val="000000" w:themeColor="text1"/>
          <w:sz w:val="20"/>
          <w:szCs w:val="20"/>
        </w:rPr>
        <w:t xml:space="preserve"> and Yunindar, Nuryanah (2023)</w:t>
      </w:r>
      <w:r w:rsidRPr="00934281">
        <w:rPr>
          <w:color w:val="000000" w:themeColor="text1"/>
          <w:sz w:val="20"/>
          <w:szCs w:val="20"/>
        </w:rPr>
        <w:t>. Additionally, various interpretations of tax regulations have been identified as sources of disputes. Kusuma, Setiawan, and Sugiharto (2019) observed that material findings often stem from these interpretational disparities, leaving taxpayers feeling aggrieved. Ispriyarso (2019) emphasizes the importance of the legal protection of taxpayers to mitigate these issues.</w:t>
      </w:r>
    </w:p>
    <w:p w14:paraId="02E44F57" w14:textId="77777777" w:rsidR="00277B0C" w:rsidRPr="00934281" w:rsidRDefault="00277B0C" w:rsidP="00FE42D3">
      <w:pPr>
        <w:pStyle w:val="JAPBODYTEXT"/>
        <w:ind w:firstLine="426"/>
        <w:rPr>
          <w:color w:val="000000" w:themeColor="text1"/>
          <w:sz w:val="20"/>
          <w:szCs w:val="20"/>
        </w:rPr>
      </w:pPr>
      <w:r w:rsidRPr="00934281">
        <w:rPr>
          <w:color w:val="000000" w:themeColor="text1"/>
          <w:sz w:val="20"/>
          <w:szCs w:val="20"/>
        </w:rPr>
        <w:t>The challenge of providing adequate proof is a prominent aspect of tax dispute. Sebele-Mpofu, Mashiri, and Korera (2021) noted the complications arising from data scarcity and information asymmetry in auditing. Concurrently, Kusuma, Setiawan, and Sugiharto (2019) highlighted the difficulty for taxpayers in substantiating audit results due to limited data availability. Yulianto (2022) corroborates these findings by identifying evidentiary challenges as the principal causes of tax disputes. Moreover, the deficit in skills and expertise among tax inspectors, particularly in developing nations, adds complexity. Sebele-Mpofu, Mashiri, and Korera (2021) stressed the necessity of apt skills, expertise, and knowledge for proficient tax administration, emphasizing their role in audits and dispute resolution, areas where developing countries often fall short.</w:t>
      </w:r>
    </w:p>
    <w:p w14:paraId="0F090701" w14:textId="095E9AF6" w:rsidR="00C30981" w:rsidRPr="00934281" w:rsidRDefault="00277B0C" w:rsidP="00FE42D3">
      <w:pPr>
        <w:pStyle w:val="JAPBODYTEXT"/>
        <w:ind w:firstLine="426"/>
        <w:rPr>
          <w:color w:val="000000" w:themeColor="text1"/>
          <w:sz w:val="20"/>
          <w:szCs w:val="20"/>
        </w:rPr>
      </w:pPr>
      <w:r w:rsidRPr="00934281">
        <w:rPr>
          <w:color w:val="000000" w:themeColor="text1"/>
          <w:sz w:val="20"/>
          <w:szCs w:val="20"/>
        </w:rPr>
        <w:t xml:space="preserve">Information asymmetry and lack of cooperation from companies exacerbate tax disputes. Sebele-Mpofu, Mashiri, and Korera (2021) point out that information imbalances and taxpayer resistance complicate the auditor’s data access, thereby muddling the audit process and obscuring results. In summary, tax disputes in Indonesia are multifaceted and involve various factors such as orientation disparities, justice demands, communication breakdowns, regulatory ambiguities, interpretational variances, evidentiary challenges, </w:t>
      </w:r>
      <w:r w:rsidRPr="00934281">
        <w:rPr>
          <w:color w:val="000000" w:themeColor="text1"/>
          <w:sz w:val="20"/>
          <w:szCs w:val="20"/>
        </w:rPr>
        <w:lastRenderedPageBreak/>
        <w:t>auditor incompetencies, information asymmetry, and corporate non-cooperation. Comprehending these complexities is crucial for devising effective strategies to resolve tax disputes and to enhance the efficiency of Indonesia’s tax administration.</w:t>
      </w:r>
    </w:p>
    <w:p w14:paraId="685E6C41" w14:textId="77777777" w:rsidR="00C70A80" w:rsidRPr="00934281" w:rsidRDefault="00C70A80" w:rsidP="00CE1FAB">
      <w:pPr>
        <w:pStyle w:val="Caption"/>
        <w:rPr>
          <w:color w:val="000000" w:themeColor="text1"/>
          <w:szCs w:val="20"/>
          <w:lang w:val="sv-SE"/>
        </w:rPr>
      </w:pPr>
    </w:p>
    <w:p w14:paraId="096BF0FA" w14:textId="77777777" w:rsidR="00C70A80" w:rsidRPr="00934281" w:rsidRDefault="00C70A80" w:rsidP="00CE1FAB">
      <w:pPr>
        <w:pStyle w:val="Caption"/>
        <w:rPr>
          <w:color w:val="000000" w:themeColor="text1"/>
          <w:szCs w:val="20"/>
          <w:lang w:val="sv-SE"/>
        </w:rPr>
        <w:sectPr w:rsidR="00C70A80" w:rsidRPr="00934281" w:rsidSect="00815315">
          <w:type w:val="continuous"/>
          <w:pgSz w:w="11907" w:h="16840" w:code="9"/>
          <w:pgMar w:top="1701" w:right="1247" w:bottom="1531" w:left="1134" w:header="1021" w:footer="1077" w:gutter="0"/>
          <w:cols w:space="340"/>
          <w:docGrid w:linePitch="360"/>
        </w:sectPr>
      </w:pPr>
    </w:p>
    <w:p w14:paraId="0D0867DD" w14:textId="77777777" w:rsidR="00682AB0" w:rsidRPr="00934281" w:rsidRDefault="002422AC" w:rsidP="00CE1FAB">
      <w:pPr>
        <w:pStyle w:val="JAPSub-Judul"/>
        <w:rPr>
          <w:color w:val="000000" w:themeColor="text1"/>
          <w:szCs w:val="20"/>
          <w:lang w:eastAsia="id-ID"/>
        </w:rPr>
      </w:pPr>
      <w:r w:rsidRPr="00934281">
        <w:rPr>
          <w:color w:val="000000" w:themeColor="text1"/>
          <w:szCs w:val="20"/>
          <w:lang w:eastAsia="id-ID"/>
        </w:rPr>
        <w:t>METHOD</w:t>
      </w:r>
    </w:p>
    <w:p w14:paraId="6587F5B4" w14:textId="3425E145" w:rsidR="00936909" w:rsidRPr="00934281" w:rsidRDefault="00936909" w:rsidP="00FE42D3">
      <w:pPr>
        <w:pStyle w:val="JAPBODYTEXT"/>
        <w:ind w:firstLine="426"/>
        <w:rPr>
          <w:sz w:val="20"/>
          <w:szCs w:val="20"/>
        </w:rPr>
      </w:pPr>
      <w:r w:rsidRPr="00934281">
        <w:rPr>
          <w:sz w:val="20"/>
          <w:szCs w:val="20"/>
        </w:rPr>
        <w:t xml:space="preserve">This study used a qualitative approach. Creswell (2008) states that qualitative methods are a way to study and understand central phenomena. Raco (2010) stated that the advantage of using qualitative methods is that they allow researchers to study facts, realities, problems, symptoms, and events thoroughly and are not limited to basic understanding. This study also used a case study approach. Raco (2010) defined case studies as qualitative </w:t>
      </w:r>
      <w:r w:rsidRPr="00FE42D3">
        <w:rPr>
          <w:color w:val="000000" w:themeColor="text1"/>
          <w:sz w:val="20"/>
          <w:szCs w:val="20"/>
        </w:rPr>
        <w:t>methods</w:t>
      </w:r>
      <w:r w:rsidRPr="00934281">
        <w:rPr>
          <w:sz w:val="20"/>
          <w:szCs w:val="20"/>
        </w:rPr>
        <w:t xml:space="preserve"> that involve collecting various sources of information to study a particular case in more depth. According to Yin (2018), a case study is an appropriate research strategy for answer-ing "how" or "why" research questions, where the focus of the research is on contemporary (present) phenomena and the researcher has little or no control over the events to be studied. This study included one type of problem diagnosis. The purpose of problem diagnosis is to determine why a problem occurs (Ellet, 2018).</w:t>
      </w:r>
    </w:p>
    <w:p w14:paraId="6F7B13C8" w14:textId="76689507" w:rsidR="00663572" w:rsidRPr="00934281" w:rsidRDefault="00936909" w:rsidP="00B74AB6">
      <w:pPr>
        <w:pStyle w:val="JAPBODYTEXT"/>
        <w:ind w:firstLine="426"/>
        <w:rPr>
          <w:sz w:val="20"/>
          <w:szCs w:val="20"/>
        </w:rPr>
      </w:pPr>
      <w:r w:rsidRPr="00934281">
        <w:rPr>
          <w:sz w:val="20"/>
          <w:szCs w:val="20"/>
        </w:rPr>
        <w:t>Secondary data collection was carried out on 129 (one hundred and twenty nine) appeal decision documents from 2016 to 2022. The primary data collection was conducted through interviews. Semi-structured interviews were conducted. The interviewer prepared the topic and a list of interview guiding questions before the interview activity was conducted (Sarosa, 2021). Table 1 lists the participants who participated in this study</w:t>
      </w:r>
      <w:r w:rsidR="00962BB7" w:rsidRPr="00934281">
        <w:rPr>
          <w:sz w:val="20"/>
          <w:szCs w:val="20"/>
        </w:rPr>
        <w:t>.</w:t>
      </w:r>
    </w:p>
    <w:p w14:paraId="5FB2E088" w14:textId="77777777" w:rsidR="00E01FC0" w:rsidRPr="002178B5" w:rsidRDefault="00E01FC0" w:rsidP="00CE1FAB">
      <w:pPr>
        <w:pStyle w:val="Caption"/>
        <w:rPr>
          <w:color w:val="000000" w:themeColor="text1"/>
        </w:rPr>
      </w:pPr>
      <w:r w:rsidRPr="00934281">
        <w:rPr>
          <w:color w:val="000000" w:themeColor="text1"/>
          <w:szCs w:val="20"/>
        </w:rPr>
        <w:t xml:space="preserve">Table </w:t>
      </w:r>
      <w:r w:rsidRPr="00934281">
        <w:rPr>
          <w:color w:val="000000" w:themeColor="text1"/>
          <w:szCs w:val="20"/>
        </w:rPr>
        <w:fldChar w:fldCharType="begin"/>
      </w:r>
      <w:r w:rsidRPr="00934281">
        <w:rPr>
          <w:color w:val="000000" w:themeColor="text1"/>
          <w:szCs w:val="20"/>
        </w:rPr>
        <w:instrText xml:space="preserve"> SEQ Tabel \* ARABIC </w:instrText>
      </w:r>
      <w:r w:rsidRPr="00934281">
        <w:rPr>
          <w:color w:val="000000" w:themeColor="text1"/>
          <w:szCs w:val="20"/>
        </w:rPr>
        <w:fldChar w:fldCharType="separate"/>
      </w:r>
      <w:r w:rsidRPr="00934281">
        <w:rPr>
          <w:noProof/>
          <w:color w:val="000000" w:themeColor="text1"/>
          <w:szCs w:val="20"/>
        </w:rPr>
        <w:t xml:space="preserve">1 </w:t>
      </w:r>
      <w:r w:rsidRPr="00934281">
        <w:rPr>
          <w:noProof/>
          <w:color w:val="000000" w:themeColor="text1"/>
          <w:szCs w:val="20"/>
        </w:rPr>
        <w:fldChar w:fldCharType="end"/>
      </w:r>
      <w:r w:rsidRPr="00934281">
        <w:rPr>
          <w:color w:val="000000" w:themeColor="text1"/>
          <w:szCs w:val="20"/>
        </w:rPr>
        <w:t xml:space="preserve">. List of </w:t>
      </w:r>
      <w:r w:rsidR="00962BB7" w:rsidRPr="00934281">
        <w:rPr>
          <w:color w:val="000000" w:themeColor="text1"/>
          <w:szCs w:val="20"/>
        </w:rPr>
        <w:t>Participants</w:t>
      </w:r>
    </w:p>
    <w:tbl>
      <w:tblPr>
        <w:tblW w:w="4720" w:type="pct"/>
        <w:jc w:val="center"/>
        <w:tblLayout w:type="fixed"/>
        <w:tblLook w:val="04A0" w:firstRow="1" w:lastRow="0" w:firstColumn="1" w:lastColumn="0" w:noHBand="0" w:noVBand="1"/>
      </w:tblPr>
      <w:tblGrid>
        <w:gridCol w:w="710"/>
        <w:gridCol w:w="1275"/>
        <w:gridCol w:w="1844"/>
        <w:gridCol w:w="1392"/>
        <w:gridCol w:w="3772"/>
      </w:tblGrid>
      <w:tr w:rsidR="002178B5" w:rsidRPr="002178B5" w14:paraId="51CD069A" w14:textId="77777777" w:rsidTr="005C4264">
        <w:trPr>
          <w:trHeight w:val="70"/>
          <w:jc w:val="center"/>
        </w:trPr>
        <w:tc>
          <w:tcPr>
            <w:tcW w:w="394" w:type="pct"/>
            <w:tcBorders>
              <w:top w:val="single" w:sz="4" w:space="0" w:color="auto"/>
              <w:bottom w:val="single" w:sz="4" w:space="0" w:color="auto"/>
            </w:tcBorders>
            <w:shd w:val="clear" w:color="auto" w:fill="auto"/>
            <w:noWrap/>
            <w:vAlign w:val="bottom"/>
            <w:hideMark/>
          </w:tcPr>
          <w:p w14:paraId="6C5CAB6D" w14:textId="77777777" w:rsidR="00CE1FAB" w:rsidRPr="002178B5" w:rsidRDefault="00CE1FAB" w:rsidP="00CE1FAB">
            <w:pPr>
              <w:rPr>
                <w:b/>
                <w:bCs/>
                <w:color w:val="000000" w:themeColor="text1"/>
                <w:sz w:val="18"/>
                <w:szCs w:val="22"/>
              </w:rPr>
            </w:pPr>
            <w:r w:rsidRPr="002178B5">
              <w:rPr>
                <w:b/>
                <w:bCs/>
                <w:color w:val="000000" w:themeColor="text1"/>
                <w:sz w:val="18"/>
                <w:szCs w:val="22"/>
              </w:rPr>
              <w:t>Code.</w:t>
            </w:r>
          </w:p>
        </w:tc>
        <w:tc>
          <w:tcPr>
            <w:tcW w:w="709" w:type="pct"/>
            <w:tcBorders>
              <w:top w:val="single" w:sz="4" w:space="0" w:color="auto"/>
              <w:bottom w:val="single" w:sz="4" w:space="0" w:color="auto"/>
            </w:tcBorders>
            <w:shd w:val="clear" w:color="auto" w:fill="auto"/>
            <w:noWrap/>
            <w:vAlign w:val="bottom"/>
            <w:hideMark/>
          </w:tcPr>
          <w:p w14:paraId="3A2975A0" w14:textId="77777777" w:rsidR="00CE1FAB" w:rsidRPr="002178B5" w:rsidRDefault="00CE1FAB" w:rsidP="00CE1FAB">
            <w:pPr>
              <w:rPr>
                <w:b/>
                <w:bCs/>
                <w:color w:val="000000" w:themeColor="text1"/>
                <w:sz w:val="18"/>
                <w:szCs w:val="22"/>
              </w:rPr>
            </w:pPr>
            <w:r w:rsidRPr="002178B5">
              <w:rPr>
                <w:b/>
                <w:bCs/>
                <w:color w:val="000000" w:themeColor="text1"/>
                <w:sz w:val="18"/>
                <w:szCs w:val="22"/>
              </w:rPr>
              <w:t>Party</w:t>
            </w:r>
          </w:p>
        </w:tc>
        <w:tc>
          <w:tcPr>
            <w:tcW w:w="1025" w:type="pct"/>
            <w:tcBorders>
              <w:top w:val="single" w:sz="4" w:space="0" w:color="auto"/>
              <w:bottom w:val="single" w:sz="4" w:space="0" w:color="auto"/>
            </w:tcBorders>
          </w:tcPr>
          <w:p w14:paraId="63924CDF" w14:textId="77777777" w:rsidR="00CE1FAB" w:rsidRPr="002178B5" w:rsidRDefault="00CE1FAB" w:rsidP="00CE1FAB">
            <w:pPr>
              <w:rPr>
                <w:b/>
                <w:bCs/>
                <w:color w:val="000000" w:themeColor="text1"/>
                <w:sz w:val="18"/>
                <w:szCs w:val="22"/>
              </w:rPr>
            </w:pPr>
            <w:r w:rsidRPr="002178B5">
              <w:rPr>
                <w:b/>
                <w:bCs/>
                <w:color w:val="000000" w:themeColor="text1"/>
                <w:sz w:val="18"/>
                <w:szCs w:val="22"/>
              </w:rPr>
              <w:t>Position</w:t>
            </w:r>
          </w:p>
        </w:tc>
        <w:tc>
          <w:tcPr>
            <w:tcW w:w="774" w:type="pct"/>
            <w:tcBorders>
              <w:top w:val="single" w:sz="4" w:space="0" w:color="auto"/>
              <w:bottom w:val="single" w:sz="4" w:space="0" w:color="auto"/>
            </w:tcBorders>
          </w:tcPr>
          <w:p w14:paraId="7E9BE75E" w14:textId="5E1E309A" w:rsidR="00CE1FAB" w:rsidRPr="002178B5" w:rsidRDefault="00277B0C" w:rsidP="00CE1FAB">
            <w:pPr>
              <w:rPr>
                <w:b/>
                <w:bCs/>
                <w:color w:val="000000" w:themeColor="text1"/>
                <w:sz w:val="18"/>
                <w:szCs w:val="22"/>
              </w:rPr>
            </w:pPr>
            <w:r w:rsidRPr="002178B5">
              <w:rPr>
                <w:b/>
                <w:bCs/>
                <w:color w:val="000000" w:themeColor="text1"/>
                <w:sz w:val="18"/>
                <w:szCs w:val="22"/>
              </w:rPr>
              <w:t>Number</w:t>
            </w:r>
          </w:p>
        </w:tc>
        <w:tc>
          <w:tcPr>
            <w:tcW w:w="2097" w:type="pct"/>
            <w:tcBorders>
              <w:top w:val="single" w:sz="4" w:space="0" w:color="auto"/>
              <w:bottom w:val="single" w:sz="4" w:space="0" w:color="auto"/>
            </w:tcBorders>
            <w:shd w:val="clear" w:color="auto" w:fill="auto"/>
            <w:noWrap/>
            <w:vAlign w:val="bottom"/>
            <w:hideMark/>
          </w:tcPr>
          <w:p w14:paraId="3E07F19E" w14:textId="77777777" w:rsidR="00CE1FAB" w:rsidRPr="002178B5" w:rsidRDefault="00237E8A" w:rsidP="00CE1FAB">
            <w:pPr>
              <w:rPr>
                <w:b/>
                <w:bCs/>
                <w:color w:val="000000" w:themeColor="text1"/>
                <w:sz w:val="18"/>
                <w:szCs w:val="22"/>
              </w:rPr>
            </w:pPr>
            <w:r w:rsidRPr="002178B5">
              <w:rPr>
                <w:b/>
                <w:bCs/>
                <w:color w:val="000000" w:themeColor="text1"/>
                <w:sz w:val="18"/>
                <w:szCs w:val="22"/>
              </w:rPr>
              <w:t>Justification</w:t>
            </w:r>
          </w:p>
        </w:tc>
      </w:tr>
      <w:tr w:rsidR="002178B5" w:rsidRPr="002178B5" w14:paraId="74A779D3" w14:textId="77777777" w:rsidTr="005C4264">
        <w:trPr>
          <w:trHeight w:val="70"/>
          <w:jc w:val="center"/>
        </w:trPr>
        <w:tc>
          <w:tcPr>
            <w:tcW w:w="394" w:type="pct"/>
            <w:tcBorders>
              <w:top w:val="single" w:sz="4" w:space="0" w:color="auto"/>
            </w:tcBorders>
            <w:shd w:val="clear" w:color="auto" w:fill="auto"/>
            <w:noWrap/>
            <w:hideMark/>
          </w:tcPr>
          <w:p w14:paraId="4183115F" w14:textId="77777777" w:rsidR="00CE1FAB" w:rsidRPr="002178B5" w:rsidRDefault="00CE1FAB" w:rsidP="00CE1FAB">
            <w:pPr>
              <w:rPr>
                <w:color w:val="000000" w:themeColor="text1"/>
                <w:sz w:val="18"/>
                <w:szCs w:val="22"/>
              </w:rPr>
            </w:pPr>
            <w:r w:rsidRPr="002178B5">
              <w:rPr>
                <w:color w:val="000000" w:themeColor="text1"/>
                <w:sz w:val="18"/>
                <w:szCs w:val="22"/>
              </w:rPr>
              <w:t>KBP</w:t>
            </w:r>
          </w:p>
        </w:tc>
        <w:tc>
          <w:tcPr>
            <w:tcW w:w="709" w:type="pct"/>
            <w:tcBorders>
              <w:top w:val="single" w:sz="4" w:space="0" w:color="auto"/>
            </w:tcBorders>
            <w:shd w:val="clear" w:color="auto" w:fill="auto"/>
            <w:noWrap/>
            <w:hideMark/>
          </w:tcPr>
          <w:p w14:paraId="5C3E31AB" w14:textId="77777777" w:rsidR="00CE1FAB" w:rsidRPr="002178B5" w:rsidRDefault="00CE1FAB" w:rsidP="00CE1FAB">
            <w:pPr>
              <w:rPr>
                <w:color w:val="000000" w:themeColor="text1"/>
                <w:sz w:val="18"/>
                <w:szCs w:val="22"/>
                <w:lang w:val="sv-SE"/>
              </w:rPr>
            </w:pPr>
            <w:r w:rsidRPr="002178B5">
              <w:rPr>
                <w:color w:val="000000" w:themeColor="text1"/>
                <w:sz w:val="18"/>
                <w:szCs w:val="22"/>
                <w:lang w:val="sv-SE"/>
              </w:rPr>
              <w:t>Appeal Man</w:t>
            </w:r>
            <w:r w:rsidR="00D74387" w:rsidRPr="002178B5">
              <w:rPr>
                <w:color w:val="000000" w:themeColor="text1"/>
                <w:sz w:val="18"/>
                <w:szCs w:val="22"/>
                <w:lang w:val="sv-SE"/>
              </w:rPr>
              <w:t>agement</w:t>
            </w:r>
          </w:p>
        </w:tc>
        <w:tc>
          <w:tcPr>
            <w:tcW w:w="1025" w:type="pct"/>
            <w:tcBorders>
              <w:top w:val="single" w:sz="4" w:space="0" w:color="auto"/>
            </w:tcBorders>
          </w:tcPr>
          <w:p w14:paraId="590443E3" w14:textId="77777777" w:rsidR="00237E8A" w:rsidRPr="00C764C3" w:rsidRDefault="00CE1FAB" w:rsidP="00CE1FAB">
            <w:pPr>
              <w:rPr>
                <w:color w:val="000000" w:themeColor="text1"/>
                <w:sz w:val="18"/>
                <w:szCs w:val="22"/>
              </w:rPr>
            </w:pPr>
            <w:r w:rsidRPr="00C764C3">
              <w:rPr>
                <w:color w:val="000000" w:themeColor="text1"/>
                <w:sz w:val="18"/>
                <w:szCs w:val="22"/>
              </w:rPr>
              <w:t>Section Chief</w:t>
            </w:r>
          </w:p>
          <w:p w14:paraId="13AD4258" w14:textId="3060A919" w:rsidR="00CE1FAB" w:rsidRPr="00211C21" w:rsidRDefault="0003619B" w:rsidP="00CE1FAB">
            <w:pPr>
              <w:rPr>
                <w:color w:val="000000" w:themeColor="text1"/>
                <w:sz w:val="18"/>
                <w:szCs w:val="22"/>
                <w:highlight w:val="yellow"/>
              </w:rPr>
            </w:pPr>
            <w:r>
              <w:rPr>
                <w:color w:val="000000" w:themeColor="text1"/>
                <w:sz w:val="18"/>
                <w:szCs w:val="22"/>
              </w:rPr>
              <w:t>Supervisor</w:t>
            </w:r>
          </w:p>
        </w:tc>
        <w:tc>
          <w:tcPr>
            <w:tcW w:w="774" w:type="pct"/>
            <w:tcBorders>
              <w:top w:val="single" w:sz="4" w:space="0" w:color="auto"/>
            </w:tcBorders>
          </w:tcPr>
          <w:p w14:paraId="78D6EC80" w14:textId="77B837AF" w:rsidR="00CE1FAB" w:rsidRPr="002178B5" w:rsidRDefault="00CE1FAB" w:rsidP="006F0729">
            <w:pPr>
              <w:jc w:val="right"/>
              <w:rPr>
                <w:color w:val="000000" w:themeColor="text1"/>
                <w:sz w:val="18"/>
                <w:szCs w:val="22"/>
              </w:rPr>
            </w:pPr>
            <w:r w:rsidRPr="002178B5">
              <w:rPr>
                <w:color w:val="000000" w:themeColor="text1"/>
                <w:sz w:val="18"/>
                <w:szCs w:val="22"/>
              </w:rPr>
              <w:t xml:space="preserve">2 </w:t>
            </w:r>
            <w:r w:rsidR="00277B0C" w:rsidRPr="002178B5">
              <w:rPr>
                <w:color w:val="000000" w:themeColor="text1"/>
                <w:sz w:val="18"/>
                <w:szCs w:val="22"/>
              </w:rPr>
              <w:t>interviewees</w:t>
            </w:r>
          </w:p>
        </w:tc>
        <w:tc>
          <w:tcPr>
            <w:tcW w:w="2097" w:type="pct"/>
            <w:tcBorders>
              <w:top w:val="single" w:sz="4" w:space="0" w:color="auto"/>
            </w:tcBorders>
            <w:shd w:val="clear" w:color="auto" w:fill="auto"/>
            <w:noWrap/>
            <w:hideMark/>
          </w:tcPr>
          <w:p w14:paraId="03447775" w14:textId="53D036FC" w:rsidR="00260EF8" w:rsidRPr="002178B5" w:rsidRDefault="00936909" w:rsidP="00C1634F">
            <w:pPr>
              <w:jc w:val="both"/>
              <w:rPr>
                <w:color w:val="000000" w:themeColor="text1"/>
                <w:sz w:val="18"/>
                <w:szCs w:val="22"/>
              </w:rPr>
            </w:pPr>
            <w:r w:rsidRPr="002178B5">
              <w:rPr>
                <w:color w:val="000000" w:themeColor="text1"/>
                <w:sz w:val="18"/>
                <w:szCs w:val="22"/>
              </w:rPr>
              <w:t>The respondents hold the responsibility of overseeing and facilitating the appeal process directed towards the tax court.</w:t>
            </w:r>
          </w:p>
        </w:tc>
      </w:tr>
      <w:tr w:rsidR="002178B5" w:rsidRPr="002178B5" w14:paraId="5EAF08C0" w14:textId="77777777" w:rsidTr="005C4264">
        <w:trPr>
          <w:trHeight w:val="80"/>
          <w:jc w:val="center"/>
        </w:trPr>
        <w:tc>
          <w:tcPr>
            <w:tcW w:w="394" w:type="pct"/>
            <w:shd w:val="clear" w:color="auto" w:fill="auto"/>
            <w:noWrap/>
            <w:hideMark/>
          </w:tcPr>
          <w:p w14:paraId="57F987F1" w14:textId="77777777" w:rsidR="00CE1FAB" w:rsidRPr="002178B5" w:rsidRDefault="00CE1FAB" w:rsidP="00CE1FAB">
            <w:pPr>
              <w:rPr>
                <w:color w:val="000000" w:themeColor="text1"/>
                <w:sz w:val="18"/>
                <w:szCs w:val="22"/>
              </w:rPr>
            </w:pPr>
            <w:r w:rsidRPr="002178B5">
              <w:rPr>
                <w:color w:val="000000" w:themeColor="text1"/>
                <w:sz w:val="18"/>
                <w:szCs w:val="22"/>
              </w:rPr>
              <w:t>PBC</w:t>
            </w:r>
          </w:p>
        </w:tc>
        <w:tc>
          <w:tcPr>
            <w:tcW w:w="709" w:type="pct"/>
            <w:shd w:val="clear" w:color="auto" w:fill="auto"/>
            <w:noWrap/>
            <w:hideMark/>
          </w:tcPr>
          <w:p w14:paraId="1AE115E0" w14:textId="77777777" w:rsidR="00CE1FAB" w:rsidRPr="002178B5" w:rsidRDefault="00D74387" w:rsidP="00CE1FAB">
            <w:pPr>
              <w:rPr>
                <w:color w:val="000000" w:themeColor="text1"/>
                <w:sz w:val="18"/>
                <w:szCs w:val="22"/>
                <w:lang w:val="sv-SE"/>
              </w:rPr>
            </w:pPr>
            <w:r w:rsidRPr="002178B5">
              <w:rPr>
                <w:color w:val="000000" w:themeColor="text1"/>
                <w:sz w:val="18"/>
                <w:szCs w:val="22"/>
                <w:lang w:val="sv-SE"/>
              </w:rPr>
              <w:t xml:space="preserve">Customs </w:t>
            </w:r>
            <w:r w:rsidR="009A3B2F" w:rsidRPr="002178B5">
              <w:rPr>
                <w:color w:val="000000" w:themeColor="text1"/>
                <w:sz w:val="18"/>
                <w:szCs w:val="22"/>
                <w:lang w:val="sv-SE"/>
              </w:rPr>
              <w:t>Examiner</w:t>
            </w:r>
          </w:p>
        </w:tc>
        <w:tc>
          <w:tcPr>
            <w:tcW w:w="1025" w:type="pct"/>
          </w:tcPr>
          <w:p w14:paraId="4810E660" w14:textId="6CB610AF" w:rsidR="00237E8A" w:rsidRPr="00211C21" w:rsidRDefault="00CE1FAB" w:rsidP="00CE1FAB">
            <w:pPr>
              <w:rPr>
                <w:color w:val="000000" w:themeColor="text1"/>
                <w:sz w:val="18"/>
                <w:szCs w:val="22"/>
                <w:highlight w:val="yellow"/>
              </w:rPr>
            </w:pPr>
            <w:r w:rsidRPr="00C140AF">
              <w:rPr>
                <w:color w:val="000000" w:themeColor="text1"/>
                <w:sz w:val="18"/>
                <w:szCs w:val="22"/>
              </w:rPr>
              <w:t>Associate</w:t>
            </w:r>
            <w:r w:rsidR="00C764C3">
              <w:rPr>
                <w:color w:val="000000" w:themeColor="text1"/>
                <w:sz w:val="18"/>
                <w:szCs w:val="22"/>
                <w:highlight w:val="yellow"/>
              </w:rPr>
              <w:t xml:space="preserve"> </w:t>
            </w:r>
          </w:p>
          <w:p w14:paraId="165C04F7" w14:textId="13A5E7A1" w:rsidR="00C764C3" w:rsidRPr="00C764C3" w:rsidRDefault="00C764C3" w:rsidP="00CE1FAB">
            <w:pPr>
              <w:rPr>
                <w:color w:val="000000" w:themeColor="text1"/>
                <w:sz w:val="18"/>
                <w:szCs w:val="22"/>
              </w:rPr>
            </w:pPr>
            <w:r w:rsidRPr="00C764C3">
              <w:rPr>
                <w:color w:val="000000" w:themeColor="text1"/>
                <w:sz w:val="18"/>
                <w:szCs w:val="22"/>
              </w:rPr>
              <w:t>Supervisor</w:t>
            </w:r>
          </w:p>
          <w:p w14:paraId="285DDC46" w14:textId="27FC85AA" w:rsidR="00CE1FAB" w:rsidRPr="00211C21" w:rsidRDefault="0003619B" w:rsidP="00CE1FAB">
            <w:pPr>
              <w:rPr>
                <w:color w:val="000000" w:themeColor="text1"/>
                <w:sz w:val="18"/>
                <w:szCs w:val="22"/>
                <w:highlight w:val="yellow"/>
              </w:rPr>
            </w:pPr>
            <w:r w:rsidRPr="0003619B">
              <w:rPr>
                <w:color w:val="000000" w:themeColor="text1"/>
                <w:sz w:val="18"/>
                <w:szCs w:val="22"/>
              </w:rPr>
              <w:t>Functional</w:t>
            </w:r>
          </w:p>
        </w:tc>
        <w:tc>
          <w:tcPr>
            <w:tcW w:w="774" w:type="pct"/>
          </w:tcPr>
          <w:p w14:paraId="33D83A47" w14:textId="02E9438A" w:rsidR="00CE1FAB" w:rsidRPr="002178B5" w:rsidRDefault="00CE1FAB" w:rsidP="006F0729">
            <w:pPr>
              <w:jc w:val="right"/>
              <w:rPr>
                <w:color w:val="000000" w:themeColor="text1"/>
                <w:sz w:val="18"/>
                <w:szCs w:val="22"/>
              </w:rPr>
            </w:pPr>
            <w:r w:rsidRPr="002178B5">
              <w:rPr>
                <w:color w:val="000000" w:themeColor="text1"/>
                <w:sz w:val="18"/>
                <w:szCs w:val="22"/>
              </w:rPr>
              <w:t xml:space="preserve">3 </w:t>
            </w:r>
            <w:r w:rsidR="00277B0C" w:rsidRPr="002178B5">
              <w:rPr>
                <w:color w:val="000000" w:themeColor="text1"/>
                <w:sz w:val="18"/>
                <w:szCs w:val="22"/>
              </w:rPr>
              <w:t>interviewees</w:t>
            </w:r>
          </w:p>
        </w:tc>
        <w:tc>
          <w:tcPr>
            <w:tcW w:w="2097" w:type="pct"/>
            <w:shd w:val="clear" w:color="auto" w:fill="auto"/>
            <w:noWrap/>
            <w:hideMark/>
          </w:tcPr>
          <w:p w14:paraId="700DDB9D" w14:textId="67B63305" w:rsidR="00CE1FAB" w:rsidRPr="002178B5" w:rsidRDefault="00936909" w:rsidP="00C1634F">
            <w:pPr>
              <w:jc w:val="both"/>
              <w:rPr>
                <w:color w:val="000000" w:themeColor="text1"/>
                <w:sz w:val="18"/>
                <w:szCs w:val="22"/>
              </w:rPr>
            </w:pPr>
            <w:r w:rsidRPr="002178B5">
              <w:rPr>
                <w:color w:val="000000" w:themeColor="text1"/>
                <w:sz w:val="18"/>
                <w:szCs w:val="22"/>
              </w:rPr>
              <w:t>The respondents are the party responsible for inspecting documents, overseeing imports, and issuing letters of determination.</w:t>
            </w:r>
          </w:p>
        </w:tc>
      </w:tr>
      <w:tr w:rsidR="002178B5" w:rsidRPr="002178B5" w14:paraId="4AFAAC25" w14:textId="77777777" w:rsidTr="005C4264">
        <w:trPr>
          <w:trHeight w:val="80"/>
          <w:jc w:val="center"/>
        </w:trPr>
        <w:tc>
          <w:tcPr>
            <w:tcW w:w="394" w:type="pct"/>
            <w:shd w:val="clear" w:color="auto" w:fill="auto"/>
            <w:noWrap/>
            <w:hideMark/>
          </w:tcPr>
          <w:p w14:paraId="7BEF8B2F" w14:textId="77777777" w:rsidR="00CE1FAB" w:rsidRPr="002178B5" w:rsidRDefault="00CE1FAB" w:rsidP="00CE1FAB">
            <w:pPr>
              <w:rPr>
                <w:color w:val="000000" w:themeColor="text1"/>
                <w:sz w:val="18"/>
                <w:szCs w:val="22"/>
              </w:rPr>
            </w:pPr>
            <w:r w:rsidRPr="002178B5">
              <w:rPr>
                <w:color w:val="000000" w:themeColor="text1"/>
                <w:sz w:val="18"/>
                <w:szCs w:val="22"/>
              </w:rPr>
              <w:t>PJ</w:t>
            </w:r>
          </w:p>
        </w:tc>
        <w:tc>
          <w:tcPr>
            <w:tcW w:w="709" w:type="pct"/>
            <w:shd w:val="clear" w:color="auto" w:fill="auto"/>
            <w:noWrap/>
            <w:hideMark/>
          </w:tcPr>
          <w:p w14:paraId="2FBB7752" w14:textId="77777777" w:rsidR="00CE1FAB" w:rsidRPr="002178B5" w:rsidRDefault="00D74387" w:rsidP="00CE1FAB">
            <w:pPr>
              <w:rPr>
                <w:color w:val="000000" w:themeColor="text1"/>
                <w:sz w:val="18"/>
                <w:szCs w:val="22"/>
              </w:rPr>
            </w:pPr>
            <w:r w:rsidRPr="002178B5">
              <w:rPr>
                <w:color w:val="000000" w:themeColor="text1"/>
                <w:sz w:val="18"/>
                <w:szCs w:val="22"/>
              </w:rPr>
              <w:t>Importers</w:t>
            </w:r>
          </w:p>
        </w:tc>
        <w:tc>
          <w:tcPr>
            <w:tcW w:w="1025" w:type="pct"/>
          </w:tcPr>
          <w:p w14:paraId="45DD5856" w14:textId="77777777" w:rsidR="00CE1FAB" w:rsidRPr="00211C21" w:rsidRDefault="00CE1FAB" w:rsidP="00CE1FAB">
            <w:pPr>
              <w:rPr>
                <w:color w:val="000000" w:themeColor="text1"/>
                <w:sz w:val="18"/>
                <w:szCs w:val="22"/>
                <w:highlight w:val="yellow"/>
              </w:rPr>
            </w:pPr>
            <w:r w:rsidRPr="00C140AF">
              <w:rPr>
                <w:color w:val="000000" w:themeColor="text1"/>
                <w:sz w:val="18"/>
                <w:szCs w:val="22"/>
              </w:rPr>
              <w:t>Manager</w:t>
            </w:r>
          </w:p>
        </w:tc>
        <w:tc>
          <w:tcPr>
            <w:tcW w:w="774" w:type="pct"/>
          </w:tcPr>
          <w:p w14:paraId="5792A306" w14:textId="67EDC2D8" w:rsidR="00CE1FAB" w:rsidRPr="002178B5" w:rsidRDefault="00CE1FAB" w:rsidP="006F0729">
            <w:pPr>
              <w:jc w:val="right"/>
              <w:rPr>
                <w:color w:val="000000" w:themeColor="text1"/>
                <w:sz w:val="18"/>
                <w:szCs w:val="22"/>
              </w:rPr>
            </w:pPr>
            <w:r w:rsidRPr="002178B5">
              <w:rPr>
                <w:color w:val="000000" w:themeColor="text1"/>
                <w:sz w:val="18"/>
                <w:szCs w:val="22"/>
              </w:rPr>
              <w:t xml:space="preserve">4 </w:t>
            </w:r>
            <w:r w:rsidR="00277B0C" w:rsidRPr="002178B5">
              <w:rPr>
                <w:color w:val="000000" w:themeColor="text1"/>
                <w:sz w:val="18"/>
                <w:szCs w:val="22"/>
              </w:rPr>
              <w:t>interviewees</w:t>
            </w:r>
          </w:p>
        </w:tc>
        <w:tc>
          <w:tcPr>
            <w:tcW w:w="2097" w:type="pct"/>
            <w:shd w:val="clear" w:color="auto" w:fill="auto"/>
            <w:noWrap/>
            <w:hideMark/>
          </w:tcPr>
          <w:p w14:paraId="1B168BB7" w14:textId="5E31F57E" w:rsidR="00260EF8" w:rsidRPr="002178B5" w:rsidRDefault="00936909" w:rsidP="00C1634F">
            <w:pPr>
              <w:jc w:val="both"/>
              <w:rPr>
                <w:color w:val="000000" w:themeColor="text1"/>
                <w:sz w:val="18"/>
                <w:szCs w:val="22"/>
              </w:rPr>
            </w:pPr>
            <w:r w:rsidRPr="002178B5">
              <w:rPr>
                <w:color w:val="000000" w:themeColor="text1"/>
                <w:sz w:val="18"/>
                <w:szCs w:val="22"/>
              </w:rPr>
              <w:t>The respondents are divisions within a company that has filed an appeal against the decision on import taxes</w:t>
            </w:r>
          </w:p>
        </w:tc>
      </w:tr>
      <w:tr w:rsidR="002178B5" w:rsidRPr="002178B5" w14:paraId="7A163D67" w14:textId="77777777" w:rsidTr="005C4264">
        <w:trPr>
          <w:trHeight w:val="80"/>
          <w:jc w:val="center"/>
        </w:trPr>
        <w:tc>
          <w:tcPr>
            <w:tcW w:w="394" w:type="pct"/>
            <w:tcBorders>
              <w:bottom w:val="single" w:sz="4" w:space="0" w:color="auto"/>
            </w:tcBorders>
            <w:shd w:val="clear" w:color="auto" w:fill="auto"/>
            <w:noWrap/>
            <w:hideMark/>
          </w:tcPr>
          <w:p w14:paraId="0DAAD7EB" w14:textId="77777777" w:rsidR="00CE1FAB" w:rsidRPr="002178B5" w:rsidRDefault="00CE1FAB" w:rsidP="00CE1FAB">
            <w:pPr>
              <w:rPr>
                <w:color w:val="000000" w:themeColor="text1"/>
                <w:sz w:val="18"/>
                <w:szCs w:val="22"/>
              </w:rPr>
            </w:pPr>
            <w:r w:rsidRPr="002178B5">
              <w:rPr>
                <w:color w:val="000000" w:themeColor="text1"/>
                <w:sz w:val="18"/>
                <w:szCs w:val="22"/>
              </w:rPr>
              <w:t>PP</w:t>
            </w:r>
          </w:p>
        </w:tc>
        <w:tc>
          <w:tcPr>
            <w:tcW w:w="709" w:type="pct"/>
            <w:tcBorders>
              <w:bottom w:val="single" w:sz="4" w:space="0" w:color="auto"/>
            </w:tcBorders>
            <w:shd w:val="clear" w:color="auto" w:fill="auto"/>
            <w:noWrap/>
            <w:hideMark/>
          </w:tcPr>
          <w:p w14:paraId="6E2A08FE" w14:textId="77777777" w:rsidR="00CE1FAB" w:rsidRPr="002178B5" w:rsidRDefault="00CE1FAB" w:rsidP="00CE1FAB">
            <w:pPr>
              <w:rPr>
                <w:color w:val="000000" w:themeColor="text1"/>
                <w:sz w:val="18"/>
                <w:szCs w:val="22"/>
              </w:rPr>
            </w:pPr>
            <w:r w:rsidRPr="002178B5">
              <w:rPr>
                <w:color w:val="000000" w:themeColor="text1"/>
                <w:sz w:val="18"/>
                <w:szCs w:val="22"/>
              </w:rPr>
              <w:t>Tax Regulations</w:t>
            </w:r>
          </w:p>
        </w:tc>
        <w:tc>
          <w:tcPr>
            <w:tcW w:w="1025" w:type="pct"/>
            <w:tcBorders>
              <w:bottom w:val="single" w:sz="4" w:space="0" w:color="auto"/>
            </w:tcBorders>
          </w:tcPr>
          <w:p w14:paraId="5DA7E212" w14:textId="62936B34" w:rsidR="00237E8A" w:rsidRPr="00C764C3" w:rsidRDefault="00C764C3" w:rsidP="00CE1FAB">
            <w:pPr>
              <w:rPr>
                <w:color w:val="000000" w:themeColor="text1"/>
                <w:sz w:val="18"/>
                <w:szCs w:val="22"/>
              </w:rPr>
            </w:pPr>
            <w:r w:rsidRPr="00C764C3">
              <w:rPr>
                <w:color w:val="000000" w:themeColor="text1"/>
                <w:sz w:val="18"/>
                <w:szCs w:val="22"/>
              </w:rPr>
              <w:t>Supervisor</w:t>
            </w:r>
          </w:p>
          <w:p w14:paraId="0C98B8AA" w14:textId="2E2DFD61" w:rsidR="00237E8A" w:rsidRPr="00211C21" w:rsidRDefault="0003619B" w:rsidP="00CE1FAB">
            <w:pPr>
              <w:rPr>
                <w:color w:val="000000" w:themeColor="text1"/>
                <w:sz w:val="18"/>
                <w:szCs w:val="22"/>
                <w:highlight w:val="yellow"/>
              </w:rPr>
            </w:pPr>
            <w:r w:rsidRPr="0003619B">
              <w:rPr>
                <w:color w:val="000000" w:themeColor="text1"/>
                <w:sz w:val="18"/>
                <w:szCs w:val="22"/>
              </w:rPr>
              <w:t>Functional</w:t>
            </w:r>
          </w:p>
          <w:p w14:paraId="59F1095A" w14:textId="00FCF491" w:rsidR="00CE1FAB" w:rsidRPr="00211C21" w:rsidRDefault="00C764C3" w:rsidP="00CE1FAB">
            <w:pPr>
              <w:rPr>
                <w:color w:val="000000" w:themeColor="text1"/>
                <w:sz w:val="18"/>
                <w:szCs w:val="22"/>
                <w:highlight w:val="yellow"/>
              </w:rPr>
            </w:pPr>
            <w:r w:rsidRPr="00C764C3">
              <w:rPr>
                <w:color w:val="000000" w:themeColor="text1"/>
                <w:sz w:val="18"/>
                <w:szCs w:val="22"/>
              </w:rPr>
              <w:t>Analyst</w:t>
            </w:r>
          </w:p>
        </w:tc>
        <w:tc>
          <w:tcPr>
            <w:tcW w:w="774" w:type="pct"/>
            <w:tcBorders>
              <w:bottom w:val="single" w:sz="4" w:space="0" w:color="auto"/>
            </w:tcBorders>
          </w:tcPr>
          <w:p w14:paraId="0F00B95C" w14:textId="12CB5AB5" w:rsidR="00CE1FAB" w:rsidRPr="002178B5" w:rsidRDefault="00CE1FAB" w:rsidP="006F0729">
            <w:pPr>
              <w:jc w:val="right"/>
              <w:rPr>
                <w:color w:val="000000" w:themeColor="text1"/>
                <w:sz w:val="18"/>
                <w:szCs w:val="22"/>
              </w:rPr>
            </w:pPr>
            <w:r w:rsidRPr="002178B5">
              <w:rPr>
                <w:color w:val="000000" w:themeColor="text1"/>
                <w:sz w:val="18"/>
                <w:szCs w:val="22"/>
              </w:rPr>
              <w:t xml:space="preserve">6 </w:t>
            </w:r>
            <w:r w:rsidR="00277B0C" w:rsidRPr="002178B5">
              <w:rPr>
                <w:color w:val="000000" w:themeColor="text1"/>
                <w:sz w:val="18"/>
                <w:szCs w:val="22"/>
              </w:rPr>
              <w:t>interviewees</w:t>
            </w:r>
          </w:p>
        </w:tc>
        <w:tc>
          <w:tcPr>
            <w:tcW w:w="2097" w:type="pct"/>
            <w:tcBorders>
              <w:bottom w:val="single" w:sz="4" w:space="0" w:color="auto"/>
            </w:tcBorders>
            <w:shd w:val="clear" w:color="auto" w:fill="auto"/>
            <w:noWrap/>
            <w:hideMark/>
          </w:tcPr>
          <w:p w14:paraId="5942FDFA" w14:textId="01692988" w:rsidR="003365E3" w:rsidRPr="002178B5" w:rsidRDefault="00936909" w:rsidP="00C1634F">
            <w:pPr>
              <w:jc w:val="both"/>
              <w:rPr>
                <w:color w:val="000000" w:themeColor="text1"/>
                <w:sz w:val="18"/>
                <w:szCs w:val="22"/>
              </w:rPr>
            </w:pPr>
            <w:r w:rsidRPr="002178B5">
              <w:rPr>
                <w:color w:val="000000" w:themeColor="text1"/>
                <w:sz w:val="18"/>
                <w:szCs w:val="22"/>
              </w:rPr>
              <w:t>The participant is responsible for developing policies and establishing technical standards in the field of taxation</w:t>
            </w:r>
          </w:p>
        </w:tc>
      </w:tr>
    </w:tbl>
    <w:p w14:paraId="423E939A" w14:textId="77777777" w:rsidR="00230731" w:rsidRPr="002178B5" w:rsidRDefault="00E01FC0" w:rsidP="00D26F04">
      <w:pPr>
        <w:pStyle w:val="JAPBODYTEXT"/>
      </w:pPr>
      <w:r w:rsidRPr="002178B5">
        <w:t>Source: processed by the Author (2023)</w:t>
      </w:r>
    </w:p>
    <w:p w14:paraId="2F9C420F" w14:textId="77777777" w:rsidR="00FE42D3" w:rsidRDefault="00F869D4" w:rsidP="00D26F04">
      <w:pPr>
        <w:pStyle w:val="JAPBODYTEXT"/>
      </w:pPr>
      <w:r w:rsidRPr="002178B5">
        <w:tab/>
      </w:r>
    </w:p>
    <w:p w14:paraId="75B14618" w14:textId="534C4267" w:rsidR="00D364F8" w:rsidRDefault="00936909" w:rsidP="00FE42D3">
      <w:pPr>
        <w:pStyle w:val="JAPBODYTEXT"/>
        <w:ind w:firstLine="426"/>
        <w:rPr>
          <w:sz w:val="20"/>
          <w:szCs w:val="20"/>
        </w:rPr>
      </w:pPr>
      <w:r w:rsidRPr="00934281">
        <w:rPr>
          <w:sz w:val="20"/>
          <w:szCs w:val="20"/>
        </w:rPr>
        <w:t>Qualitative methods were carried out to explore and understand why DGCE's import tax determination was appealed by importers and what recommendations the relevant parties could make to minimize the occurrence of import tax disputes. Content analysis was performed by grouping information obtained from the collected appeal decisions. Based on the results of the content analysis, the author conduct-ed interviews with participants to confirm the results of the content analysis. The author conducted an analysis of the interview results. In the next stage, the author triangulates the results of the literature review, content analysis, thematic analysis, and previous research</w:t>
      </w:r>
      <w:r w:rsidR="00B85E31" w:rsidRPr="00934281">
        <w:rPr>
          <w:sz w:val="20"/>
          <w:szCs w:val="20"/>
        </w:rPr>
        <w:t>.</w:t>
      </w:r>
    </w:p>
    <w:p w14:paraId="1D67E7E1" w14:textId="77777777" w:rsidR="00FE42D3" w:rsidRPr="00FE42D3" w:rsidRDefault="00FE42D3" w:rsidP="00FE42D3">
      <w:pPr>
        <w:pStyle w:val="JAPBODYTEXT"/>
        <w:ind w:firstLine="426"/>
      </w:pPr>
    </w:p>
    <w:p w14:paraId="2CDB0E0A" w14:textId="77777777" w:rsidR="00EC2AD1" w:rsidRPr="00934281" w:rsidRDefault="00EC2AD1" w:rsidP="00CE1FAB">
      <w:pPr>
        <w:pStyle w:val="JAPSub-Judul"/>
        <w:rPr>
          <w:color w:val="000000" w:themeColor="text1"/>
          <w:szCs w:val="20"/>
          <w:lang w:eastAsia="id-ID"/>
        </w:rPr>
      </w:pPr>
      <w:r w:rsidRPr="00934281">
        <w:rPr>
          <w:color w:val="000000" w:themeColor="text1"/>
          <w:szCs w:val="20"/>
          <w:lang w:eastAsia="id-ID"/>
        </w:rPr>
        <w:t>RESULTS AND DISCUSSION</w:t>
      </w:r>
    </w:p>
    <w:p w14:paraId="37C183BB" w14:textId="36377024" w:rsidR="006275D1" w:rsidRPr="00934281" w:rsidRDefault="006275D1" w:rsidP="00FE42D3">
      <w:pPr>
        <w:pStyle w:val="JAPBODYTEXT"/>
        <w:ind w:firstLine="426"/>
        <w:rPr>
          <w:sz w:val="20"/>
          <w:szCs w:val="20"/>
        </w:rPr>
      </w:pPr>
      <w:r w:rsidRPr="00934281">
        <w:rPr>
          <w:sz w:val="20"/>
          <w:szCs w:val="20"/>
        </w:rPr>
        <w:t>Based on the results of the content and thematic analyses, we found that there were several types of disputed materials related to import taxes, causes of import tax disputes, and recommendations for minimizing the occurrence of import tax disputes in the future.</w:t>
      </w:r>
    </w:p>
    <w:p w14:paraId="67EA67F5" w14:textId="77777777" w:rsidR="006275D1" w:rsidRPr="00934281" w:rsidRDefault="006275D1" w:rsidP="00D26F04">
      <w:pPr>
        <w:pStyle w:val="JAPBODYTEXT"/>
        <w:rPr>
          <w:sz w:val="20"/>
          <w:szCs w:val="20"/>
        </w:rPr>
      </w:pPr>
    </w:p>
    <w:p w14:paraId="26A31BD7" w14:textId="77777777" w:rsidR="006275D1" w:rsidRPr="00FE42D3" w:rsidRDefault="006275D1" w:rsidP="00D26F04">
      <w:pPr>
        <w:pStyle w:val="JAPBODYTEXT"/>
        <w:rPr>
          <w:b/>
          <w:bCs/>
          <w:sz w:val="20"/>
          <w:szCs w:val="20"/>
        </w:rPr>
      </w:pPr>
      <w:r w:rsidRPr="00FE42D3">
        <w:rPr>
          <w:b/>
          <w:bCs/>
          <w:sz w:val="20"/>
          <w:szCs w:val="20"/>
        </w:rPr>
        <w:t>Type of disputed material</w:t>
      </w:r>
    </w:p>
    <w:p w14:paraId="5A6FC7EB" w14:textId="391E9E8C" w:rsidR="006275D1" w:rsidRPr="00934281" w:rsidRDefault="006275D1" w:rsidP="00FE42D3">
      <w:pPr>
        <w:pStyle w:val="JAPBODYTEXT"/>
        <w:ind w:firstLine="426"/>
        <w:rPr>
          <w:sz w:val="20"/>
          <w:szCs w:val="20"/>
        </w:rPr>
      </w:pPr>
      <w:r w:rsidRPr="00934281">
        <w:rPr>
          <w:sz w:val="20"/>
          <w:szCs w:val="20"/>
        </w:rPr>
        <w:t>Based on the results of the analysis, there are five categories of tax dispute material in the context of imports. This category includes feed ingredients, mining goods, tax exemptions, and fruit and reimports of strategic goods. Feed ingredients were the dominant material in tax disputes on imports, accounting for 92.65% of all import tax disputes. This material relates to the issuance of Government Regulation Number 81 in 2015, which regulates the determination of strategic taxable goods. The derivative regulations relating to feed ingredients are regulated by Ministry of Finance Regulation No. 267 of 2015, which was last amended by Ministry of Finance Regulation Number 142 of 2017. The Ministry of Finance regulates the criteria and details of feed ingredients exempt from VAT. The dispute is related to whether the feed ingredients imported by importers receive a VAT exemption.</w:t>
      </w:r>
    </w:p>
    <w:p w14:paraId="0D5560C9" w14:textId="63B987E7" w:rsidR="006275D1" w:rsidRPr="00934281" w:rsidRDefault="006275D1" w:rsidP="00FE42D3">
      <w:pPr>
        <w:pStyle w:val="JAPBODYTEXT"/>
        <w:ind w:firstLine="426"/>
        <w:rPr>
          <w:sz w:val="20"/>
          <w:szCs w:val="20"/>
        </w:rPr>
      </w:pPr>
      <w:r w:rsidRPr="00934281">
        <w:rPr>
          <w:sz w:val="20"/>
          <w:szCs w:val="20"/>
        </w:rPr>
        <w:lastRenderedPageBreak/>
        <w:t>Disputes related to mining goods occur in connection with fulfilling the definition of mining goods that are not subjected to VAT. The type of mining goods for which a tax dispute is submitted for import is Chrysotile Asbestos. Law No. 42 of 2009 states that asbestos is a good not subject to VAT. Asbestos that are not subject to VAT must meet the requirement that it be taken directly from the source. This dispute is related to whether the Chrysotile Asbestos was taken directly from the source or has undergone further processing. The third category is the notice of tax exemption. Based on PMK-115/PMK.03/2021, a notice of tax exemption is a certificate indicating that the importer is entitled to tax facilities. The dispute is related to whether the quantity, type, value, and tariff of imported goods correspond to what is stated in the certificate.</w:t>
      </w:r>
    </w:p>
    <w:p w14:paraId="35518EF9" w14:textId="29F1FA54" w:rsidR="002721ED" w:rsidRPr="00934281" w:rsidRDefault="006275D1" w:rsidP="00FE42D3">
      <w:pPr>
        <w:pStyle w:val="JAPBODYTEXT"/>
        <w:ind w:firstLine="426"/>
        <w:rPr>
          <w:sz w:val="20"/>
          <w:szCs w:val="20"/>
        </w:rPr>
      </w:pPr>
      <w:r w:rsidRPr="00934281">
        <w:rPr>
          <w:sz w:val="20"/>
          <w:szCs w:val="20"/>
        </w:rPr>
        <w:t>The fourth category of dispute materials is fruit. Law No. 42 of 2009 states that a fruit is a type of good that is not subject to value-added tax. Based on Ministry of Finance Regulation Number 99 of 2020, fruits that are not subject to VAT must meet the following criteria: freshly picked fruit, whether it has been washed, sorted, peeled, cut, sliced, graded, and not dried. The fruit importation appeal was related to the import of dates. Dates have unique characteristics because there are obstacles in distinguishing whether imported dates are naturally dried or dried by further processing. The final material is the import of strategic goods. According to Ministry of Finance Regulation Number 175 of 2021, reimports are the re-entry of goods exported into the customs territory. Reasons why goods are reimported include goods that are not sold, do not fulfill the purchase contract, do not meet quality standards, or do not meet import regulations in the export-destination country. The reimported goods were tuna and shrimp. Disputes are related to goods that are reimported and the notice of import duty underpayment by the DGCE.</w:t>
      </w:r>
    </w:p>
    <w:p w14:paraId="1A935507" w14:textId="77777777" w:rsidR="006275D1" w:rsidRPr="00934281" w:rsidRDefault="006275D1" w:rsidP="00D26F04">
      <w:pPr>
        <w:pStyle w:val="JAPBODYTEXT"/>
        <w:rPr>
          <w:sz w:val="20"/>
          <w:szCs w:val="20"/>
          <w:lang w:eastAsia="id-ID"/>
        </w:rPr>
      </w:pPr>
    </w:p>
    <w:p w14:paraId="14E6B6DC" w14:textId="77777777" w:rsidR="002721ED" w:rsidRPr="00FE42D3" w:rsidRDefault="002721ED" w:rsidP="00D26F04">
      <w:pPr>
        <w:pStyle w:val="JAPBODYTEXT"/>
        <w:rPr>
          <w:b/>
          <w:bCs/>
          <w:sz w:val="20"/>
          <w:szCs w:val="20"/>
          <w:lang w:eastAsia="id-ID"/>
        </w:rPr>
      </w:pPr>
      <w:r w:rsidRPr="00FE42D3">
        <w:rPr>
          <w:b/>
          <w:bCs/>
          <w:sz w:val="20"/>
          <w:szCs w:val="20"/>
          <w:lang w:eastAsia="id-ID"/>
        </w:rPr>
        <w:t xml:space="preserve">Causes of </w:t>
      </w:r>
      <w:r w:rsidR="00A61396" w:rsidRPr="00FE42D3">
        <w:rPr>
          <w:b/>
          <w:bCs/>
          <w:sz w:val="20"/>
          <w:szCs w:val="20"/>
          <w:lang w:eastAsia="id-ID"/>
        </w:rPr>
        <w:t>import tax</w:t>
      </w:r>
      <w:r w:rsidRPr="00FE42D3">
        <w:rPr>
          <w:b/>
          <w:bCs/>
          <w:sz w:val="20"/>
          <w:szCs w:val="20"/>
          <w:lang w:eastAsia="id-ID"/>
        </w:rPr>
        <w:t xml:space="preserve"> disputes</w:t>
      </w:r>
    </w:p>
    <w:p w14:paraId="7201C593" w14:textId="62ACA1E7" w:rsidR="002B2E88" w:rsidRPr="00934281" w:rsidRDefault="00F76247" w:rsidP="00FE42D3">
      <w:pPr>
        <w:pStyle w:val="JAPBODYTEXT"/>
        <w:ind w:firstLine="426"/>
        <w:rPr>
          <w:sz w:val="20"/>
          <w:szCs w:val="20"/>
          <w:lang w:eastAsia="id-ID"/>
        </w:rPr>
      </w:pPr>
      <w:r w:rsidRPr="00934281">
        <w:rPr>
          <w:rStyle w:val="c-pjlv"/>
          <w:color w:val="000000" w:themeColor="text1"/>
          <w:sz w:val="20"/>
          <w:szCs w:val="20"/>
        </w:rPr>
        <w:t>Causal analysis was carried out by comparing DGCE's arguments with those of the importer. Based on the results of the content analysis and thematic analysis of interviews, the causes of import tax disputes are grouped according to the 4M categories in the fishbone diagram, namely substance (material), procedures (methods), authority (machine), examiner (man), and importer (man).</w:t>
      </w:r>
    </w:p>
    <w:p w14:paraId="49058652" w14:textId="77777777" w:rsidR="00F37A3B" w:rsidRPr="00934281" w:rsidRDefault="00F37A3B" w:rsidP="00D26F04">
      <w:pPr>
        <w:pStyle w:val="JAPBODYTEXT"/>
        <w:rPr>
          <w:sz w:val="20"/>
          <w:szCs w:val="20"/>
        </w:rPr>
      </w:pPr>
    </w:p>
    <w:p w14:paraId="73FEE39C" w14:textId="77777777" w:rsidR="00456DA1" w:rsidRPr="00FE42D3" w:rsidRDefault="00A24436" w:rsidP="00D26F04">
      <w:pPr>
        <w:pStyle w:val="JAPBODYTEXT"/>
        <w:rPr>
          <w:b/>
          <w:bCs/>
          <w:sz w:val="20"/>
          <w:szCs w:val="20"/>
          <w:lang w:eastAsia="id-ID"/>
        </w:rPr>
      </w:pPr>
      <w:r w:rsidRPr="00FE42D3">
        <w:rPr>
          <w:b/>
          <w:bCs/>
          <w:sz w:val="20"/>
          <w:szCs w:val="20"/>
          <w:lang w:eastAsia="id-ID"/>
        </w:rPr>
        <w:t>Substance</w:t>
      </w:r>
    </w:p>
    <w:p w14:paraId="4BB6919C" w14:textId="77777777" w:rsidR="00FE42D3" w:rsidRDefault="00F76247" w:rsidP="00FE42D3">
      <w:pPr>
        <w:pStyle w:val="JAPBODYTEXT"/>
        <w:ind w:firstLine="426"/>
        <w:rPr>
          <w:sz w:val="20"/>
          <w:szCs w:val="20"/>
          <w:lang w:eastAsia="id-ID"/>
        </w:rPr>
      </w:pPr>
      <w:r w:rsidRPr="00934281">
        <w:rPr>
          <w:rStyle w:val="c-pjlv"/>
          <w:color w:val="000000" w:themeColor="text1"/>
          <w:sz w:val="20"/>
          <w:szCs w:val="20"/>
        </w:rPr>
        <w:t>Law Number 30 of 2014 defines a substantive error as an error in the event that the desired material does not match the formulation in the decision. This dispute is related to differences in opinion between DGCE and importers regarding the fulfillment of the definition of goods to determine whether the goods are entitled to tax facilities. In relation to this group of substances, four causes were found: imported goods are strategic goods; imported goods are basic necessities; imported goods are mining goods taken directly from the source; and imported goods already have a Notice of Tax Exemption</w:t>
      </w:r>
      <w:r w:rsidR="00836A12" w:rsidRPr="00934281">
        <w:rPr>
          <w:sz w:val="20"/>
          <w:szCs w:val="20"/>
          <w:lang w:eastAsia="id-ID"/>
        </w:rPr>
        <w:t>.</w:t>
      </w:r>
    </w:p>
    <w:p w14:paraId="77CD4731" w14:textId="561EFF64" w:rsidR="00BD2CE0" w:rsidRPr="00934281" w:rsidRDefault="006F025E" w:rsidP="00FE42D3">
      <w:pPr>
        <w:pStyle w:val="JAPBODYTEXT"/>
        <w:ind w:firstLine="426"/>
        <w:rPr>
          <w:sz w:val="20"/>
          <w:szCs w:val="20"/>
          <w:lang w:eastAsia="id-ID"/>
        </w:rPr>
      </w:pPr>
      <w:r w:rsidRPr="00934281">
        <w:rPr>
          <w:rStyle w:val="c-pjlv"/>
          <w:color w:val="000000" w:themeColor="text1"/>
          <w:sz w:val="20"/>
          <w:szCs w:val="20"/>
        </w:rPr>
        <w:t xml:space="preserve">The first cause of the substance dispute was imported goods, including strategic ones. The argument used by the appellant was that the goods they imported met the definition of strategic goods according to Law Number 42 of 2009, and the imported goods were actually used as raw materials for making feed. In fact, the Ministry of Finance Regulation stipulates that if imported goods do not include an attachment, the appellant can still obtain VAT exemption as long as they meet certain criteria. However, to date, there are no procedures for implementing this </w:t>
      </w:r>
      <w:r w:rsidR="004E521E" w:rsidRPr="00934281">
        <w:rPr>
          <w:rStyle w:val="c-pjlv"/>
          <w:color w:val="000000" w:themeColor="text1"/>
          <w:sz w:val="20"/>
          <w:szCs w:val="20"/>
        </w:rPr>
        <w:t>A</w:t>
      </w:r>
      <w:r w:rsidRPr="00934281">
        <w:rPr>
          <w:rStyle w:val="c-pjlv"/>
          <w:color w:val="000000" w:themeColor="text1"/>
          <w:sz w:val="20"/>
          <w:szCs w:val="20"/>
        </w:rPr>
        <w:t>rticle. This is in accordance with what was conveyed by sources from importers who stated that:</w:t>
      </w:r>
    </w:p>
    <w:p w14:paraId="19310C27" w14:textId="2547AF11" w:rsidR="000719F4" w:rsidRPr="00FE42D3" w:rsidRDefault="00BD2CE0" w:rsidP="00D26F04">
      <w:pPr>
        <w:pStyle w:val="JAPBODYTEXT"/>
        <w:rPr>
          <w:i/>
          <w:iCs/>
          <w:sz w:val="20"/>
          <w:szCs w:val="20"/>
          <w:lang w:eastAsia="id-ID"/>
        </w:rPr>
      </w:pPr>
      <w:r w:rsidRPr="00FE42D3">
        <w:rPr>
          <w:i/>
          <w:iCs/>
          <w:sz w:val="20"/>
          <w:szCs w:val="20"/>
          <w:lang w:eastAsia="id-ID"/>
        </w:rPr>
        <w:t>"</w:t>
      </w:r>
      <w:r w:rsidR="006F025E" w:rsidRPr="00FE42D3">
        <w:rPr>
          <w:i/>
          <w:iCs/>
          <w:sz w:val="20"/>
          <w:szCs w:val="20"/>
          <w:lang w:eastAsia="id-ID"/>
        </w:rPr>
        <w:t>It's clear what is meant by raw materials in the Animal Husbandry Law is all materials used to produce animal feed</w:t>
      </w:r>
      <w:r w:rsidR="00855FE9">
        <w:rPr>
          <w:i/>
          <w:iCs/>
          <w:sz w:val="20"/>
          <w:szCs w:val="20"/>
          <w:lang w:eastAsia="id-ID"/>
        </w:rPr>
        <w:t>…</w:t>
      </w:r>
      <w:r w:rsidR="006F025E" w:rsidRPr="00FE42D3">
        <w:rPr>
          <w:i/>
          <w:iCs/>
          <w:sz w:val="20"/>
          <w:szCs w:val="20"/>
          <w:lang w:eastAsia="id-ID"/>
        </w:rPr>
        <w:t xml:space="preserve"> If it is not on the attachment list, VAT can still be exempted, as long as it meets the requirements stated in Article 4. However, the company must ask for recommendations from the Ministry of Agriculture. To date, there have been no procedures regarding requests for VAT exemption recommendations</w:t>
      </w:r>
      <w:r w:rsidR="00855FE9">
        <w:rPr>
          <w:i/>
          <w:iCs/>
          <w:sz w:val="20"/>
          <w:szCs w:val="20"/>
          <w:lang w:eastAsia="id-ID"/>
        </w:rPr>
        <w:t>…</w:t>
      </w:r>
      <w:r w:rsidR="006F025E" w:rsidRPr="00FE42D3">
        <w:rPr>
          <w:i/>
          <w:iCs/>
          <w:sz w:val="20"/>
          <w:szCs w:val="20"/>
          <w:lang w:eastAsia="id-ID"/>
        </w:rPr>
        <w:t>How is it possible that every time we import, the minister’s regulations come out? This process is absolutely impossible</w:t>
      </w:r>
      <w:r w:rsidR="000719F4" w:rsidRPr="00FE42D3">
        <w:rPr>
          <w:i/>
          <w:iCs/>
          <w:sz w:val="20"/>
          <w:szCs w:val="20"/>
          <w:lang w:eastAsia="id-ID"/>
        </w:rPr>
        <w:t>.”</w:t>
      </w:r>
    </w:p>
    <w:p w14:paraId="5451A165" w14:textId="49210F4E" w:rsidR="00FE42D3" w:rsidRDefault="006F025E" w:rsidP="00FE42D3">
      <w:pPr>
        <w:pStyle w:val="JAPBODYTEXT"/>
        <w:ind w:firstLine="426"/>
        <w:rPr>
          <w:sz w:val="20"/>
          <w:szCs w:val="20"/>
          <w:lang w:eastAsia="id-ID"/>
        </w:rPr>
      </w:pPr>
      <w:r w:rsidRPr="00934281">
        <w:rPr>
          <w:rStyle w:val="c-pjlv"/>
          <w:color w:val="000000" w:themeColor="text1"/>
          <w:sz w:val="20"/>
          <w:szCs w:val="20"/>
        </w:rPr>
        <w:t xml:space="preserve">On the other hand, the DGCE said that auditors carried out their duties in accordance with the applicable regulations. To determine whether imported goods are strategic goods that are exempt from the imposition of VAT, the inspector followed the procedures and used basic rules that are in accordance with the objectives of the inspection. This is in accordance with the results of interviews conducted by </w:t>
      </w:r>
      <w:r w:rsidR="00541C1D">
        <w:rPr>
          <w:rStyle w:val="c-pjlv"/>
          <w:color w:val="000000" w:themeColor="text1"/>
          <w:sz w:val="20"/>
          <w:szCs w:val="20"/>
        </w:rPr>
        <w:t>customs examiners</w:t>
      </w:r>
      <w:r w:rsidRPr="00934281">
        <w:rPr>
          <w:rStyle w:val="c-pjlv"/>
          <w:color w:val="000000" w:themeColor="text1"/>
          <w:sz w:val="20"/>
          <w:szCs w:val="20"/>
        </w:rPr>
        <w:t>, which stated that</w:t>
      </w:r>
      <w:r w:rsidR="00006ED7" w:rsidRPr="00934281">
        <w:rPr>
          <w:sz w:val="20"/>
          <w:szCs w:val="20"/>
          <w:lang w:eastAsia="id-ID"/>
        </w:rPr>
        <w:t xml:space="preserve"> </w:t>
      </w:r>
      <w:r w:rsidR="000719F4" w:rsidRPr="00934281">
        <w:rPr>
          <w:i/>
          <w:iCs/>
          <w:sz w:val="20"/>
          <w:szCs w:val="20"/>
          <w:lang w:eastAsia="id-ID"/>
        </w:rPr>
        <w:t>"</w:t>
      </w:r>
      <w:r w:rsidRPr="00934281">
        <w:rPr>
          <w:i/>
          <w:iCs/>
          <w:sz w:val="20"/>
          <w:szCs w:val="20"/>
          <w:lang w:eastAsia="id-ID"/>
        </w:rPr>
        <w:t>Audits compare criteria with facts. The criteria are the rules. If you look at animal feed whether it's in the Ministry of Finance Regulation attachment or not. If it's not in the attachment it means it's affected</w:t>
      </w:r>
      <w:r w:rsidR="000719F4" w:rsidRPr="00934281">
        <w:rPr>
          <w:i/>
          <w:iCs/>
          <w:sz w:val="20"/>
          <w:szCs w:val="20"/>
          <w:lang w:eastAsia="id-ID"/>
        </w:rPr>
        <w:t xml:space="preserve">." </w:t>
      </w:r>
      <w:r w:rsidR="00541C1D">
        <w:rPr>
          <w:sz w:val="20"/>
          <w:szCs w:val="20"/>
          <w:lang w:eastAsia="id-ID"/>
        </w:rPr>
        <w:t>Th</w:t>
      </w:r>
      <w:r w:rsidRPr="00934281">
        <w:rPr>
          <w:sz w:val="20"/>
          <w:szCs w:val="20"/>
          <w:lang w:eastAsia="id-ID"/>
        </w:rPr>
        <w:t xml:space="preserve">is dispute occurred because of problems with the evidence and the application of statutory regulations. </w:t>
      </w:r>
    </w:p>
    <w:p w14:paraId="7A3B7EEE" w14:textId="2A6D4EE9" w:rsidR="00FE42D3" w:rsidRDefault="006F025E" w:rsidP="00FE42D3">
      <w:pPr>
        <w:pStyle w:val="JAPBODYTEXT"/>
        <w:ind w:firstLine="426"/>
        <w:rPr>
          <w:sz w:val="20"/>
          <w:szCs w:val="20"/>
          <w:lang w:eastAsia="id-ID"/>
        </w:rPr>
      </w:pPr>
      <w:r w:rsidRPr="00934281">
        <w:rPr>
          <w:rStyle w:val="c-pjlv"/>
          <w:color w:val="000000" w:themeColor="text1"/>
          <w:sz w:val="20"/>
          <w:szCs w:val="20"/>
        </w:rPr>
        <w:t xml:space="preserve">The second cause of substance disputes is that imported goods are </w:t>
      </w:r>
      <w:r w:rsidR="00541C1D">
        <w:rPr>
          <w:rStyle w:val="c-pjlv"/>
          <w:color w:val="000000" w:themeColor="text1"/>
          <w:sz w:val="20"/>
          <w:szCs w:val="20"/>
        </w:rPr>
        <w:t>basic</w:t>
      </w:r>
      <w:r w:rsidRPr="00934281">
        <w:rPr>
          <w:rStyle w:val="c-pjlv"/>
          <w:color w:val="000000" w:themeColor="text1"/>
          <w:sz w:val="20"/>
          <w:szCs w:val="20"/>
        </w:rPr>
        <w:t xml:space="preserve"> necessities. The types of imported goods in the dispute were dates. The argument put forward by the appellant was that the dates they imported were fresh fruits and, therefore, entitled to VAT exemption. On the other hand, DGCE stated that the inspection results showed that the imported dates were dates that had undergone a drying process. </w:t>
      </w:r>
      <w:r w:rsidRPr="00934281">
        <w:rPr>
          <w:rStyle w:val="c-pjlv"/>
          <w:color w:val="000000" w:themeColor="text1"/>
          <w:sz w:val="20"/>
          <w:szCs w:val="20"/>
        </w:rPr>
        <w:lastRenderedPageBreak/>
        <w:t>This dispute occurred because of evidentiary problems. DGCE does not have strong evidence to support the conclusion of the examination results that dates are not fresh fruits. This is in accordance with the results of interviews with DGCE examiners, who stated that:</w:t>
      </w:r>
      <w:r w:rsidR="005674C6" w:rsidRPr="00934281">
        <w:rPr>
          <w:sz w:val="20"/>
          <w:szCs w:val="20"/>
          <w:lang w:eastAsia="id-ID"/>
        </w:rPr>
        <w:t xml:space="preserve"> </w:t>
      </w:r>
      <w:r w:rsidR="007F4771" w:rsidRPr="00934281">
        <w:rPr>
          <w:i/>
          <w:iCs/>
          <w:sz w:val="20"/>
          <w:szCs w:val="20"/>
          <w:lang w:eastAsia="id-ID"/>
        </w:rPr>
        <w:t>"</w:t>
      </w:r>
      <w:r w:rsidRPr="00934281">
        <w:rPr>
          <w:i/>
          <w:iCs/>
          <w:sz w:val="20"/>
          <w:szCs w:val="20"/>
          <w:lang w:eastAsia="id-ID"/>
        </w:rPr>
        <w:t>Dates are indeed a unique commodity. This is because the criterion for exemption is fresh fruits. Meanwhile, dates are usually produced dried or processed</w:t>
      </w:r>
      <w:r w:rsidR="007F4771" w:rsidRPr="00934281">
        <w:rPr>
          <w:i/>
          <w:iCs/>
          <w:sz w:val="20"/>
          <w:szCs w:val="20"/>
          <w:lang w:eastAsia="id-ID"/>
        </w:rPr>
        <w:t>."</w:t>
      </w:r>
    </w:p>
    <w:p w14:paraId="0BEFF890" w14:textId="3199F43C" w:rsidR="007F4771" w:rsidRPr="00934281" w:rsidRDefault="00304CF7" w:rsidP="00541C1D">
      <w:pPr>
        <w:pStyle w:val="JAPBODYTEXT"/>
        <w:rPr>
          <w:sz w:val="20"/>
          <w:szCs w:val="20"/>
          <w:lang w:eastAsia="id-ID"/>
        </w:rPr>
      </w:pPr>
      <w:r w:rsidRPr="00934281">
        <w:rPr>
          <w:sz w:val="20"/>
          <w:szCs w:val="20"/>
        </w:rPr>
        <w:t>The results of the interviews with those who drafted the regulations also stated the following</w:t>
      </w:r>
      <w:r w:rsidR="007F4771" w:rsidRPr="00934281">
        <w:rPr>
          <w:sz w:val="20"/>
          <w:szCs w:val="20"/>
          <w:lang w:eastAsia="id-ID"/>
        </w:rPr>
        <w:t>:</w:t>
      </w:r>
    </w:p>
    <w:p w14:paraId="101F5261" w14:textId="32A3307D" w:rsidR="007F4771" w:rsidRPr="00FE42D3" w:rsidRDefault="00541C1D" w:rsidP="00D26F04">
      <w:pPr>
        <w:pStyle w:val="JAPBODYTEXT"/>
        <w:rPr>
          <w:i/>
          <w:iCs/>
          <w:sz w:val="20"/>
          <w:szCs w:val="20"/>
        </w:rPr>
      </w:pPr>
      <w:r>
        <w:rPr>
          <w:i/>
          <w:iCs/>
          <w:sz w:val="20"/>
          <w:szCs w:val="20"/>
          <w:lang w:eastAsia="id-ID"/>
        </w:rPr>
        <w:t>“</w:t>
      </w:r>
      <w:r w:rsidR="00304CF7" w:rsidRPr="00FE42D3">
        <w:rPr>
          <w:i/>
          <w:iCs/>
          <w:sz w:val="20"/>
          <w:szCs w:val="20"/>
        </w:rPr>
        <w:t>The definition of fresh and non-fresh dates can be found in the letter from the Head of the Agricultural Research and Development Agency, Ministry of Agriculture number 425/LB.240/I/5/2011, dated June 1, 2011. Fresh dates were harvested at the optimal maturity level, depending on the variety, without any treatment. In general, to maintain freshness, it is stored in a low-temperature container according to its adaptability or freezing.</w:t>
      </w:r>
      <w:r w:rsidR="00CE2E13" w:rsidRPr="00FE42D3">
        <w:rPr>
          <w:i/>
          <w:iCs/>
          <w:sz w:val="20"/>
          <w:szCs w:val="20"/>
        </w:rPr>
        <w:t>"</w:t>
      </w:r>
    </w:p>
    <w:p w14:paraId="1CA81135" w14:textId="1BE2067F" w:rsidR="00CC2FC0" w:rsidRPr="00934281" w:rsidRDefault="00D92104" w:rsidP="002D2FCC">
      <w:pPr>
        <w:pStyle w:val="JAPBODYTEXT"/>
        <w:ind w:firstLine="426"/>
        <w:rPr>
          <w:sz w:val="20"/>
          <w:szCs w:val="20"/>
          <w:lang w:eastAsia="id-ID"/>
        </w:rPr>
      </w:pPr>
      <w:r w:rsidRPr="00934281">
        <w:rPr>
          <w:rStyle w:val="c-pjlv"/>
          <w:color w:val="000000" w:themeColor="text1"/>
          <w:sz w:val="20"/>
          <w:szCs w:val="20"/>
        </w:rPr>
        <w:t>The third cause of substance disputes is that imported goods are min</w:t>
      </w:r>
      <w:r w:rsidR="007D7177">
        <w:rPr>
          <w:rStyle w:val="c-pjlv"/>
          <w:color w:val="000000" w:themeColor="text1"/>
          <w:sz w:val="20"/>
          <w:szCs w:val="20"/>
        </w:rPr>
        <w:t>ing</w:t>
      </w:r>
      <w:r w:rsidRPr="00934281">
        <w:rPr>
          <w:rStyle w:val="c-pjlv"/>
          <w:color w:val="000000" w:themeColor="text1"/>
          <w:sz w:val="20"/>
          <w:szCs w:val="20"/>
        </w:rPr>
        <w:t xml:space="preserve"> goods that are taken directly from the source. The argument put forward by the appellant was that the mining goods they imported did not undergo further processing and, therefore, were entitled not to be subject to VAT. The Appellant imports raw material products in the form of asbestos fibers for the production of building materials. This asbestos fiber is a natural product mined from nature. The examiner argued that there was a separation process between asbestos rock and asbestos fiber. The asbestos fiber content can be sorted from ordinary to the best quality. This dispute occurred because of evidentiary problems. This was confirmed by the results of an interview with the DGCE appeal-management party as follows:</w:t>
      </w:r>
    </w:p>
    <w:p w14:paraId="76A8DA0B" w14:textId="6BD2D55B" w:rsidR="00DB332C" w:rsidRPr="00FE42D3" w:rsidRDefault="007712D2" w:rsidP="00D26F04">
      <w:pPr>
        <w:pStyle w:val="JAPBODYTEXT"/>
        <w:rPr>
          <w:i/>
          <w:iCs/>
          <w:sz w:val="20"/>
          <w:szCs w:val="20"/>
          <w:lang w:eastAsia="id-ID"/>
        </w:rPr>
      </w:pPr>
      <w:r w:rsidRPr="00FE42D3">
        <w:rPr>
          <w:i/>
          <w:iCs/>
          <w:sz w:val="20"/>
          <w:szCs w:val="20"/>
          <w:lang w:eastAsia="id-ID"/>
        </w:rPr>
        <w:t>"</w:t>
      </w:r>
      <w:r w:rsidR="00D92104" w:rsidRPr="00FE42D3">
        <w:rPr>
          <w:i/>
          <w:iCs/>
          <w:sz w:val="20"/>
          <w:szCs w:val="20"/>
          <w:lang w:eastAsia="id-ID"/>
        </w:rPr>
        <w:t>I am actually sure that asbestos must go through further processing before being imported. We have also had discussions with the DGT regarding asbestos and the result was a letter from the DGT stating that imports of asbestos should indeed be billed by import tax.</w:t>
      </w:r>
      <w:r w:rsidRPr="00FE42D3">
        <w:rPr>
          <w:i/>
          <w:iCs/>
          <w:sz w:val="20"/>
          <w:szCs w:val="20"/>
          <w:lang w:eastAsia="id-ID"/>
        </w:rPr>
        <w:t>"</w:t>
      </w:r>
    </w:p>
    <w:p w14:paraId="46C1D640" w14:textId="77777777" w:rsidR="00D855F1" w:rsidRPr="00934281" w:rsidRDefault="00D855F1" w:rsidP="00D26F04">
      <w:pPr>
        <w:pStyle w:val="JAPBODYTEXT"/>
        <w:rPr>
          <w:sz w:val="20"/>
          <w:szCs w:val="20"/>
          <w:lang w:eastAsia="id-ID"/>
        </w:rPr>
      </w:pPr>
      <w:r w:rsidRPr="00934281">
        <w:rPr>
          <w:sz w:val="20"/>
          <w:szCs w:val="20"/>
          <w:lang w:eastAsia="id-ID"/>
        </w:rPr>
        <w:t>Meanwhile, the regulatory party conveyed the following:</w:t>
      </w:r>
    </w:p>
    <w:p w14:paraId="154531A4" w14:textId="124FF009" w:rsidR="00D855F1" w:rsidRPr="002D2FCC" w:rsidRDefault="00D14AEB" w:rsidP="00D26F04">
      <w:pPr>
        <w:pStyle w:val="JAPBODYTEXT"/>
        <w:rPr>
          <w:i/>
          <w:iCs/>
          <w:sz w:val="20"/>
          <w:szCs w:val="20"/>
          <w:lang w:eastAsia="id-ID"/>
        </w:rPr>
      </w:pPr>
      <w:r w:rsidRPr="002D2FCC">
        <w:rPr>
          <w:i/>
          <w:iCs/>
          <w:sz w:val="20"/>
          <w:szCs w:val="20"/>
          <w:lang w:eastAsia="id-ID"/>
        </w:rPr>
        <w:t>"</w:t>
      </w:r>
      <w:r w:rsidR="00D92104" w:rsidRPr="002D2FCC">
        <w:rPr>
          <w:i/>
          <w:iCs/>
          <w:sz w:val="20"/>
          <w:szCs w:val="20"/>
          <w:lang w:eastAsia="id-ID"/>
        </w:rPr>
        <w:t>Mining goods taken directly from the source are exempt from the imposition of VAT, asbestos is in number 4. The definition of processing and refining is explained in the Minerba Law, namely Law Number 3 of 2020</w:t>
      </w:r>
      <w:r w:rsidRPr="002D2FCC">
        <w:rPr>
          <w:i/>
          <w:iCs/>
          <w:sz w:val="20"/>
          <w:szCs w:val="20"/>
          <w:lang w:eastAsia="id-ID"/>
        </w:rPr>
        <w:t>."</w:t>
      </w:r>
    </w:p>
    <w:p w14:paraId="1A8E12A2" w14:textId="77777777" w:rsidR="005674C6" w:rsidRPr="00934281" w:rsidRDefault="00D92104" w:rsidP="00D26F04">
      <w:pPr>
        <w:pStyle w:val="JAPBODYTEXT"/>
        <w:rPr>
          <w:sz w:val="20"/>
          <w:szCs w:val="20"/>
          <w:lang w:eastAsia="id-ID"/>
        </w:rPr>
      </w:pPr>
      <w:r w:rsidRPr="00934281">
        <w:rPr>
          <w:sz w:val="20"/>
          <w:szCs w:val="20"/>
          <w:lang w:eastAsia="id-ID"/>
        </w:rPr>
        <w:t>The appellant can provide facts that imported goods meet the definition of mining goods obtained directly from the source. The mention of "asbestos" in the explanation of article 4A paragraph (2) letter a of the VAT Law and not "asbestos rock" shows that what is intended to obtain VAT exemption is not merely asbestos in the form of rock</w:t>
      </w:r>
      <w:r w:rsidR="008843EB" w:rsidRPr="00934281">
        <w:rPr>
          <w:sz w:val="20"/>
          <w:szCs w:val="20"/>
          <w:lang w:eastAsia="id-ID"/>
        </w:rPr>
        <w:t>.</w:t>
      </w:r>
    </w:p>
    <w:p w14:paraId="576D9137" w14:textId="45ACA4BA" w:rsidR="00CE0121" w:rsidRPr="00934281" w:rsidRDefault="00D92104" w:rsidP="002D2FCC">
      <w:pPr>
        <w:pStyle w:val="JAPBODYTEXT"/>
        <w:ind w:firstLine="426"/>
        <w:rPr>
          <w:sz w:val="20"/>
          <w:szCs w:val="20"/>
          <w:lang w:eastAsia="id-ID"/>
        </w:rPr>
      </w:pPr>
      <w:r w:rsidRPr="00934281">
        <w:rPr>
          <w:rStyle w:val="c-pjlv"/>
          <w:color w:val="000000" w:themeColor="text1"/>
          <w:sz w:val="20"/>
          <w:szCs w:val="20"/>
        </w:rPr>
        <w:t>The fourth cause of substance disputes is that imported goods already have notice of tax exemptions. The argument put forward by the appellant was that the realization of the quantity and type of imported goods was in accordance with the notice of exemptions. Other attributes in the Notice of Exemption, such as invoice number, value of goods, and amount of tax exempted, became immaterial. In contrast, the DGCE examiner checks all the attributes listed in the Notice of Exemption. The discrepancy in these attributes makes the Notice of Exemption held by the appellant inappropriate. This dispute arose because of the application of statutory regulations. This is, as stated by the DGCE appeal management party.</w:t>
      </w:r>
    </w:p>
    <w:p w14:paraId="2168C5F2" w14:textId="77777777" w:rsidR="007132A9" w:rsidRPr="002D2FCC" w:rsidRDefault="007132A9" w:rsidP="00D26F04">
      <w:pPr>
        <w:pStyle w:val="JAPBODYTEXT"/>
        <w:rPr>
          <w:i/>
          <w:iCs/>
          <w:sz w:val="20"/>
          <w:szCs w:val="20"/>
          <w:lang w:eastAsia="id-ID"/>
        </w:rPr>
      </w:pPr>
      <w:r w:rsidRPr="002D2FCC">
        <w:rPr>
          <w:i/>
          <w:iCs/>
          <w:sz w:val="20"/>
          <w:szCs w:val="20"/>
          <w:lang w:eastAsia="id-ID"/>
        </w:rPr>
        <w:t>"</w:t>
      </w:r>
      <w:r w:rsidR="00D92104" w:rsidRPr="002D2FCC">
        <w:rPr>
          <w:i/>
          <w:iCs/>
          <w:sz w:val="20"/>
          <w:szCs w:val="20"/>
          <w:lang w:eastAsia="id-ID"/>
        </w:rPr>
        <w:t>Sometimes they feel that the Notice of Exemption is a free card. When they have Notice of Exemption, they think DGCE cannot make corrections related to import taxes. Because customs officials are not tax authorities.</w:t>
      </w:r>
      <w:r w:rsidR="004C35DA" w:rsidRPr="002D2FCC">
        <w:rPr>
          <w:i/>
          <w:iCs/>
          <w:sz w:val="20"/>
          <w:szCs w:val="20"/>
          <w:lang w:eastAsia="id-ID"/>
        </w:rPr>
        <w:t>”</w:t>
      </w:r>
    </w:p>
    <w:p w14:paraId="4B7E9C05" w14:textId="77777777" w:rsidR="009A258E" w:rsidRPr="00934281" w:rsidRDefault="00D92104" w:rsidP="00D26F04">
      <w:pPr>
        <w:pStyle w:val="JAPBODYTEXT"/>
        <w:rPr>
          <w:sz w:val="20"/>
          <w:szCs w:val="20"/>
          <w:lang w:eastAsia="id-ID"/>
        </w:rPr>
      </w:pPr>
      <w:r w:rsidRPr="00934281">
        <w:rPr>
          <w:sz w:val="20"/>
          <w:szCs w:val="20"/>
        </w:rPr>
        <w:t>However, the regulator said that the essence of the Notice of Exemption was the type and quantity of goods imported. If imported goods comply with the Notice of Exemption, the company is entitled to tax facilities. The following are the results of interviews with those who drafted the regulations:</w:t>
      </w:r>
      <w:r w:rsidR="009A258E" w:rsidRPr="00934281">
        <w:rPr>
          <w:sz w:val="20"/>
          <w:szCs w:val="20"/>
          <w:lang w:eastAsia="id-ID"/>
        </w:rPr>
        <w:t xml:space="preserve"> </w:t>
      </w:r>
      <w:r w:rsidRPr="00934281">
        <w:rPr>
          <w:sz w:val="20"/>
          <w:szCs w:val="20"/>
          <w:lang w:eastAsia="id-ID"/>
        </w:rPr>
        <w:t>“</w:t>
      </w:r>
      <w:r w:rsidRPr="00934281">
        <w:rPr>
          <w:i/>
          <w:iCs/>
          <w:sz w:val="20"/>
          <w:szCs w:val="20"/>
          <w:lang w:eastAsia="id-ID"/>
        </w:rPr>
        <w:t>The main thing in the Notice of Exemption is the object. As long as the object meets the criteria of  Government Regulation Number 49 of 2022, it can receive exemption. What is binding is the quantity and type of goods, not their value</w:t>
      </w:r>
      <w:r w:rsidR="00FB0476" w:rsidRPr="00934281">
        <w:rPr>
          <w:i/>
          <w:iCs/>
          <w:sz w:val="20"/>
          <w:szCs w:val="20"/>
          <w:lang w:eastAsia="id-ID"/>
        </w:rPr>
        <w:t>.</w:t>
      </w:r>
      <w:r w:rsidR="00FB0476" w:rsidRPr="00934281">
        <w:rPr>
          <w:sz w:val="20"/>
          <w:szCs w:val="20"/>
          <w:lang w:eastAsia="id-ID"/>
        </w:rPr>
        <w:t>"</w:t>
      </w:r>
    </w:p>
    <w:p w14:paraId="5334541E" w14:textId="77777777" w:rsidR="00F37A3B" w:rsidRPr="00934281" w:rsidRDefault="00F37A3B" w:rsidP="00D26F04">
      <w:pPr>
        <w:pStyle w:val="JAPBODYTEXT"/>
        <w:rPr>
          <w:sz w:val="20"/>
          <w:szCs w:val="20"/>
          <w:lang w:eastAsia="id-ID"/>
        </w:rPr>
      </w:pPr>
    </w:p>
    <w:p w14:paraId="198BD6BF" w14:textId="77777777" w:rsidR="00A24436" w:rsidRPr="002D2FCC" w:rsidRDefault="00A24436" w:rsidP="00D26F04">
      <w:pPr>
        <w:pStyle w:val="JAPBODYTEXT"/>
        <w:rPr>
          <w:b/>
          <w:bCs/>
          <w:sz w:val="20"/>
          <w:szCs w:val="20"/>
          <w:lang w:eastAsia="id-ID"/>
        </w:rPr>
      </w:pPr>
      <w:r w:rsidRPr="002D2FCC">
        <w:rPr>
          <w:b/>
          <w:bCs/>
          <w:sz w:val="20"/>
          <w:szCs w:val="20"/>
          <w:lang w:eastAsia="id-ID"/>
        </w:rPr>
        <w:t>Procedure</w:t>
      </w:r>
    </w:p>
    <w:p w14:paraId="4E5603EB" w14:textId="77777777" w:rsidR="00D23C52" w:rsidRDefault="009C44A7" w:rsidP="00D23C52">
      <w:pPr>
        <w:pStyle w:val="JAPBODYTEXT"/>
        <w:ind w:firstLine="426"/>
        <w:rPr>
          <w:sz w:val="20"/>
          <w:szCs w:val="20"/>
          <w:lang w:eastAsia="id-ID"/>
        </w:rPr>
      </w:pPr>
      <w:r w:rsidRPr="00934281">
        <w:rPr>
          <w:sz w:val="20"/>
          <w:szCs w:val="20"/>
        </w:rPr>
        <w:t>Law Number 30 of 2014 defines procedural error as an error in the event that the procedures for making a decision are not in accordance with the requirements and procedures stipulated in the provisions of statutory regulations and/or standard operating procedures. This dispute relates to the appellant's argument that DGCE did not carry out the procedures for issuing import tax determination letters correctly. Three causes were identified in relation to the procedural category. They are wrong objects of determination; the issuance of NAIDU is not in accordance with Article 17 of the Customs Law, and DGCE's decision is not to comply with Article 55 paragraph (1) of the Government Administration Law.</w:t>
      </w:r>
    </w:p>
    <w:p w14:paraId="129E4F05" w14:textId="5AE46780" w:rsidR="00E703E0" w:rsidRPr="00934281" w:rsidRDefault="007B3162" w:rsidP="00D23C52">
      <w:pPr>
        <w:pStyle w:val="JAPBODYTEXT"/>
        <w:ind w:firstLine="426"/>
        <w:rPr>
          <w:sz w:val="20"/>
          <w:szCs w:val="20"/>
          <w:lang w:eastAsia="id-ID"/>
        </w:rPr>
      </w:pPr>
      <w:r w:rsidRPr="00934281">
        <w:rPr>
          <w:sz w:val="20"/>
          <w:szCs w:val="20"/>
        </w:rPr>
        <w:t>The first cause of procedural disputes is incorrect object of determination. The argument put forward by the appellant is that NIDU or NAIDU should not be used to determine import taxes. This is in accordance with the importer's statement in the interview as follows</w:t>
      </w:r>
      <w:r w:rsidR="00933846" w:rsidRPr="00934281">
        <w:rPr>
          <w:sz w:val="20"/>
          <w:szCs w:val="20"/>
          <w:lang w:eastAsia="id-ID"/>
        </w:rPr>
        <w:t xml:space="preserve">: </w:t>
      </w:r>
      <w:r w:rsidRPr="00934281">
        <w:rPr>
          <w:i/>
          <w:iCs/>
          <w:sz w:val="20"/>
          <w:szCs w:val="20"/>
          <w:lang w:eastAsia="id-ID"/>
        </w:rPr>
        <w:t>"If you look at the title alone, Notice of Import Duties Underpayment or Notice of Additional Import Duties Underpayment. There are no words VAT or income tax."</w:t>
      </w:r>
    </w:p>
    <w:p w14:paraId="5E4A2312" w14:textId="0F496B64" w:rsidR="00AD5F3E" w:rsidRPr="00934281" w:rsidRDefault="007B3162" w:rsidP="00D26F04">
      <w:pPr>
        <w:pStyle w:val="JAPBODYTEXT"/>
        <w:rPr>
          <w:sz w:val="20"/>
          <w:szCs w:val="20"/>
          <w:lang w:eastAsia="id-ID"/>
        </w:rPr>
      </w:pPr>
      <w:r w:rsidRPr="00934281">
        <w:rPr>
          <w:sz w:val="20"/>
          <w:szCs w:val="20"/>
        </w:rPr>
        <w:lastRenderedPageBreak/>
        <w:t>Meanwhile, DGCE argues that, according to the explanation of Article 6 of the Customs Law, everything related to the settlement of import obligations must be based on the provisions of this law. This is confirmed by the DGCE examiner's opinion as follows</w:t>
      </w:r>
      <w:r w:rsidR="00AD5F3E" w:rsidRPr="00934281">
        <w:rPr>
          <w:sz w:val="20"/>
          <w:szCs w:val="20"/>
          <w:lang w:eastAsia="id-ID"/>
        </w:rPr>
        <w:t>:</w:t>
      </w:r>
    </w:p>
    <w:p w14:paraId="5D30427A" w14:textId="0EA98DD5" w:rsidR="00F56A1D" w:rsidRPr="00D23C52" w:rsidRDefault="007B3162" w:rsidP="00D26F04">
      <w:pPr>
        <w:pStyle w:val="JAPBODYTEXT"/>
        <w:rPr>
          <w:i/>
          <w:iCs/>
          <w:sz w:val="20"/>
          <w:szCs w:val="20"/>
          <w:lang w:eastAsia="id-ID"/>
        </w:rPr>
      </w:pPr>
      <w:r w:rsidRPr="00D23C52">
        <w:rPr>
          <w:i/>
          <w:iCs/>
          <w:sz w:val="20"/>
          <w:szCs w:val="20"/>
          <w:lang w:eastAsia="id-ID"/>
        </w:rPr>
        <w:t>"Associated with import tax, is what we determine in relation to imports. Because of its connection to imports, it is indirectly related to import tax. If there is a shortage of levies on imports, we will determine it, either through NIDU or NAIDU."</w:t>
      </w:r>
    </w:p>
    <w:p w14:paraId="1F733377" w14:textId="77777777" w:rsidR="00933846" w:rsidRPr="00934281" w:rsidRDefault="007B3162" w:rsidP="00D26F04">
      <w:pPr>
        <w:pStyle w:val="JAPBODYTEXT"/>
        <w:rPr>
          <w:sz w:val="20"/>
          <w:szCs w:val="20"/>
          <w:lang w:eastAsia="id-ID"/>
        </w:rPr>
      </w:pPr>
      <w:r w:rsidRPr="00934281">
        <w:rPr>
          <w:rStyle w:val="c-pjlv"/>
          <w:color w:val="000000" w:themeColor="text1"/>
          <w:sz w:val="20"/>
          <w:szCs w:val="20"/>
        </w:rPr>
        <w:t>This dispute occurred because of differences in interpretation between the DGCE and the appellant. DGCE interprets that all settlements of import obligations are carried out by them. Meanwhile, the Appellant interpreted that the DGCE only determined discrepancies in tariffs and/or customs values</w:t>
      </w:r>
      <w:r w:rsidR="00933846" w:rsidRPr="00934281">
        <w:rPr>
          <w:sz w:val="20"/>
          <w:szCs w:val="20"/>
          <w:lang w:eastAsia="id-ID"/>
        </w:rPr>
        <w:t>.</w:t>
      </w:r>
    </w:p>
    <w:p w14:paraId="218A1A59" w14:textId="19B2E831" w:rsidR="007B3162" w:rsidRPr="00934281" w:rsidRDefault="007B3162" w:rsidP="00D23C52">
      <w:pPr>
        <w:pStyle w:val="JAPBODYTEXT"/>
        <w:ind w:firstLine="426"/>
        <w:rPr>
          <w:sz w:val="20"/>
          <w:szCs w:val="20"/>
          <w:lang w:eastAsia="id-ID"/>
        </w:rPr>
      </w:pPr>
      <w:r w:rsidRPr="00934281">
        <w:rPr>
          <w:sz w:val="20"/>
          <w:szCs w:val="20"/>
          <w:lang w:eastAsia="id-ID"/>
        </w:rPr>
        <w:t>The second cause of procedural disputes is that the issuance of NAIDU does not comply with Article 17 of the Customs Law. The argument put forward by the appellant is that Article 17 of the Customs Law has no clause that will be further regulated by the regulations below. This is in line with the results of interviews with importers, who said the following:</w:t>
      </w:r>
    </w:p>
    <w:p w14:paraId="4A219210" w14:textId="0BCBD729" w:rsidR="00320125" w:rsidRPr="00D23C52" w:rsidRDefault="007B3162" w:rsidP="00D26F04">
      <w:pPr>
        <w:pStyle w:val="JAPBODYTEXT"/>
        <w:rPr>
          <w:i/>
          <w:iCs/>
          <w:sz w:val="20"/>
          <w:szCs w:val="20"/>
          <w:lang w:eastAsia="id-ID"/>
        </w:rPr>
      </w:pPr>
      <w:r w:rsidRPr="00D23C52">
        <w:rPr>
          <w:i/>
          <w:iCs/>
          <w:sz w:val="20"/>
          <w:szCs w:val="20"/>
          <w:lang w:eastAsia="id-ID"/>
        </w:rPr>
        <w:t>"In article 17 it is stated that the Director General can re-determine. However, the form of redetermination has not been stated. There is no further regulation regarding the form of redetermination referred to in Article 17."</w:t>
      </w:r>
    </w:p>
    <w:p w14:paraId="04ED3F77" w14:textId="77777777" w:rsidR="003D1B58" w:rsidRPr="00934281" w:rsidRDefault="007B3162" w:rsidP="00D26F04">
      <w:pPr>
        <w:pStyle w:val="JAPBODYTEXT"/>
        <w:rPr>
          <w:sz w:val="20"/>
          <w:szCs w:val="20"/>
          <w:lang w:eastAsia="id-ID"/>
        </w:rPr>
      </w:pPr>
      <w:r w:rsidRPr="00934281">
        <w:rPr>
          <w:sz w:val="20"/>
          <w:szCs w:val="20"/>
        </w:rPr>
        <w:t>The DGCE argued that they had issued the NAIDU according to the applicable procedures. This is in accordance with the results of interviews with examiners, as follows</w:t>
      </w:r>
      <w:r w:rsidR="00593561" w:rsidRPr="00934281">
        <w:rPr>
          <w:sz w:val="20"/>
          <w:szCs w:val="20"/>
          <w:lang w:eastAsia="id-ID"/>
        </w:rPr>
        <w:t>:</w:t>
      </w:r>
    </w:p>
    <w:p w14:paraId="1CA86EEE" w14:textId="5513EEAE" w:rsidR="00593561" w:rsidRPr="00EC1644" w:rsidRDefault="007B3162" w:rsidP="00D26F04">
      <w:pPr>
        <w:pStyle w:val="JAPBODYTEXT"/>
        <w:rPr>
          <w:i/>
          <w:iCs/>
          <w:sz w:val="20"/>
          <w:szCs w:val="20"/>
          <w:lang w:eastAsia="id-ID"/>
        </w:rPr>
      </w:pPr>
      <w:r w:rsidRPr="00EC1644">
        <w:rPr>
          <w:i/>
          <w:iCs/>
          <w:sz w:val="20"/>
          <w:szCs w:val="20"/>
          <w:lang w:eastAsia="id-ID"/>
        </w:rPr>
        <w:t>"The determination in Article 16 is not identical to the NIDU. These norms do not state that the determination is the NIDU. There is a time limit of 30 days when there is a determination and NIDU is used. NIDU, and 30 days were determined</w:t>
      </w:r>
      <w:r w:rsidR="004E1783">
        <w:rPr>
          <w:i/>
          <w:iCs/>
          <w:sz w:val="20"/>
          <w:szCs w:val="20"/>
          <w:lang w:eastAsia="id-ID"/>
        </w:rPr>
        <w:t>…</w:t>
      </w:r>
      <w:r w:rsidRPr="00EC1644">
        <w:rPr>
          <w:i/>
          <w:iCs/>
          <w:sz w:val="20"/>
          <w:szCs w:val="20"/>
          <w:lang w:eastAsia="id-ID"/>
        </w:rPr>
        <w:t xml:space="preserve">There are still norms even though they are not mentioned in Article 17. Even though there is no delegation in the law, </w:t>
      </w:r>
      <w:r w:rsidR="004E1783">
        <w:rPr>
          <w:i/>
          <w:iCs/>
          <w:sz w:val="20"/>
          <w:szCs w:val="20"/>
          <w:lang w:eastAsia="id-ID"/>
        </w:rPr>
        <w:t>it</w:t>
      </w:r>
      <w:r w:rsidRPr="00EC1644">
        <w:rPr>
          <w:i/>
          <w:iCs/>
          <w:sz w:val="20"/>
          <w:szCs w:val="20"/>
          <w:lang w:eastAsia="id-ID"/>
        </w:rPr>
        <w:t xml:space="preserve"> is regulated in Ministry of Finance Number 51 of 2008.”</w:t>
      </w:r>
    </w:p>
    <w:p w14:paraId="04B46ADE" w14:textId="77777777" w:rsidR="00F5647A" w:rsidRPr="00934281" w:rsidRDefault="007F2C1B" w:rsidP="00D26F04">
      <w:pPr>
        <w:pStyle w:val="JAPBODYTEXT"/>
        <w:rPr>
          <w:sz w:val="20"/>
          <w:szCs w:val="20"/>
          <w:lang w:eastAsia="id-ID"/>
        </w:rPr>
      </w:pPr>
      <w:r w:rsidRPr="00934281">
        <w:rPr>
          <w:sz w:val="20"/>
          <w:szCs w:val="20"/>
        </w:rPr>
        <w:t>This dispute occurred because of differences in interpretation between the DGCE and the appellant. DGCE interprets NAIDU as a product of determination in accordance with Article 17 of the Customs Law. Meanwhile, the Appellant interpreted that NAIDU was not in accordance with Article 17 of the Customs Law</w:t>
      </w:r>
      <w:r w:rsidR="00084CA6" w:rsidRPr="00934281">
        <w:rPr>
          <w:sz w:val="20"/>
          <w:szCs w:val="20"/>
          <w:lang w:eastAsia="id-ID"/>
        </w:rPr>
        <w:t>.</w:t>
      </w:r>
    </w:p>
    <w:p w14:paraId="2F4E3D56" w14:textId="5E02CDEF" w:rsidR="006B146F" w:rsidRPr="00934281" w:rsidRDefault="007F2C1B" w:rsidP="004E1783">
      <w:pPr>
        <w:pStyle w:val="JAPBODYTEXT"/>
        <w:ind w:firstLine="426"/>
        <w:rPr>
          <w:sz w:val="20"/>
          <w:szCs w:val="20"/>
          <w:lang w:eastAsia="id-ID"/>
        </w:rPr>
      </w:pPr>
      <w:r w:rsidRPr="00934281">
        <w:rPr>
          <w:rStyle w:val="c-pjlv"/>
          <w:color w:val="000000" w:themeColor="text1"/>
          <w:sz w:val="20"/>
          <w:szCs w:val="20"/>
        </w:rPr>
        <w:t xml:space="preserve">The third cause of procedural disputes is that the DGCE's decision does not comply with Article 55, paragraph (1) </w:t>
      </w:r>
      <w:r w:rsidRPr="00EC1644">
        <w:rPr>
          <w:lang w:eastAsia="id-ID"/>
        </w:rPr>
        <w:t>of</w:t>
      </w:r>
      <w:r w:rsidRPr="00934281">
        <w:rPr>
          <w:rStyle w:val="c-pjlv"/>
          <w:color w:val="000000" w:themeColor="text1"/>
          <w:sz w:val="20"/>
          <w:szCs w:val="20"/>
        </w:rPr>
        <w:t xml:space="preserve"> the Government Administration Law. It is regulated that every decision must be given reasons for juridical, sociological, and philosophical considerations that form the basis of the decision. There are differences in interpretation between DGCE and the appellant regarding this matter. The appellant stated that the DGCE decision did not comply with Article 55, Paragraph (1) of the Government Administration Law. The format of the letter of determination and decision issued by the DGCE does not convey juridical, sociological, and philosophical considerations, so the procedure is flawed. The following are the results of the interviews with importers:</w:t>
      </w:r>
      <w:r w:rsidR="00933846" w:rsidRPr="00934281">
        <w:rPr>
          <w:sz w:val="20"/>
          <w:szCs w:val="20"/>
          <w:lang w:eastAsia="id-ID"/>
        </w:rPr>
        <w:t xml:space="preserve"> </w:t>
      </w:r>
      <w:r w:rsidR="004E1783">
        <w:rPr>
          <w:i/>
          <w:iCs/>
          <w:sz w:val="20"/>
          <w:szCs w:val="20"/>
          <w:lang w:eastAsia="id-ID"/>
        </w:rPr>
        <w:t>“</w:t>
      </w:r>
      <w:r w:rsidRPr="00EC1644">
        <w:rPr>
          <w:i/>
          <w:iCs/>
          <w:sz w:val="20"/>
          <w:szCs w:val="20"/>
          <w:lang w:eastAsia="id-ID"/>
        </w:rPr>
        <w:t xml:space="preserve"> We only found new regulations when we received the determination. We must </w:t>
      </w:r>
      <w:r w:rsidR="004E1783">
        <w:rPr>
          <w:i/>
          <w:iCs/>
          <w:sz w:val="20"/>
          <w:szCs w:val="20"/>
          <w:lang w:eastAsia="id-ID"/>
        </w:rPr>
        <w:t>find out</w:t>
      </w:r>
      <w:r w:rsidRPr="00EC1644">
        <w:rPr>
          <w:i/>
          <w:iCs/>
          <w:sz w:val="20"/>
          <w:szCs w:val="20"/>
          <w:lang w:eastAsia="id-ID"/>
        </w:rPr>
        <w:t xml:space="preserve"> why this was determined."</w:t>
      </w:r>
      <w:r w:rsidR="004E1783">
        <w:rPr>
          <w:sz w:val="20"/>
          <w:szCs w:val="20"/>
          <w:lang w:eastAsia="id-ID"/>
        </w:rPr>
        <w:t xml:space="preserve"> </w:t>
      </w:r>
      <w:r w:rsidRPr="00934281">
        <w:rPr>
          <w:sz w:val="20"/>
          <w:szCs w:val="20"/>
          <w:lang w:eastAsia="id-ID"/>
        </w:rPr>
        <w:t xml:space="preserve">On the other hand, the DGCE stated that they had fulfilled the juridical, sociological, and philosophical considerations in the determination letter and decision issued. The DGCE examiner said, </w:t>
      </w:r>
      <w:r w:rsidRPr="00934281">
        <w:rPr>
          <w:i/>
          <w:iCs/>
          <w:sz w:val="20"/>
          <w:szCs w:val="20"/>
          <w:lang w:eastAsia="id-ID"/>
        </w:rPr>
        <w:t>“Regarding policy, regulations can be conveyed at the beginning or while implementation is underway. If they do not understand them, we give them the rules. If they make a mistake, we tell them that the regulations are like this, and they must follow them.”</w:t>
      </w:r>
    </w:p>
    <w:p w14:paraId="6793D48C" w14:textId="77777777" w:rsidR="006B146F" w:rsidRPr="00934281" w:rsidRDefault="006B146F" w:rsidP="00D26F04">
      <w:pPr>
        <w:pStyle w:val="JAPBODYTEXT"/>
        <w:rPr>
          <w:sz w:val="20"/>
          <w:szCs w:val="20"/>
          <w:lang w:eastAsia="id-ID"/>
        </w:rPr>
      </w:pPr>
    </w:p>
    <w:p w14:paraId="2D4DE391" w14:textId="77777777" w:rsidR="00A24436" w:rsidRPr="00EC1644" w:rsidRDefault="00A24436" w:rsidP="00D26F04">
      <w:pPr>
        <w:pStyle w:val="JAPBODYTEXT"/>
        <w:rPr>
          <w:b/>
          <w:bCs/>
          <w:sz w:val="20"/>
          <w:szCs w:val="20"/>
          <w:lang w:eastAsia="id-ID"/>
        </w:rPr>
      </w:pPr>
      <w:r w:rsidRPr="00EC1644">
        <w:rPr>
          <w:b/>
          <w:bCs/>
          <w:sz w:val="20"/>
          <w:szCs w:val="20"/>
          <w:lang w:eastAsia="id-ID"/>
        </w:rPr>
        <w:t>Authority</w:t>
      </w:r>
    </w:p>
    <w:p w14:paraId="01CC8F95" w14:textId="77777777" w:rsidR="00EC1644" w:rsidRDefault="00675EE2" w:rsidP="00EC1644">
      <w:pPr>
        <w:pStyle w:val="JAPBODYTEXT"/>
        <w:ind w:firstLine="426"/>
        <w:rPr>
          <w:sz w:val="20"/>
          <w:szCs w:val="20"/>
          <w:lang w:eastAsia="id-ID"/>
        </w:rPr>
      </w:pPr>
      <w:r w:rsidRPr="00934281">
        <w:rPr>
          <w:sz w:val="20"/>
          <w:szCs w:val="20"/>
        </w:rPr>
        <w:t xml:space="preserve">Law Number 30 of 2014 defines authority as the power of Government Agencies, officials, or other state administrators to act in the realm of public law. This dispute relates to the appellant's argument that DGCE does not have the authority to make determinations on import tax. Regarding the category of authority, there are four causes: </w:t>
      </w:r>
      <w:r w:rsidR="00494AE5" w:rsidRPr="00934281">
        <w:rPr>
          <w:sz w:val="20"/>
          <w:szCs w:val="20"/>
          <w:lang w:val="en-US"/>
        </w:rPr>
        <w:t>DGCE can determine import tax only at the time of import</w:t>
      </w:r>
      <w:r w:rsidRPr="00934281">
        <w:rPr>
          <w:sz w:val="20"/>
          <w:szCs w:val="20"/>
        </w:rPr>
        <w:t>; there is no error in tariffs and/or customs values; DGCE has no authority to collect import VAT through NAIDU; and the authority to examine import tax is DGT.</w:t>
      </w:r>
    </w:p>
    <w:p w14:paraId="035ED291" w14:textId="7F87F985" w:rsidR="00AC48D0" w:rsidRPr="00934281" w:rsidRDefault="00FC15A5" w:rsidP="00EC1644">
      <w:pPr>
        <w:pStyle w:val="JAPBODYTEXT"/>
        <w:ind w:firstLine="426"/>
        <w:rPr>
          <w:sz w:val="20"/>
          <w:szCs w:val="20"/>
          <w:lang w:eastAsia="id-ID"/>
        </w:rPr>
      </w:pPr>
      <w:r w:rsidRPr="00934281">
        <w:rPr>
          <w:sz w:val="20"/>
          <w:szCs w:val="20"/>
        </w:rPr>
        <w:t>The first cause of authority disputes is that the authority to determine the impor tax is only at the time of import. Elucidation of Article 2, paragraph (1) of the Customs Law states that imported goods are due when they enter the customs territory and during the period of time regulated by law for the Appellee to supervise imported goods even if the goods have left the customs area. This is in accordance with the results of the interviews with the DGCE appeal management party</w:t>
      </w:r>
      <w:r w:rsidR="00084CA6" w:rsidRPr="00934281">
        <w:rPr>
          <w:sz w:val="20"/>
          <w:szCs w:val="20"/>
          <w:lang w:eastAsia="id-ID"/>
        </w:rPr>
        <w:t>:</w:t>
      </w:r>
    </w:p>
    <w:p w14:paraId="67C0BC7F" w14:textId="5303F077" w:rsidR="005C1441" w:rsidRPr="000D1D88" w:rsidRDefault="00AC48D0" w:rsidP="00D26F04">
      <w:pPr>
        <w:pStyle w:val="JAPBODYTEXT"/>
        <w:rPr>
          <w:i/>
          <w:iCs/>
          <w:sz w:val="20"/>
          <w:szCs w:val="20"/>
          <w:lang w:eastAsia="id-ID"/>
        </w:rPr>
      </w:pPr>
      <w:r w:rsidRPr="000D1D88">
        <w:rPr>
          <w:i/>
          <w:iCs/>
          <w:sz w:val="20"/>
          <w:szCs w:val="20"/>
          <w:lang w:eastAsia="id-ID"/>
        </w:rPr>
        <w:t>"</w:t>
      </w:r>
      <w:r w:rsidR="00FC15A5" w:rsidRPr="000D1D88">
        <w:rPr>
          <w:i/>
          <w:iCs/>
          <w:sz w:val="20"/>
          <w:szCs w:val="20"/>
          <w:lang w:eastAsia="id-ID"/>
        </w:rPr>
        <w:t>The import tax is owed at the time of import. Meanwhile, when determined by DGCE, it had already passed the import time. DGCE's authority was limited to phrases at the time of imports. The time of import is from the time the goods import notification is submitted to the time it is determined by the NAIDU.</w:t>
      </w:r>
      <w:r w:rsidR="005C1441" w:rsidRPr="000D1D88">
        <w:rPr>
          <w:i/>
          <w:iCs/>
          <w:sz w:val="20"/>
          <w:szCs w:val="20"/>
          <w:lang w:eastAsia="id-ID"/>
        </w:rPr>
        <w:t xml:space="preserve">” </w:t>
      </w:r>
    </w:p>
    <w:p w14:paraId="680C3A56" w14:textId="77777777" w:rsidR="008B7039" w:rsidRPr="00934281" w:rsidRDefault="001722CE" w:rsidP="00D26F04">
      <w:pPr>
        <w:pStyle w:val="JAPBODYTEXT"/>
        <w:rPr>
          <w:i/>
          <w:iCs/>
          <w:sz w:val="20"/>
          <w:szCs w:val="20"/>
          <w:lang w:eastAsia="id-ID"/>
        </w:rPr>
      </w:pPr>
      <w:r w:rsidRPr="00934281">
        <w:rPr>
          <w:sz w:val="20"/>
          <w:szCs w:val="20"/>
        </w:rPr>
        <w:t xml:space="preserve">This dispute occurred because of differences in interpretation between the DGCE and the appellant regarding the phrase at the time of the import. DGCE believes that they have the authority to determine the time of </w:t>
      </w:r>
      <w:r w:rsidRPr="00934281">
        <w:rPr>
          <w:sz w:val="20"/>
          <w:szCs w:val="20"/>
        </w:rPr>
        <w:lastRenderedPageBreak/>
        <w:t>import for up to 2 (two) years, as stipulated in Article 17 of the Customs Law. However, the appellant argued that the DGCE only had the authority to make determinations at the time of import</w:t>
      </w:r>
      <w:r w:rsidR="00AC48D0" w:rsidRPr="00934281">
        <w:rPr>
          <w:sz w:val="20"/>
          <w:szCs w:val="20"/>
          <w:lang w:eastAsia="id-ID"/>
        </w:rPr>
        <w:t>.</w:t>
      </w:r>
    </w:p>
    <w:p w14:paraId="3826EC27" w14:textId="2D7BF463" w:rsidR="00542914" w:rsidRPr="00934281" w:rsidRDefault="001722CE" w:rsidP="000D1D88">
      <w:pPr>
        <w:pStyle w:val="JAPBODYTEXT"/>
        <w:ind w:firstLine="426"/>
        <w:rPr>
          <w:sz w:val="20"/>
          <w:szCs w:val="20"/>
          <w:lang w:eastAsia="id-ID"/>
        </w:rPr>
      </w:pPr>
      <w:r w:rsidRPr="00934281">
        <w:rPr>
          <w:rStyle w:val="c-pjlv"/>
          <w:color w:val="000000" w:themeColor="text1"/>
          <w:sz w:val="20"/>
          <w:szCs w:val="20"/>
        </w:rPr>
        <w:t xml:space="preserve">The </w:t>
      </w:r>
      <w:r w:rsidRPr="0034608B">
        <w:rPr>
          <w:sz w:val="20"/>
          <w:szCs w:val="20"/>
        </w:rPr>
        <w:t>second</w:t>
      </w:r>
      <w:r w:rsidRPr="00934281">
        <w:rPr>
          <w:rStyle w:val="c-pjlv"/>
          <w:color w:val="000000" w:themeColor="text1"/>
          <w:sz w:val="20"/>
          <w:szCs w:val="20"/>
        </w:rPr>
        <w:t xml:space="preserve"> cause of authority disputes is that there are no errors in the tariffs or customs values. The appellant argued that there was no error in the tariff and/or customs value reported in the goods import notification. DGCE examiner determines the import tax rates rather than the customs tax rates. This is reinforced by the following statement from the importers</w:t>
      </w:r>
      <w:r w:rsidR="00D050BB" w:rsidRPr="00934281">
        <w:rPr>
          <w:sz w:val="20"/>
          <w:szCs w:val="20"/>
          <w:lang w:eastAsia="id-ID"/>
        </w:rPr>
        <w:t xml:space="preserve">: </w:t>
      </w:r>
      <w:r w:rsidRPr="00934281">
        <w:rPr>
          <w:i/>
          <w:iCs/>
          <w:sz w:val="20"/>
          <w:szCs w:val="20"/>
          <w:lang w:eastAsia="id-ID"/>
        </w:rPr>
        <w:t>"Before there was NAIDU, it used to be called Notification Letter for Shortage of Payment of Import Duty, for those lacking import tax it would be forwarded to DGT</w:t>
      </w:r>
      <w:r w:rsidR="00542914" w:rsidRPr="00934281">
        <w:rPr>
          <w:i/>
          <w:iCs/>
          <w:sz w:val="20"/>
          <w:szCs w:val="20"/>
          <w:lang w:eastAsia="id-ID"/>
        </w:rPr>
        <w:t>."</w:t>
      </w:r>
    </w:p>
    <w:p w14:paraId="483E781F" w14:textId="592CE55D" w:rsidR="00CA5BD9" w:rsidRPr="00934281" w:rsidRDefault="001722CE" w:rsidP="00D26F04">
      <w:pPr>
        <w:pStyle w:val="JAPBODYTEXT"/>
        <w:rPr>
          <w:sz w:val="20"/>
          <w:szCs w:val="20"/>
          <w:lang w:eastAsia="id-ID"/>
        </w:rPr>
      </w:pPr>
      <w:r w:rsidRPr="00934281">
        <w:rPr>
          <w:sz w:val="20"/>
          <w:szCs w:val="20"/>
        </w:rPr>
        <w:t>This dispute occurred because of differences in the interpretation of Customs Law. According to the appeal management party, the determination made by the DGCE is not limited to corrections to tariffs and customs values. The following are the results of an interview with DGCE</w:t>
      </w:r>
      <w:r w:rsidR="00CA5BD9" w:rsidRPr="00934281">
        <w:rPr>
          <w:sz w:val="20"/>
          <w:szCs w:val="20"/>
          <w:lang w:eastAsia="id-ID"/>
        </w:rPr>
        <w:t xml:space="preserve">: </w:t>
      </w:r>
      <w:r w:rsidR="00542914" w:rsidRPr="00934281">
        <w:rPr>
          <w:i/>
          <w:iCs/>
          <w:sz w:val="20"/>
          <w:szCs w:val="20"/>
          <w:lang w:eastAsia="id-ID"/>
        </w:rPr>
        <w:t>"</w:t>
      </w:r>
      <w:r w:rsidRPr="00934281">
        <w:rPr>
          <w:i/>
          <w:iCs/>
          <w:sz w:val="20"/>
          <w:szCs w:val="20"/>
          <w:lang w:eastAsia="id-ID"/>
        </w:rPr>
        <w:t>DGCE determines taxes within the framework of withholding tax. The results of the collection will later become a tax credit (input VAT or PPh Article 22) and become a deduction at the end of the tax period.</w:t>
      </w:r>
      <w:r w:rsidR="00542914" w:rsidRPr="00934281">
        <w:rPr>
          <w:i/>
          <w:iCs/>
          <w:sz w:val="20"/>
          <w:szCs w:val="20"/>
          <w:lang w:eastAsia="id-ID"/>
        </w:rPr>
        <w:t>"</w:t>
      </w:r>
    </w:p>
    <w:p w14:paraId="1F9322F1" w14:textId="0DE2E87C" w:rsidR="00206B6B" w:rsidRPr="00934281" w:rsidRDefault="001722CE" w:rsidP="00473B63">
      <w:pPr>
        <w:pStyle w:val="JAPBODYTEXT"/>
        <w:ind w:firstLine="426"/>
        <w:rPr>
          <w:sz w:val="20"/>
          <w:szCs w:val="20"/>
          <w:lang w:eastAsia="id-ID"/>
        </w:rPr>
      </w:pPr>
      <w:r w:rsidRPr="00934281">
        <w:rPr>
          <w:rStyle w:val="c-pjlv"/>
          <w:color w:val="000000" w:themeColor="text1"/>
          <w:sz w:val="20"/>
          <w:szCs w:val="20"/>
        </w:rPr>
        <w:t>The third cause of the authority dispute is that, according to the Appellant, DGCE has no authority to collect Import VAT through NAIDU. This dispute occurred because of differences in the interpretation of phrase collection in the Taxation Law. According to the DGCE, the determination is an effort to collect taxes for imports. On this matter, there are interview results that do not agree with DGCE</w:t>
      </w:r>
      <w:r w:rsidR="00084CA6" w:rsidRPr="00934281">
        <w:rPr>
          <w:sz w:val="20"/>
          <w:szCs w:val="20"/>
          <w:lang w:eastAsia="id-ID"/>
        </w:rPr>
        <w:t>:</w:t>
      </w:r>
    </w:p>
    <w:p w14:paraId="6AB03DAE" w14:textId="77777777" w:rsidR="00206B6B" w:rsidRPr="00934281" w:rsidRDefault="00206B6B" w:rsidP="00D26F04">
      <w:pPr>
        <w:pStyle w:val="JAPBODYTEXT"/>
        <w:rPr>
          <w:sz w:val="20"/>
          <w:szCs w:val="20"/>
          <w:lang w:eastAsia="id-ID"/>
        </w:rPr>
      </w:pPr>
      <w:r w:rsidRPr="00934281">
        <w:rPr>
          <w:sz w:val="20"/>
          <w:szCs w:val="20"/>
          <w:lang w:eastAsia="id-ID"/>
        </w:rPr>
        <w:t>"</w:t>
      </w:r>
      <w:r w:rsidR="001722CE" w:rsidRPr="00473B63">
        <w:rPr>
          <w:i/>
          <w:iCs/>
          <w:sz w:val="20"/>
          <w:szCs w:val="20"/>
          <w:lang w:eastAsia="id-ID"/>
        </w:rPr>
        <w:t>It is clear in the Taxation General Provisions Law that the authority to make the determination is the DGT. Determination is the process of calculating and determining the tax due to DGT. Because taxes follow a self-assessment system, they are audited by the DGT, calculated officiall</w:t>
      </w:r>
      <w:r w:rsidR="00C73392" w:rsidRPr="00473B63">
        <w:rPr>
          <w:i/>
          <w:iCs/>
          <w:sz w:val="20"/>
          <w:szCs w:val="20"/>
          <w:lang w:eastAsia="id-ID"/>
        </w:rPr>
        <w:t>y.</w:t>
      </w:r>
      <w:r w:rsidRPr="00473B63">
        <w:rPr>
          <w:i/>
          <w:iCs/>
          <w:sz w:val="20"/>
          <w:szCs w:val="20"/>
          <w:lang w:eastAsia="id-ID"/>
        </w:rPr>
        <w:t>"</w:t>
      </w:r>
      <w:r w:rsidR="00C73392" w:rsidRPr="00934281">
        <w:rPr>
          <w:rStyle w:val="Heading1Char"/>
          <w:rFonts w:ascii="Book Antiqua" w:hAnsi="Book Antiqua"/>
          <w:color w:val="000000" w:themeColor="text1"/>
          <w:sz w:val="20"/>
          <w:szCs w:val="20"/>
        </w:rPr>
        <w:t xml:space="preserve"> </w:t>
      </w:r>
      <w:r w:rsidR="00C73392" w:rsidRPr="00934281">
        <w:rPr>
          <w:rStyle w:val="c-pjlv"/>
          <w:color w:val="000000" w:themeColor="text1"/>
          <w:sz w:val="20"/>
          <w:szCs w:val="20"/>
        </w:rPr>
        <w:t>The appellant believes that the DGT has the right to determine the import taxes. The following are the results of interviews with the importer</w:t>
      </w:r>
      <w:r w:rsidRPr="00934281">
        <w:rPr>
          <w:sz w:val="20"/>
          <w:szCs w:val="20"/>
          <w:lang w:eastAsia="id-ID"/>
        </w:rPr>
        <w:t>: "</w:t>
      </w:r>
      <w:r w:rsidR="00C73392" w:rsidRPr="0034608B">
        <w:rPr>
          <w:i/>
          <w:iCs/>
          <w:sz w:val="20"/>
          <w:szCs w:val="20"/>
          <w:lang w:eastAsia="id-ID"/>
        </w:rPr>
        <w:t>DGCE is given the authority to collect and not determine the import tax. There is no regulation stating that DGCE has the right to determine the VAT. Article 16 only mentions import duties, not VAT.</w:t>
      </w:r>
      <w:r w:rsidRPr="00934281">
        <w:rPr>
          <w:sz w:val="20"/>
          <w:szCs w:val="20"/>
          <w:lang w:eastAsia="id-ID"/>
        </w:rPr>
        <w:t>”</w:t>
      </w:r>
    </w:p>
    <w:p w14:paraId="063B3D04" w14:textId="630C960C" w:rsidR="0098032B" w:rsidRPr="00934281" w:rsidRDefault="00C73392" w:rsidP="00473B63">
      <w:pPr>
        <w:pStyle w:val="JAPBODYTEXT"/>
        <w:ind w:firstLine="426"/>
        <w:rPr>
          <w:sz w:val="20"/>
          <w:szCs w:val="20"/>
          <w:lang w:eastAsia="id-ID"/>
        </w:rPr>
      </w:pPr>
      <w:r w:rsidRPr="00934281">
        <w:rPr>
          <w:rStyle w:val="c-pjlv"/>
          <w:color w:val="000000" w:themeColor="text1"/>
          <w:sz w:val="20"/>
          <w:szCs w:val="20"/>
        </w:rPr>
        <w:t>The fourth cause of authority disputes is that the import tax assessment authority is carried out by the DGT and not the DGCE. Importers report import taxes through self-assessment. The consequence of this system is that government institutions have authority to test compliance with tax obligations. The following are the results of interviews with importers</w:t>
      </w:r>
      <w:r w:rsidR="0013003A" w:rsidRPr="00934281">
        <w:rPr>
          <w:sz w:val="20"/>
          <w:szCs w:val="20"/>
          <w:lang w:eastAsia="id-ID"/>
        </w:rPr>
        <w:t>:</w:t>
      </w:r>
    </w:p>
    <w:p w14:paraId="29A07F26" w14:textId="77777777" w:rsidR="0098032B" w:rsidRPr="00934281" w:rsidRDefault="00614B10" w:rsidP="00D26F04">
      <w:pPr>
        <w:pStyle w:val="JAPBODYTEXT"/>
        <w:rPr>
          <w:sz w:val="20"/>
          <w:szCs w:val="20"/>
          <w:lang w:eastAsia="id-ID"/>
        </w:rPr>
      </w:pPr>
      <w:r w:rsidRPr="00934281">
        <w:rPr>
          <w:sz w:val="20"/>
          <w:szCs w:val="20"/>
          <w:lang w:eastAsia="id-ID"/>
        </w:rPr>
        <w:t>"</w:t>
      </w:r>
      <w:r w:rsidR="00C73392" w:rsidRPr="00473B63">
        <w:rPr>
          <w:i/>
          <w:iCs/>
          <w:sz w:val="20"/>
          <w:szCs w:val="20"/>
          <w:lang w:eastAsia="id-ID"/>
        </w:rPr>
        <w:t>The DGT can issue Notice of Tax Underpayment Assessment. However, thus far, there has been no DGT determination of the import tax. This is what I think is unusual. Although clear, DGCE can provide recommendations for the DGT. Every year, we also conduct tax audits. As soon as a taxpayer is checked, the DGCE information should be collected, totaled, then a Notice of Tax Underpayment Assessment will be issued if there is a payment shortfall.</w:t>
      </w:r>
      <w:r w:rsidRPr="00473B63">
        <w:rPr>
          <w:i/>
          <w:iCs/>
          <w:sz w:val="20"/>
          <w:szCs w:val="20"/>
          <w:lang w:eastAsia="id-ID"/>
        </w:rPr>
        <w:t>"</w:t>
      </w:r>
    </w:p>
    <w:p w14:paraId="0D3A8D3B" w14:textId="77777777" w:rsidR="00641A83" w:rsidRPr="00934281" w:rsidRDefault="00AC5974" w:rsidP="00D26F04">
      <w:pPr>
        <w:pStyle w:val="JAPBODYTEXT"/>
        <w:rPr>
          <w:sz w:val="20"/>
          <w:szCs w:val="20"/>
          <w:lang w:eastAsia="id-ID"/>
        </w:rPr>
      </w:pPr>
      <w:r w:rsidRPr="00934281">
        <w:rPr>
          <w:sz w:val="20"/>
          <w:szCs w:val="20"/>
        </w:rPr>
        <w:t>This dispute occurred because of differences in interpretation between the DGCE and the appellant regarding who had authority to conduct checks on the suitability of import tax reporting. DGCE believes that they have the authority to determine for the time of import up to 2 (two) years, as stipulated in Article 17 of the Customs Law. The following is an opinion from the DGCE Appeal Management Party</w:t>
      </w:r>
      <w:r w:rsidR="00E85FA2" w:rsidRPr="00934281">
        <w:rPr>
          <w:sz w:val="20"/>
          <w:szCs w:val="20"/>
          <w:lang w:eastAsia="id-ID"/>
        </w:rPr>
        <w:t>:</w:t>
      </w:r>
    </w:p>
    <w:p w14:paraId="1A48BB4C" w14:textId="2728A7FF" w:rsidR="00B25DF3" w:rsidRPr="00473B63" w:rsidRDefault="008B4CA4" w:rsidP="00D26F04">
      <w:pPr>
        <w:pStyle w:val="JAPBODYTEXT"/>
        <w:rPr>
          <w:i/>
          <w:iCs/>
          <w:sz w:val="20"/>
          <w:szCs w:val="20"/>
          <w:lang w:eastAsia="id-ID"/>
        </w:rPr>
      </w:pPr>
      <w:r w:rsidRPr="00473B63">
        <w:rPr>
          <w:i/>
          <w:iCs/>
          <w:sz w:val="20"/>
          <w:szCs w:val="20"/>
          <w:lang w:eastAsia="id-ID"/>
        </w:rPr>
        <w:t>"</w:t>
      </w:r>
      <w:r w:rsidR="00AC5974" w:rsidRPr="00473B63">
        <w:rPr>
          <w:i/>
          <w:iCs/>
          <w:sz w:val="20"/>
          <w:szCs w:val="20"/>
          <w:lang w:eastAsia="id-ID"/>
        </w:rPr>
        <w:t>DGCE has the right in the context of collecting (withholding tax). The VAT Law states that the DGCE has authority to collect (withholding taxes). Later, the DGT will conduct an examination of annual tax returns</w:t>
      </w:r>
      <w:r w:rsidR="00F551A5">
        <w:rPr>
          <w:i/>
          <w:iCs/>
          <w:sz w:val="20"/>
          <w:szCs w:val="20"/>
          <w:lang w:eastAsia="id-ID"/>
        </w:rPr>
        <w:t xml:space="preserve"> to determine final tax decisions</w:t>
      </w:r>
      <w:r w:rsidR="00AC5974" w:rsidRPr="00473B63">
        <w:rPr>
          <w:i/>
          <w:iCs/>
          <w:sz w:val="20"/>
          <w:szCs w:val="20"/>
          <w:lang w:eastAsia="id-ID"/>
        </w:rPr>
        <w:t>.</w:t>
      </w:r>
      <w:r w:rsidRPr="00473B63">
        <w:rPr>
          <w:i/>
          <w:iCs/>
          <w:sz w:val="20"/>
          <w:szCs w:val="20"/>
          <w:lang w:eastAsia="id-ID"/>
        </w:rPr>
        <w:t>"</w:t>
      </w:r>
    </w:p>
    <w:p w14:paraId="73460230" w14:textId="77777777" w:rsidR="009422C7" w:rsidRPr="00934281" w:rsidRDefault="009422C7" w:rsidP="00D26F04">
      <w:pPr>
        <w:pStyle w:val="JAPBODYTEXT"/>
        <w:rPr>
          <w:sz w:val="20"/>
          <w:szCs w:val="20"/>
          <w:lang w:eastAsia="id-ID"/>
        </w:rPr>
      </w:pPr>
    </w:p>
    <w:p w14:paraId="5FCED263" w14:textId="77777777" w:rsidR="009422C7" w:rsidRPr="00473B63" w:rsidRDefault="00A24436" w:rsidP="00D26F04">
      <w:pPr>
        <w:pStyle w:val="JAPBODYTEXT"/>
        <w:rPr>
          <w:b/>
          <w:bCs/>
          <w:sz w:val="20"/>
          <w:szCs w:val="20"/>
          <w:lang w:eastAsia="id-ID"/>
        </w:rPr>
      </w:pPr>
      <w:r w:rsidRPr="00473B63">
        <w:rPr>
          <w:b/>
          <w:bCs/>
          <w:sz w:val="20"/>
          <w:szCs w:val="20"/>
          <w:lang w:eastAsia="id-ID"/>
        </w:rPr>
        <w:t>Examiner</w:t>
      </w:r>
    </w:p>
    <w:p w14:paraId="0E704C51" w14:textId="77777777" w:rsidR="00B60EE4" w:rsidRDefault="00491B9A" w:rsidP="00B60EE4">
      <w:pPr>
        <w:pStyle w:val="JAPBODYTEXT"/>
        <w:ind w:firstLine="426"/>
        <w:rPr>
          <w:sz w:val="20"/>
          <w:szCs w:val="20"/>
          <w:lang w:eastAsia="id-ID"/>
        </w:rPr>
      </w:pPr>
      <w:r w:rsidRPr="00934281">
        <w:rPr>
          <w:sz w:val="20"/>
          <w:szCs w:val="20"/>
        </w:rPr>
        <w:t>Based on the Minister of Finance Regulation Number PMK-184/PMK.04/2014, Customs and Excise Inspectors are Civil Servants who are functionally given full duties, responsibilities, authority, and rights by authorized officials to carry out customs and excise inspections, prevent violations of laws and regulations, and investigate criminal acts in the field of customs and excise. The main point of this dispute is related to the results of the analysis, which concluded that DGCE examiners lacked competence, communication, and evidence collection.</w:t>
      </w:r>
    </w:p>
    <w:p w14:paraId="65B9858A" w14:textId="341BEC6A" w:rsidR="00B60EE4" w:rsidRDefault="00007A3F" w:rsidP="00B60EE4">
      <w:pPr>
        <w:pStyle w:val="JAPBODYTEXT"/>
        <w:ind w:firstLine="426"/>
        <w:rPr>
          <w:sz w:val="20"/>
          <w:szCs w:val="20"/>
          <w:lang w:eastAsia="id-ID"/>
        </w:rPr>
      </w:pPr>
      <w:r w:rsidRPr="00934281">
        <w:rPr>
          <w:sz w:val="20"/>
          <w:szCs w:val="20"/>
        </w:rPr>
        <w:t>The first relates to the competency of DGCE examiners in carrying out import tax inspections. Competency includes the skills and knowledge of the examiners. The appellant stated that the examination was not in accordance with their competencies. This is because customs examiners are only considered to have competence related to customs and excise matters. The audit was related to tax matters. On the other hand, DGCE in an interview conducted said that</w:t>
      </w:r>
      <w:r w:rsidR="00B54A11" w:rsidRPr="00934281">
        <w:rPr>
          <w:sz w:val="20"/>
          <w:szCs w:val="20"/>
          <w:lang w:eastAsia="id-ID"/>
        </w:rPr>
        <w:t xml:space="preserve">: </w:t>
      </w:r>
      <w:r w:rsidRPr="00934281">
        <w:rPr>
          <w:i/>
          <w:iCs/>
          <w:sz w:val="20"/>
          <w:szCs w:val="20"/>
          <w:lang w:eastAsia="id-ID"/>
        </w:rPr>
        <w:t>"Competencies that must be possessed by functional officer have been regulated in ministerial regulations including managerial competence, technical competence and social and cultural competence and of course every functional officer must take special education and assessment."</w:t>
      </w:r>
    </w:p>
    <w:p w14:paraId="42BF0220" w14:textId="534483E2" w:rsidR="00B60EE4" w:rsidRDefault="00007A3F" w:rsidP="00B60EE4">
      <w:pPr>
        <w:pStyle w:val="JAPBODYTEXT"/>
        <w:rPr>
          <w:sz w:val="20"/>
          <w:szCs w:val="20"/>
          <w:lang w:eastAsia="id-ID"/>
        </w:rPr>
      </w:pPr>
      <w:r w:rsidRPr="00934281">
        <w:rPr>
          <w:rStyle w:val="c-pjlv"/>
          <w:color w:val="000000" w:themeColor="text1"/>
          <w:sz w:val="20"/>
          <w:szCs w:val="20"/>
        </w:rPr>
        <w:t>The examiner also said that audits always base their findings on latest regulations. If there are differences in opinion between examiners and importers, discussions can be held with the Technical Directorate regarding this matter. Furthermore, before the final Audit Report is decided, the Customs and Excise Audit Directorate always performs Quality Assurance.</w:t>
      </w:r>
    </w:p>
    <w:p w14:paraId="0C6EC8A5" w14:textId="4DF442A7" w:rsidR="00540D0D" w:rsidRPr="00934281" w:rsidRDefault="00B411A3" w:rsidP="00B60EE4">
      <w:pPr>
        <w:pStyle w:val="JAPBODYTEXT"/>
        <w:ind w:firstLine="426"/>
        <w:rPr>
          <w:sz w:val="20"/>
          <w:szCs w:val="20"/>
          <w:lang w:eastAsia="id-ID"/>
        </w:rPr>
      </w:pPr>
      <w:r w:rsidRPr="00934281">
        <w:rPr>
          <w:rStyle w:val="c-pjlv"/>
          <w:color w:val="000000" w:themeColor="text1"/>
          <w:sz w:val="20"/>
          <w:szCs w:val="20"/>
        </w:rPr>
        <w:lastRenderedPageBreak/>
        <w:t>The second reason is related to communication. Communication is an important skill for examiners. The following are the results of interviews with importers</w:t>
      </w:r>
      <w:r w:rsidR="00540D0D" w:rsidRPr="00934281">
        <w:rPr>
          <w:sz w:val="20"/>
          <w:szCs w:val="20"/>
          <w:lang w:eastAsia="id-ID"/>
        </w:rPr>
        <w:t>: "</w:t>
      </w:r>
      <w:r w:rsidR="00376D90">
        <w:rPr>
          <w:i/>
          <w:iCs/>
          <w:sz w:val="20"/>
          <w:szCs w:val="20"/>
          <w:lang w:eastAsia="id-ID"/>
        </w:rPr>
        <w:t>T</w:t>
      </w:r>
      <w:r w:rsidRPr="00934281">
        <w:rPr>
          <w:i/>
          <w:iCs/>
          <w:sz w:val="20"/>
          <w:szCs w:val="20"/>
          <w:lang w:eastAsia="id-ID"/>
        </w:rPr>
        <w:t>here is insufficient communication with Customs and Excise. We can simply hang around them. NAIDU cannot be rejected. So the only way to voice the company's opinion is to file an appeal.”</w:t>
      </w:r>
      <w:r w:rsidRPr="00934281">
        <w:rPr>
          <w:rStyle w:val="Heading1Char"/>
          <w:rFonts w:ascii="Book Antiqua" w:hAnsi="Book Antiqua"/>
          <w:color w:val="000000" w:themeColor="text1"/>
          <w:sz w:val="20"/>
          <w:szCs w:val="20"/>
        </w:rPr>
        <w:t xml:space="preserve"> </w:t>
      </w:r>
      <w:r w:rsidRPr="00934281">
        <w:rPr>
          <w:rStyle w:val="c-pjlv"/>
          <w:color w:val="000000" w:themeColor="text1"/>
          <w:sz w:val="20"/>
          <w:szCs w:val="20"/>
        </w:rPr>
        <w:t>This dispute occurred because of a communication failure between the DGCE and the appellant. When conducting re-examinations and audits, examiners are given the authority to request document data and confirm them with importers. Importers also have the right to provide clarification, supported by relevant evidence and documents. However, this process is not effective. This is, as stated by the DGCE examiner</w:t>
      </w:r>
      <w:r w:rsidR="00093EEC" w:rsidRPr="00934281">
        <w:rPr>
          <w:sz w:val="20"/>
          <w:szCs w:val="20"/>
          <w:lang w:eastAsia="id-ID"/>
        </w:rPr>
        <w:t>:</w:t>
      </w:r>
    </w:p>
    <w:p w14:paraId="1114271A" w14:textId="77777777" w:rsidR="00C71CF1" w:rsidRPr="00934281" w:rsidRDefault="00C71CF1" w:rsidP="00D26F04">
      <w:pPr>
        <w:pStyle w:val="JAPBODYTEXT"/>
        <w:rPr>
          <w:sz w:val="20"/>
          <w:szCs w:val="20"/>
          <w:lang w:eastAsia="id-ID"/>
        </w:rPr>
      </w:pPr>
      <w:r w:rsidRPr="00934281">
        <w:rPr>
          <w:sz w:val="20"/>
          <w:szCs w:val="20"/>
          <w:lang w:eastAsia="id-ID"/>
        </w:rPr>
        <w:t>"</w:t>
      </w:r>
      <w:r w:rsidR="00B411A3" w:rsidRPr="00B60EE4">
        <w:rPr>
          <w:i/>
          <w:iCs/>
          <w:sz w:val="20"/>
          <w:szCs w:val="20"/>
          <w:lang w:eastAsia="id-ID"/>
        </w:rPr>
        <w:t>Communication, both to the team and to the auditee, must be good. For example, if audited, the company should not feel oppressed. Communication must be good so that the data runs smoothly. For example, if there is a problem, I try to pinch it, but it does not hurt. Audits disturb the company's time, money and energy.</w:t>
      </w:r>
      <w:r w:rsidRPr="00B60EE4">
        <w:rPr>
          <w:i/>
          <w:iCs/>
          <w:sz w:val="20"/>
          <w:szCs w:val="20"/>
          <w:lang w:eastAsia="id-ID"/>
        </w:rPr>
        <w:t>"</w:t>
      </w:r>
    </w:p>
    <w:p w14:paraId="4D2CDD06" w14:textId="0A9AC364" w:rsidR="00557F1F" w:rsidRPr="00934281" w:rsidRDefault="00FB1171" w:rsidP="00B60EE4">
      <w:pPr>
        <w:pStyle w:val="JAPBODYTEXT"/>
        <w:ind w:firstLine="426"/>
        <w:rPr>
          <w:sz w:val="20"/>
          <w:szCs w:val="20"/>
          <w:lang w:eastAsia="id-ID"/>
        </w:rPr>
      </w:pPr>
      <w:r w:rsidRPr="00934281">
        <w:rPr>
          <w:rStyle w:val="c-pjlv"/>
          <w:color w:val="000000" w:themeColor="text1"/>
          <w:sz w:val="20"/>
          <w:szCs w:val="20"/>
        </w:rPr>
        <w:t xml:space="preserve">The third reason is related to the collection of evidence. </w:t>
      </w:r>
      <w:r w:rsidR="00FB03DB">
        <w:rPr>
          <w:rStyle w:val="c-pjlv"/>
          <w:color w:val="000000" w:themeColor="text1"/>
          <w:sz w:val="20"/>
          <w:szCs w:val="20"/>
        </w:rPr>
        <w:t>T</w:t>
      </w:r>
      <w:r w:rsidRPr="00934281">
        <w:rPr>
          <w:rStyle w:val="c-pjlv"/>
          <w:color w:val="000000" w:themeColor="text1"/>
          <w:sz w:val="20"/>
          <w:szCs w:val="20"/>
        </w:rPr>
        <w:t>he appellant's arguments can refute the evidence presented by the DGCE. The evidence submitted regarding the composition of goods uses the laboratory results. In relation to imported goods, laboratory testing is conducted by the Customs and Excise Laboratory Center (CELC). The use of the CELC gives rise to disputes according to the results of the following interview:</w:t>
      </w:r>
    </w:p>
    <w:p w14:paraId="4D27FB15" w14:textId="42911D12" w:rsidR="00557F1F" w:rsidRPr="00B60EE4" w:rsidRDefault="00557F1F" w:rsidP="00D26F04">
      <w:pPr>
        <w:pStyle w:val="JAPBODYTEXT"/>
        <w:rPr>
          <w:i/>
          <w:iCs/>
          <w:sz w:val="20"/>
          <w:szCs w:val="20"/>
          <w:lang w:eastAsia="id-ID"/>
        </w:rPr>
      </w:pPr>
      <w:r w:rsidRPr="00B60EE4">
        <w:rPr>
          <w:i/>
          <w:iCs/>
          <w:sz w:val="20"/>
          <w:szCs w:val="20"/>
          <w:lang w:eastAsia="id-ID"/>
        </w:rPr>
        <w:t>“</w:t>
      </w:r>
      <w:r w:rsidR="00FB1171" w:rsidRPr="00B60EE4">
        <w:rPr>
          <w:i/>
          <w:iCs/>
          <w:sz w:val="20"/>
          <w:szCs w:val="20"/>
          <w:lang w:eastAsia="id-ID"/>
        </w:rPr>
        <w:t xml:space="preserve">If you use the CELC, there is an assumption that there is a tendency for the lab results to benefit from DGCE. We do not know the competency of the examiners at the CELC. How independency is CELC when it is on the DGCE’s side. The method of testing is only </w:t>
      </w:r>
      <w:r w:rsidR="00FB03DB">
        <w:rPr>
          <w:i/>
          <w:iCs/>
          <w:sz w:val="20"/>
          <w:szCs w:val="20"/>
          <w:lang w:eastAsia="id-ID"/>
        </w:rPr>
        <w:t>common</w:t>
      </w:r>
      <w:r w:rsidR="00FB1171" w:rsidRPr="00B60EE4">
        <w:rPr>
          <w:i/>
          <w:iCs/>
          <w:sz w:val="20"/>
          <w:szCs w:val="20"/>
          <w:lang w:eastAsia="id-ID"/>
        </w:rPr>
        <w:t>, it doesn't go deep</w:t>
      </w:r>
      <w:r w:rsidRPr="00B60EE4">
        <w:rPr>
          <w:i/>
          <w:iCs/>
          <w:sz w:val="20"/>
          <w:szCs w:val="20"/>
          <w:lang w:eastAsia="id-ID"/>
        </w:rPr>
        <w:t>."</w:t>
      </w:r>
    </w:p>
    <w:p w14:paraId="11D82E8C" w14:textId="77777777" w:rsidR="00557F1F" w:rsidRPr="00934281" w:rsidRDefault="00FB1171" w:rsidP="00D26F04">
      <w:pPr>
        <w:pStyle w:val="JAPBODYTEXT"/>
        <w:rPr>
          <w:sz w:val="20"/>
          <w:szCs w:val="20"/>
          <w:lang w:eastAsia="id-ID"/>
        </w:rPr>
      </w:pPr>
      <w:r w:rsidRPr="00934281">
        <w:rPr>
          <w:sz w:val="20"/>
          <w:szCs w:val="20"/>
        </w:rPr>
        <w:t>However, the DGCE examiner said</w:t>
      </w:r>
      <w:r w:rsidR="00557F1F" w:rsidRPr="00934281">
        <w:rPr>
          <w:sz w:val="20"/>
          <w:szCs w:val="20"/>
          <w:lang w:eastAsia="id-ID"/>
        </w:rPr>
        <w:t>:</w:t>
      </w:r>
    </w:p>
    <w:p w14:paraId="2D7E6323" w14:textId="34F64764" w:rsidR="00557F1F" w:rsidRPr="00934281" w:rsidRDefault="00557F1F" w:rsidP="00D26F04">
      <w:pPr>
        <w:pStyle w:val="JAPBODYTEXT"/>
        <w:rPr>
          <w:sz w:val="20"/>
          <w:szCs w:val="20"/>
          <w:lang w:eastAsia="id-ID"/>
        </w:rPr>
      </w:pPr>
      <w:r w:rsidRPr="00934281">
        <w:rPr>
          <w:sz w:val="20"/>
          <w:szCs w:val="20"/>
          <w:lang w:eastAsia="id-ID"/>
        </w:rPr>
        <w:t>"</w:t>
      </w:r>
      <w:r w:rsidR="00FB03DB">
        <w:rPr>
          <w:i/>
          <w:iCs/>
          <w:sz w:val="20"/>
          <w:szCs w:val="20"/>
        </w:rPr>
        <w:t>W</w:t>
      </w:r>
      <w:r w:rsidR="00FB1171" w:rsidRPr="00B60EE4">
        <w:rPr>
          <w:i/>
          <w:iCs/>
          <w:sz w:val="20"/>
          <w:szCs w:val="20"/>
          <w:lang w:eastAsia="id-ID"/>
        </w:rPr>
        <w:t>e ask the competent party related to chemical goods, namely CELC</w:t>
      </w:r>
      <w:r w:rsidR="00FB03DB">
        <w:rPr>
          <w:i/>
          <w:iCs/>
          <w:sz w:val="20"/>
          <w:szCs w:val="20"/>
          <w:lang w:eastAsia="id-ID"/>
        </w:rPr>
        <w:t>, t</w:t>
      </w:r>
      <w:r w:rsidR="00FB1171" w:rsidRPr="00B60EE4">
        <w:rPr>
          <w:i/>
          <w:iCs/>
          <w:sz w:val="20"/>
          <w:szCs w:val="20"/>
          <w:lang w:eastAsia="id-ID"/>
        </w:rPr>
        <w:t>o carry out tests and take samples. We believe that they are independent, because they have a code of ethics. These were functional lab examiners. They were professional and competent in carrying out this test. There are also regulations that require that when it comes to imported goods, CELC must conduct laboratory tests.</w:t>
      </w:r>
      <w:r w:rsidRPr="00B60EE4">
        <w:rPr>
          <w:i/>
          <w:iCs/>
          <w:sz w:val="20"/>
          <w:szCs w:val="20"/>
          <w:lang w:eastAsia="id-ID"/>
        </w:rPr>
        <w:t>"</w:t>
      </w:r>
    </w:p>
    <w:p w14:paraId="64AE0AFB" w14:textId="77777777" w:rsidR="00276AF0" w:rsidRPr="00934281" w:rsidRDefault="00276AF0" w:rsidP="00D26F04">
      <w:pPr>
        <w:pStyle w:val="JAPBODYTEXT"/>
        <w:rPr>
          <w:sz w:val="20"/>
          <w:szCs w:val="20"/>
          <w:lang w:eastAsia="id-ID"/>
        </w:rPr>
      </w:pPr>
    </w:p>
    <w:p w14:paraId="03E83427" w14:textId="77777777" w:rsidR="00557F1F" w:rsidRPr="004D0433" w:rsidRDefault="00434550" w:rsidP="00D26F04">
      <w:pPr>
        <w:pStyle w:val="JAPBODYTEXT"/>
        <w:rPr>
          <w:b/>
          <w:bCs/>
          <w:sz w:val="20"/>
          <w:szCs w:val="20"/>
          <w:lang w:eastAsia="id-ID"/>
        </w:rPr>
      </w:pPr>
      <w:r w:rsidRPr="004D0433">
        <w:rPr>
          <w:b/>
          <w:bCs/>
          <w:sz w:val="20"/>
          <w:szCs w:val="20"/>
          <w:lang w:eastAsia="id-ID"/>
        </w:rPr>
        <w:t>Importers</w:t>
      </w:r>
    </w:p>
    <w:p w14:paraId="7E255E08" w14:textId="1B3A0B21" w:rsidR="008453E2" w:rsidRPr="00934281" w:rsidRDefault="003155E5" w:rsidP="004D0433">
      <w:pPr>
        <w:pStyle w:val="JAPBODYTEXT"/>
        <w:ind w:firstLine="426"/>
        <w:rPr>
          <w:b/>
          <w:bCs/>
          <w:sz w:val="20"/>
          <w:szCs w:val="20"/>
          <w:lang w:eastAsia="id-ID"/>
        </w:rPr>
      </w:pPr>
      <w:r w:rsidRPr="00934281">
        <w:rPr>
          <w:sz w:val="20"/>
          <w:szCs w:val="20"/>
        </w:rPr>
        <w:t>The importer is a party that submits an appeal regarding import taxes. The main dispute relates to the results of the thematic analysis of the interviews with importers. There are 5 (five) causes from the importer’s perspective: the purpose of the facility, inequality in the application of tax facilities, lack of legal certainty, goods have left the factory at the time of determination, and input VAT cannot be credited. The first is related to the purpose of the tax facilities provided by the government. The aim of the import tax exemption for animal feed based on Government Regulation Number 81 of 2015 is to encourage national development, so that several types of goods are exempt from VAT. However, this provision is subject to restrictions regarding the types of goods that can be applied for exemption, namely, PMK-267/PMK.010/2015 and PMK-142/PMK.010/2017. These restrictions include the types of goods that can be exempted and the HS codes of goods. According to this appellant, this violates the aim of providing tax facilities. This is in accordance with the results of interviews with importers:</w:t>
      </w:r>
      <w:r w:rsidR="006E7027" w:rsidRPr="00934281">
        <w:rPr>
          <w:b/>
          <w:bCs/>
          <w:sz w:val="20"/>
          <w:szCs w:val="20"/>
          <w:lang w:eastAsia="id-ID"/>
        </w:rPr>
        <w:t xml:space="preserve"> </w:t>
      </w:r>
      <w:r w:rsidR="008453E2" w:rsidRPr="00934281">
        <w:rPr>
          <w:i/>
          <w:iCs/>
          <w:sz w:val="20"/>
          <w:szCs w:val="20"/>
          <w:lang w:eastAsia="id-ID"/>
        </w:rPr>
        <w:t>"</w:t>
      </w:r>
      <w:r w:rsidRPr="00934281">
        <w:rPr>
          <w:i/>
          <w:iCs/>
          <w:sz w:val="20"/>
          <w:szCs w:val="20"/>
          <w:lang w:eastAsia="id-ID"/>
        </w:rPr>
        <w:t>The purpos</w:t>
      </w:r>
      <w:r w:rsidR="00E907DD" w:rsidRPr="00934281">
        <w:rPr>
          <w:i/>
          <w:iCs/>
          <w:sz w:val="20"/>
          <w:szCs w:val="20"/>
          <w:lang w:eastAsia="id-ID"/>
        </w:rPr>
        <w:t>e</w:t>
      </w:r>
      <w:r w:rsidRPr="00934281">
        <w:rPr>
          <w:i/>
          <w:iCs/>
          <w:sz w:val="20"/>
          <w:szCs w:val="20"/>
          <w:lang w:eastAsia="id-ID"/>
        </w:rPr>
        <w:t xml:space="preserve"> is that VAT exemption for animal feed does not burden consumers. In fact, the raw materials do not get exemption but the animal feed cannot be credited because it is a strategic item.</w:t>
      </w:r>
      <w:r w:rsidR="008453E2" w:rsidRPr="00934281">
        <w:rPr>
          <w:i/>
          <w:iCs/>
          <w:sz w:val="20"/>
          <w:szCs w:val="20"/>
          <w:lang w:eastAsia="id-ID"/>
        </w:rPr>
        <w:t>"</w:t>
      </w:r>
      <w:r w:rsidR="00266BEE" w:rsidRPr="00934281">
        <w:rPr>
          <w:b/>
          <w:bCs/>
          <w:sz w:val="20"/>
          <w:szCs w:val="20"/>
          <w:lang w:eastAsia="id-ID"/>
        </w:rPr>
        <w:t xml:space="preserve"> </w:t>
      </w:r>
      <w:r w:rsidR="00E907DD" w:rsidRPr="00934281">
        <w:rPr>
          <w:rStyle w:val="c-pjlv"/>
          <w:color w:val="000000" w:themeColor="text1"/>
          <w:sz w:val="20"/>
          <w:szCs w:val="20"/>
        </w:rPr>
        <w:t>This dispute occurred because of the differences in orientation. The government sees the purpose of this acquittal within a broader scope than the appellant. This was conveyed in an interview with the regulator as follows</w:t>
      </w:r>
      <w:r w:rsidR="00D364E2" w:rsidRPr="00934281">
        <w:rPr>
          <w:sz w:val="20"/>
          <w:szCs w:val="20"/>
          <w:lang w:eastAsia="id-ID"/>
        </w:rPr>
        <w:t>:</w:t>
      </w:r>
    </w:p>
    <w:p w14:paraId="7A955D00" w14:textId="6DAC7846" w:rsidR="008453E2" w:rsidRPr="00934281" w:rsidRDefault="008453E2" w:rsidP="00D26F04">
      <w:pPr>
        <w:pStyle w:val="JAPBODYTEXT"/>
        <w:rPr>
          <w:sz w:val="20"/>
          <w:szCs w:val="20"/>
          <w:lang w:eastAsia="id-ID"/>
        </w:rPr>
      </w:pPr>
      <w:r w:rsidRPr="00934281">
        <w:rPr>
          <w:sz w:val="20"/>
          <w:szCs w:val="20"/>
          <w:lang w:eastAsia="id-ID"/>
        </w:rPr>
        <w:t>"</w:t>
      </w:r>
      <w:r w:rsidR="00E907DD" w:rsidRPr="004D0433">
        <w:rPr>
          <w:i/>
          <w:iCs/>
          <w:sz w:val="20"/>
          <w:szCs w:val="20"/>
          <w:lang w:eastAsia="id-ID"/>
        </w:rPr>
        <w:t>The purpose of this VAT exemption for animal feed is to support Ministry of Agriculture and the Ministry of Maritime Affairs and Fisheries in providing meat in Indonesia. The Ministry of Finance provides facilities related to VAT charges. In general, this goal is achieved. Cheaper animal feed has been achieved.</w:t>
      </w:r>
      <w:r w:rsidRPr="004D0433">
        <w:rPr>
          <w:i/>
          <w:iCs/>
          <w:sz w:val="20"/>
          <w:szCs w:val="20"/>
          <w:lang w:eastAsia="id-ID"/>
        </w:rPr>
        <w:t>”</w:t>
      </w:r>
    </w:p>
    <w:p w14:paraId="4F1DD231" w14:textId="0C8F0FDE" w:rsidR="00957CBA" w:rsidRPr="00934281" w:rsidRDefault="00751C91" w:rsidP="004D0433">
      <w:pPr>
        <w:pStyle w:val="JAPBODYTEXT"/>
        <w:ind w:firstLine="426"/>
        <w:rPr>
          <w:sz w:val="20"/>
          <w:szCs w:val="20"/>
          <w:lang w:eastAsia="id-ID"/>
        </w:rPr>
      </w:pPr>
      <w:r w:rsidRPr="00934281">
        <w:rPr>
          <w:rStyle w:val="c-pjlv"/>
          <w:color w:val="000000" w:themeColor="text1"/>
          <w:sz w:val="20"/>
          <w:szCs w:val="20"/>
        </w:rPr>
        <w:t>The second cause is related to the unequal application of tax facilities. The appellant believes that there are more detailed regulations in PMK-267/PMK.010/2015 and PMK-142/PMK.010/2017 that trigger inequality in the application of tax facilities. This is because, for companies operating in the same industry, some receive tax facilities, and some do not get tax facilities. The following excerpt is from an interview with the importer:</w:t>
      </w:r>
      <w:r w:rsidR="00EE4D12" w:rsidRPr="00934281">
        <w:rPr>
          <w:sz w:val="20"/>
          <w:szCs w:val="20"/>
          <w:lang w:eastAsia="id-ID"/>
        </w:rPr>
        <w:t xml:space="preserve"> </w:t>
      </w:r>
      <w:r w:rsidRPr="00934281">
        <w:rPr>
          <w:i/>
          <w:iCs/>
          <w:sz w:val="20"/>
          <w:szCs w:val="20"/>
          <w:lang w:eastAsia="id-ID"/>
        </w:rPr>
        <w:t>“Attachment is also compartmentalized. Separation of animal feed and fish feed. The government is half-hearted in providing this policy.</w:t>
      </w:r>
      <w:r w:rsidR="00957CBA" w:rsidRPr="00934281">
        <w:rPr>
          <w:i/>
          <w:iCs/>
          <w:sz w:val="20"/>
          <w:szCs w:val="20"/>
          <w:lang w:eastAsia="id-ID"/>
        </w:rPr>
        <w:t>”</w:t>
      </w:r>
      <w:r w:rsidR="00F752EB" w:rsidRPr="00934281">
        <w:rPr>
          <w:sz w:val="20"/>
          <w:szCs w:val="20"/>
          <w:lang w:eastAsia="id-ID"/>
        </w:rPr>
        <w:t xml:space="preserve"> </w:t>
      </w:r>
      <w:r w:rsidR="007B36B3" w:rsidRPr="00934281">
        <w:rPr>
          <w:rStyle w:val="c-pjlv"/>
          <w:color w:val="000000" w:themeColor="text1"/>
          <w:sz w:val="20"/>
          <w:szCs w:val="20"/>
        </w:rPr>
        <w:t>This dispute occurred because of differences in orientation between the DGCE and the appellant. The appellant is oriented towards his need to obtain tax facilities, so that product selling prices become cheaper. Fiskal Policy Agency (FPA) and DGT in drafting regulations have considered various factors, and the details of goods that receive exemptions are suggested by the Technical Ministry. The following is an excerpt from an interview with the regulator</w:t>
      </w:r>
      <w:r w:rsidR="00D364E2" w:rsidRPr="00934281">
        <w:rPr>
          <w:sz w:val="20"/>
          <w:szCs w:val="20"/>
          <w:lang w:eastAsia="id-ID"/>
        </w:rPr>
        <w:t>:</w:t>
      </w:r>
    </w:p>
    <w:p w14:paraId="4615921E" w14:textId="77D5497C" w:rsidR="000213B1" w:rsidRPr="004D0433" w:rsidRDefault="00957CBA" w:rsidP="00D26F04">
      <w:pPr>
        <w:pStyle w:val="JAPBODYTEXT"/>
        <w:rPr>
          <w:i/>
          <w:iCs/>
          <w:sz w:val="20"/>
          <w:szCs w:val="20"/>
          <w:lang w:val="en-AU" w:eastAsia="id-ID"/>
        </w:rPr>
      </w:pPr>
      <w:r w:rsidRPr="004D0433">
        <w:rPr>
          <w:i/>
          <w:iCs/>
          <w:sz w:val="20"/>
          <w:szCs w:val="20"/>
          <w:lang w:val="en-AU" w:eastAsia="id-ID"/>
        </w:rPr>
        <w:lastRenderedPageBreak/>
        <w:t>“</w:t>
      </w:r>
      <w:r w:rsidR="007B36B3" w:rsidRPr="004D0433">
        <w:rPr>
          <w:i/>
          <w:iCs/>
          <w:sz w:val="20"/>
          <w:szCs w:val="20"/>
        </w:rPr>
        <w:t>We do not discriminate in providing this facility. If the company meets the details and criteria, it is entitled to receive facilities. Fish feed and animal feed are separated into different attachments because we get recommendations from 2 Ministries, namely the Ministry of Agriculture and the Ministry of Maritime Affairs and Fisheries.</w:t>
      </w:r>
      <w:r w:rsidRPr="004D0433">
        <w:rPr>
          <w:i/>
          <w:iCs/>
          <w:sz w:val="20"/>
          <w:szCs w:val="20"/>
        </w:rPr>
        <w:t>"</w:t>
      </w:r>
    </w:p>
    <w:p w14:paraId="2ADE7148" w14:textId="45335AF6" w:rsidR="004D0433" w:rsidRDefault="007B36B3" w:rsidP="004D0433">
      <w:pPr>
        <w:pStyle w:val="JAPBODYTEXT"/>
        <w:ind w:firstLine="426"/>
        <w:rPr>
          <w:sz w:val="20"/>
          <w:szCs w:val="20"/>
          <w:lang w:eastAsia="id-ID"/>
        </w:rPr>
      </w:pPr>
      <w:r w:rsidRPr="00934281">
        <w:rPr>
          <w:rStyle w:val="c-pjlv"/>
          <w:color w:val="000000" w:themeColor="text1"/>
          <w:sz w:val="20"/>
          <w:szCs w:val="20"/>
        </w:rPr>
        <w:t>The third reason is appellants’ lack of legal certainty. Changes in import tax regulations and different results of appeal disputes with the same material give rise to legal uncertainty. Certainty is needed because, within that time period, the appellant must still carry out his business activities. The following are the results of interviews with importers</w:t>
      </w:r>
      <w:r w:rsidR="00EE4D12" w:rsidRPr="00934281">
        <w:rPr>
          <w:sz w:val="20"/>
          <w:szCs w:val="20"/>
          <w:lang w:eastAsia="id-ID"/>
        </w:rPr>
        <w:t xml:space="preserve">: </w:t>
      </w:r>
      <w:r w:rsidR="000213B1" w:rsidRPr="00934281">
        <w:rPr>
          <w:i/>
          <w:iCs/>
          <w:sz w:val="20"/>
          <w:szCs w:val="20"/>
          <w:lang w:eastAsia="id-ID"/>
        </w:rPr>
        <w:t>"</w:t>
      </w:r>
      <w:r w:rsidRPr="00934281">
        <w:rPr>
          <w:i/>
          <w:iCs/>
          <w:sz w:val="20"/>
          <w:szCs w:val="20"/>
          <w:lang w:eastAsia="id-ID"/>
        </w:rPr>
        <w:t>Sometimes we don't get legal certainty because the same case can have different decisions. There are different panels and decisions for the same cases. And the reasons for making decisions also vary.</w:t>
      </w:r>
      <w:r w:rsidR="000213B1" w:rsidRPr="00934281">
        <w:rPr>
          <w:i/>
          <w:iCs/>
          <w:sz w:val="20"/>
          <w:szCs w:val="20"/>
          <w:lang w:eastAsia="id-ID"/>
        </w:rPr>
        <w:t>"</w:t>
      </w:r>
      <w:r w:rsidR="00F752EB" w:rsidRPr="00934281">
        <w:rPr>
          <w:sz w:val="20"/>
          <w:szCs w:val="20"/>
          <w:lang w:eastAsia="id-ID"/>
        </w:rPr>
        <w:t xml:space="preserve"> </w:t>
      </w:r>
      <w:r w:rsidR="00B46CA6">
        <w:rPr>
          <w:sz w:val="20"/>
          <w:szCs w:val="20"/>
          <w:lang w:eastAsia="id-ID"/>
        </w:rPr>
        <w:t>T</w:t>
      </w:r>
      <w:r w:rsidRPr="00934281">
        <w:rPr>
          <w:rStyle w:val="c-pjlv"/>
          <w:color w:val="000000" w:themeColor="text1"/>
          <w:sz w:val="20"/>
          <w:szCs w:val="20"/>
        </w:rPr>
        <w:t>his dispute occurred because of differences in orientation. The appellant, who was oriented towards business continuity, did not accept this decision and filed an appeal. The following are the results of interviews with DGCE examiners</w:t>
      </w:r>
      <w:r w:rsidR="000213B1" w:rsidRPr="00934281">
        <w:rPr>
          <w:sz w:val="20"/>
          <w:szCs w:val="20"/>
          <w:lang w:eastAsia="id-ID"/>
        </w:rPr>
        <w:t xml:space="preserve">: </w:t>
      </w:r>
      <w:r w:rsidR="006E68CC" w:rsidRPr="00934281">
        <w:rPr>
          <w:i/>
          <w:iCs/>
          <w:sz w:val="20"/>
          <w:szCs w:val="20"/>
          <w:lang w:eastAsia="id-ID"/>
        </w:rPr>
        <w:t>"</w:t>
      </w:r>
      <w:r w:rsidRPr="00934281">
        <w:rPr>
          <w:sz w:val="20"/>
          <w:szCs w:val="20"/>
        </w:rPr>
        <w:t xml:space="preserve"> </w:t>
      </w:r>
      <w:r w:rsidRPr="00934281">
        <w:rPr>
          <w:i/>
          <w:iCs/>
          <w:sz w:val="20"/>
          <w:szCs w:val="20"/>
          <w:lang w:eastAsia="id-ID"/>
        </w:rPr>
        <w:t>They feel that if the regulations change, there will be legal uncertainty for them to do business. For example, income tax rates may change. Whether they will be aware of that also has to be considered, they have no certainty about going concern in the future</w:t>
      </w:r>
      <w:r w:rsidR="006E68CC" w:rsidRPr="00934281">
        <w:rPr>
          <w:i/>
          <w:iCs/>
          <w:sz w:val="20"/>
          <w:szCs w:val="20"/>
          <w:lang w:eastAsia="id-ID"/>
        </w:rPr>
        <w:t>."</w:t>
      </w:r>
    </w:p>
    <w:p w14:paraId="66DACBD6" w14:textId="6FB882F9" w:rsidR="00CC58E7" w:rsidRPr="00934281" w:rsidRDefault="00C66E22" w:rsidP="004D0433">
      <w:pPr>
        <w:pStyle w:val="JAPBODYTEXT"/>
        <w:ind w:firstLine="426"/>
        <w:rPr>
          <w:sz w:val="20"/>
          <w:szCs w:val="20"/>
          <w:lang w:eastAsia="id-ID"/>
        </w:rPr>
      </w:pPr>
      <w:r w:rsidRPr="00934281">
        <w:rPr>
          <w:rStyle w:val="c-pjlv"/>
          <w:color w:val="000000" w:themeColor="text1"/>
          <w:sz w:val="20"/>
          <w:szCs w:val="20"/>
        </w:rPr>
        <w:t>Fourth, the goods have already left the factory at the time of determination. Post-clearance examination has a determination period of up to 2 (two) years from the time of import. Within that period, imported goods often left the appellant's warehouse. This dispute occurred because of differences in orientation. The appellants did not agree with this because they thought that each item had its own characteristics. In connection with this, in interviews conducted by DGCE examiners, they stated the following.</w:t>
      </w:r>
    </w:p>
    <w:p w14:paraId="72CAC2A1" w14:textId="77777777" w:rsidR="00CC58E7" w:rsidRPr="00934281" w:rsidRDefault="00CC58E7" w:rsidP="00D26F04">
      <w:pPr>
        <w:pStyle w:val="JAPBODYTEXT"/>
        <w:rPr>
          <w:sz w:val="20"/>
          <w:szCs w:val="20"/>
          <w:lang w:eastAsia="id-ID"/>
        </w:rPr>
      </w:pPr>
      <w:r w:rsidRPr="00934281">
        <w:rPr>
          <w:sz w:val="20"/>
          <w:szCs w:val="20"/>
          <w:lang w:eastAsia="id-ID"/>
        </w:rPr>
        <w:t>"</w:t>
      </w:r>
      <w:r w:rsidR="00C66E22" w:rsidRPr="004D0433">
        <w:rPr>
          <w:i/>
          <w:iCs/>
          <w:sz w:val="20"/>
          <w:szCs w:val="20"/>
          <w:lang w:eastAsia="id-ID"/>
        </w:rPr>
        <w:t>Let's just be professional, if the supplier is the same, the name of the goods is the same, then the goods should be the same. The goods they imported from two years ago to the goods we carried out were the same lab tests. Unless they say the item is different they have to provide us with proof.”</w:t>
      </w:r>
    </w:p>
    <w:p w14:paraId="67999E49" w14:textId="77777777" w:rsidR="00CC58E7" w:rsidRPr="00934281" w:rsidRDefault="00C66E22" w:rsidP="00B46CA6">
      <w:pPr>
        <w:pStyle w:val="JAPBODYTEXT"/>
        <w:rPr>
          <w:sz w:val="20"/>
          <w:szCs w:val="20"/>
          <w:lang w:eastAsia="id-ID"/>
        </w:rPr>
      </w:pPr>
      <w:r w:rsidRPr="00934281">
        <w:rPr>
          <w:sz w:val="20"/>
          <w:szCs w:val="20"/>
        </w:rPr>
        <w:t>The examiner said that they not only relied on laboratory results but also checked import supporting documents, such as the Certificate of Analysis (COA) and Material Safety Data Sheet (MSDS). Regarding the laboratory results, importers no longer have evidence because the goods are no longer in the warehouse. The following is an excerpt from an interview conducted with importers</w:t>
      </w:r>
      <w:r w:rsidR="00A21C75" w:rsidRPr="00934281">
        <w:rPr>
          <w:sz w:val="20"/>
          <w:szCs w:val="20"/>
          <w:lang w:eastAsia="id-ID"/>
        </w:rPr>
        <w:t xml:space="preserve">: </w:t>
      </w:r>
      <w:r w:rsidR="00CC58E7" w:rsidRPr="00934281">
        <w:rPr>
          <w:i/>
          <w:iCs/>
          <w:sz w:val="20"/>
          <w:szCs w:val="20"/>
          <w:lang w:eastAsia="id-ID"/>
        </w:rPr>
        <w:t>"</w:t>
      </w:r>
      <w:r w:rsidRPr="00934281">
        <w:rPr>
          <w:sz w:val="20"/>
          <w:szCs w:val="20"/>
        </w:rPr>
        <w:t xml:space="preserve"> </w:t>
      </w:r>
      <w:r w:rsidRPr="00934281">
        <w:rPr>
          <w:i/>
          <w:iCs/>
          <w:sz w:val="20"/>
          <w:szCs w:val="20"/>
          <w:lang w:eastAsia="id-ID"/>
        </w:rPr>
        <w:t>The goods for the past two years were taken as samples from imported goods. Our raw materials cannot be stored for long because they have a shelf life.</w:t>
      </w:r>
      <w:r w:rsidR="00CC58E7" w:rsidRPr="00934281">
        <w:rPr>
          <w:i/>
          <w:iCs/>
          <w:sz w:val="20"/>
          <w:szCs w:val="20"/>
          <w:lang w:eastAsia="id-ID"/>
        </w:rPr>
        <w:t>"</w:t>
      </w:r>
    </w:p>
    <w:p w14:paraId="0B5A43D8" w14:textId="4F209470" w:rsidR="00CC58E7" w:rsidRPr="00934281" w:rsidRDefault="00547A60" w:rsidP="00B46CA6">
      <w:pPr>
        <w:pStyle w:val="JAPBODYTEXT"/>
        <w:ind w:firstLine="426"/>
        <w:rPr>
          <w:sz w:val="20"/>
          <w:szCs w:val="20"/>
          <w:lang w:eastAsia="id-ID"/>
        </w:rPr>
      </w:pPr>
      <w:r w:rsidRPr="00934281">
        <w:rPr>
          <w:rStyle w:val="c-pjlv"/>
          <w:color w:val="000000" w:themeColor="text1"/>
          <w:sz w:val="20"/>
          <w:szCs w:val="20"/>
        </w:rPr>
        <w:t>The fifth reason is that the input VAT cannot be credited. In this case, the appellant cannot credit the input VAT because the goods produced are strategic goods that are exempt from VAT. The results of the interviews with the importer are as follows</w:t>
      </w:r>
      <w:r w:rsidR="00710A31" w:rsidRPr="00934281">
        <w:rPr>
          <w:sz w:val="20"/>
          <w:szCs w:val="20"/>
          <w:lang w:eastAsia="id-ID"/>
        </w:rPr>
        <w:t>:</w:t>
      </w:r>
    </w:p>
    <w:p w14:paraId="20E96979" w14:textId="2FEB6661" w:rsidR="00CC58E7" w:rsidRPr="00072CF8" w:rsidRDefault="00955E00" w:rsidP="00D26F04">
      <w:pPr>
        <w:pStyle w:val="JAPBODYTEXT"/>
        <w:rPr>
          <w:i/>
          <w:iCs/>
          <w:sz w:val="20"/>
          <w:szCs w:val="20"/>
          <w:lang w:eastAsia="id-ID"/>
        </w:rPr>
      </w:pPr>
      <w:r w:rsidRPr="00072CF8">
        <w:rPr>
          <w:i/>
          <w:iCs/>
          <w:sz w:val="20"/>
          <w:szCs w:val="20"/>
          <w:lang w:eastAsia="id-ID"/>
        </w:rPr>
        <w:t>"</w:t>
      </w:r>
      <w:r w:rsidR="00547A60" w:rsidRPr="00072CF8">
        <w:rPr>
          <w:i/>
          <w:iCs/>
          <w:sz w:val="20"/>
          <w:szCs w:val="20"/>
          <w:lang w:eastAsia="id-ID"/>
        </w:rPr>
        <w:t>We cannot credit VAT on raw materials because our products are strategic goods in the law. This means that VAT is added to production costs and passed on to consumers. If there is a import tax bill, we have to deal with it first and it disrupts the company's cash flow.</w:t>
      </w:r>
      <w:r w:rsidRPr="00072CF8">
        <w:rPr>
          <w:i/>
          <w:iCs/>
          <w:sz w:val="20"/>
          <w:szCs w:val="20"/>
          <w:lang w:eastAsia="id-ID"/>
        </w:rPr>
        <w:t>"</w:t>
      </w:r>
    </w:p>
    <w:p w14:paraId="357FFCAE" w14:textId="77777777" w:rsidR="00710A31" w:rsidRPr="00934281" w:rsidRDefault="00547A60" w:rsidP="00D26F04">
      <w:pPr>
        <w:pStyle w:val="JAPBODYTEXT"/>
        <w:rPr>
          <w:sz w:val="20"/>
          <w:szCs w:val="20"/>
          <w:lang w:eastAsia="id-ID"/>
        </w:rPr>
      </w:pPr>
      <w:r w:rsidRPr="00934281">
        <w:rPr>
          <w:sz w:val="20"/>
          <w:szCs w:val="20"/>
        </w:rPr>
        <w:t>This dispute occurred because of differences in orientation. DGCE determines the import tax in relation to its duties to check the suitability of import notifications for goods reported by importers. The following are the results of the interviews with the DGCE appeal management party</w:t>
      </w:r>
      <w:r w:rsidR="00CC58E7" w:rsidRPr="00934281">
        <w:rPr>
          <w:sz w:val="20"/>
          <w:szCs w:val="20"/>
          <w:lang w:eastAsia="id-ID"/>
        </w:rPr>
        <w:t>:</w:t>
      </w:r>
    </w:p>
    <w:p w14:paraId="5B3E6BC2" w14:textId="04B8CF24" w:rsidR="00B74AB6" w:rsidRPr="00B74AB6" w:rsidRDefault="0088463C" w:rsidP="00D26F04">
      <w:pPr>
        <w:pStyle w:val="JAPBODYTEXT"/>
        <w:rPr>
          <w:i/>
          <w:iCs/>
          <w:sz w:val="20"/>
          <w:szCs w:val="20"/>
        </w:rPr>
      </w:pPr>
      <w:r w:rsidRPr="00934281">
        <w:rPr>
          <w:sz w:val="20"/>
          <w:szCs w:val="20"/>
          <w:lang w:eastAsia="id-ID"/>
        </w:rPr>
        <w:t>"</w:t>
      </w:r>
      <w:r w:rsidR="00547A60" w:rsidRPr="00072CF8">
        <w:rPr>
          <w:i/>
          <w:iCs/>
          <w:sz w:val="20"/>
          <w:szCs w:val="20"/>
        </w:rPr>
        <w:t xml:space="preserve"> This is not a problem for the company as long as it can be credited. </w:t>
      </w:r>
      <w:r w:rsidR="00B46CA6">
        <w:rPr>
          <w:i/>
          <w:iCs/>
          <w:sz w:val="20"/>
          <w:szCs w:val="20"/>
        </w:rPr>
        <w:t xml:space="preserve">Animal feeds </w:t>
      </w:r>
      <w:r w:rsidR="00547A60" w:rsidRPr="00072CF8">
        <w:rPr>
          <w:i/>
          <w:iCs/>
          <w:sz w:val="20"/>
          <w:szCs w:val="20"/>
        </w:rPr>
        <w:t>is a strategic item; therefore, it cannot be credited. Actually, it's also a pity for importers if they pay VAT up front but it can't be credited</w:t>
      </w:r>
      <w:r w:rsidRPr="00072CF8">
        <w:rPr>
          <w:i/>
          <w:iCs/>
          <w:sz w:val="20"/>
          <w:szCs w:val="20"/>
        </w:rPr>
        <w:t>."</w:t>
      </w:r>
    </w:p>
    <w:p w14:paraId="434589BF" w14:textId="532FE6DD" w:rsidR="00456DA1" w:rsidRPr="002178B5" w:rsidRDefault="00547A60" w:rsidP="00D26F04">
      <w:pPr>
        <w:pStyle w:val="JAPBODYTEXT"/>
        <w:rPr>
          <w:lang w:eastAsia="id-ID"/>
        </w:rPr>
      </w:pPr>
      <w:r w:rsidRPr="00934281">
        <w:rPr>
          <w:sz w:val="20"/>
          <w:szCs w:val="20"/>
          <w:lang w:eastAsia="id-ID"/>
        </w:rPr>
        <w:t>Figure 1 presents the results of identifying the causes of import tax disputes in a fishbone diagram.</w:t>
      </w:r>
    </w:p>
    <w:p w14:paraId="5DC23DD9" w14:textId="77777777" w:rsidR="00456DA1" w:rsidRPr="002178B5" w:rsidRDefault="00494AE5" w:rsidP="00072CF8">
      <w:pPr>
        <w:pStyle w:val="JAPBODYTEXT"/>
        <w:jc w:val="center"/>
        <w:rPr>
          <w:lang w:eastAsia="id-ID"/>
        </w:rPr>
      </w:pPr>
      <w:r w:rsidRPr="002178B5">
        <w:rPr>
          <w:noProof/>
          <w:lang w:eastAsia="id-ID"/>
        </w:rPr>
        <w:drawing>
          <wp:inline distT="0" distB="0" distL="0" distR="0" wp14:anchorId="424055A5" wp14:editId="628595E7">
            <wp:extent cx="4780701" cy="2544417"/>
            <wp:effectExtent l="0" t="0" r="0" b="0"/>
            <wp:docPr id="98849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93479" name=""/>
                    <pic:cNvPicPr/>
                  </pic:nvPicPr>
                  <pic:blipFill>
                    <a:blip r:embed="rId16"/>
                    <a:stretch>
                      <a:fillRect/>
                    </a:stretch>
                  </pic:blipFill>
                  <pic:spPr>
                    <a:xfrm>
                      <a:off x="0" y="0"/>
                      <a:ext cx="5078530" cy="2702930"/>
                    </a:xfrm>
                    <a:prstGeom prst="rect">
                      <a:avLst/>
                    </a:prstGeom>
                  </pic:spPr>
                </pic:pic>
              </a:graphicData>
            </a:graphic>
          </wp:inline>
        </w:drawing>
      </w:r>
    </w:p>
    <w:p w14:paraId="7FCBA963" w14:textId="77777777" w:rsidR="00456DA1" w:rsidRPr="002178B5" w:rsidRDefault="00456DA1" w:rsidP="00072CF8">
      <w:pPr>
        <w:pStyle w:val="JAPBODYTEXT"/>
        <w:jc w:val="center"/>
      </w:pPr>
      <w:r w:rsidRPr="002178B5">
        <w:t xml:space="preserve">Figure 1. Fishbone Diagram of </w:t>
      </w:r>
      <w:r w:rsidR="00831512" w:rsidRPr="002178B5">
        <w:t>Import Tax</w:t>
      </w:r>
      <w:r w:rsidRPr="002178B5">
        <w:t xml:space="preserve"> Disputes</w:t>
      </w:r>
      <w:r w:rsidR="00831512" w:rsidRPr="002178B5">
        <w:t xml:space="preserve"> Causes</w:t>
      </w:r>
    </w:p>
    <w:p w14:paraId="432E28F6" w14:textId="77777777" w:rsidR="00456DA1" w:rsidRPr="002178B5" w:rsidRDefault="00456DA1" w:rsidP="00072CF8">
      <w:pPr>
        <w:pStyle w:val="JAPBODYTEXT"/>
        <w:jc w:val="center"/>
        <w:rPr>
          <w:lang w:eastAsia="id-ID"/>
        </w:rPr>
      </w:pPr>
      <w:r w:rsidRPr="002178B5">
        <w:t>Source: Processing by the Author (2023)</w:t>
      </w:r>
    </w:p>
    <w:p w14:paraId="060E3D35" w14:textId="46DE43E7" w:rsidR="00714073" w:rsidRDefault="00714073" w:rsidP="007B63FB">
      <w:pPr>
        <w:pStyle w:val="JAPBODYTEXT"/>
        <w:ind w:firstLine="426"/>
        <w:rPr>
          <w:sz w:val="20"/>
          <w:szCs w:val="20"/>
          <w:lang w:eastAsia="id-ID"/>
        </w:rPr>
      </w:pPr>
      <w:r w:rsidRPr="00934281">
        <w:rPr>
          <w:sz w:val="20"/>
          <w:szCs w:val="20"/>
          <w:lang w:eastAsia="id-ID"/>
        </w:rPr>
        <w:lastRenderedPageBreak/>
        <w:t xml:space="preserve">Based on the fishbone diagram above, it can be seen that there are </w:t>
      </w:r>
      <w:r w:rsidR="005C1CF8" w:rsidRPr="00934281">
        <w:rPr>
          <w:sz w:val="20"/>
          <w:szCs w:val="20"/>
        </w:rPr>
        <w:t>5 (five) causes classifications of import tax disputes namely substances, procedures, authorities, examiners, and importers</w:t>
      </w:r>
      <w:r w:rsidRPr="00934281">
        <w:rPr>
          <w:sz w:val="20"/>
          <w:szCs w:val="20"/>
          <w:lang w:eastAsia="id-ID"/>
        </w:rPr>
        <w:t>. This is caused by problems with</w:t>
      </w:r>
      <w:r w:rsidR="00787AA6" w:rsidRPr="00934281">
        <w:rPr>
          <w:sz w:val="20"/>
          <w:szCs w:val="20"/>
          <w:lang w:eastAsia="id-ID"/>
        </w:rPr>
        <w:t xml:space="preserve"> the</w:t>
      </w:r>
      <w:r w:rsidRPr="00934281">
        <w:rPr>
          <w:sz w:val="20"/>
          <w:szCs w:val="20"/>
          <w:lang w:eastAsia="id-ID"/>
        </w:rPr>
        <w:t xml:space="preserve"> evidence, application of statutory regulations, differences in interpretation, lack of expertise of examiners, failure of communication, and differences in orientation. The results of this research are in accordance with previous research conducted by Rasfina (2012), Harsono (2018), Sugiharto (2019), Budi (2019), Kusuma, Setiawan, Sugiharto (2019), Novita, Rahim, Mpofu (2021) and Adrianto (2021), Yulianto (2022)</w:t>
      </w:r>
      <w:r w:rsidR="000A0013">
        <w:rPr>
          <w:sz w:val="20"/>
          <w:szCs w:val="20"/>
          <w:lang w:eastAsia="id-ID"/>
        </w:rPr>
        <w:t>, Yunindar, Nuryanah (2023)</w:t>
      </w:r>
      <w:r w:rsidRPr="00934281">
        <w:rPr>
          <w:sz w:val="20"/>
          <w:szCs w:val="20"/>
          <w:lang w:eastAsia="id-ID"/>
        </w:rPr>
        <w:t>.</w:t>
      </w:r>
    </w:p>
    <w:p w14:paraId="1A9EAADA" w14:textId="77777777" w:rsidR="00072CF8" w:rsidRPr="00934281" w:rsidRDefault="00072CF8" w:rsidP="00072CF8">
      <w:pPr>
        <w:pStyle w:val="JAPBODYTEXT"/>
        <w:ind w:firstLine="426"/>
        <w:rPr>
          <w:sz w:val="20"/>
          <w:szCs w:val="20"/>
          <w:lang w:eastAsia="id-ID"/>
        </w:rPr>
      </w:pPr>
    </w:p>
    <w:p w14:paraId="6B4EDA2A" w14:textId="77777777" w:rsidR="000C04FF" w:rsidRPr="00072CF8" w:rsidRDefault="00E11F43" w:rsidP="00D26F04">
      <w:pPr>
        <w:pStyle w:val="JAPBODYTEXT"/>
        <w:rPr>
          <w:b/>
          <w:bCs/>
          <w:sz w:val="20"/>
          <w:szCs w:val="20"/>
          <w:lang w:eastAsia="id-ID"/>
        </w:rPr>
      </w:pPr>
      <w:r w:rsidRPr="00072CF8">
        <w:rPr>
          <w:b/>
          <w:bCs/>
          <w:sz w:val="20"/>
          <w:szCs w:val="20"/>
          <w:lang w:eastAsia="id-ID"/>
        </w:rPr>
        <w:t xml:space="preserve">Recommendations for minimizing </w:t>
      </w:r>
      <w:r w:rsidR="005C1CF8" w:rsidRPr="00072CF8">
        <w:rPr>
          <w:b/>
          <w:bCs/>
          <w:sz w:val="20"/>
          <w:szCs w:val="20"/>
          <w:lang w:eastAsia="id-ID"/>
        </w:rPr>
        <w:t>import tax</w:t>
      </w:r>
      <w:r w:rsidRPr="00072CF8">
        <w:rPr>
          <w:b/>
          <w:bCs/>
          <w:sz w:val="20"/>
          <w:szCs w:val="20"/>
          <w:lang w:eastAsia="id-ID"/>
        </w:rPr>
        <w:t xml:space="preserve"> disputes</w:t>
      </w:r>
    </w:p>
    <w:p w14:paraId="4B147B23" w14:textId="4F6106D7" w:rsidR="00A249D9" w:rsidRPr="00934281" w:rsidRDefault="00A259FA" w:rsidP="00072CF8">
      <w:pPr>
        <w:pStyle w:val="JAPBODYTEXT"/>
        <w:ind w:firstLine="426"/>
        <w:rPr>
          <w:sz w:val="20"/>
          <w:szCs w:val="20"/>
          <w:lang w:eastAsia="id-ID"/>
        </w:rPr>
      </w:pPr>
      <w:r w:rsidRPr="00934281">
        <w:rPr>
          <w:sz w:val="20"/>
          <w:szCs w:val="20"/>
        </w:rPr>
        <w:t xml:space="preserve">To minimize import tax disputes, various efforts are needed by all parties involved in the import tax </w:t>
      </w:r>
      <w:r w:rsidRPr="00934281">
        <w:rPr>
          <w:sz w:val="20"/>
          <w:szCs w:val="20"/>
          <w:lang w:eastAsia="id-ID"/>
        </w:rPr>
        <w:t>determination</w:t>
      </w:r>
      <w:r w:rsidRPr="00934281">
        <w:rPr>
          <w:sz w:val="20"/>
          <w:szCs w:val="20"/>
        </w:rPr>
        <w:t xml:space="preserve"> process. The analysis results show several dominant themes for minimizing import tax disputes in the future. These recommendations are listed in Table 1.</w:t>
      </w:r>
    </w:p>
    <w:p w14:paraId="6BC4CD8C" w14:textId="77777777" w:rsidR="00231458" w:rsidRPr="00934281" w:rsidRDefault="00231458" w:rsidP="00072CF8">
      <w:pPr>
        <w:pStyle w:val="JAPBODYTEXT"/>
        <w:jc w:val="center"/>
        <w:rPr>
          <w:sz w:val="20"/>
          <w:szCs w:val="20"/>
          <w:lang w:eastAsia="id-ID"/>
        </w:rPr>
      </w:pPr>
      <w:r w:rsidRPr="00934281">
        <w:rPr>
          <w:sz w:val="20"/>
          <w:szCs w:val="20"/>
          <w:lang w:eastAsia="id-ID"/>
        </w:rPr>
        <w:t xml:space="preserve">Table 1. Recommendations for minimizing </w:t>
      </w:r>
      <w:r w:rsidR="00816FCE" w:rsidRPr="00934281">
        <w:rPr>
          <w:sz w:val="20"/>
          <w:szCs w:val="20"/>
          <w:lang w:eastAsia="id-ID"/>
        </w:rPr>
        <w:t>import tax</w:t>
      </w:r>
      <w:r w:rsidRPr="00934281">
        <w:rPr>
          <w:sz w:val="20"/>
          <w:szCs w:val="20"/>
          <w:lang w:eastAsia="id-ID"/>
        </w:rPr>
        <w:t xml:space="preserve"> disputes</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04"/>
      </w:tblGrid>
      <w:tr w:rsidR="002178B5" w:rsidRPr="00934281" w14:paraId="56D4E169" w14:textId="77777777" w:rsidTr="006D5AFE">
        <w:tc>
          <w:tcPr>
            <w:tcW w:w="1668" w:type="dxa"/>
            <w:shd w:val="clear" w:color="auto" w:fill="auto"/>
          </w:tcPr>
          <w:p w14:paraId="780E59E9" w14:textId="5F152752" w:rsidR="00231458" w:rsidRPr="00934281" w:rsidRDefault="00F53562" w:rsidP="00D26F04">
            <w:pPr>
              <w:pStyle w:val="JAPBODYTEXT"/>
              <w:rPr>
                <w:sz w:val="20"/>
                <w:szCs w:val="20"/>
                <w:lang w:eastAsia="id-ID"/>
              </w:rPr>
            </w:pPr>
            <w:r w:rsidRPr="00934281">
              <w:rPr>
                <w:sz w:val="20"/>
                <w:szCs w:val="20"/>
                <w:lang w:eastAsia="id-ID"/>
              </w:rPr>
              <w:t>Category</w:t>
            </w:r>
          </w:p>
        </w:tc>
        <w:tc>
          <w:tcPr>
            <w:tcW w:w="6804" w:type="dxa"/>
            <w:shd w:val="clear" w:color="auto" w:fill="auto"/>
          </w:tcPr>
          <w:p w14:paraId="599C28C5" w14:textId="77777777" w:rsidR="00231458" w:rsidRPr="00934281" w:rsidRDefault="00413916" w:rsidP="00D26F04">
            <w:pPr>
              <w:pStyle w:val="JAPBODYTEXT"/>
              <w:rPr>
                <w:sz w:val="20"/>
                <w:szCs w:val="20"/>
                <w:lang w:eastAsia="id-ID"/>
              </w:rPr>
            </w:pPr>
            <w:r w:rsidRPr="00934281">
              <w:rPr>
                <w:sz w:val="20"/>
                <w:szCs w:val="20"/>
                <w:lang w:eastAsia="id-ID"/>
              </w:rPr>
              <w:t>Recommendation</w:t>
            </w:r>
          </w:p>
        </w:tc>
      </w:tr>
      <w:tr w:rsidR="002178B5" w:rsidRPr="00934281" w14:paraId="6FFDF068" w14:textId="77777777" w:rsidTr="006D5AFE">
        <w:tc>
          <w:tcPr>
            <w:tcW w:w="1668" w:type="dxa"/>
            <w:shd w:val="clear" w:color="auto" w:fill="auto"/>
          </w:tcPr>
          <w:p w14:paraId="3FD85CCD" w14:textId="77777777" w:rsidR="00231458" w:rsidRPr="00934281" w:rsidRDefault="00231458" w:rsidP="00D26F04">
            <w:pPr>
              <w:pStyle w:val="JAPBODYTEXT"/>
              <w:rPr>
                <w:sz w:val="20"/>
                <w:szCs w:val="20"/>
                <w:lang w:eastAsia="id-ID"/>
              </w:rPr>
            </w:pPr>
            <w:r w:rsidRPr="00934281">
              <w:rPr>
                <w:sz w:val="20"/>
                <w:szCs w:val="20"/>
                <w:lang w:eastAsia="id-ID"/>
              </w:rPr>
              <w:t>Substance</w:t>
            </w:r>
          </w:p>
        </w:tc>
        <w:tc>
          <w:tcPr>
            <w:tcW w:w="6804" w:type="dxa"/>
            <w:shd w:val="clear" w:color="auto" w:fill="auto"/>
          </w:tcPr>
          <w:p w14:paraId="6A6CEE46" w14:textId="77777777" w:rsidR="00231458" w:rsidRPr="00934281" w:rsidRDefault="00231458" w:rsidP="00D26F04">
            <w:pPr>
              <w:pStyle w:val="JAPBODYTEXT"/>
              <w:rPr>
                <w:sz w:val="20"/>
                <w:szCs w:val="20"/>
                <w:lang w:eastAsia="id-ID"/>
              </w:rPr>
            </w:pPr>
            <w:r w:rsidRPr="00934281">
              <w:rPr>
                <w:sz w:val="20"/>
                <w:szCs w:val="20"/>
                <w:lang w:eastAsia="id-ID"/>
              </w:rPr>
              <w:t xml:space="preserve">Changes in </w:t>
            </w:r>
            <w:r w:rsidR="00F57206" w:rsidRPr="00934281">
              <w:rPr>
                <w:sz w:val="20"/>
                <w:szCs w:val="20"/>
                <w:lang w:eastAsia="id-ID"/>
              </w:rPr>
              <w:t>import tax</w:t>
            </w:r>
            <w:r w:rsidR="006A3A84" w:rsidRPr="00934281">
              <w:rPr>
                <w:sz w:val="20"/>
                <w:szCs w:val="20"/>
                <w:lang w:eastAsia="id-ID"/>
              </w:rPr>
              <w:t>es</w:t>
            </w:r>
            <w:r w:rsidR="00F57206" w:rsidRPr="00934281">
              <w:rPr>
                <w:sz w:val="20"/>
                <w:szCs w:val="20"/>
                <w:lang w:eastAsia="id-ID"/>
              </w:rPr>
              <w:t xml:space="preserve"> </w:t>
            </w:r>
            <w:r w:rsidRPr="00934281">
              <w:rPr>
                <w:sz w:val="20"/>
                <w:szCs w:val="20"/>
                <w:lang w:eastAsia="id-ID"/>
              </w:rPr>
              <w:t>regulations</w:t>
            </w:r>
          </w:p>
        </w:tc>
      </w:tr>
      <w:tr w:rsidR="002178B5" w:rsidRPr="00934281" w14:paraId="4530F4FE" w14:textId="77777777" w:rsidTr="006D5AFE">
        <w:tc>
          <w:tcPr>
            <w:tcW w:w="1668" w:type="dxa"/>
            <w:shd w:val="clear" w:color="auto" w:fill="auto"/>
          </w:tcPr>
          <w:p w14:paraId="7BFCC515" w14:textId="77777777" w:rsidR="00231458" w:rsidRPr="00934281" w:rsidRDefault="00231458" w:rsidP="00D26F04">
            <w:pPr>
              <w:pStyle w:val="JAPBODYTEXT"/>
              <w:rPr>
                <w:sz w:val="20"/>
                <w:szCs w:val="20"/>
                <w:lang w:eastAsia="id-ID"/>
              </w:rPr>
            </w:pPr>
            <w:r w:rsidRPr="00934281">
              <w:rPr>
                <w:sz w:val="20"/>
                <w:szCs w:val="20"/>
                <w:lang w:eastAsia="id-ID"/>
              </w:rPr>
              <w:t>Procedure</w:t>
            </w:r>
          </w:p>
        </w:tc>
        <w:tc>
          <w:tcPr>
            <w:tcW w:w="6804" w:type="dxa"/>
            <w:shd w:val="clear" w:color="auto" w:fill="auto"/>
          </w:tcPr>
          <w:p w14:paraId="2B21A7D9" w14:textId="77777777" w:rsidR="00231458" w:rsidRPr="00934281" w:rsidRDefault="006A3A84" w:rsidP="00D26F04">
            <w:pPr>
              <w:pStyle w:val="JAPBODYTEXT"/>
              <w:rPr>
                <w:sz w:val="20"/>
                <w:szCs w:val="20"/>
                <w:lang w:eastAsia="id-ID"/>
              </w:rPr>
            </w:pPr>
            <w:r w:rsidRPr="00934281">
              <w:rPr>
                <w:sz w:val="20"/>
                <w:szCs w:val="20"/>
              </w:rPr>
              <w:t>Solidification of customs regulations and standardization of examination procedures</w:t>
            </w:r>
          </w:p>
        </w:tc>
      </w:tr>
      <w:tr w:rsidR="002178B5" w:rsidRPr="00934281" w14:paraId="7A2E53FF" w14:textId="77777777" w:rsidTr="006D5AFE">
        <w:tc>
          <w:tcPr>
            <w:tcW w:w="1668" w:type="dxa"/>
            <w:shd w:val="clear" w:color="auto" w:fill="auto"/>
          </w:tcPr>
          <w:p w14:paraId="023380DB" w14:textId="77777777" w:rsidR="00231458" w:rsidRPr="00934281" w:rsidRDefault="00231458" w:rsidP="00D26F04">
            <w:pPr>
              <w:pStyle w:val="JAPBODYTEXT"/>
              <w:rPr>
                <w:sz w:val="20"/>
                <w:szCs w:val="20"/>
                <w:lang w:eastAsia="id-ID"/>
              </w:rPr>
            </w:pPr>
            <w:r w:rsidRPr="00934281">
              <w:rPr>
                <w:sz w:val="20"/>
                <w:szCs w:val="20"/>
                <w:lang w:eastAsia="id-ID"/>
              </w:rPr>
              <w:t>Authority</w:t>
            </w:r>
          </w:p>
        </w:tc>
        <w:tc>
          <w:tcPr>
            <w:tcW w:w="6804" w:type="dxa"/>
            <w:shd w:val="clear" w:color="auto" w:fill="auto"/>
          </w:tcPr>
          <w:p w14:paraId="0CE2F71A" w14:textId="77777777" w:rsidR="00231458" w:rsidRPr="00934281" w:rsidRDefault="006A3A84" w:rsidP="00D26F04">
            <w:pPr>
              <w:pStyle w:val="JAPBODYTEXT"/>
              <w:rPr>
                <w:sz w:val="20"/>
                <w:szCs w:val="20"/>
                <w:lang w:eastAsia="id-ID"/>
              </w:rPr>
            </w:pPr>
            <w:r w:rsidRPr="00934281">
              <w:rPr>
                <w:sz w:val="20"/>
                <w:szCs w:val="20"/>
              </w:rPr>
              <w:t>More firm authority in import taxes examination and determination</w:t>
            </w:r>
          </w:p>
        </w:tc>
      </w:tr>
      <w:tr w:rsidR="002178B5" w:rsidRPr="00934281" w14:paraId="5A226A66" w14:textId="77777777" w:rsidTr="006D5AFE">
        <w:tc>
          <w:tcPr>
            <w:tcW w:w="1668" w:type="dxa"/>
            <w:shd w:val="clear" w:color="auto" w:fill="auto"/>
          </w:tcPr>
          <w:p w14:paraId="5E594D45" w14:textId="77777777" w:rsidR="00231458" w:rsidRPr="00934281" w:rsidRDefault="00231458" w:rsidP="00D26F04">
            <w:pPr>
              <w:pStyle w:val="JAPBODYTEXT"/>
              <w:rPr>
                <w:sz w:val="20"/>
                <w:szCs w:val="20"/>
                <w:lang w:eastAsia="id-ID"/>
              </w:rPr>
            </w:pPr>
            <w:r w:rsidRPr="00934281">
              <w:rPr>
                <w:sz w:val="20"/>
                <w:szCs w:val="20"/>
                <w:lang w:eastAsia="id-ID"/>
              </w:rPr>
              <w:t>Examiner</w:t>
            </w:r>
          </w:p>
        </w:tc>
        <w:tc>
          <w:tcPr>
            <w:tcW w:w="6804" w:type="dxa"/>
            <w:shd w:val="clear" w:color="auto" w:fill="auto"/>
          </w:tcPr>
          <w:p w14:paraId="22F63380" w14:textId="77777777" w:rsidR="00231458" w:rsidRPr="00934281" w:rsidRDefault="00231458" w:rsidP="00D26F04">
            <w:pPr>
              <w:pStyle w:val="JAPBODYTEXT"/>
              <w:rPr>
                <w:sz w:val="20"/>
                <w:szCs w:val="20"/>
                <w:lang w:eastAsia="id-ID"/>
              </w:rPr>
            </w:pPr>
            <w:r w:rsidRPr="00934281">
              <w:rPr>
                <w:sz w:val="20"/>
                <w:szCs w:val="20"/>
                <w:lang w:eastAsia="id-ID"/>
              </w:rPr>
              <w:t>Continuous education and training for examiners</w:t>
            </w:r>
          </w:p>
        </w:tc>
      </w:tr>
      <w:tr w:rsidR="00D26F04" w:rsidRPr="00934281" w14:paraId="77948C55" w14:textId="77777777" w:rsidTr="006D5AFE">
        <w:tc>
          <w:tcPr>
            <w:tcW w:w="1668" w:type="dxa"/>
            <w:shd w:val="clear" w:color="auto" w:fill="auto"/>
          </w:tcPr>
          <w:p w14:paraId="7558AE08" w14:textId="77777777" w:rsidR="00231458" w:rsidRPr="00934281" w:rsidRDefault="00434550" w:rsidP="00D26F04">
            <w:pPr>
              <w:pStyle w:val="JAPBODYTEXT"/>
              <w:rPr>
                <w:sz w:val="20"/>
                <w:szCs w:val="20"/>
                <w:lang w:eastAsia="id-ID"/>
              </w:rPr>
            </w:pPr>
            <w:r w:rsidRPr="00934281">
              <w:rPr>
                <w:sz w:val="20"/>
                <w:szCs w:val="20"/>
                <w:lang w:eastAsia="id-ID"/>
              </w:rPr>
              <w:t>Importers</w:t>
            </w:r>
          </w:p>
        </w:tc>
        <w:tc>
          <w:tcPr>
            <w:tcW w:w="6804" w:type="dxa"/>
            <w:shd w:val="clear" w:color="auto" w:fill="auto"/>
          </w:tcPr>
          <w:p w14:paraId="66196715" w14:textId="77777777" w:rsidR="00231458" w:rsidRPr="00934281" w:rsidRDefault="006A3A84" w:rsidP="00D26F04">
            <w:pPr>
              <w:pStyle w:val="JAPBODYTEXT"/>
              <w:rPr>
                <w:sz w:val="20"/>
                <w:szCs w:val="20"/>
                <w:lang w:eastAsia="id-ID"/>
              </w:rPr>
            </w:pPr>
            <w:r w:rsidRPr="00934281">
              <w:rPr>
                <w:sz w:val="20"/>
                <w:szCs w:val="20"/>
                <w:lang w:eastAsia="id-ID"/>
              </w:rPr>
              <w:t xml:space="preserve">Counseling to increase </w:t>
            </w:r>
            <w:r w:rsidR="00F27F37" w:rsidRPr="00934281">
              <w:rPr>
                <w:sz w:val="20"/>
                <w:szCs w:val="20"/>
                <w:lang w:eastAsia="id-ID"/>
              </w:rPr>
              <w:t>importers</w:t>
            </w:r>
            <w:r w:rsidRPr="00934281">
              <w:rPr>
                <w:sz w:val="20"/>
                <w:szCs w:val="20"/>
                <w:lang w:eastAsia="id-ID"/>
              </w:rPr>
              <w:t xml:space="preserve"> understanding in import taxes</w:t>
            </w:r>
          </w:p>
        </w:tc>
      </w:tr>
    </w:tbl>
    <w:p w14:paraId="18D894D0" w14:textId="77777777" w:rsidR="00231458" w:rsidRPr="00934281" w:rsidRDefault="00231458" w:rsidP="00D26F04">
      <w:pPr>
        <w:pStyle w:val="JAPBODYTEXT"/>
        <w:rPr>
          <w:sz w:val="20"/>
          <w:szCs w:val="20"/>
          <w:lang w:eastAsia="id-ID"/>
        </w:rPr>
      </w:pPr>
    </w:p>
    <w:p w14:paraId="47D1B3D2" w14:textId="77777777" w:rsidR="00C04A6A" w:rsidRPr="00934281" w:rsidRDefault="00CE5471" w:rsidP="00072CF8">
      <w:pPr>
        <w:pStyle w:val="JAPBODYTEXT"/>
        <w:numPr>
          <w:ilvl w:val="0"/>
          <w:numId w:val="35"/>
        </w:numPr>
        <w:ind w:left="284" w:hanging="284"/>
        <w:rPr>
          <w:sz w:val="20"/>
          <w:szCs w:val="20"/>
          <w:lang w:eastAsia="id-ID"/>
        </w:rPr>
      </w:pPr>
      <w:r w:rsidRPr="00934281">
        <w:rPr>
          <w:sz w:val="20"/>
          <w:szCs w:val="20"/>
          <w:lang w:eastAsia="id-ID"/>
        </w:rPr>
        <w:t>Changes in import taxes regulations</w:t>
      </w:r>
    </w:p>
    <w:p w14:paraId="52EC6B56" w14:textId="77777777" w:rsidR="00A259FA" w:rsidRPr="00934281" w:rsidRDefault="00A259FA" w:rsidP="00072CF8">
      <w:pPr>
        <w:pStyle w:val="NormalWeb"/>
        <w:spacing w:before="0" w:beforeAutospacing="0" w:after="0" w:afterAutospacing="0"/>
        <w:ind w:firstLine="426"/>
        <w:jc w:val="both"/>
        <w:rPr>
          <w:rFonts w:ascii="Book Antiqua" w:hAnsi="Book Antiqua"/>
          <w:color w:val="000000" w:themeColor="text1"/>
          <w:sz w:val="20"/>
          <w:szCs w:val="20"/>
        </w:rPr>
      </w:pPr>
      <w:r w:rsidRPr="00934281">
        <w:rPr>
          <w:rStyle w:val="c-pjlv"/>
          <w:rFonts w:ascii="Book Antiqua" w:hAnsi="Book Antiqua"/>
          <w:color w:val="000000" w:themeColor="text1"/>
          <w:sz w:val="20"/>
          <w:szCs w:val="20"/>
        </w:rPr>
        <w:t>The Regulatory changes are required to reduce import tax disputes. This is because some regulations give rise to differences in interpretations. Regarding feed ingredients, changes to PMK-142/PMK.010/2017 should be made because there are several aspects that need to be corrected regarding the attachments. To date, mining goods so far it is still based on Government Regulations. Ministry of Finance Regulations can be prepared based on the delegation of Government Regulations. The regulations relating to the Notice of Tax Exemption are clear enough that no changes to the regulations are required. For disputed material relating to dates, a more in-depth analysis is required regarding the phrase "other than dried ones.”</w:t>
      </w:r>
    </w:p>
    <w:p w14:paraId="52DE993C" w14:textId="77777777" w:rsidR="009C24D5" w:rsidRPr="00934281" w:rsidRDefault="00A259FA" w:rsidP="00A259FA">
      <w:pPr>
        <w:pStyle w:val="NormalWeb"/>
        <w:spacing w:before="0" w:beforeAutospacing="0" w:after="0" w:afterAutospacing="0"/>
        <w:jc w:val="both"/>
        <w:rPr>
          <w:rFonts w:ascii="Book Antiqua" w:hAnsi="Book Antiqua"/>
          <w:color w:val="000000" w:themeColor="text1"/>
          <w:sz w:val="20"/>
          <w:szCs w:val="20"/>
        </w:rPr>
      </w:pPr>
      <w:r w:rsidRPr="00934281">
        <w:rPr>
          <w:rStyle w:val="c-pjlv"/>
          <w:rFonts w:ascii="Book Antiqua" w:hAnsi="Book Antiqua"/>
          <w:color w:val="000000" w:themeColor="text1"/>
          <w:sz w:val="20"/>
          <w:szCs w:val="20"/>
        </w:rPr>
        <w:t>The process of formulating regulations must be carried out with meaningful participation. As stated in Law Number 13 of 2022, this means that the community or public participates in every stage of the formation of statutory regulations. Participation can be performed offline or online. People who participate in meaningful activities are those who are affected or have an interest.</w:t>
      </w:r>
    </w:p>
    <w:p w14:paraId="40A96837" w14:textId="77777777" w:rsidR="009C24D5" w:rsidRPr="00934281" w:rsidRDefault="006C4183" w:rsidP="00072CF8">
      <w:pPr>
        <w:pStyle w:val="JAPBODYTEXT"/>
        <w:numPr>
          <w:ilvl w:val="0"/>
          <w:numId w:val="35"/>
        </w:numPr>
        <w:ind w:left="284" w:hanging="284"/>
        <w:rPr>
          <w:sz w:val="20"/>
          <w:szCs w:val="20"/>
          <w:lang w:eastAsia="id-ID"/>
        </w:rPr>
      </w:pPr>
      <w:r w:rsidRPr="00934281">
        <w:rPr>
          <w:sz w:val="20"/>
          <w:szCs w:val="20"/>
        </w:rPr>
        <w:t>Solidification of customs regulations and standardization of examination procedures</w:t>
      </w:r>
    </w:p>
    <w:p w14:paraId="3E0FE284" w14:textId="77777777" w:rsidR="009C24D5" w:rsidRPr="00934281" w:rsidRDefault="002C4527" w:rsidP="00072CF8">
      <w:pPr>
        <w:pStyle w:val="JAPBODYTEXT"/>
        <w:ind w:firstLine="426"/>
        <w:rPr>
          <w:sz w:val="20"/>
          <w:szCs w:val="20"/>
          <w:lang w:eastAsia="id-ID"/>
        </w:rPr>
      </w:pPr>
      <w:r w:rsidRPr="00934281">
        <w:rPr>
          <w:sz w:val="20"/>
          <w:szCs w:val="20"/>
        </w:rPr>
        <w:t>This aims to reduce disputes that question NAIDU without a prior NIDU. Articles 16 and 17 of the Customs Law are the basis for the DGCE to make a determination so that the object of the determination, the subject of the determination, the period of the determination, and the delegation of further regulations to lower regulations must be clearly stated.</w:t>
      </w:r>
    </w:p>
    <w:p w14:paraId="0271C84F" w14:textId="77777777" w:rsidR="00A46CBE" w:rsidRPr="00934281" w:rsidRDefault="006D6815" w:rsidP="00D26F04">
      <w:pPr>
        <w:pStyle w:val="JAPBODYTEXT"/>
        <w:rPr>
          <w:sz w:val="20"/>
          <w:szCs w:val="20"/>
          <w:lang w:eastAsia="id-ID"/>
        </w:rPr>
      </w:pPr>
      <w:r w:rsidRPr="00934281">
        <w:rPr>
          <w:sz w:val="20"/>
          <w:szCs w:val="20"/>
        </w:rPr>
        <w:t>Standardization of examination procedures must be carried out by examiners at both clearance and post-clearance stages. This needs to be done to ensure that the process carried out by the examiner is the same between one examiner and another. It is also important to improve the quality of the examination</w:t>
      </w:r>
      <w:r w:rsidR="00A46CBE" w:rsidRPr="00934281">
        <w:rPr>
          <w:sz w:val="20"/>
          <w:szCs w:val="20"/>
          <w:lang w:eastAsia="id-ID"/>
        </w:rPr>
        <w:t>.</w:t>
      </w:r>
    </w:p>
    <w:p w14:paraId="621E36D2" w14:textId="77777777" w:rsidR="003072A7" w:rsidRPr="00934281" w:rsidRDefault="006C4183" w:rsidP="00072CF8">
      <w:pPr>
        <w:pStyle w:val="JAPBODYTEXT"/>
        <w:numPr>
          <w:ilvl w:val="0"/>
          <w:numId w:val="35"/>
        </w:numPr>
        <w:ind w:left="284" w:hanging="284"/>
        <w:rPr>
          <w:sz w:val="20"/>
          <w:szCs w:val="20"/>
          <w:lang w:eastAsia="id-ID"/>
        </w:rPr>
      </w:pPr>
      <w:r w:rsidRPr="00934281">
        <w:rPr>
          <w:sz w:val="20"/>
          <w:szCs w:val="20"/>
        </w:rPr>
        <w:t>More firm authority in import taxes examination and determination</w:t>
      </w:r>
    </w:p>
    <w:p w14:paraId="322158BE" w14:textId="77777777" w:rsidR="00072CF8" w:rsidRDefault="006D6815" w:rsidP="00072CF8">
      <w:pPr>
        <w:pStyle w:val="JAPBODYTEXT"/>
        <w:ind w:firstLine="426"/>
        <w:rPr>
          <w:sz w:val="20"/>
          <w:szCs w:val="20"/>
          <w:lang w:eastAsia="id-ID"/>
        </w:rPr>
      </w:pPr>
      <w:r w:rsidRPr="00934281">
        <w:rPr>
          <w:sz w:val="20"/>
          <w:szCs w:val="20"/>
        </w:rPr>
        <w:t>To reduce the occurrence of import disputes, it is necessary to affirm the authority over import tax examinations. As stated in the Tax Law, DGCE only has the authority to collect import taxes at the time of import. In Customs Law, there is also no authority for the DGCE to carry out import tax inspections. Therefore, it is clear that the import tax examination authority lies with DGT.</w:t>
      </w:r>
    </w:p>
    <w:p w14:paraId="3035E76E" w14:textId="524EBFCF" w:rsidR="00BB0421" w:rsidRPr="00934281" w:rsidRDefault="006D6815" w:rsidP="00072CF8">
      <w:pPr>
        <w:pStyle w:val="JAPBODYTEXT"/>
        <w:ind w:firstLine="426"/>
        <w:rPr>
          <w:sz w:val="20"/>
          <w:szCs w:val="20"/>
          <w:lang w:eastAsia="id-ID"/>
        </w:rPr>
      </w:pPr>
      <w:r w:rsidRPr="00934281">
        <w:rPr>
          <w:sz w:val="20"/>
          <w:szCs w:val="20"/>
        </w:rPr>
        <w:t>So far, DGCE has used NIDU and NAIDU to determine import tax. This is not in accordance with Customs Law because NIDU and NAIDU are used if there is an error in the import duty rate and/or customs value. The authority to determine taxes rests with the DGT, based on Article 13 of the Taxation General Provisions Law. Therefore, the authority to determine import tax is more appropriate if import tax determination is carried out by the DGT using a Notice of Tax Assessment.</w:t>
      </w:r>
    </w:p>
    <w:p w14:paraId="1EFC435A" w14:textId="77777777" w:rsidR="00F706D7" w:rsidRPr="00934281" w:rsidRDefault="00F706D7" w:rsidP="00072CF8">
      <w:pPr>
        <w:pStyle w:val="JAPBODYTEXT"/>
        <w:numPr>
          <w:ilvl w:val="0"/>
          <w:numId w:val="35"/>
        </w:numPr>
        <w:ind w:left="284" w:hanging="284"/>
        <w:rPr>
          <w:sz w:val="20"/>
          <w:szCs w:val="20"/>
          <w:lang w:eastAsia="id-ID"/>
        </w:rPr>
      </w:pPr>
      <w:r w:rsidRPr="00934281">
        <w:rPr>
          <w:sz w:val="20"/>
          <w:szCs w:val="20"/>
        </w:rPr>
        <w:t>Continuous</w:t>
      </w:r>
      <w:r w:rsidRPr="00934281">
        <w:rPr>
          <w:sz w:val="20"/>
          <w:szCs w:val="20"/>
          <w:lang w:eastAsia="id-ID"/>
        </w:rPr>
        <w:t xml:space="preserve"> education and training for examiners</w:t>
      </w:r>
    </w:p>
    <w:p w14:paraId="4EB085BF" w14:textId="77777777" w:rsidR="00575FBC" w:rsidRPr="00934281" w:rsidRDefault="006D6815" w:rsidP="00072CF8">
      <w:pPr>
        <w:pStyle w:val="JAPBODYTEXT"/>
        <w:ind w:firstLine="426"/>
        <w:rPr>
          <w:sz w:val="20"/>
          <w:szCs w:val="20"/>
          <w:lang w:eastAsia="id-ID"/>
        </w:rPr>
      </w:pPr>
      <w:r w:rsidRPr="00934281">
        <w:rPr>
          <w:sz w:val="20"/>
          <w:szCs w:val="20"/>
        </w:rPr>
        <w:t>The competence and communication of DGCE examiners can be increased through integrated and sustainable education and training programmes. Education and training programmes should focus on technical knowledge, evidence collection techniques, and communication skills. In addition, assignments must be evenly distributed so that all examiners have adequate experience and competence.</w:t>
      </w:r>
    </w:p>
    <w:p w14:paraId="6507D71D" w14:textId="77777777" w:rsidR="00A249D9" w:rsidRPr="00934281" w:rsidRDefault="00F27F37" w:rsidP="00072CF8">
      <w:pPr>
        <w:pStyle w:val="JAPBODYTEXT"/>
        <w:numPr>
          <w:ilvl w:val="0"/>
          <w:numId w:val="35"/>
        </w:numPr>
        <w:ind w:left="284" w:hanging="284"/>
        <w:rPr>
          <w:sz w:val="20"/>
          <w:szCs w:val="20"/>
          <w:lang w:eastAsia="id-ID"/>
        </w:rPr>
      </w:pPr>
      <w:r w:rsidRPr="00934281">
        <w:rPr>
          <w:sz w:val="20"/>
          <w:szCs w:val="20"/>
        </w:rPr>
        <w:lastRenderedPageBreak/>
        <w:t>Counseling</w:t>
      </w:r>
      <w:r w:rsidRPr="00934281">
        <w:rPr>
          <w:sz w:val="20"/>
          <w:szCs w:val="20"/>
          <w:lang w:eastAsia="id-ID"/>
        </w:rPr>
        <w:t xml:space="preserve"> to increase importers understanding in import taxes</w:t>
      </w:r>
    </w:p>
    <w:p w14:paraId="78D44E7F" w14:textId="77777777" w:rsidR="00811FCC" w:rsidRPr="00934281" w:rsidRDefault="006D6815" w:rsidP="004B588E">
      <w:pPr>
        <w:pStyle w:val="JAPBODYTEXT"/>
        <w:ind w:firstLine="426"/>
        <w:rPr>
          <w:sz w:val="20"/>
          <w:szCs w:val="20"/>
          <w:lang w:eastAsia="id-ID"/>
        </w:rPr>
      </w:pPr>
      <w:r w:rsidRPr="00934281">
        <w:rPr>
          <w:sz w:val="20"/>
          <w:szCs w:val="20"/>
        </w:rPr>
        <w:t>Importers can do several things to better understand the regulations related to import taxes. These include asking Bravo Customs, Client Coordinator, accessing the website https://peraturan.beacukai.go.id/ or the Documentation and Legal Information Network available in each Ministry. Furthermore, importers must actively participate in socialization activities carried out by DGCE and DGT</w:t>
      </w:r>
      <w:r w:rsidR="001759BD" w:rsidRPr="00934281">
        <w:rPr>
          <w:sz w:val="20"/>
          <w:szCs w:val="20"/>
          <w:lang w:eastAsia="id-ID"/>
        </w:rPr>
        <w:t>.</w:t>
      </w:r>
    </w:p>
    <w:p w14:paraId="03D44B9C" w14:textId="77777777" w:rsidR="00504B22" w:rsidRPr="00934281" w:rsidRDefault="00504B22" w:rsidP="00D26F04">
      <w:pPr>
        <w:pStyle w:val="JAPBODYTEXT"/>
        <w:rPr>
          <w:sz w:val="20"/>
          <w:szCs w:val="20"/>
          <w:lang w:eastAsia="id-ID"/>
        </w:rPr>
      </w:pPr>
    </w:p>
    <w:p w14:paraId="026561B0" w14:textId="77777777" w:rsidR="00CF7C13" w:rsidRPr="004B588E" w:rsidRDefault="00CA4FC8" w:rsidP="00D26F04">
      <w:pPr>
        <w:pStyle w:val="JAPBODYTEXT"/>
        <w:rPr>
          <w:b/>
          <w:bCs/>
          <w:sz w:val="20"/>
          <w:szCs w:val="20"/>
          <w:lang w:eastAsia="id-ID"/>
        </w:rPr>
      </w:pPr>
      <w:r w:rsidRPr="004B588E">
        <w:rPr>
          <w:b/>
          <w:bCs/>
          <w:sz w:val="20"/>
          <w:szCs w:val="20"/>
          <w:lang w:eastAsia="id-ID"/>
        </w:rPr>
        <w:t>CONCLUSIONS AND RECOMMENDATIONS</w:t>
      </w:r>
    </w:p>
    <w:p w14:paraId="633D8AE8" w14:textId="77777777" w:rsidR="004B588E" w:rsidRDefault="006D6815" w:rsidP="004B588E">
      <w:pPr>
        <w:pStyle w:val="JAPBODYTEXT"/>
        <w:ind w:firstLine="426"/>
        <w:rPr>
          <w:sz w:val="20"/>
          <w:szCs w:val="20"/>
        </w:rPr>
      </w:pPr>
      <w:r w:rsidRPr="00934281">
        <w:rPr>
          <w:sz w:val="20"/>
          <w:szCs w:val="20"/>
        </w:rPr>
        <w:t>This study found that several factors cause import tax disputes and strategies to minimize them in the future. Based on the results of the content and thematic analyses, it can be concluded that there are 5 (five) categories that cause import tax disputes. The five main causes are substance, procedures, authority, examiners, and importers. To minimize the occurrence of import tax disputes, it is necessary to change import tax regulations, solidification of customs regulations, standardization of examination procedures, more firm authority in import tax examination and determination, continuous education and training for examiners, and counseling to increase importers’ understanding of import taxes.</w:t>
      </w:r>
    </w:p>
    <w:p w14:paraId="10B7A08F" w14:textId="4B06DB05" w:rsidR="006275D1" w:rsidRPr="00934281" w:rsidRDefault="006275D1" w:rsidP="004B588E">
      <w:pPr>
        <w:pStyle w:val="JAPBODYTEXT"/>
        <w:ind w:firstLine="426"/>
        <w:rPr>
          <w:sz w:val="20"/>
          <w:szCs w:val="20"/>
        </w:rPr>
      </w:pPr>
      <w:r w:rsidRPr="00934281">
        <w:rPr>
          <w:sz w:val="20"/>
          <w:szCs w:val="20"/>
        </w:rPr>
        <w:t>This study endeavors to bridge the prevailing gap in academic research by conducting a thorough analysis of the factors leading to import tax disputes, thus enriching the theoretical understanding of this domain. In terms of practical implications, this study extends a series of recommendations aimed at various stakeholders in the import taxation spectrum. First, it proposes that the Directorate General of Taxes (DGT) and Finance and Planning Agency (FPA) undertake a comprehensive review and enhancement of existing regulations related to import taxes. Concurrently, it advocates the fortification of customs regulations by the Directorate General of Customs and Excise (DGCE). Specifically, for DGCE examiners, the study underscores the need for refinement in the procedures of import tax examinations. Furthermore, the study emphasizes the importance of importers to bolster their understanding of the existing import tax regulations, ensuring seamless compliance. While this study provides invaluable insights, it is not without its limitations, and it is from these limitations that avenues for future research are identified. This study is confined to the perspectives of post-clearance examiners, which include re-examinations and customs audits. An expansion of future research endeavors to include on-clearance examiners as participants could yield a more holistic view of this subject matter. The research methodology incorporates the participation of four distinct parties: examiners, appeal-management entities, tax regulators, and importers. However, the interviews were conducted on an individual basis. Future studies might consider the utilization of Forum Group Discussions (FGD) to construct fishbone diagrams, fostering a more comprehensive and contextually relevant understanding. This study focused predominantly on identifying the causes of import tax disputes. There is an opportunity for subsequent research to explore the efficacy of resolution mechanisms in place for such disputes. Finally, while this study concentrated on appeal decisions rendered at the tax court level, an exploration of judicial review decisions at the Supreme Court level stands as a viable and potentially fruitful avenue for future research, promising to contribute further to the academic discourse surrounding import tax disputes.</w:t>
      </w:r>
    </w:p>
    <w:p w14:paraId="079C897B" w14:textId="77777777" w:rsidR="00867271" w:rsidRPr="00934281" w:rsidRDefault="00867271" w:rsidP="00D26F04">
      <w:pPr>
        <w:pStyle w:val="JAPBODYTEXT"/>
        <w:rPr>
          <w:sz w:val="20"/>
          <w:szCs w:val="20"/>
          <w:lang w:eastAsia="id-ID"/>
        </w:rPr>
      </w:pPr>
    </w:p>
    <w:p w14:paraId="1B52DAE0" w14:textId="7A6F3557" w:rsidR="00867271" w:rsidRPr="004B588E" w:rsidRDefault="000E250E" w:rsidP="00D26F04">
      <w:pPr>
        <w:pStyle w:val="JAPBODYTEXT"/>
        <w:rPr>
          <w:b/>
          <w:bCs/>
          <w:sz w:val="20"/>
          <w:szCs w:val="20"/>
          <w:lang w:eastAsia="id-ID"/>
        </w:rPr>
      </w:pPr>
      <w:r w:rsidRPr="004B588E">
        <w:rPr>
          <w:b/>
          <w:bCs/>
          <w:sz w:val="20"/>
          <w:szCs w:val="20"/>
          <w:lang w:eastAsia="id-ID"/>
        </w:rPr>
        <w:t>ACKNOWLEDGEMENT</w:t>
      </w:r>
    </w:p>
    <w:p w14:paraId="54A376C6" w14:textId="77777777" w:rsidR="00710A31" w:rsidRPr="002178B5" w:rsidRDefault="00AA4256" w:rsidP="00F07906">
      <w:pPr>
        <w:pStyle w:val="JAPBODYTEXT"/>
        <w:ind w:firstLine="426"/>
        <w:rPr>
          <w:lang w:eastAsia="id-ID"/>
        </w:rPr>
      </w:pPr>
      <w:r w:rsidRPr="00934281">
        <w:rPr>
          <w:sz w:val="20"/>
          <w:szCs w:val="20"/>
          <w:lang w:eastAsia="id-ID"/>
        </w:rPr>
        <w:t xml:space="preserve">We would like to thank the research </w:t>
      </w:r>
      <w:r w:rsidR="0069114A" w:rsidRPr="00934281">
        <w:rPr>
          <w:sz w:val="20"/>
          <w:szCs w:val="20"/>
          <w:lang w:eastAsia="id-ID"/>
        </w:rPr>
        <w:t>participant</w:t>
      </w:r>
      <w:r w:rsidRPr="00934281">
        <w:rPr>
          <w:sz w:val="20"/>
          <w:szCs w:val="20"/>
          <w:lang w:eastAsia="id-ID"/>
        </w:rPr>
        <w:t xml:space="preserve"> from the Directorate General of Customs and Excise, Director General of Taxes, and Fiscal Policy Agency. We also thank the company that has given us access to collect data and information during the process of completing this research.</w:t>
      </w:r>
    </w:p>
    <w:p w14:paraId="1E107B00" w14:textId="77777777" w:rsidR="00EC2AD1" w:rsidRPr="002178B5" w:rsidRDefault="00EC2AD1" w:rsidP="00D26F04">
      <w:pPr>
        <w:pStyle w:val="JAPBODYTEXT"/>
        <w:rPr>
          <w:lang w:eastAsia="id-ID"/>
        </w:rPr>
      </w:pPr>
    </w:p>
    <w:p w14:paraId="794B6625" w14:textId="77777777" w:rsidR="00682AB0" w:rsidRPr="002178B5" w:rsidRDefault="002422AC" w:rsidP="00CE1FAB">
      <w:pPr>
        <w:pStyle w:val="JAPSub-Judul"/>
        <w:rPr>
          <w:color w:val="000000" w:themeColor="text1"/>
        </w:rPr>
      </w:pPr>
      <w:r w:rsidRPr="002178B5">
        <w:rPr>
          <w:color w:val="000000" w:themeColor="text1"/>
        </w:rPr>
        <w:t>bibliography</w:t>
      </w:r>
    </w:p>
    <w:p w14:paraId="5C9A8DA7" w14:textId="77777777" w:rsidR="001F60AB" w:rsidRPr="002178B5" w:rsidRDefault="001F60AB" w:rsidP="001F60AB">
      <w:pPr>
        <w:pStyle w:val="JAP-DaftarPustaka"/>
        <w:rPr>
          <w:color w:val="000000" w:themeColor="text1"/>
        </w:rPr>
      </w:pPr>
      <w:r w:rsidRPr="002178B5">
        <w:rPr>
          <w:color w:val="000000" w:themeColor="text1"/>
        </w:rPr>
        <w:t>Advameg, Inc. (2023, September 6). How products are made. Retrieved from Asbestos: http://www.madehow.com/Volume-4/Asbestos.html</w:t>
      </w:r>
    </w:p>
    <w:p w14:paraId="30393562" w14:textId="77777777" w:rsidR="001F60AB" w:rsidRPr="002178B5" w:rsidRDefault="001F60AB" w:rsidP="001F60AB">
      <w:pPr>
        <w:pStyle w:val="JAP-DaftarPustaka"/>
        <w:rPr>
          <w:color w:val="000000" w:themeColor="text1"/>
        </w:rPr>
      </w:pPr>
      <w:r w:rsidRPr="002178B5">
        <w:rPr>
          <w:color w:val="000000" w:themeColor="text1"/>
        </w:rPr>
        <w:t>Ahmad Firdiansyah, W. H. (2018). Studi Kasus Penetapan Kembali Tarif dan atau Nilai Pabean (SPKTNP) oleh Direktur Jenderal Bea dan Cukai: Tinjauan Putusan Peninjauan Kembali Mahkamah Agung RI. Bintaro: Politeknik Keuangan Negara STAN.</w:t>
      </w:r>
    </w:p>
    <w:p w14:paraId="1DC1B1CB" w14:textId="77777777" w:rsidR="001F60AB" w:rsidRPr="002178B5" w:rsidRDefault="001F60AB" w:rsidP="001F60AB">
      <w:pPr>
        <w:pStyle w:val="JAP-DaftarPustaka"/>
        <w:rPr>
          <w:color w:val="000000" w:themeColor="text1"/>
        </w:rPr>
      </w:pPr>
      <w:r w:rsidRPr="002178B5">
        <w:rPr>
          <w:color w:val="000000" w:themeColor="text1"/>
        </w:rPr>
        <w:t>Aigheyisi, O. S. (2021). Threshold Effects of Import Dependence on Economic Growth in Nigeria. SSRN, 198-219.</w:t>
      </w:r>
    </w:p>
    <w:p w14:paraId="2ACE6D46" w14:textId="77777777" w:rsidR="001F60AB" w:rsidRPr="002178B5" w:rsidRDefault="001F60AB" w:rsidP="001F60AB">
      <w:pPr>
        <w:pStyle w:val="JAP-DaftarPustaka"/>
        <w:rPr>
          <w:color w:val="000000" w:themeColor="text1"/>
        </w:rPr>
      </w:pPr>
      <w:r w:rsidRPr="002178B5">
        <w:rPr>
          <w:color w:val="000000" w:themeColor="text1"/>
        </w:rPr>
        <w:t>Almahsun Misbach, P. H. (2022). The Role of Indonesia Customs in the Eradication of IUU Fishing. Customs Research and Application Journal, 3 Nomor 2.</w:t>
      </w:r>
    </w:p>
    <w:p w14:paraId="4C42D691" w14:textId="77777777" w:rsidR="001F60AB" w:rsidRPr="002178B5" w:rsidRDefault="001F60AB" w:rsidP="001F60AB">
      <w:pPr>
        <w:pStyle w:val="JAP-DaftarPustaka"/>
        <w:rPr>
          <w:color w:val="000000" w:themeColor="text1"/>
        </w:rPr>
      </w:pPr>
      <w:r w:rsidRPr="002178B5">
        <w:rPr>
          <w:color w:val="000000" w:themeColor="text1"/>
        </w:rPr>
        <w:t>Anjarwi, A. W. (2021). Pajak Lalu Lintas Barang : Kepabeanan, Ekspor, Impor, dan Cukai. Yogyakarta: Deepublish.</w:t>
      </w:r>
    </w:p>
    <w:p w14:paraId="3B2E6519" w14:textId="77777777" w:rsidR="001F60AB" w:rsidRPr="002178B5" w:rsidRDefault="001F60AB" w:rsidP="001F60AB">
      <w:pPr>
        <w:pStyle w:val="JAP-DaftarPustaka"/>
        <w:rPr>
          <w:color w:val="000000" w:themeColor="text1"/>
        </w:rPr>
      </w:pPr>
      <w:r w:rsidRPr="002178B5">
        <w:rPr>
          <w:color w:val="000000" w:themeColor="text1"/>
        </w:rPr>
        <w:t xml:space="preserve">Aulia, R. (2020). Evaluasi Kebijakan Insentif Pajak Penghasilan Bagi Usaha Mikro Kecil Menengah Pada </w:t>
      </w:r>
      <w:r w:rsidRPr="002178B5">
        <w:rPr>
          <w:color w:val="000000" w:themeColor="text1"/>
        </w:rPr>
        <w:lastRenderedPageBreak/>
        <w:t>Masa Pandemi Covid-19. Jakarta: Universitas Indonesia.</w:t>
      </w:r>
    </w:p>
    <w:p w14:paraId="7DE9438C" w14:textId="77777777" w:rsidR="001F60AB" w:rsidRPr="002178B5" w:rsidRDefault="001F60AB" w:rsidP="001F60AB">
      <w:pPr>
        <w:pStyle w:val="JAP-DaftarPustaka"/>
        <w:rPr>
          <w:color w:val="000000" w:themeColor="text1"/>
        </w:rPr>
      </w:pPr>
      <w:r w:rsidRPr="002178B5">
        <w:rPr>
          <w:color w:val="000000" w:themeColor="text1"/>
        </w:rPr>
        <w:t>Badan Kebijakan Fiskal. (2022, May 17). Publikasi. Retrieved from Web site Badan Kebijakan Fiskal: https://fiskal.kemenkeu.go.id/</w:t>
      </w:r>
    </w:p>
    <w:p w14:paraId="78D15F65" w14:textId="77777777" w:rsidR="001F60AB" w:rsidRPr="002178B5" w:rsidRDefault="001F60AB" w:rsidP="001F60AB">
      <w:pPr>
        <w:pStyle w:val="JAP-DaftarPustaka"/>
        <w:rPr>
          <w:color w:val="000000" w:themeColor="text1"/>
        </w:rPr>
      </w:pPr>
      <w:r w:rsidRPr="002178B5">
        <w:rPr>
          <w:color w:val="000000" w:themeColor="text1"/>
        </w:rPr>
        <w:t>Badan Pusat Statistik. (2023, January 16). Berita Resmi Statistik. Retrieved from Web site Badan Pusat Statistik: https://www.bps.go.id/</w:t>
      </w:r>
    </w:p>
    <w:p w14:paraId="1345AA8B" w14:textId="77777777" w:rsidR="001F60AB" w:rsidRPr="002178B5" w:rsidRDefault="001F60AB" w:rsidP="001F60AB">
      <w:pPr>
        <w:pStyle w:val="JAP-DaftarPustaka"/>
        <w:rPr>
          <w:color w:val="000000" w:themeColor="text1"/>
        </w:rPr>
      </w:pPr>
      <w:r w:rsidRPr="002178B5">
        <w:rPr>
          <w:color w:val="000000" w:themeColor="text1"/>
        </w:rPr>
        <w:t>Bangun, C. (2018). Transformasi Penyelesaian Sengketa Nilai Pabean (Studi Sengketa Nilai Pabean di Pengadilan Pajak). Jakarta: Universitas Indonesia.</w:t>
      </w:r>
    </w:p>
    <w:p w14:paraId="72AC4BEB" w14:textId="77777777" w:rsidR="001F60AB" w:rsidRPr="002178B5" w:rsidRDefault="001F60AB" w:rsidP="001F60AB">
      <w:pPr>
        <w:pStyle w:val="JAP-DaftarPustaka"/>
        <w:rPr>
          <w:color w:val="000000" w:themeColor="text1"/>
        </w:rPr>
      </w:pPr>
      <w:r w:rsidRPr="002178B5">
        <w:rPr>
          <w:color w:val="000000" w:themeColor="text1"/>
        </w:rPr>
        <w:t>Budi Ispriyarso, N. S. (2019). Independence and Procedure of Tax Dispute Resolution Institutions in Indonesia and Wast Asian Countries. International Journal of Innovation, Creativity and Change, 10(2).</w:t>
      </w:r>
    </w:p>
    <w:p w14:paraId="56E963C4" w14:textId="77777777" w:rsidR="001F60AB" w:rsidRPr="002178B5" w:rsidRDefault="001F60AB" w:rsidP="001F60AB">
      <w:pPr>
        <w:pStyle w:val="JAP-DaftarPustaka"/>
        <w:rPr>
          <w:color w:val="000000" w:themeColor="text1"/>
        </w:rPr>
      </w:pPr>
      <w:r w:rsidRPr="002178B5">
        <w:rPr>
          <w:color w:val="000000" w:themeColor="text1"/>
        </w:rPr>
        <w:t>Colin Davis, K.-i. H. (2021). Import competition and industry location in a small-country model of productivity growth. Review of International Economics, 1046-1064.</w:t>
      </w:r>
    </w:p>
    <w:p w14:paraId="52A53789" w14:textId="77777777" w:rsidR="001F60AB" w:rsidRPr="002178B5" w:rsidRDefault="001F60AB" w:rsidP="001F60AB">
      <w:pPr>
        <w:pStyle w:val="JAP-DaftarPustaka"/>
        <w:rPr>
          <w:color w:val="000000" w:themeColor="text1"/>
        </w:rPr>
      </w:pPr>
      <w:r w:rsidRPr="002178B5">
        <w:rPr>
          <w:color w:val="000000" w:themeColor="text1"/>
        </w:rPr>
        <w:t>Direktorat Audit Kepabeanan dan Cukai. (2021). Rencana Strategis Direktorat Audit Kepabeanan dan Cukai Tahun 2021 s.d. 2026. Jakarta: Direktorat Audit Kepabeanan dan Cukai.</w:t>
      </w:r>
    </w:p>
    <w:p w14:paraId="27505ABD" w14:textId="77777777" w:rsidR="001F60AB" w:rsidRPr="002178B5" w:rsidRDefault="001F60AB" w:rsidP="001F60AB">
      <w:pPr>
        <w:pStyle w:val="JAP-DaftarPustaka"/>
        <w:rPr>
          <w:color w:val="000000" w:themeColor="text1"/>
        </w:rPr>
      </w:pPr>
      <w:r w:rsidRPr="002178B5">
        <w:rPr>
          <w:color w:val="000000" w:themeColor="text1"/>
        </w:rPr>
        <w:t>Direktorat Audit Kepabeanan dan Cukai. (2022). Laporan Kinerja Direktorat Audit Kepabeanan dan Cukai Tahun 2022. Jakarta: Direktorat Audit Kepabeanan dan Cukai.</w:t>
      </w:r>
    </w:p>
    <w:p w14:paraId="50B5C193" w14:textId="77777777" w:rsidR="001F60AB" w:rsidRPr="002178B5" w:rsidRDefault="001F60AB" w:rsidP="001F60AB">
      <w:pPr>
        <w:pStyle w:val="JAP-DaftarPustaka"/>
        <w:rPr>
          <w:color w:val="000000" w:themeColor="text1"/>
        </w:rPr>
      </w:pPr>
      <w:r w:rsidRPr="002178B5">
        <w:rPr>
          <w:color w:val="000000" w:themeColor="text1"/>
        </w:rPr>
        <w:t>Direktorat Jenderal Bea Cukai. (2022). Laporan Kinerja Direktorat Jenderal Bea dan Cukai Tahun 2022. Indonesia.</w:t>
      </w:r>
    </w:p>
    <w:p w14:paraId="67D01817" w14:textId="77777777" w:rsidR="001F60AB" w:rsidRPr="002178B5" w:rsidRDefault="001F60AB" w:rsidP="001F60AB">
      <w:pPr>
        <w:pStyle w:val="JAP-DaftarPustaka"/>
        <w:rPr>
          <w:color w:val="000000" w:themeColor="text1"/>
        </w:rPr>
      </w:pPr>
      <w:r w:rsidRPr="002178B5">
        <w:rPr>
          <w:color w:val="000000" w:themeColor="text1"/>
        </w:rPr>
        <w:t>Direktorat Keberatan Banding dan Peraturan. (2022). Laporan Kinerja Direktorat Keberatan Banding dan Peraturan Tahun 2022. Jakarta: Direktorat Keberatan Banding dan Peraturan.</w:t>
      </w:r>
    </w:p>
    <w:p w14:paraId="35391594" w14:textId="77777777" w:rsidR="001F60AB" w:rsidRPr="002178B5" w:rsidRDefault="001F60AB" w:rsidP="001F60AB">
      <w:pPr>
        <w:pStyle w:val="JAP-DaftarPustaka"/>
        <w:rPr>
          <w:color w:val="000000" w:themeColor="text1"/>
        </w:rPr>
      </w:pPr>
      <w:r w:rsidRPr="002178B5">
        <w:rPr>
          <w:color w:val="000000" w:themeColor="text1"/>
        </w:rPr>
        <w:t>Dr. J. R. Raco, M. M. (2010). Metode Penelitian Kualitatif. Jakarta: Grasindo.</w:t>
      </w:r>
    </w:p>
    <w:p w14:paraId="69FDA5D4" w14:textId="77777777" w:rsidR="001F60AB" w:rsidRPr="002178B5" w:rsidRDefault="001F60AB" w:rsidP="001F60AB">
      <w:pPr>
        <w:pStyle w:val="JAP-DaftarPustaka"/>
        <w:rPr>
          <w:color w:val="000000" w:themeColor="text1"/>
        </w:rPr>
      </w:pPr>
      <w:r w:rsidRPr="002178B5">
        <w:rPr>
          <w:color w:val="000000" w:themeColor="text1"/>
        </w:rPr>
        <w:t>E S Luhur, R. H. (2021). Driving factors of Indonesian import of fish meal. IOP Conference Series: Earth and Environmental Science, 1-12.</w:t>
      </w:r>
    </w:p>
    <w:p w14:paraId="42CFB8C4" w14:textId="77777777" w:rsidR="001F60AB" w:rsidRPr="002178B5" w:rsidRDefault="001F60AB" w:rsidP="001F60AB">
      <w:pPr>
        <w:pStyle w:val="JAP-DaftarPustaka"/>
        <w:rPr>
          <w:color w:val="000000" w:themeColor="text1"/>
        </w:rPr>
      </w:pPr>
      <w:r w:rsidRPr="002178B5">
        <w:rPr>
          <w:color w:val="000000" w:themeColor="text1"/>
        </w:rPr>
        <w:t>Ellet, W. (2018). The Case Study Handbook A Student Guide. Boston: Harvard Business Review Press.</w:t>
      </w:r>
    </w:p>
    <w:p w14:paraId="35F00F9F" w14:textId="77777777" w:rsidR="001F60AB" w:rsidRPr="002178B5" w:rsidRDefault="001F60AB" w:rsidP="001F60AB">
      <w:pPr>
        <w:pStyle w:val="JAP-DaftarPustaka"/>
        <w:rPr>
          <w:color w:val="000000" w:themeColor="text1"/>
        </w:rPr>
      </w:pPr>
      <w:r w:rsidRPr="002178B5">
        <w:rPr>
          <w:color w:val="000000" w:themeColor="text1"/>
        </w:rPr>
        <w:t>Food and Agriculture Organization of The United Nations. (2023, September 6). Whole Dates. Retrieved from Website Whole Dates: https://www.fao.org/3/t0681E/t0681e03.htm#1.2.a</w:t>
      </w:r>
    </w:p>
    <w:p w14:paraId="55940720" w14:textId="77777777" w:rsidR="001F60AB" w:rsidRPr="002178B5" w:rsidRDefault="001F60AB" w:rsidP="001F60AB">
      <w:pPr>
        <w:pStyle w:val="JAP-DaftarPustaka"/>
        <w:rPr>
          <w:color w:val="000000" w:themeColor="text1"/>
        </w:rPr>
      </w:pPr>
      <w:r w:rsidRPr="002178B5">
        <w:rPr>
          <w:color w:val="000000" w:themeColor="text1"/>
        </w:rPr>
        <w:t>Gheorghe ILIE, C. N. (2010, March). Application of Fishbone Diagram to Determine the Risk of an Event With Multiple Causes. Management Research and Practice, 2(1), 1-20.</w:t>
      </w:r>
    </w:p>
    <w:p w14:paraId="2AE23197" w14:textId="77777777" w:rsidR="001F60AB" w:rsidRPr="002178B5" w:rsidRDefault="001F60AB" w:rsidP="001F60AB">
      <w:pPr>
        <w:pStyle w:val="JAP-DaftarPustaka"/>
        <w:rPr>
          <w:color w:val="000000" w:themeColor="text1"/>
        </w:rPr>
      </w:pPr>
      <w:r w:rsidRPr="002178B5">
        <w:rPr>
          <w:color w:val="000000" w:themeColor="text1"/>
        </w:rPr>
        <w:t>Harsono, B. (2018). Tinjauan Sengketa atas Batu Bara sebagai Barang Kena Pajak atau Non Barang Kena Pajak. Simposium Nasional Keuangan Negara, 252-267.</w:t>
      </w:r>
    </w:p>
    <w:p w14:paraId="429534F6" w14:textId="77777777" w:rsidR="001F60AB" w:rsidRPr="002178B5" w:rsidRDefault="001F60AB" w:rsidP="001F60AB">
      <w:pPr>
        <w:pStyle w:val="JAP-DaftarPustaka"/>
        <w:rPr>
          <w:color w:val="000000" w:themeColor="text1"/>
        </w:rPr>
      </w:pPr>
      <w:r w:rsidRPr="002178B5">
        <w:rPr>
          <w:color w:val="000000" w:themeColor="text1"/>
        </w:rPr>
        <w:t>Heriyanto. (2018). Thematic Analysis sebagai Metode Menganalisa Data untuk Penelitian Kualitatif. ANUVA, 317-324.</w:t>
      </w:r>
    </w:p>
    <w:p w14:paraId="711DA9AA" w14:textId="77777777" w:rsidR="001F60AB" w:rsidRPr="002178B5" w:rsidRDefault="001F60AB" w:rsidP="001F60AB">
      <w:pPr>
        <w:pStyle w:val="JAP-DaftarPustaka"/>
        <w:rPr>
          <w:color w:val="000000" w:themeColor="text1"/>
        </w:rPr>
      </w:pPr>
      <w:r w:rsidRPr="002178B5">
        <w:rPr>
          <w:color w:val="000000" w:themeColor="text1"/>
        </w:rPr>
        <w:t>Hodijah, S., &amp; Angelina, G. P. (2021). Analisis Pengaruh Ekspor dan Impor terhadap Pertumbuhan Ekonomi di Indonesia. Jurnal Manajemen Terapan dan Keuangan (Mankeu), 53-62.</w:t>
      </w:r>
    </w:p>
    <w:p w14:paraId="1A02D8F8" w14:textId="77777777" w:rsidR="001F60AB" w:rsidRPr="002178B5" w:rsidRDefault="001F60AB" w:rsidP="001F60AB">
      <w:pPr>
        <w:pStyle w:val="JAP-DaftarPustaka"/>
        <w:rPr>
          <w:color w:val="000000" w:themeColor="text1"/>
        </w:rPr>
      </w:pPr>
      <w:r w:rsidRPr="002178B5">
        <w:rPr>
          <w:color w:val="000000" w:themeColor="text1"/>
        </w:rPr>
        <w:t>Jaggia, S., &amp; Kelly, A. (2015). Business Statistics Communicating with Numbers third edition. New York: McGraw-Hill Education.</w:t>
      </w:r>
    </w:p>
    <w:p w14:paraId="7A4A5F75" w14:textId="77777777" w:rsidR="001F60AB" w:rsidRPr="002178B5" w:rsidRDefault="001F60AB" w:rsidP="001F60AB">
      <w:pPr>
        <w:pStyle w:val="JAP-DaftarPustaka"/>
        <w:rPr>
          <w:color w:val="000000" w:themeColor="text1"/>
        </w:rPr>
      </w:pPr>
      <w:r w:rsidRPr="002178B5">
        <w:rPr>
          <w:color w:val="000000" w:themeColor="text1"/>
        </w:rPr>
        <w:t>Jonathan Farrar, M. R. (2022). Fairness, legitimacy, and tax compliance. eJournal of Tax Research, 186-212.</w:t>
      </w:r>
    </w:p>
    <w:p w14:paraId="123D02A5" w14:textId="77777777" w:rsidR="001F60AB" w:rsidRPr="002178B5" w:rsidRDefault="001F60AB" w:rsidP="001F60AB">
      <w:pPr>
        <w:pStyle w:val="JAP-DaftarPustaka"/>
        <w:rPr>
          <w:color w:val="000000" w:themeColor="text1"/>
        </w:rPr>
      </w:pPr>
      <w:r w:rsidRPr="002178B5">
        <w:rPr>
          <w:color w:val="000000" w:themeColor="text1"/>
        </w:rPr>
        <w:t>Kripendorff, K. (2004). Content Analysis An Introduction to Its Methodology. United Statef of America: SAGE Publications.</w:t>
      </w:r>
    </w:p>
    <w:p w14:paraId="499B2039" w14:textId="77777777" w:rsidR="001F60AB" w:rsidRPr="002178B5" w:rsidRDefault="001F60AB" w:rsidP="001F60AB">
      <w:pPr>
        <w:pStyle w:val="JAP-DaftarPustaka"/>
        <w:rPr>
          <w:color w:val="000000" w:themeColor="text1"/>
        </w:rPr>
      </w:pPr>
      <w:r w:rsidRPr="002178B5">
        <w:rPr>
          <w:color w:val="000000" w:themeColor="text1"/>
        </w:rPr>
        <w:t>Kusuma, I. G., Setiawan, B., &amp; Sugiharto, D. Y. (2019). Menakar Kualitas Pemeriksaan Pajak Dalam Sengketa Pajak. Jurnal Pajak Indonesia, 76-83.</w:t>
      </w:r>
    </w:p>
    <w:p w14:paraId="5F3011F5" w14:textId="77777777" w:rsidR="001F60AB" w:rsidRPr="002178B5" w:rsidRDefault="001F60AB" w:rsidP="001F60AB">
      <w:pPr>
        <w:pStyle w:val="JAP-DaftarPustaka"/>
        <w:rPr>
          <w:color w:val="000000" w:themeColor="text1"/>
        </w:rPr>
      </w:pPr>
      <w:r w:rsidRPr="002178B5">
        <w:rPr>
          <w:color w:val="000000" w:themeColor="text1"/>
        </w:rPr>
        <w:t>Lidiia Karpenko, P. I. (2020). The Role of Customs Regulation in Ensuring the Economic Security of the Country. Journal of Security and Sustainability Issues, 10 Number 1.</w:t>
      </w:r>
    </w:p>
    <w:p w14:paraId="522DC962" w14:textId="77777777" w:rsidR="001F60AB" w:rsidRPr="002178B5" w:rsidRDefault="001F60AB" w:rsidP="001F60AB">
      <w:pPr>
        <w:pStyle w:val="JAP-DaftarPustaka"/>
        <w:rPr>
          <w:color w:val="000000" w:themeColor="text1"/>
        </w:rPr>
      </w:pPr>
      <w:r w:rsidRPr="002178B5">
        <w:rPr>
          <w:color w:val="000000" w:themeColor="text1"/>
        </w:rPr>
        <w:t>Liliana, L. (2016). A new model of Ishikawa diagram for quality assessment. IOP Conference Series: Materials Science and Engineering, 1-6.</w:t>
      </w:r>
    </w:p>
    <w:p w14:paraId="4193853A" w14:textId="77777777" w:rsidR="001F60AB" w:rsidRPr="002178B5" w:rsidRDefault="001F60AB" w:rsidP="001F60AB">
      <w:pPr>
        <w:pStyle w:val="JAP-DaftarPustaka"/>
        <w:rPr>
          <w:color w:val="000000" w:themeColor="text1"/>
        </w:rPr>
      </w:pPr>
      <w:r w:rsidRPr="002178B5">
        <w:rPr>
          <w:color w:val="000000" w:themeColor="text1"/>
        </w:rPr>
        <w:t>Mann, H. (2022). The expanding universe of international tax disputes: a principled analysis of the OECD international tax dispute settlement proposals. Asia Pacific Law Review, 268-283.</w:t>
      </w:r>
    </w:p>
    <w:p w14:paraId="536AC6A1" w14:textId="77777777" w:rsidR="001F60AB" w:rsidRPr="002178B5" w:rsidRDefault="001F60AB" w:rsidP="001F60AB">
      <w:pPr>
        <w:pStyle w:val="JAP-DaftarPustaka"/>
        <w:rPr>
          <w:color w:val="000000" w:themeColor="text1"/>
        </w:rPr>
      </w:pPr>
      <w:r w:rsidRPr="002178B5">
        <w:rPr>
          <w:color w:val="000000" w:themeColor="text1"/>
        </w:rPr>
        <w:t>Mohabbat, M. N., Rahman, M. K., &amp; Darda, D. M. (2018). Tax Avoidance and Evasion Practices in Bangladesh: A Study on Dhaka City. Research Journal of Finance and Accounting, 98-102.</w:t>
      </w:r>
    </w:p>
    <w:p w14:paraId="4252F00C" w14:textId="77777777" w:rsidR="001F60AB" w:rsidRPr="002178B5" w:rsidRDefault="001F60AB" w:rsidP="001F60AB">
      <w:pPr>
        <w:pStyle w:val="JAP-DaftarPustaka"/>
        <w:rPr>
          <w:color w:val="000000" w:themeColor="text1"/>
        </w:rPr>
      </w:pPr>
      <w:r w:rsidRPr="002178B5">
        <w:rPr>
          <w:color w:val="000000" w:themeColor="text1"/>
        </w:rPr>
        <w:t>Naniek Noviari, I. G. (2023). Do tax disputes affect firm value? Uncertain Supply Chain Management, 951-960.</w:t>
      </w:r>
    </w:p>
    <w:p w14:paraId="02CFC2DF" w14:textId="77777777" w:rsidR="001F60AB" w:rsidRPr="002178B5" w:rsidRDefault="001F60AB" w:rsidP="001F60AB">
      <w:pPr>
        <w:pStyle w:val="JAP-DaftarPustaka"/>
        <w:rPr>
          <w:color w:val="000000" w:themeColor="text1"/>
        </w:rPr>
      </w:pPr>
      <w:r w:rsidRPr="002178B5">
        <w:rPr>
          <w:color w:val="000000" w:themeColor="text1"/>
        </w:rPr>
        <w:t>OECD. (2023, February 23). International trade statistics: trends in fourth quarter 2022. Retrieved from OECD Home: Newsroom: https://www.oecd.org/newsroom/international-trade-statistics-trends-in-fourth-quarter-2022.htm</w:t>
      </w:r>
    </w:p>
    <w:p w14:paraId="77739590" w14:textId="77777777" w:rsidR="001F60AB" w:rsidRPr="002178B5" w:rsidRDefault="001F60AB" w:rsidP="001F60AB">
      <w:pPr>
        <w:pStyle w:val="JAP-DaftarPustaka"/>
        <w:rPr>
          <w:color w:val="000000" w:themeColor="text1"/>
        </w:rPr>
      </w:pPr>
      <w:r w:rsidRPr="002178B5">
        <w:rPr>
          <w:color w:val="000000" w:themeColor="text1"/>
        </w:rPr>
        <w:t>Pemerintah Republik Indonesia. (1945). Undang-Undang Dasar Negara Republik Indonesia. Indonesia.</w:t>
      </w:r>
    </w:p>
    <w:p w14:paraId="283DAA21" w14:textId="77777777" w:rsidR="001F60AB" w:rsidRPr="002178B5" w:rsidRDefault="001F60AB" w:rsidP="001F60AB">
      <w:pPr>
        <w:pStyle w:val="JAP-DaftarPustaka"/>
        <w:rPr>
          <w:color w:val="000000" w:themeColor="text1"/>
        </w:rPr>
      </w:pPr>
      <w:r w:rsidRPr="002178B5">
        <w:rPr>
          <w:color w:val="000000" w:themeColor="text1"/>
        </w:rPr>
        <w:t xml:space="preserve">Pemerintah Republik Indonesia. (2002). Undang-Undang Nomor 14 Tahun 2002 tentang Pengadilan Pajak. </w:t>
      </w:r>
      <w:r w:rsidRPr="002178B5">
        <w:rPr>
          <w:color w:val="000000" w:themeColor="text1"/>
        </w:rPr>
        <w:lastRenderedPageBreak/>
        <w:t>Indonesia.</w:t>
      </w:r>
    </w:p>
    <w:p w14:paraId="60B48549" w14:textId="77777777" w:rsidR="001F60AB" w:rsidRPr="002178B5" w:rsidRDefault="001F60AB" w:rsidP="001F60AB">
      <w:pPr>
        <w:pStyle w:val="JAP-DaftarPustaka"/>
        <w:rPr>
          <w:color w:val="000000" w:themeColor="text1"/>
        </w:rPr>
      </w:pPr>
      <w:r w:rsidRPr="002178B5">
        <w:rPr>
          <w:color w:val="000000" w:themeColor="text1"/>
        </w:rPr>
        <w:t>Pemerintah Republik Indonesia. (2006). Undang-Undang Nomor 17 Tahun 2006 tentang entang Perubahan atas Undang-Undang Nomor 10 Tahun 1995 tentang Kepabeanan. Indonesia.</w:t>
      </w:r>
    </w:p>
    <w:p w14:paraId="086A1E6F" w14:textId="77777777" w:rsidR="001F60AB" w:rsidRPr="002178B5" w:rsidRDefault="001F60AB" w:rsidP="001F60AB">
      <w:pPr>
        <w:pStyle w:val="JAP-DaftarPustaka"/>
        <w:rPr>
          <w:color w:val="000000" w:themeColor="text1"/>
        </w:rPr>
      </w:pPr>
      <w:r w:rsidRPr="002178B5">
        <w:rPr>
          <w:color w:val="000000" w:themeColor="text1"/>
        </w:rPr>
        <w:t>Pemerintah Republik Indonesia. (2008). Undang-Undang Nomor 36 Tahun 2008 tentang Perubahan Keempat atas Undang-Undang Nomor 7 Tahun 1983 tentang Pajak Penghasilan. Indonesia.</w:t>
      </w:r>
    </w:p>
    <w:p w14:paraId="6A1E44CA" w14:textId="77777777" w:rsidR="001F60AB" w:rsidRPr="002178B5" w:rsidRDefault="001F60AB" w:rsidP="001F60AB">
      <w:pPr>
        <w:pStyle w:val="JAP-DaftarPustaka"/>
        <w:rPr>
          <w:color w:val="000000" w:themeColor="text1"/>
        </w:rPr>
      </w:pPr>
      <w:r w:rsidRPr="002178B5">
        <w:rPr>
          <w:color w:val="000000" w:themeColor="text1"/>
        </w:rPr>
        <w:t>Pemerintah Republik Indonesia. (2009). Undang-Undang Nomor 42 Tahun 2009 tentang Perubahan Ketiga atas Undang-Undang Nomor 8 Tahun 1983 tentang Pajak Pertambahan Nilai Barang dan Jasa dan Pajak Penjualan atas Barang Mewah. Indonesia.</w:t>
      </w:r>
    </w:p>
    <w:p w14:paraId="2641E9A1" w14:textId="77777777" w:rsidR="001F60AB" w:rsidRPr="002178B5" w:rsidRDefault="001F60AB" w:rsidP="001F60AB">
      <w:pPr>
        <w:pStyle w:val="JAP-DaftarPustaka"/>
        <w:rPr>
          <w:color w:val="000000" w:themeColor="text1"/>
        </w:rPr>
      </w:pPr>
      <w:r w:rsidRPr="002178B5">
        <w:rPr>
          <w:color w:val="000000" w:themeColor="text1"/>
        </w:rPr>
        <w:t>Pemerintah Republik Indonesia. (2009). Undang-Undang Nomor 48 Tahun 2009 tentang Kekuasaan Kehakiman. Indonesia.</w:t>
      </w:r>
    </w:p>
    <w:p w14:paraId="49AC7CB6" w14:textId="77777777" w:rsidR="001F60AB" w:rsidRPr="002178B5" w:rsidRDefault="001F60AB" w:rsidP="001F60AB">
      <w:pPr>
        <w:pStyle w:val="JAP-DaftarPustaka"/>
        <w:rPr>
          <w:color w:val="000000" w:themeColor="text1"/>
        </w:rPr>
      </w:pPr>
      <w:r w:rsidRPr="002178B5">
        <w:rPr>
          <w:color w:val="000000" w:themeColor="text1"/>
        </w:rPr>
        <w:t>Pemerintah Republik Indonesia. (2014). Undang-Undang Republik Indonesia Nomor 30 tahun 2014 tentang Administrasi Pemerintahan. Jakarta: Pemerintah Indonesia.</w:t>
      </w:r>
    </w:p>
    <w:p w14:paraId="793926EF" w14:textId="77777777" w:rsidR="001F60AB" w:rsidRPr="002178B5" w:rsidRDefault="001F60AB" w:rsidP="001F60AB">
      <w:pPr>
        <w:pStyle w:val="JAP-DaftarPustaka"/>
        <w:rPr>
          <w:color w:val="000000" w:themeColor="text1"/>
        </w:rPr>
      </w:pPr>
      <w:r w:rsidRPr="002178B5">
        <w:rPr>
          <w:color w:val="000000" w:themeColor="text1"/>
        </w:rPr>
        <w:t>Pemerintah Republik Indonesia. (2016). Peraturan Menteri Keuangan Republik Indonesia Nomor 258/PMK.04/2016 tentang Perubahan atas Peraturan Menteri Keuangan Nomor 200/PMK.04/2011 tentang Audit Kepabeanan dan Audit Cukai. Jakarta: Pemerintah Republik Indonesia.</w:t>
      </w:r>
    </w:p>
    <w:p w14:paraId="20979058" w14:textId="77777777" w:rsidR="001F60AB" w:rsidRPr="002178B5" w:rsidRDefault="001F60AB" w:rsidP="001F60AB">
      <w:pPr>
        <w:pStyle w:val="JAP-DaftarPustaka"/>
        <w:rPr>
          <w:color w:val="000000" w:themeColor="text1"/>
        </w:rPr>
      </w:pPr>
      <w:r w:rsidRPr="002178B5">
        <w:rPr>
          <w:color w:val="000000" w:themeColor="text1"/>
        </w:rPr>
        <w:t>Pemerintah Republik Indonesia. (2018). Organisasi dan Tata Kerja Balai Laboratorium Bea dan Cukai. Jakarta: Pemerintah Republik Indonesia.</w:t>
      </w:r>
    </w:p>
    <w:p w14:paraId="71893AA3" w14:textId="77777777" w:rsidR="001F60AB" w:rsidRPr="002178B5" w:rsidRDefault="001F60AB" w:rsidP="001F60AB">
      <w:pPr>
        <w:pStyle w:val="JAP-DaftarPustaka"/>
        <w:rPr>
          <w:color w:val="000000" w:themeColor="text1"/>
        </w:rPr>
      </w:pPr>
      <w:r w:rsidRPr="002178B5">
        <w:rPr>
          <w:color w:val="000000" w:themeColor="text1"/>
        </w:rPr>
        <w:t>Pemerintah Republik Indonesia. (2019). Peraturan Direktur Jenderal Bea Cukai Nomor 24/BC/2019 tentang Perubahan atas PER-35/BC/2017 tentang Tata Laksana Audit Kepabeanan dan Cukai. Indonesia.</w:t>
      </w:r>
    </w:p>
    <w:p w14:paraId="389B61AC" w14:textId="77777777" w:rsidR="001F60AB" w:rsidRPr="002178B5" w:rsidRDefault="001F60AB" w:rsidP="001F60AB">
      <w:pPr>
        <w:pStyle w:val="JAP-DaftarPustaka"/>
        <w:rPr>
          <w:color w:val="000000" w:themeColor="text1"/>
        </w:rPr>
      </w:pPr>
      <w:r w:rsidRPr="002178B5">
        <w:rPr>
          <w:color w:val="000000" w:themeColor="text1"/>
        </w:rPr>
        <w:t>Pemerintah Republik Indonesia. (2019). Peraturan Direktur Jenderal Bea Cukai Nomor 25/BC/2019 tentang Perubahan atas PER-08/BC/2017 tentang Petunjuk Pelaksanaan Penelitian Ulang. Indonesia.</w:t>
      </w:r>
    </w:p>
    <w:p w14:paraId="3BFED109" w14:textId="77777777" w:rsidR="001F60AB" w:rsidRPr="002178B5" w:rsidRDefault="001F60AB" w:rsidP="001F60AB">
      <w:pPr>
        <w:pStyle w:val="JAP-DaftarPustaka"/>
        <w:rPr>
          <w:color w:val="000000" w:themeColor="text1"/>
        </w:rPr>
      </w:pPr>
      <w:r w:rsidRPr="002178B5">
        <w:rPr>
          <w:color w:val="000000" w:themeColor="text1"/>
        </w:rPr>
        <w:t>Pemerintah Republik Indonesia. (2021). Peraturan Menteri Keuangan Nomor 118/PMK.01/2021 tentang Organisasi dan Tata Kerja Kementerian Keuangan. Jakarta: Pemerintah Republik Indonesia.</w:t>
      </w:r>
    </w:p>
    <w:p w14:paraId="39A62009" w14:textId="77777777" w:rsidR="001F60AB" w:rsidRPr="002178B5" w:rsidRDefault="001F60AB" w:rsidP="001F60AB">
      <w:pPr>
        <w:pStyle w:val="JAP-DaftarPustaka"/>
        <w:rPr>
          <w:color w:val="000000" w:themeColor="text1"/>
        </w:rPr>
      </w:pPr>
      <w:r w:rsidRPr="002178B5">
        <w:rPr>
          <w:color w:val="000000" w:themeColor="text1"/>
        </w:rPr>
        <w:t>Pemerintah Republik Indonesia. (2021). Peraturan Menteri Keuangan Nomor 115/PMK.03/2021 tentang Tata Cara Pemberian Fasilitas Dibebaskan Dari Pengenaan Pajak Pertambahan Nilai atas Impor dan atau Penyerahan Barang Kena Pajak Tertentu Yang Bersifat Strategis... Jakarta: Pemerintah Republik Indonesia.</w:t>
      </w:r>
    </w:p>
    <w:p w14:paraId="3527C3F9" w14:textId="77777777" w:rsidR="001F60AB" w:rsidRPr="002178B5" w:rsidRDefault="001F60AB" w:rsidP="001F60AB">
      <w:pPr>
        <w:pStyle w:val="JAP-DaftarPustaka"/>
        <w:rPr>
          <w:color w:val="000000" w:themeColor="text1"/>
        </w:rPr>
      </w:pPr>
      <w:r w:rsidRPr="002178B5">
        <w:rPr>
          <w:color w:val="000000" w:themeColor="text1"/>
        </w:rPr>
        <w:t>Pemerintah Republik Indonesia. (2023). Peraturan Menteri Keuangan Nomor 78 Tahun 2023 tentang Penelitian Ulang di Bidang Kepabeanan. Jakarta: Pemerintah Republik Indonesia.</w:t>
      </w:r>
    </w:p>
    <w:p w14:paraId="519604F7" w14:textId="77777777" w:rsidR="001F60AB" w:rsidRPr="002178B5" w:rsidRDefault="001F60AB" w:rsidP="001F60AB">
      <w:pPr>
        <w:pStyle w:val="JAP-DaftarPustaka"/>
        <w:rPr>
          <w:color w:val="000000" w:themeColor="text1"/>
        </w:rPr>
      </w:pPr>
      <w:r w:rsidRPr="002178B5">
        <w:rPr>
          <w:color w:val="000000" w:themeColor="text1"/>
        </w:rPr>
        <w:t>Pranoto, D. A. (2014). Alternative Solutions to Reduce Tax Disputes in Indonesia’s Tax Court. Depok: Universitas Indonesia.</w:t>
      </w:r>
    </w:p>
    <w:p w14:paraId="03496BF3" w14:textId="77777777" w:rsidR="001F60AB" w:rsidRPr="002178B5" w:rsidRDefault="001F60AB" w:rsidP="001F60AB">
      <w:pPr>
        <w:pStyle w:val="JAP-DaftarPustaka"/>
        <w:rPr>
          <w:color w:val="000000" w:themeColor="text1"/>
        </w:rPr>
      </w:pPr>
      <w:r w:rsidRPr="002178B5">
        <w:rPr>
          <w:color w:val="000000" w:themeColor="text1"/>
        </w:rPr>
        <w:t>Professor James Guthrie, L. W. (2006). Legitimacy Theory: A Story of Reporting Social And Enviromental Matters Within The Australian Food and Beverage Industry. Sydney: The University of Sydney.</w:t>
      </w:r>
    </w:p>
    <w:p w14:paraId="32BEF230" w14:textId="77777777" w:rsidR="001F60AB" w:rsidRPr="002178B5" w:rsidRDefault="001F60AB" w:rsidP="001F60AB">
      <w:pPr>
        <w:pStyle w:val="JAP-DaftarPustaka"/>
        <w:rPr>
          <w:color w:val="000000" w:themeColor="text1"/>
        </w:rPr>
      </w:pPr>
      <w:r w:rsidRPr="002178B5">
        <w:rPr>
          <w:color w:val="000000" w:themeColor="text1"/>
        </w:rPr>
        <w:t>Rasfina, M. (2012). Analisis Pelaksanaan Penyelesaian Sengketa Banding Tarif Bea Masuk di Pengadilan Pajak (Studi Kasus Pt. 3i Di Pengadilan Pajak). Depok: Universitas Indonesia.</w:t>
      </w:r>
    </w:p>
    <w:p w14:paraId="625DFC05" w14:textId="77777777" w:rsidR="001F60AB" w:rsidRPr="002178B5" w:rsidRDefault="001F60AB" w:rsidP="001F60AB">
      <w:pPr>
        <w:pStyle w:val="JAP-DaftarPustaka"/>
        <w:rPr>
          <w:color w:val="000000" w:themeColor="text1"/>
        </w:rPr>
      </w:pPr>
      <w:r w:rsidRPr="002178B5">
        <w:rPr>
          <w:color w:val="000000" w:themeColor="text1"/>
        </w:rPr>
        <w:t>Robert Kane, R. K. (2014, February 18). How to Use the Fishbone Tool for Root Cause Analysis. Retrieved from https://www.cms.gov/medicare/provider-enrollment-and-certification/qapi/downloads/fishbonerevised.pdf</w:t>
      </w:r>
    </w:p>
    <w:p w14:paraId="4A9A41D4" w14:textId="77777777" w:rsidR="001F60AB" w:rsidRPr="002178B5" w:rsidRDefault="001F60AB" w:rsidP="001F60AB">
      <w:pPr>
        <w:pStyle w:val="JAP-DaftarPustaka"/>
        <w:rPr>
          <w:color w:val="000000" w:themeColor="text1"/>
        </w:rPr>
      </w:pPr>
      <w:r w:rsidRPr="002178B5">
        <w:rPr>
          <w:color w:val="000000" w:themeColor="text1"/>
        </w:rPr>
        <w:t>Rubini, L. (2023). Between Sovereignty and Complexity: The Settlement of Tax Disputes by The World Trade Organization. Asia Pacific Law Review, 31(1), 204-218.</w:t>
      </w:r>
    </w:p>
    <w:p w14:paraId="1ADC3F14" w14:textId="77777777" w:rsidR="001F60AB" w:rsidRPr="002178B5" w:rsidRDefault="001F60AB" w:rsidP="001F60AB">
      <w:pPr>
        <w:pStyle w:val="JAP-DaftarPustaka"/>
        <w:rPr>
          <w:color w:val="000000" w:themeColor="text1"/>
        </w:rPr>
      </w:pPr>
      <w:r w:rsidRPr="002178B5">
        <w:rPr>
          <w:color w:val="000000" w:themeColor="text1"/>
        </w:rPr>
        <w:t>Sarosa, S. (2021). Analisis Data Penelitian Kuantitatif. Daerah Istimewa Yogyakarta: PT Kanisius.</w:t>
      </w:r>
    </w:p>
    <w:p w14:paraId="0E6CACAC" w14:textId="77777777" w:rsidR="001F60AB" w:rsidRPr="002178B5" w:rsidRDefault="001F60AB" w:rsidP="001F60AB">
      <w:pPr>
        <w:pStyle w:val="JAP-DaftarPustaka"/>
        <w:rPr>
          <w:color w:val="000000" w:themeColor="text1"/>
        </w:rPr>
      </w:pPr>
      <w:r w:rsidRPr="002178B5">
        <w:rPr>
          <w:color w:val="000000" w:themeColor="text1"/>
        </w:rPr>
        <w:t>Sazir Nsubuga Mayanja, K. M. (2020). Effect of Tax Dispute Resolution Mechanism on Taxpayer’s Compliance: The Case of Rwanda. Science Journal of Business and Management, 74-82.</w:t>
      </w:r>
    </w:p>
    <w:p w14:paraId="7A29041E" w14:textId="77777777" w:rsidR="001F60AB" w:rsidRPr="002178B5" w:rsidRDefault="001F60AB" w:rsidP="001F60AB">
      <w:pPr>
        <w:pStyle w:val="JAP-DaftarPustaka"/>
        <w:rPr>
          <w:color w:val="000000" w:themeColor="text1"/>
        </w:rPr>
      </w:pPr>
      <w:r w:rsidRPr="002178B5">
        <w:rPr>
          <w:color w:val="000000" w:themeColor="text1"/>
        </w:rPr>
        <w:t>Sebele-Mpofu, F. Y., Mashiri, E., &amp; Korera, P. (2021, October). Transfer Pricing Audit Challenges and Dispute Resolution Effectiveness in Developing Countries with Specific Focus on Zimbabwe. Accounting, Economics, and Law.</w:t>
      </w:r>
    </w:p>
    <w:p w14:paraId="128FF799" w14:textId="77777777" w:rsidR="001F60AB" w:rsidRPr="002178B5" w:rsidRDefault="001F60AB" w:rsidP="001F60AB">
      <w:pPr>
        <w:pStyle w:val="JAP-DaftarPustaka"/>
        <w:rPr>
          <w:color w:val="000000" w:themeColor="text1"/>
        </w:rPr>
      </w:pPr>
      <w:r w:rsidRPr="002178B5">
        <w:rPr>
          <w:color w:val="000000" w:themeColor="text1"/>
        </w:rPr>
        <w:t>Semedi, B. (2011, Agustus 5). BEA CUKAI YANG TUGASNYA DIGARIS DEPAN WILAYAH REPUBLIK INDONESIA MELAKSANAKAN KETENTUAN INSTANSI TEKNIS. Retrieved from Website Sekretariat Badan: https://bppk.kemenkeu.go.id/sekretariat-badan/berita/bea-cukai-yang-tugasnya-digaris-depan-wilayah-republik-indonesia-melaksanakan-ketentuan-instansi-teknis-279896</w:t>
      </w:r>
    </w:p>
    <w:p w14:paraId="381A766F" w14:textId="77777777" w:rsidR="001F60AB" w:rsidRPr="002178B5" w:rsidRDefault="001F60AB" w:rsidP="001F60AB">
      <w:pPr>
        <w:pStyle w:val="JAP-DaftarPustaka"/>
        <w:rPr>
          <w:color w:val="000000" w:themeColor="text1"/>
        </w:rPr>
      </w:pPr>
      <w:r w:rsidRPr="002178B5">
        <w:rPr>
          <w:color w:val="000000" w:themeColor="text1"/>
        </w:rPr>
        <w:t>Sriyanto, A. (2016). Tinjauan yuridis pengenaan bea masuk dan pajak dalam rangka impor film impor. Bintaro: Politeknik Keuangan Negara STAN.</w:t>
      </w:r>
    </w:p>
    <w:p w14:paraId="6A3E4F99" w14:textId="77777777" w:rsidR="001F60AB" w:rsidRPr="002178B5" w:rsidRDefault="001F60AB" w:rsidP="001F60AB">
      <w:pPr>
        <w:pStyle w:val="JAP-DaftarPustaka"/>
        <w:rPr>
          <w:color w:val="000000" w:themeColor="text1"/>
        </w:rPr>
      </w:pPr>
      <w:r w:rsidRPr="002178B5">
        <w:rPr>
          <w:color w:val="000000" w:themeColor="text1"/>
        </w:rPr>
        <w:t>Suciyani, F. (2022). Kedudukan Pengadilan Pajak Dalam Sistem Peradilan di Indonesia. DHARMASISYA Jurnal Program Magister Hukum Fakultas Hukum Universitas Indonesia, 375-388.</w:t>
      </w:r>
    </w:p>
    <w:p w14:paraId="73808129" w14:textId="77777777" w:rsidR="001F60AB" w:rsidRPr="002178B5" w:rsidRDefault="001F60AB" w:rsidP="001F60AB">
      <w:pPr>
        <w:pStyle w:val="JAP-DaftarPustaka"/>
        <w:rPr>
          <w:color w:val="000000" w:themeColor="text1"/>
        </w:rPr>
      </w:pPr>
      <w:r w:rsidRPr="002178B5">
        <w:rPr>
          <w:color w:val="000000" w:themeColor="text1"/>
        </w:rPr>
        <w:t xml:space="preserve">Sutarto, E. (2016, February 22). Filosofi Kepabeanan dan Cukai. Retrieved from Website KPPBC TMP </w:t>
      </w:r>
      <w:r w:rsidRPr="002178B5">
        <w:rPr>
          <w:color w:val="000000" w:themeColor="text1"/>
        </w:rPr>
        <w:lastRenderedPageBreak/>
        <w:t>Tanjung Emas: https://bctemas.beacukai.go.id/filosofi-kepabeanan-dan-cukai/</w:t>
      </w:r>
    </w:p>
    <w:p w14:paraId="23E80745" w14:textId="77777777" w:rsidR="001F60AB" w:rsidRPr="002178B5" w:rsidRDefault="001F60AB" w:rsidP="001F60AB">
      <w:pPr>
        <w:pStyle w:val="JAP-DaftarPustaka"/>
        <w:rPr>
          <w:color w:val="000000" w:themeColor="text1"/>
        </w:rPr>
      </w:pPr>
      <w:r w:rsidRPr="002178B5">
        <w:rPr>
          <w:color w:val="000000" w:themeColor="text1"/>
        </w:rPr>
        <w:t>Syafiqoh, D. (2022). Evaluasi Manajemen Pajak atas Sengketa Pajak Pertambahan Nilai di Badan Usaha Minyak dan Gas. Jakarta: Universitas Indonesia.</w:t>
      </w:r>
    </w:p>
    <w:p w14:paraId="176BA1D5" w14:textId="77777777" w:rsidR="001F60AB" w:rsidRPr="002178B5" w:rsidRDefault="001F60AB" w:rsidP="001F60AB">
      <w:pPr>
        <w:pStyle w:val="JAP-DaftarPustaka"/>
        <w:rPr>
          <w:color w:val="000000" w:themeColor="text1"/>
        </w:rPr>
      </w:pPr>
      <w:r w:rsidRPr="002178B5">
        <w:rPr>
          <w:color w:val="000000" w:themeColor="text1"/>
        </w:rPr>
        <w:t>Syahroni, I. M., Supriadi, H., &amp; Supriadi, A. (2019). Effectiveness of Regional Tax Collection (Study of Land and Building Tax Collection of Rural and Urban Areas in Banjarmasin). Saudi Journal of Economics and Finance, 453-458.</w:t>
      </w:r>
    </w:p>
    <w:p w14:paraId="172C31F6" w14:textId="77777777" w:rsidR="001F60AB" w:rsidRPr="002178B5" w:rsidRDefault="001F60AB" w:rsidP="001F60AB">
      <w:pPr>
        <w:pStyle w:val="JAP-DaftarPustaka"/>
        <w:rPr>
          <w:color w:val="000000" w:themeColor="text1"/>
        </w:rPr>
      </w:pPr>
      <w:r w:rsidRPr="002178B5">
        <w:rPr>
          <w:color w:val="000000" w:themeColor="text1"/>
        </w:rPr>
        <w:t>Tendi Wahyudi, U. L. (2017). Sengketa Pajak dalam Perspektif Pemeriksa Pajak (Sebuah Studi Fenomenologi). JRAAM Jurnal Riset dan Aplikasi: Akuntansi dan Manajemen Vol 2 No 3.</w:t>
      </w:r>
    </w:p>
    <w:p w14:paraId="15856C15" w14:textId="77777777" w:rsidR="001F60AB" w:rsidRPr="002178B5" w:rsidRDefault="001F60AB" w:rsidP="001F60AB">
      <w:pPr>
        <w:pStyle w:val="JAP-DaftarPustaka"/>
        <w:rPr>
          <w:color w:val="000000" w:themeColor="text1"/>
        </w:rPr>
      </w:pPr>
      <w:r w:rsidRPr="002178B5">
        <w:rPr>
          <w:color w:val="000000" w:themeColor="text1"/>
        </w:rPr>
        <w:t>Virginia Braun, V. C. (2012). Thematic Analysis. Washington: American Psychological Association.</w:t>
      </w:r>
    </w:p>
    <w:p w14:paraId="3A902092" w14:textId="77777777" w:rsidR="001F60AB" w:rsidRPr="002178B5" w:rsidRDefault="001F60AB" w:rsidP="001F60AB">
      <w:pPr>
        <w:pStyle w:val="JAP-DaftarPustaka"/>
        <w:rPr>
          <w:color w:val="000000" w:themeColor="text1"/>
        </w:rPr>
      </w:pPr>
      <w:r w:rsidRPr="002178B5">
        <w:rPr>
          <w:color w:val="000000" w:themeColor="text1"/>
        </w:rPr>
        <w:t>Wellia Novita, R. R. (2022). Sengketa Pajak dalam Perspektif Wajib Pajak (Studi Kasus Restitusi Pajak ADHI-IBG, KSO). Padang: Universitas Andalas.</w:t>
      </w:r>
    </w:p>
    <w:p w14:paraId="463E4AB2" w14:textId="77777777" w:rsidR="001F60AB" w:rsidRPr="002178B5" w:rsidRDefault="001F60AB" w:rsidP="001F60AB">
      <w:pPr>
        <w:pStyle w:val="JAP-DaftarPustaka"/>
        <w:rPr>
          <w:color w:val="000000" w:themeColor="text1"/>
        </w:rPr>
      </w:pPr>
      <w:r w:rsidRPr="002178B5">
        <w:rPr>
          <w:color w:val="000000" w:themeColor="text1"/>
        </w:rPr>
        <w:t>Widdowson. (2007). The Changing Role of Customs: Evolution or Revolution? World Customs Journal.</w:t>
      </w:r>
    </w:p>
    <w:p w14:paraId="5EC45758" w14:textId="77777777" w:rsidR="001F60AB" w:rsidRPr="002178B5" w:rsidRDefault="001F60AB" w:rsidP="001F60AB">
      <w:pPr>
        <w:pStyle w:val="JAP-DaftarPustaka"/>
        <w:rPr>
          <w:color w:val="000000" w:themeColor="text1"/>
        </w:rPr>
      </w:pPr>
      <w:r w:rsidRPr="002178B5">
        <w:rPr>
          <w:color w:val="000000" w:themeColor="text1"/>
        </w:rPr>
        <w:t>World Bank. (2023, September 22). Imports of goods and services (% of GDP) - Indonesia. Retrieved from The World Bank Web site: https://data.worldbank.org/indicator/NE.IMP.GNFS.ZS?end=2022&amp;locations=ID&amp;start=2013&amp;view=chart</w:t>
      </w:r>
    </w:p>
    <w:p w14:paraId="2D57AC27" w14:textId="77777777" w:rsidR="001F60AB" w:rsidRPr="002178B5" w:rsidRDefault="001F60AB" w:rsidP="001F60AB">
      <w:pPr>
        <w:pStyle w:val="JAP-DaftarPustaka"/>
        <w:rPr>
          <w:color w:val="000000" w:themeColor="text1"/>
        </w:rPr>
      </w:pPr>
      <w:r w:rsidRPr="002178B5">
        <w:rPr>
          <w:color w:val="000000" w:themeColor="text1"/>
        </w:rPr>
        <w:t>World Customs Organization. (2012). PCA Guidelines Volume I. -: World Customs Organization.</w:t>
      </w:r>
    </w:p>
    <w:p w14:paraId="17741E33" w14:textId="77777777" w:rsidR="001F60AB" w:rsidRPr="002178B5" w:rsidRDefault="001F60AB" w:rsidP="001F60AB">
      <w:pPr>
        <w:pStyle w:val="JAP-DaftarPustaka"/>
        <w:rPr>
          <w:color w:val="000000" w:themeColor="text1"/>
        </w:rPr>
      </w:pPr>
      <w:r w:rsidRPr="002178B5">
        <w:rPr>
          <w:color w:val="000000" w:themeColor="text1"/>
        </w:rPr>
        <w:t>Yin, R. K. (2005). Studi Kasus Desain dan Metode. Jakarta: PT RajaGrafindo Persada.</w:t>
      </w:r>
    </w:p>
    <w:p w14:paraId="5CB74FAF" w14:textId="77777777" w:rsidR="001F60AB" w:rsidRPr="002178B5" w:rsidRDefault="001F60AB" w:rsidP="001F60AB">
      <w:pPr>
        <w:pStyle w:val="JAP-DaftarPustaka"/>
        <w:rPr>
          <w:color w:val="000000" w:themeColor="text1"/>
        </w:rPr>
      </w:pPr>
      <w:r w:rsidRPr="002178B5">
        <w:rPr>
          <w:color w:val="000000" w:themeColor="text1"/>
        </w:rPr>
        <w:t>Yulianto, I. (2022). Analisis Sengketa Pajak atas Biaya Promosi: Studi Kasus Pada Putusan Pengadilan Pajak Periode 2016 – 2019. Jakarta: Universitas Indonesia.</w:t>
      </w:r>
    </w:p>
    <w:p w14:paraId="7F78DF83" w14:textId="77777777" w:rsidR="001F60AB" w:rsidRPr="002178B5" w:rsidRDefault="001F60AB" w:rsidP="001F60AB">
      <w:pPr>
        <w:pStyle w:val="JAP-DaftarPustaka"/>
        <w:rPr>
          <w:color w:val="000000" w:themeColor="text1"/>
        </w:rPr>
      </w:pPr>
      <w:r w:rsidRPr="002178B5">
        <w:rPr>
          <w:color w:val="000000" w:themeColor="text1"/>
        </w:rPr>
        <w:t>Yuliyono, A. D., Baehaki, Luqman, D., Utama, D. N., &amp; Wibowo, A. (2022). Six Sigma Based Performance Measurement of Tax Return Processing Improvement (Case Study: Directorate General of Taxes For Republic of Indonesia). Annual Conference on Industrial and System Engineering (ACISE) 2019, 1-8.</w:t>
      </w:r>
    </w:p>
    <w:p w14:paraId="5B2396DB" w14:textId="3CCD41F5" w:rsidR="001F60AB" w:rsidRPr="002178B5" w:rsidRDefault="001F60AB" w:rsidP="001F60AB">
      <w:pPr>
        <w:pStyle w:val="JAP-DaftarPustaka"/>
        <w:rPr>
          <w:color w:val="000000" w:themeColor="text1"/>
        </w:rPr>
      </w:pPr>
      <w:r w:rsidRPr="002178B5">
        <w:rPr>
          <w:color w:val="000000" w:themeColor="text1"/>
        </w:rPr>
        <w:t>Yunindar, S. A</w:t>
      </w:r>
      <w:r w:rsidR="006418D8">
        <w:rPr>
          <w:color w:val="000000" w:themeColor="text1"/>
        </w:rPr>
        <w:t>; Nuryanah, Siti</w:t>
      </w:r>
      <w:r w:rsidRPr="002178B5">
        <w:rPr>
          <w:color w:val="000000" w:themeColor="text1"/>
        </w:rPr>
        <w:t>. (2023). What Makes it Difficult for Free Trade Agreement to Apply in Indonesia. Jurnal Akuntansi dan Perpajakan, 163-180.</w:t>
      </w:r>
    </w:p>
    <w:p w14:paraId="7F5F298B" w14:textId="77777777" w:rsidR="0061090C" w:rsidRPr="002178B5" w:rsidRDefault="0061090C" w:rsidP="00CE1FAB">
      <w:pPr>
        <w:pStyle w:val="Ventura-Content"/>
        <w:rPr>
          <w:color w:val="000000" w:themeColor="text1"/>
        </w:rPr>
        <w:sectPr w:rsidR="0061090C" w:rsidRPr="002178B5" w:rsidSect="00815315">
          <w:type w:val="continuous"/>
          <w:pgSz w:w="11907" w:h="16840" w:code="9"/>
          <w:pgMar w:top="1701" w:right="1247" w:bottom="1531" w:left="1134" w:header="1021" w:footer="1077" w:gutter="0"/>
          <w:cols w:space="340"/>
          <w:docGrid w:linePitch="360"/>
        </w:sectPr>
      </w:pPr>
    </w:p>
    <w:p w14:paraId="00C9BF79" w14:textId="77777777" w:rsidR="00464DED" w:rsidRPr="002178B5" w:rsidRDefault="00464DED" w:rsidP="00CE1FAB">
      <w:pPr>
        <w:pStyle w:val="Ventura-Heading1"/>
        <w:rPr>
          <w:color w:val="000000" w:themeColor="text1"/>
        </w:rPr>
      </w:pPr>
    </w:p>
    <w:p w14:paraId="56C32FBD" w14:textId="77777777" w:rsidR="009D3149" w:rsidRPr="002178B5" w:rsidRDefault="009D3149" w:rsidP="00CE1FAB">
      <w:pPr>
        <w:pStyle w:val="Ventura-Heading1"/>
        <w:rPr>
          <w:color w:val="000000" w:themeColor="text1"/>
        </w:rPr>
      </w:pPr>
    </w:p>
    <w:sectPr w:rsidR="009D3149" w:rsidRPr="002178B5" w:rsidSect="008018A9">
      <w:headerReference w:type="even" r:id="rId17"/>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98F2" w14:textId="77777777" w:rsidR="008365C0" w:rsidRDefault="008365C0" w:rsidP="00CE1FAB">
      <w:r>
        <w:separator/>
      </w:r>
    </w:p>
    <w:p w14:paraId="378453A8" w14:textId="77777777" w:rsidR="008365C0" w:rsidRDefault="008365C0" w:rsidP="00CE1FAB"/>
    <w:p w14:paraId="6A8A2267" w14:textId="77777777" w:rsidR="008365C0" w:rsidRDefault="008365C0" w:rsidP="00CE1FAB"/>
    <w:p w14:paraId="5056C978" w14:textId="77777777" w:rsidR="008365C0" w:rsidRDefault="008365C0" w:rsidP="00CE1FAB"/>
    <w:p w14:paraId="2C7BEAB2" w14:textId="77777777" w:rsidR="008365C0" w:rsidRDefault="008365C0" w:rsidP="00CE1FAB"/>
    <w:p w14:paraId="28E769EF" w14:textId="77777777" w:rsidR="008365C0" w:rsidRDefault="008365C0"/>
    <w:p w14:paraId="50D7C34D" w14:textId="77777777" w:rsidR="008365C0" w:rsidRDefault="008365C0"/>
  </w:endnote>
  <w:endnote w:type="continuationSeparator" w:id="0">
    <w:p w14:paraId="520ADB64" w14:textId="77777777" w:rsidR="008365C0" w:rsidRDefault="008365C0" w:rsidP="00CE1FAB">
      <w:r>
        <w:continuationSeparator/>
      </w:r>
    </w:p>
    <w:p w14:paraId="058F6878" w14:textId="77777777" w:rsidR="008365C0" w:rsidRDefault="008365C0" w:rsidP="00CE1FAB"/>
    <w:p w14:paraId="69A77A10" w14:textId="77777777" w:rsidR="008365C0" w:rsidRDefault="008365C0" w:rsidP="00CE1FAB"/>
    <w:p w14:paraId="5902BA09" w14:textId="77777777" w:rsidR="008365C0" w:rsidRDefault="008365C0" w:rsidP="00CE1FAB"/>
    <w:p w14:paraId="58A7DFA2" w14:textId="77777777" w:rsidR="008365C0" w:rsidRDefault="008365C0" w:rsidP="00CE1FAB"/>
    <w:p w14:paraId="3B3B2710" w14:textId="77777777" w:rsidR="008365C0" w:rsidRDefault="008365C0"/>
    <w:p w14:paraId="67566927" w14:textId="77777777" w:rsidR="008365C0" w:rsidRDefault="00836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52CD" w14:textId="77777777" w:rsidR="001B4963" w:rsidRPr="00D364F8" w:rsidRDefault="008D3CF6" w:rsidP="00CE1FAB">
    <w:pPr>
      <w:pStyle w:val="Footer"/>
    </w:pPr>
    <w:r w:rsidRPr="00D364F8">
      <w:rPr>
        <w:rStyle w:val="PageNumber"/>
        <w:rFonts w:ascii="Candara" w:hAnsi="Candara"/>
        <w:szCs w:val="20"/>
      </w:rPr>
      <w:fldChar w:fldCharType="begin"/>
    </w:r>
    <w:r w:rsidR="001B4963" w:rsidRPr="00D364F8">
      <w:rPr>
        <w:rStyle w:val="PageNumber"/>
        <w:rFonts w:ascii="Candara" w:hAnsi="Candara"/>
        <w:szCs w:val="20"/>
      </w:rPr>
      <w:instrText xml:space="preserve"> PAGE </w:instrText>
    </w:r>
    <w:r w:rsidRPr="00D364F8">
      <w:rPr>
        <w:rStyle w:val="PageNumber"/>
        <w:rFonts w:ascii="Candara" w:hAnsi="Candara"/>
        <w:szCs w:val="20"/>
      </w:rPr>
      <w:fldChar w:fldCharType="separate"/>
    </w:r>
    <w:r w:rsidR="00E73ED3">
      <w:rPr>
        <w:rStyle w:val="PageNumber"/>
        <w:rFonts w:ascii="Candara" w:hAnsi="Candara"/>
        <w:noProof/>
        <w:szCs w:val="20"/>
      </w:rPr>
      <w:t>2</w:t>
    </w:r>
    <w:r w:rsidRPr="00D364F8">
      <w:rPr>
        <w:rStyle w:val="PageNumber"/>
        <w:rFonts w:ascii="Candara" w:hAnsi="Candara"/>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6341" w14:textId="77777777" w:rsidR="001B4963" w:rsidRPr="00D364F8" w:rsidRDefault="008D3CF6" w:rsidP="00CE1FAB">
    <w:pPr>
      <w:pStyle w:val="Footer"/>
    </w:pPr>
    <w:r w:rsidRPr="00D364F8">
      <w:rPr>
        <w:rStyle w:val="PageNumber"/>
        <w:rFonts w:ascii="Candara" w:hAnsi="Candara"/>
        <w:sz w:val="22"/>
        <w:szCs w:val="20"/>
      </w:rPr>
      <w:fldChar w:fldCharType="begin"/>
    </w:r>
    <w:r w:rsidR="001B4963" w:rsidRPr="00D364F8">
      <w:rPr>
        <w:rStyle w:val="PageNumber"/>
        <w:rFonts w:ascii="Candara" w:hAnsi="Candara"/>
        <w:sz w:val="22"/>
        <w:szCs w:val="20"/>
      </w:rPr>
      <w:instrText xml:space="preserve"> PAGE </w:instrText>
    </w:r>
    <w:r w:rsidRPr="00D364F8">
      <w:rPr>
        <w:rStyle w:val="PageNumber"/>
        <w:rFonts w:ascii="Candara" w:hAnsi="Candara"/>
        <w:sz w:val="22"/>
        <w:szCs w:val="20"/>
      </w:rPr>
      <w:fldChar w:fldCharType="separate"/>
    </w:r>
    <w:r w:rsidR="00E73ED3">
      <w:rPr>
        <w:rStyle w:val="PageNumber"/>
        <w:rFonts w:ascii="Candara" w:hAnsi="Candara"/>
        <w:noProof/>
        <w:sz w:val="22"/>
        <w:szCs w:val="20"/>
      </w:rPr>
      <w:t>3</w:t>
    </w:r>
    <w:r w:rsidRPr="00D364F8">
      <w:rPr>
        <w:rStyle w:val="PageNumber"/>
        <w:rFonts w:ascii="Candara" w:hAnsi="Candara"/>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17DA" w14:textId="77777777" w:rsidR="001B4963" w:rsidRPr="00D364F8" w:rsidRDefault="008D3CF6" w:rsidP="00CE1FAB">
    <w:pPr>
      <w:pStyle w:val="Footer"/>
    </w:pPr>
    <w:r w:rsidRPr="00D364F8">
      <w:rPr>
        <w:rStyle w:val="PageNumber"/>
        <w:rFonts w:ascii="Candara" w:hAnsi="Candara"/>
        <w:szCs w:val="22"/>
      </w:rPr>
      <w:fldChar w:fldCharType="begin"/>
    </w:r>
    <w:r w:rsidR="001B4963" w:rsidRPr="00D364F8">
      <w:rPr>
        <w:rStyle w:val="PageNumber"/>
        <w:rFonts w:ascii="Candara" w:hAnsi="Candara"/>
        <w:szCs w:val="22"/>
      </w:rPr>
      <w:instrText xml:space="preserve"> PAGE </w:instrText>
    </w:r>
    <w:r w:rsidRPr="00D364F8">
      <w:rPr>
        <w:rStyle w:val="PageNumber"/>
        <w:rFonts w:ascii="Candara" w:hAnsi="Candara"/>
        <w:szCs w:val="22"/>
      </w:rPr>
      <w:fldChar w:fldCharType="separate"/>
    </w:r>
    <w:r w:rsidR="00E73ED3">
      <w:rPr>
        <w:rStyle w:val="PageNumber"/>
        <w:rFonts w:ascii="Candara" w:hAnsi="Candara"/>
        <w:noProof/>
        <w:szCs w:val="22"/>
      </w:rPr>
      <w:t>1</w:t>
    </w:r>
    <w:r w:rsidRPr="00D364F8">
      <w:rPr>
        <w:rStyle w:val="PageNumber"/>
        <w:rFonts w:ascii="Candara" w:hAnsi="Candara"/>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F58E" w14:textId="77777777" w:rsidR="008365C0" w:rsidRDefault="008365C0" w:rsidP="00CE1FAB">
      <w:r>
        <w:separator/>
      </w:r>
    </w:p>
    <w:p w14:paraId="66E10F17" w14:textId="77777777" w:rsidR="008365C0" w:rsidRDefault="008365C0" w:rsidP="00CE1FAB"/>
    <w:p w14:paraId="630CE2A2" w14:textId="77777777" w:rsidR="008365C0" w:rsidRDefault="008365C0" w:rsidP="00CE1FAB"/>
    <w:p w14:paraId="005F55AB" w14:textId="77777777" w:rsidR="008365C0" w:rsidRDefault="008365C0" w:rsidP="00CE1FAB"/>
    <w:p w14:paraId="64663B6A" w14:textId="77777777" w:rsidR="008365C0" w:rsidRDefault="008365C0" w:rsidP="00CE1FAB"/>
    <w:p w14:paraId="4102377D" w14:textId="77777777" w:rsidR="008365C0" w:rsidRDefault="008365C0"/>
    <w:p w14:paraId="0D178071" w14:textId="77777777" w:rsidR="008365C0" w:rsidRDefault="008365C0"/>
  </w:footnote>
  <w:footnote w:type="continuationSeparator" w:id="0">
    <w:p w14:paraId="7E8AC831" w14:textId="77777777" w:rsidR="008365C0" w:rsidRDefault="008365C0" w:rsidP="00CE1FAB">
      <w:r>
        <w:continuationSeparator/>
      </w:r>
    </w:p>
    <w:p w14:paraId="2D2EF211" w14:textId="77777777" w:rsidR="008365C0" w:rsidRDefault="008365C0" w:rsidP="00CE1FAB"/>
    <w:p w14:paraId="7D095029" w14:textId="77777777" w:rsidR="008365C0" w:rsidRDefault="008365C0" w:rsidP="00CE1FAB"/>
    <w:p w14:paraId="69553ADD" w14:textId="77777777" w:rsidR="008365C0" w:rsidRDefault="008365C0" w:rsidP="00CE1FAB"/>
    <w:p w14:paraId="05C027CD" w14:textId="77777777" w:rsidR="008365C0" w:rsidRDefault="008365C0" w:rsidP="00CE1FAB"/>
    <w:p w14:paraId="37C38C16" w14:textId="77777777" w:rsidR="008365C0" w:rsidRDefault="008365C0"/>
    <w:p w14:paraId="63E1ECB3" w14:textId="77777777" w:rsidR="008365C0" w:rsidRDefault="00836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8592" w14:textId="77777777" w:rsidR="001B4963" w:rsidRPr="00C06469" w:rsidRDefault="006568D0" w:rsidP="00CE1FAB">
    <w:pPr>
      <w:pStyle w:val="Header"/>
    </w:pPr>
    <w:r>
      <w:t>Writer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E180" w14:textId="77777777" w:rsidR="00C06469" w:rsidRPr="00815315" w:rsidRDefault="00815315" w:rsidP="00CE1FAB">
    <w:pPr>
      <w:pStyle w:val="Header"/>
      <w:rPr>
        <w:lang w:val="id-ID"/>
      </w:rPr>
    </w:pPr>
    <w:r>
      <w:rPr>
        <w:lang w:val="id-ID"/>
      </w:rPr>
      <w:t>Journal of Accounting &amp; Taxation</w:t>
    </w:r>
  </w:p>
  <w:p w14:paraId="2C08BEBF" w14:textId="77777777" w:rsidR="004B7447" w:rsidRPr="00C06469" w:rsidRDefault="00C06469" w:rsidP="00CE1FAB">
    <w:pPr>
      <w:pStyle w:val="Header"/>
      <w:rPr>
        <w:lang w:val="sv-SE"/>
      </w:rPr>
    </w:pPr>
    <w:r w:rsidRPr="00C06469">
      <w:rPr>
        <w:lang w:val="sv-SE"/>
      </w:rPr>
      <w:t>Vol. 1 (1) 2018: 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F027" w14:textId="77777777" w:rsidR="00815315" w:rsidRDefault="008E371A" w:rsidP="00CE1FAB">
    <w:pPr>
      <w:pStyle w:val="Header"/>
      <w:rPr>
        <w:iCs/>
        <w:sz w:val="18"/>
        <w:szCs w:val="18"/>
      </w:rPr>
    </w:pPr>
    <w:r>
      <w:rPr>
        <w:noProof/>
      </w:rPr>
      <w:drawing>
        <wp:anchor distT="0" distB="0" distL="114300" distR="114300" simplePos="0" relativeHeight="251658240" behindDoc="1" locked="0" layoutInCell="1" allowOverlap="1" wp14:anchorId="66413A01" wp14:editId="6F5B284E">
          <wp:simplePos x="0" y="0"/>
          <wp:positionH relativeFrom="column">
            <wp:posOffset>4542790</wp:posOffset>
          </wp:positionH>
          <wp:positionV relativeFrom="paragraph">
            <wp:posOffset>205740</wp:posOffset>
          </wp:positionV>
          <wp:extent cx="1503680" cy="528320"/>
          <wp:effectExtent l="0" t="0" r="0" b="0"/>
          <wp:wrapNone/>
          <wp:docPr id="1063041360" name="Picture 1063041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68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726206A" wp14:editId="2CB64186">
          <wp:simplePos x="0" y="0"/>
          <wp:positionH relativeFrom="column">
            <wp:posOffset>82550</wp:posOffset>
          </wp:positionH>
          <wp:positionV relativeFrom="paragraph">
            <wp:posOffset>166370</wp:posOffset>
          </wp:positionV>
          <wp:extent cx="913765" cy="588010"/>
          <wp:effectExtent l="0" t="0" r="0" b="0"/>
          <wp:wrapNone/>
          <wp:docPr id="116312131" name="Picture 116312131" descr="jur akunt perpanj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jur akunt perpanj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76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315">
      <w:rPr>
        <w:noProof/>
        <w:sz w:val="28"/>
        <w:szCs w:val="28"/>
      </w:rPr>
      <w:t xml:space="preserve"> </w:t>
    </w:r>
  </w:p>
  <w:p w14:paraId="78AAC54E" w14:textId="77777777" w:rsidR="00815315" w:rsidRDefault="00815315" w:rsidP="00CE1FAB">
    <w:pPr>
      <w:pStyle w:val="Header"/>
    </w:pPr>
    <w:r>
      <w:rPr>
        <w:b/>
        <w:lang w:val="id-ID"/>
      </w:rPr>
      <w:t xml:space="preserve">Journal of Accounting and Taxation </w:t>
    </w:r>
    <w:r>
      <w:rPr>
        <w:b/>
      </w:rPr>
      <w:t xml:space="preserve">, </w:t>
    </w:r>
    <w:r>
      <w:rPr>
        <w:b/>
        <w:lang w:val="id-ID"/>
      </w:rPr>
      <w:t xml:space="preserve">3 </w:t>
    </w:r>
    <w:r w:rsidRPr="007C2F4D">
      <w:rPr>
        <w:b/>
      </w:rPr>
      <w:t xml:space="preserve">( </w:t>
    </w:r>
    <w:r>
      <w:rPr>
        <w:b/>
        <w:lang w:val="id-ID"/>
      </w:rPr>
      <w:t xml:space="preserve">2 </w:t>
    </w:r>
    <w:r w:rsidRPr="007C2F4D">
      <w:rPr>
        <w:b/>
      </w:rPr>
      <w:t xml:space="preserve">): </w:t>
    </w:r>
    <w:r>
      <w:rPr>
        <w:b/>
        <w:lang w:val="id-ID"/>
      </w:rPr>
      <w:t xml:space="preserve">1-09 </w:t>
    </w:r>
    <w:r>
      <w:rPr>
        <w:b/>
      </w:rPr>
      <w:t xml:space="preserve">, </w:t>
    </w:r>
    <w:r>
      <w:rPr>
        <w:b/>
        <w:lang w:val="id-ID"/>
      </w:rPr>
      <w:t>2017</w:t>
    </w:r>
    <w:r w:rsidRPr="007C2F4D">
      <w:rPr>
        <w:b/>
      </w:rPr>
      <w:t xml:space="preserve"> </w:t>
    </w:r>
    <w:r w:rsidRPr="007C2F4D">
      <w:rPr>
        <w:b/>
      </w:rPr>
      <w:br/>
    </w:r>
    <w:hyperlink r:id="rId3" w:history="1">
      <w:r w:rsidRPr="00E324E1">
        <w:rPr>
          <w:rStyle w:val="Hyperlink"/>
          <w:iCs/>
          <w:sz w:val="18"/>
          <w:szCs w:val="18"/>
        </w:rPr>
        <w:t>http://jurnal.unmer.ac.id/index.php/ap</w:t>
      </w:r>
    </w:hyperlink>
  </w:p>
  <w:p w14:paraId="4A6049EE" w14:textId="77777777" w:rsidR="00815315" w:rsidRDefault="00815315" w:rsidP="00CE1F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FA2" w14:textId="77777777" w:rsidR="001B4963" w:rsidRDefault="001B4963" w:rsidP="00CE1F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8" type="#_x0000_t75" style="width:5.55pt;height:5.55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E2954BC"/>
    <w:multiLevelType w:val="hybridMultilevel"/>
    <w:tmpl w:val="20A80FE0"/>
    <w:lvl w:ilvl="0" w:tplc="A11C3FA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23147338"/>
    <w:multiLevelType w:val="hybridMultilevel"/>
    <w:tmpl w:val="34FC036E"/>
    <w:lvl w:ilvl="0" w:tplc="D99272F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CD05A5B"/>
    <w:multiLevelType w:val="hybridMultilevel"/>
    <w:tmpl w:val="4202B1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C5F60"/>
    <w:multiLevelType w:val="hybridMultilevel"/>
    <w:tmpl w:val="43CC5316"/>
    <w:lvl w:ilvl="0" w:tplc="01E2966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7FF6E81"/>
    <w:multiLevelType w:val="hybridMultilevel"/>
    <w:tmpl w:val="6584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03A97"/>
    <w:multiLevelType w:val="hybridMultilevel"/>
    <w:tmpl w:val="03B2010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A370A3A"/>
    <w:multiLevelType w:val="hybridMultilevel"/>
    <w:tmpl w:val="F8B614A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F2419"/>
    <w:multiLevelType w:val="hybridMultilevel"/>
    <w:tmpl w:val="EC201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A71E4"/>
    <w:multiLevelType w:val="hybridMultilevel"/>
    <w:tmpl w:val="25242F0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4"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D3826C0"/>
    <w:multiLevelType w:val="hybridMultilevel"/>
    <w:tmpl w:val="FD765E10"/>
    <w:lvl w:ilvl="0" w:tplc="2406434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51881A9B"/>
    <w:multiLevelType w:val="hybridMultilevel"/>
    <w:tmpl w:val="4DD41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851A6"/>
    <w:multiLevelType w:val="hybridMultilevel"/>
    <w:tmpl w:val="E66AEF98"/>
    <w:lvl w:ilvl="0" w:tplc="5740A95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EF31F32"/>
    <w:multiLevelType w:val="hybridMultilevel"/>
    <w:tmpl w:val="8846458E"/>
    <w:lvl w:ilvl="0" w:tplc="325A14B4">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1076301"/>
    <w:multiLevelType w:val="hybridMultilevel"/>
    <w:tmpl w:val="C9068F20"/>
    <w:lvl w:ilvl="0" w:tplc="0409000F">
      <w:start w:val="1"/>
      <w:numFmt w:val="decimal"/>
      <w:lvlText w:val="%1."/>
      <w:lvlJc w:val="left"/>
      <w:pPr>
        <w:ind w:left="720" w:hanging="360"/>
      </w:pPr>
      <w:rPr>
        <w:rFonts w:hint="default"/>
      </w:rPr>
    </w:lvl>
    <w:lvl w:ilvl="1" w:tplc="554816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623D5"/>
    <w:multiLevelType w:val="hybridMultilevel"/>
    <w:tmpl w:val="6E227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7B897BF7"/>
    <w:multiLevelType w:val="hybridMultilevel"/>
    <w:tmpl w:val="270C77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16cid:durableId="2008242343">
    <w:abstractNumId w:val="9"/>
  </w:num>
  <w:num w:numId="2" w16cid:durableId="1397630756">
    <w:abstractNumId w:val="4"/>
  </w:num>
  <w:num w:numId="3" w16cid:durableId="959412576">
    <w:abstractNumId w:val="2"/>
  </w:num>
  <w:num w:numId="4" w16cid:durableId="823622237">
    <w:abstractNumId w:val="11"/>
  </w:num>
  <w:num w:numId="5" w16cid:durableId="655839617">
    <w:abstractNumId w:val="19"/>
  </w:num>
  <w:num w:numId="6" w16cid:durableId="321154305">
    <w:abstractNumId w:val="38"/>
  </w:num>
  <w:num w:numId="7" w16cid:durableId="145828672">
    <w:abstractNumId w:val="36"/>
  </w:num>
  <w:num w:numId="8" w16cid:durableId="2069378267">
    <w:abstractNumId w:val="14"/>
  </w:num>
  <w:num w:numId="9" w16cid:durableId="1804883497">
    <w:abstractNumId w:val="31"/>
  </w:num>
  <w:num w:numId="10" w16cid:durableId="934747296">
    <w:abstractNumId w:val="30"/>
  </w:num>
  <w:num w:numId="11" w16cid:durableId="1540125063">
    <w:abstractNumId w:val="15"/>
  </w:num>
  <w:num w:numId="12" w16cid:durableId="354035912">
    <w:abstractNumId w:val="10"/>
  </w:num>
  <w:num w:numId="13" w16cid:durableId="846672279">
    <w:abstractNumId w:val="23"/>
  </w:num>
  <w:num w:numId="14" w16cid:durableId="497230138">
    <w:abstractNumId w:val="3"/>
  </w:num>
  <w:num w:numId="15" w16cid:durableId="1492286645">
    <w:abstractNumId w:val="20"/>
  </w:num>
  <w:num w:numId="16" w16cid:durableId="1852452257">
    <w:abstractNumId w:val="24"/>
  </w:num>
  <w:num w:numId="17" w16cid:durableId="1170021274">
    <w:abstractNumId w:val="32"/>
  </w:num>
  <w:num w:numId="18" w16cid:durableId="546840034">
    <w:abstractNumId w:val="6"/>
  </w:num>
  <w:num w:numId="19" w16cid:durableId="344984147">
    <w:abstractNumId w:val="28"/>
  </w:num>
  <w:num w:numId="20" w16cid:durableId="1378626066">
    <w:abstractNumId w:val="5"/>
  </w:num>
  <w:num w:numId="21" w16cid:durableId="594216180">
    <w:abstractNumId w:val="29"/>
  </w:num>
  <w:num w:numId="22" w16cid:durableId="576479566">
    <w:abstractNumId w:val="18"/>
  </w:num>
  <w:num w:numId="23" w16cid:durableId="1067923104">
    <w:abstractNumId w:val="22"/>
  </w:num>
  <w:num w:numId="24" w16cid:durableId="1492911467">
    <w:abstractNumId w:val="17"/>
  </w:num>
  <w:num w:numId="25" w16cid:durableId="37900376">
    <w:abstractNumId w:val="33"/>
  </w:num>
  <w:num w:numId="26" w16cid:durableId="355039771">
    <w:abstractNumId w:val="26"/>
  </w:num>
  <w:num w:numId="27" w16cid:durableId="592207516">
    <w:abstractNumId w:val="16"/>
  </w:num>
  <w:num w:numId="28" w16cid:durableId="1648361501">
    <w:abstractNumId w:val="34"/>
  </w:num>
  <w:num w:numId="29" w16cid:durableId="74978377">
    <w:abstractNumId w:val="8"/>
  </w:num>
  <w:num w:numId="30" w16cid:durableId="2012104536">
    <w:abstractNumId w:val="25"/>
  </w:num>
  <w:num w:numId="31" w16cid:durableId="1192035274">
    <w:abstractNumId w:val="13"/>
  </w:num>
  <w:num w:numId="32" w16cid:durableId="167983464">
    <w:abstractNumId w:val="27"/>
  </w:num>
  <w:num w:numId="33" w16cid:durableId="2102408622">
    <w:abstractNumId w:val="7"/>
  </w:num>
  <w:num w:numId="34" w16cid:durableId="549338957">
    <w:abstractNumId w:val="35"/>
  </w:num>
  <w:num w:numId="35" w16cid:durableId="569072486">
    <w:abstractNumId w:val="21"/>
  </w:num>
  <w:num w:numId="36" w16cid:durableId="395737092">
    <w:abstractNumId w:val="37"/>
  </w:num>
  <w:num w:numId="37" w16cid:durableId="7328019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mirrorMargins/>
  <w:activeWritingStyle w:appName="MSWord" w:lang="en-US" w:vendorID="64" w:dllVersion="6" w:nlCheck="1" w:checkStyle="0"/>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sv-SE" w:vendorID="64" w:dllVersion="4096" w:nlCheck="1" w:checkStyle="0"/>
  <w:activeWritingStyle w:appName="MSWord" w:lang="en-AU" w:vendorID="64" w:dllVersion="4096" w:nlCheck="1" w:checkStyle="0"/>
  <w:activeWritingStyle w:appName="MSWord" w:lang="en-ID"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en-ID"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2tTQyNDMyNTazMDVS0lEKTi0uzszPAykwrAUALN6qfCwAAAA="/>
  </w:docVars>
  <w:rsids>
    <w:rsidRoot w:val="00117232"/>
    <w:rsid w:val="00000918"/>
    <w:rsid w:val="00005861"/>
    <w:rsid w:val="00005ECB"/>
    <w:rsid w:val="00006ED7"/>
    <w:rsid w:val="00007A3F"/>
    <w:rsid w:val="00007F97"/>
    <w:rsid w:val="0001056D"/>
    <w:rsid w:val="00014BB7"/>
    <w:rsid w:val="000152FC"/>
    <w:rsid w:val="00017BE6"/>
    <w:rsid w:val="00021103"/>
    <w:rsid w:val="000213B1"/>
    <w:rsid w:val="00021DC6"/>
    <w:rsid w:val="00022007"/>
    <w:rsid w:val="0002446E"/>
    <w:rsid w:val="00025D63"/>
    <w:rsid w:val="00027EF1"/>
    <w:rsid w:val="0003450E"/>
    <w:rsid w:val="0003619B"/>
    <w:rsid w:val="0004105F"/>
    <w:rsid w:val="00041CFD"/>
    <w:rsid w:val="00042AC7"/>
    <w:rsid w:val="00043C05"/>
    <w:rsid w:val="000449C7"/>
    <w:rsid w:val="00046669"/>
    <w:rsid w:val="00047786"/>
    <w:rsid w:val="000500ED"/>
    <w:rsid w:val="00050FC6"/>
    <w:rsid w:val="00051C4F"/>
    <w:rsid w:val="00052F0E"/>
    <w:rsid w:val="000543F1"/>
    <w:rsid w:val="000553E2"/>
    <w:rsid w:val="00056250"/>
    <w:rsid w:val="00056935"/>
    <w:rsid w:val="00060047"/>
    <w:rsid w:val="0006192C"/>
    <w:rsid w:val="0006570A"/>
    <w:rsid w:val="00065A16"/>
    <w:rsid w:val="0007067A"/>
    <w:rsid w:val="000719F4"/>
    <w:rsid w:val="00071B22"/>
    <w:rsid w:val="00072653"/>
    <w:rsid w:val="00072CF8"/>
    <w:rsid w:val="00073995"/>
    <w:rsid w:val="000747C8"/>
    <w:rsid w:val="00074E0C"/>
    <w:rsid w:val="00074E2F"/>
    <w:rsid w:val="000754A3"/>
    <w:rsid w:val="00077697"/>
    <w:rsid w:val="00081F14"/>
    <w:rsid w:val="00083148"/>
    <w:rsid w:val="000832E5"/>
    <w:rsid w:val="00084CA6"/>
    <w:rsid w:val="00085D7A"/>
    <w:rsid w:val="00087B8A"/>
    <w:rsid w:val="000906BC"/>
    <w:rsid w:val="00093425"/>
    <w:rsid w:val="00093EEC"/>
    <w:rsid w:val="0009467B"/>
    <w:rsid w:val="00095519"/>
    <w:rsid w:val="0009667A"/>
    <w:rsid w:val="000A0013"/>
    <w:rsid w:val="000A03B7"/>
    <w:rsid w:val="000A39E2"/>
    <w:rsid w:val="000A576A"/>
    <w:rsid w:val="000A6222"/>
    <w:rsid w:val="000B0B83"/>
    <w:rsid w:val="000B1DD3"/>
    <w:rsid w:val="000B31FC"/>
    <w:rsid w:val="000B320A"/>
    <w:rsid w:val="000B3260"/>
    <w:rsid w:val="000B3435"/>
    <w:rsid w:val="000B3679"/>
    <w:rsid w:val="000B46C3"/>
    <w:rsid w:val="000B54A0"/>
    <w:rsid w:val="000B5C80"/>
    <w:rsid w:val="000C04FF"/>
    <w:rsid w:val="000C55FE"/>
    <w:rsid w:val="000C565F"/>
    <w:rsid w:val="000D00E8"/>
    <w:rsid w:val="000D014A"/>
    <w:rsid w:val="000D1D88"/>
    <w:rsid w:val="000D4D0C"/>
    <w:rsid w:val="000D6355"/>
    <w:rsid w:val="000D7B1B"/>
    <w:rsid w:val="000E118F"/>
    <w:rsid w:val="000E250E"/>
    <w:rsid w:val="000F0BAE"/>
    <w:rsid w:val="000F0D17"/>
    <w:rsid w:val="000F1148"/>
    <w:rsid w:val="000F1ED5"/>
    <w:rsid w:val="000F3D6F"/>
    <w:rsid w:val="000F41A2"/>
    <w:rsid w:val="001008DB"/>
    <w:rsid w:val="00100938"/>
    <w:rsid w:val="00105088"/>
    <w:rsid w:val="00105E8A"/>
    <w:rsid w:val="00106022"/>
    <w:rsid w:val="00110C24"/>
    <w:rsid w:val="00111959"/>
    <w:rsid w:val="00111BF1"/>
    <w:rsid w:val="00112476"/>
    <w:rsid w:val="001133B8"/>
    <w:rsid w:val="0011356A"/>
    <w:rsid w:val="001147A2"/>
    <w:rsid w:val="00115556"/>
    <w:rsid w:val="00115E7B"/>
    <w:rsid w:val="00117232"/>
    <w:rsid w:val="00121294"/>
    <w:rsid w:val="00124B30"/>
    <w:rsid w:val="00125AB4"/>
    <w:rsid w:val="00125DAC"/>
    <w:rsid w:val="00125DDB"/>
    <w:rsid w:val="0012606C"/>
    <w:rsid w:val="0012625C"/>
    <w:rsid w:val="0013003A"/>
    <w:rsid w:val="001307E1"/>
    <w:rsid w:val="00130F00"/>
    <w:rsid w:val="001340C4"/>
    <w:rsid w:val="00134E24"/>
    <w:rsid w:val="00135302"/>
    <w:rsid w:val="001354E3"/>
    <w:rsid w:val="00136087"/>
    <w:rsid w:val="00137A80"/>
    <w:rsid w:val="00140AB1"/>
    <w:rsid w:val="00141B63"/>
    <w:rsid w:val="001430B0"/>
    <w:rsid w:val="001460FE"/>
    <w:rsid w:val="0014675E"/>
    <w:rsid w:val="001472EE"/>
    <w:rsid w:val="00150C58"/>
    <w:rsid w:val="00151525"/>
    <w:rsid w:val="0015395B"/>
    <w:rsid w:val="00154526"/>
    <w:rsid w:val="00154D55"/>
    <w:rsid w:val="00155E4B"/>
    <w:rsid w:val="00156E92"/>
    <w:rsid w:val="0016051E"/>
    <w:rsid w:val="00160EF1"/>
    <w:rsid w:val="00162524"/>
    <w:rsid w:val="0016314D"/>
    <w:rsid w:val="00165602"/>
    <w:rsid w:val="0016596F"/>
    <w:rsid w:val="0016601D"/>
    <w:rsid w:val="001722CE"/>
    <w:rsid w:val="001759BD"/>
    <w:rsid w:val="00176623"/>
    <w:rsid w:val="00177772"/>
    <w:rsid w:val="00177B46"/>
    <w:rsid w:val="00181A06"/>
    <w:rsid w:val="0018227C"/>
    <w:rsid w:val="0018271E"/>
    <w:rsid w:val="00182EF3"/>
    <w:rsid w:val="00185878"/>
    <w:rsid w:val="0018658D"/>
    <w:rsid w:val="00187310"/>
    <w:rsid w:val="00187384"/>
    <w:rsid w:val="00191062"/>
    <w:rsid w:val="00191C56"/>
    <w:rsid w:val="00191FB3"/>
    <w:rsid w:val="0019326F"/>
    <w:rsid w:val="00193E31"/>
    <w:rsid w:val="001959CA"/>
    <w:rsid w:val="001A0715"/>
    <w:rsid w:val="001A1EFE"/>
    <w:rsid w:val="001A3E49"/>
    <w:rsid w:val="001B1D61"/>
    <w:rsid w:val="001B252D"/>
    <w:rsid w:val="001B29CB"/>
    <w:rsid w:val="001B31AF"/>
    <w:rsid w:val="001B4963"/>
    <w:rsid w:val="001B5090"/>
    <w:rsid w:val="001B563B"/>
    <w:rsid w:val="001B5CA7"/>
    <w:rsid w:val="001B7AD4"/>
    <w:rsid w:val="001C3CAD"/>
    <w:rsid w:val="001C690E"/>
    <w:rsid w:val="001D2DCA"/>
    <w:rsid w:val="001D58FC"/>
    <w:rsid w:val="001D61BB"/>
    <w:rsid w:val="001E0440"/>
    <w:rsid w:val="001E14A1"/>
    <w:rsid w:val="001E1635"/>
    <w:rsid w:val="001E2715"/>
    <w:rsid w:val="001E2FB2"/>
    <w:rsid w:val="001E31E8"/>
    <w:rsid w:val="001E3FEB"/>
    <w:rsid w:val="001E45D6"/>
    <w:rsid w:val="001E6020"/>
    <w:rsid w:val="001E6114"/>
    <w:rsid w:val="001E742C"/>
    <w:rsid w:val="001F0282"/>
    <w:rsid w:val="001F05A0"/>
    <w:rsid w:val="001F4A56"/>
    <w:rsid w:val="001F4DD3"/>
    <w:rsid w:val="001F4E4A"/>
    <w:rsid w:val="001F60AB"/>
    <w:rsid w:val="001F78AD"/>
    <w:rsid w:val="00201D21"/>
    <w:rsid w:val="002041CA"/>
    <w:rsid w:val="002049AA"/>
    <w:rsid w:val="002054A1"/>
    <w:rsid w:val="002054D4"/>
    <w:rsid w:val="00206B6B"/>
    <w:rsid w:val="002071B3"/>
    <w:rsid w:val="00210126"/>
    <w:rsid w:val="00210E94"/>
    <w:rsid w:val="00211C21"/>
    <w:rsid w:val="00211E22"/>
    <w:rsid w:val="00213B74"/>
    <w:rsid w:val="00213B93"/>
    <w:rsid w:val="00214607"/>
    <w:rsid w:val="002171F1"/>
    <w:rsid w:val="002178B5"/>
    <w:rsid w:val="0022110A"/>
    <w:rsid w:val="00221131"/>
    <w:rsid w:val="00221FF5"/>
    <w:rsid w:val="00222D9D"/>
    <w:rsid w:val="002237A9"/>
    <w:rsid w:val="0022587E"/>
    <w:rsid w:val="00227276"/>
    <w:rsid w:val="00227876"/>
    <w:rsid w:val="00230731"/>
    <w:rsid w:val="00230ED0"/>
    <w:rsid w:val="00231458"/>
    <w:rsid w:val="00232F36"/>
    <w:rsid w:val="00233C11"/>
    <w:rsid w:val="002357DF"/>
    <w:rsid w:val="00236EA2"/>
    <w:rsid w:val="00237711"/>
    <w:rsid w:val="0023796C"/>
    <w:rsid w:val="00237E8A"/>
    <w:rsid w:val="002407F8"/>
    <w:rsid w:val="00240D33"/>
    <w:rsid w:val="00240EB0"/>
    <w:rsid w:val="002422AC"/>
    <w:rsid w:val="00242BEC"/>
    <w:rsid w:val="00243D7F"/>
    <w:rsid w:val="00244639"/>
    <w:rsid w:val="00246279"/>
    <w:rsid w:val="002466D6"/>
    <w:rsid w:val="00246DA7"/>
    <w:rsid w:val="002510CC"/>
    <w:rsid w:val="00251D7E"/>
    <w:rsid w:val="002526CC"/>
    <w:rsid w:val="00252AB2"/>
    <w:rsid w:val="00252DC3"/>
    <w:rsid w:val="00253B2B"/>
    <w:rsid w:val="00254F8A"/>
    <w:rsid w:val="0025661A"/>
    <w:rsid w:val="00257A17"/>
    <w:rsid w:val="00257E20"/>
    <w:rsid w:val="00260EF8"/>
    <w:rsid w:val="00261536"/>
    <w:rsid w:val="00261D66"/>
    <w:rsid w:val="00261F44"/>
    <w:rsid w:val="00262475"/>
    <w:rsid w:val="00262F32"/>
    <w:rsid w:val="002641B5"/>
    <w:rsid w:val="00265A28"/>
    <w:rsid w:val="00266B61"/>
    <w:rsid w:val="00266BEE"/>
    <w:rsid w:val="002721ED"/>
    <w:rsid w:val="00274D9E"/>
    <w:rsid w:val="00276AF0"/>
    <w:rsid w:val="00277B0C"/>
    <w:rsid w:val="00280616"/>
    <w:rsid w:val="00284444"/>
    <w:rsid w:val="00284EFA"/>
    <w:rsid w:val="00285DA8"/>
    <w:rsid w:val="00286E16"/>
    <w:rsid w:val="002873AB"/>
    <w:rsid w:val="00291149"/>
    <w:rsid w:val="002925A4"/>
    <w:rsid w:val="002929A4"/>
    <w:rsid w:val="00292DA8"/>
    <w:rsid w:val="00294ED4"/>
    <w:rsid w:val="00296E7D"/>
    <w:rsid w:val="002976BE"/>
    <w:rsid w:val="00297BA6"/>
    <w:rsid w:val="002A2484"/>
    <w:rsid w:val="002A37CD"/>
    <w:rsid w:val="002B011D"/>
    <w:rsid w:val="002B09D4"/>
    <w:rsid w:val="002B2B06"/>
    <w:rsid w:val="002B2E88"/>
    <w:rsid w:val="002B4317"/>
    <w:rsid w:val="002B5749"/>
    <w:rsid w:val="002B5B47"/>
    <w:rsid w:val="002B6486"/>
    <w:rsid w:val="002B7538"/>
    <w:rsid w:val="002C07FB"/>
    <w:rsid w:val="002C20C5"/>
    <w:rsid w:val="002C4527"/>
    <w:rsid w:val="002C4592"/>
    <w:rsid w:val="002C4E8D"/>
    <w:rsid w:val="002C5FEE"/>
    <w:rsid w:val="002C7169"/>
    <w:rsid w:val="002C7997"/>
    <w:rsid w:val="002C7D5B"/>
    <w:rsid w:val="002D2575"/>
    <w:rsid w:val="002D2FCC"/>
    <w:rsid w:val="002D35B8"/>
    <w:rsid w:val="002D6E62"/>
    <w:rsid w:val="002D7FA8"/>
    <w:rsid w:val="002E0651"/>
    <w:rsid w:val="002E0B14"/>
    <w:rsid w:val="002E16AE"/>
    <w:rsid w:val="002E1DF1"/>
    <w:rsid w:val="002E1EE0"/>
    <w:rsid w:val="002E1FC6"/>
    <w:rsid w:val="002E2952"/>
    <w:rsid w:val="002E387D"/>
    <w:rsid w:val="002E59AE"/>
    <w:rsid w:val="002E5F78"/>
    <w:rsid w:val="002E66C1"/>
    <w:rsid w:val="002E7DFA"/>
    <w:rsid w:val="002F0A60"/>
    <w:rsid w:val="002F1146"/>
    <w:rsid w:val="002F1E3B"/>
    <w:rsid w:val="002F257F"/>
    <w:rsid w:val="002F2D80"/>
    <w:rsid w:val="002F2F70"/>
    <w:rsid w:val="002F674D"/>
    <w:rsid w:val="00300396"/>
    <w:rsid w:val="00300E53"/>
    <w:rsid w:val="00301B1B"/>
    <w:rsid w:val="00303A7E"/>
    <w:rsid w:val="0030479C"/>
    <w:rsid w:val="00304AB4"/>
    <w:rsid w:val="00304CF7"/>
    <w:rsid w:val="00305D06"/>
    <w:rsid w:val="003072A7"/>
    <w:rsid w:val="00307511"/>
    <w:rsid w:val="0031380B"/>
    <w:rsid w:val="003155E5"/>
    <w:rsid w:val="00320125"/>
    <w:rsid w:val="0032015E"/>
    <w:rsid w:val="00321AF6"/>
    <w:rsid w:val="00327207"/>
    <w:rsid w:val="00330E10"/>
    <w:rsid w:val="00332BF0"/>
    <w:rsid w:val="003333F0"/>
    <w:rsid w:val="00333FD9"/>
    <w:rsid w:val="00335F18"/>
    <w:rsid w:val="003365E3"/>
    <w:rsid w:val="0033734E"/>
    <w:rsid w:val="003405D2"/>
    <w:rsid w:val="00340651"/>
    <w:rsid w:val="003424DC"/>
    <w:rsid w:val="00343003"/>
    <w:rsid w:val="003458FF"/>
    <w:rsid w:val="0034608B"/>
    <w:rsid w:val="003504B3"/>
    <w:rsid w:val="003507E1"/>
    <w:rsid w:val="0035197C"/>
    <w:rsid w:val="00352A52"/>
    <w:rsid w:val="00353DE6"/>
    <w:rsid w:val="00363ED4"/>
    <w:rsid w:val="0036435E"/>
    <w:rsid w:val="00367887"/>
    <w:rsid w:val="00372ECB"/>
    <w:rsid w:val="00374CE0"/>
    <w:rsid w:val="00375A06"/>
    <w:rsid w:val="00376753"/>
    <w:rsid w:val="00376D90"/>
    <w:rsid w:val="00377DC6"/>
    <w:rsid w:val="00390363"/>
    <w:rsid w:val="003940AE"/>
    <w:rsid w:val="00395B82"/>
    <w:rsid w:val="003A3D36"/>
    <w:rsid w:val="003A40F4"/>
    <w:rsid w:val="003A73FA"/>
    <w:rsid w:val="003A7931"/>
    <w:rsid w:val="003B056D"/>
    <w:rsid w:val="003B1912"/>
    <w:rsid w:val="003B74A2"/>
    <w:rsid w:val="003C36B7"/>
    <w:rsid w:val="003C653A"/>
    <w:rsid w:val="003C6E7B"/>
    <w:rsid w:val="003C7883"/>
    <w:rsid w:val="003D116C"/>
    <w:rsid w:val="003D17CD"/>
    <w:rsid w:val="003D1B58"/>
    <w:rsid w:val="003D1BC8"/>
    <w:rsid w:val="003D4150"/>
    <w:rsid w:val="003D501A"/>
    <w:rsid w:val="003D51CD"/>
    <w:rsid w:val="003D6BE8"/>
    <w:rsid w:val="003E2B37"/>
    <w:rsid w:val="003E2E62"/>
    <w:rsid w:val="003E4DB6"/>
    <w:rsid w:val="003E68EB"/>
    <w:rsid w:val="003E7800"/>
    <w:rsid w:val="003E7ED7"/>
    <w:rsid w:val="003F4F6E"/>
    <w:rsid w:val="003F73DC"/>
    <w:rsid w:val="0040128C"/>
    <w:rsid w:val="004016BE"/>
    <w:rsid w:val="004058F5"/>
    <w:rsid w:val="0040619E"/>
    <w:rsid w:val="004070EF"/>
    <w:rsid w:val="00407D58"/>
    <w:rsid w:val="0041131F"/>
    <w:rsid w:val="004119F2"/>
    <w:rsid w:val="0041335E"/>
    <w:rsid w:val="00413916"/>
    <w:rsid w:val="0041408C"/>
    <w:rsid w:val="004146CA"/>
    <w:rsid w:val="00416DDA"/>
    <w:rsid w:val="00416E17"/>
    <w:rsid w:val="00416FD0"/>
    <w:rsid w:val="004201DD"/>
    <w:rsid w:val="00423A30"/>
    <w:rsid w:val="00424371"/>
    <w:rsid w:val="00424F49"/>
    <w:rsid w:val="00425623"/>
    <w:rsid w:val="00430357"/>
    <w:rsid w:val="00430B03"/>
    <w:rsid w:val="004310EE"/>
    <w:rsid w:val="004325CC"/>
    <w:rsid w:val="00433926"/>
    <w:rsid w:val="00434013"/>
    <w:rsid w:val="00434550"/>
    <w:rsid w:val="004349A9"/>
    <w:rsid w:val="00434D81"/>
    <w:rsid w:val="00437C93"/>
    <w:rsid w:val="00442304"/>
    <w:rsid w:val="00442E6A"/>
    <w:rsid w:val="00443EB7"/>
    <w:rsid w:val="00446365"/>
    <w:rsid w:val="004471DC"/>
    <w:rsid w:val="004477C7"/>
    <w:rsid w:val="00447D71"/>
    <w:rsid w:val="00450231"/>
    <w:rsid w:val="0045068F"/>
    <w:rsid w:val="00451ABF"/>
    <w:rsid w:val="004535C0"/>
    <w:rsid w:val="0045457A"/>
    <w:rsid w:val="00456DA1"/>
    <w:rsid w:val="00460D81"/>
    <w:rsid w:val="00464DED"/>
    <w:rsid w:val="00473560"/>
    <w:rsid w:val="00473A0B"/>
    <w:rsid w:val="00473B63"/>
    <w:rsid w:val="00476184"/>
    <w:rsid w:val="004764DB"/>
    <w:rsid w:val="00476B8F"/>
    <w:rsid w:val="004771CD"/>
    <w:rsid w:val="00482F13"/>
    <w:rsid w:val="0048306B"/>
    <w:rsid w:val="0048309C"/>
    <w:rsid w:val="00483461"/>
    <w:rsid w:val="00483F03"/>
    <w:rsid w:val="00484F01"/>
    <w:rsid w:val="00485A70"/>
    <w:rsid w:val="00486444"/>
    <w:rsid w:val="00487C80"/>
    <w:rsid w:val="00490C39"/>
    <w:rsid w:val="00491651"/>
    <w:rsid w:val="0049165B"/>
    <w:rsid w:val="00491B9A"/>
    <w:rsid w:val="00492CF7"/>
    <w:rsid w:val="00492D36"/>
    <w:rsid w:val="00494AE5"/>
    <w:rsid w:val="00496C0D"/>
    <w:rsid w:val="00497837"/>
    <w:rsid w:val="004A0E5A"/>
    <w:rsid w:val="004A2968"/>
    <w:rsid w:val="004A4EB6"/>
    <w:rsid w:val="004A5448"/>
    <w:rsid w:val="004A695F"/>
    <w:rsid w:val="004B032A"/>
    <w:rsid w:val="004B588E"/>
    <w:rsid w:val="004B7447"/>
    <w:rsid w:val="004B79FD"/>
    <w:rsid w:val="004C102F"/>
    <w:rsid w:val="004C35DA"/>
    <w:rsid w:val="004C47E9"/>
    <w:rsid w:val="004C676B"/>
    <w:rsid w:val="004D0433"/>
    <w:rsid w:val="004D2081"/>
    <w:rsid w:val="004D4635"/>
    <w:rsid w:val="004D4BAF"/>
    <w:rsid w:val="004D4CE2"/>
    <w:rsid w:val="004D5609"/>
    <w:rsid w:val="004D5F0D"/>
    <w:rsid w:val="004E1783"/>
    <w:rsid w:val="004E23F1"/>
    <w:rsid w:val="004E2867"/>
    <w:rsid w:val="004E2AB6"/>
    <w:rsid w:val="004E521E"/>
    <w:rsid w:val="004E6CCA"/>
    <w:rsid w:val="004F08C5"/>
    <w:rsid w:val="004F0E1E"/>
    <w:rsid w:val="004F0FAC"/>
    <w:rsid w:val="004F1D9B"/>
    <w:rsid w:val="004F2663"/>
    <w:rsid w:val="004F38EC"/>
    <w:rsid w:val="004F3EB2"/>
    <w:rsid w:val="004F6ECF"/>
    <w:rsid w:val="004F709D"/>
    <w:rsid w:val="005011A6"/>
    <w:rsid w:val="005014B8"/>
    <w:rsid w:val="00501C4D"/>
    <w:rsid w:val="00501F0B"/>
    <w:rsid w:val="005029F1"/>
    <w:rsid w:val="00504B22"/>
    <w:rsid w:val="00505179"/>
    <w:rsid w:val="00507D9D"/>
    <w:rsid w:val="00507EA8"/>
    <w:rsid w:val="00510649"/>
    <w:rsid w:val="00511332"/>
    <w:rsid w:val="00511A21"/>
    <w:rsid w:val="00514496"/>
    <w:rsid w:val="00515820"/>
    <w:rsid w:val="005173B3"/>
    <w:rsid w:val="00521718"/>
    <w:rsid w:val="00523896"/>
    <w:rsid w:val="005306CC"/>
    <w:rsid w:val="00530D65"/>
    <w:rsid w:val="00533341"/>
    <w:rsid w:val="00533AC8"/>
    <w:rsid w:val="00533C6C"/>
    <w:rsid w:val="005407CE"/>
    <w:rsid w:val="00540D0D"/>
    <w:rsid w:val="00541687"/>
    <w:rsid w:val="00541C1D"/>
    <w:rsid w:val="0054248B"/>
    <w:rsid w:val="00542914"/>
    <w:rsid w:val="00542AA9"/>
    <w:rsid w:val="00545281"/>
    <w:rsid w:val="005462B2"/>
    <w:rsid w:val="00546861"/>
    <w:rsid w:val="005473BB"/>
    <w:rsid w:val="00547A60"/>
    <w:rsid w:val="0055188C"/>
    <w:rsid w:val="00551A6E"/>
    <w:rsid w:val="00552B6B"/>
    <w:rsid w:val="00552F26"/>
    <w:rsid w:val="00552F40"/>
    <w:rsid w:val="005564D4"/>
    <w:rsid w:val="0055759B"/>
    <w:rsid w:val="00557F1F"/>
    <w:rsid w:val="00561D7D"/>
    <w:rsid w:val="005622FA"/>
    <w:rsid w:val="00566469"/>
    <w:rsid w:val="005670DF"/>
    <w:rsid w:val="005674C6"/>
    <w:rsid w:val="00567E05"/>
    <w:rsid w:val="00570C73"/>
    <w:rsid w:val="00572A44"/>
    <w:rsid w:val="0057376F"/>
    <w:rsid w:val="00574269"/>
    <w:rsid w:val="00575FBC"/>
    <w:rsid w:val="005808E5"/>
    <w:rsid w:val="00581A6C"/>
    <w:rsid w:val="00581B22"/>
    <w:rsid w:val="005830A8"/>
    <w:rsid w:val="005851B3"/>
    <w:rsid w:val="00585ED5"/>
    <w:rsid w:val="005875A0"/>
    <w:rsid w:val="00587E50"/>
    <w:rsid w:val="00593561"/>
    <w:rsid w:val="00593A3E"/>
    <w:rsid w:val="005943A2"/>
    <w:rsid w:val="00596D73"/>
    <w:rsid w:val="00596EB2"/>
    <w:rsid w:val="00597487"/>
    <w:rsid w:val="00597CB2"/>
    <w:rsid w:val="005A237F"/>
    <w:rsid w:val="005A414E"/>
    <w:rsid w:val="005A622E"/>
    <w:rsid w:val="005A6B7A"/>
    <w:rsid w:val="005B14B5"/>
    <w:rsid w:val="005B2DBC"/>
    <w:rsid w:val="005B490B"/>
    <w:rsid w:val="005B5ED9"/>
    <w:rsid w:val="005C0D93"/>
    <w:rsid w:val="005C1441"/>
    <w:rsid w:val="005C1CD7"/>
    <w:rsid w:val="005C1CF8"/>
    <w:rsid w:val="005C33B0"/>
    <w:rsid w:val="005C36EB"/>
    <w:rsid w:val="005C37BD"/>
    <w:rsid w:val="005C4264"/>
    <w:rsid w:val="005C7D79"/>
    <w:rsid w:val="005D097E"/>
    <w:rsid w:val="005D1DD5"/>
    <w:rsid w:val="005D1E45"/>
    <w:rsid w:val="005D2F27"/>
    <w:rsid w:val="005D3879"/>
    <w:rsid w:val="005D38CB"/>
    <w:rsid w:val="005D5305"/>
    <w:rsid w:val="005D657F"/>
    <w:rsid w:val="005D7357"/>
    <w:rsid w:val="005D74CF"/>
    <w:rsid w:val="005E08EE"/>
    <w:rsid w:val="005E10ED"/>
    <w:rsid w:val="005E1CC1"/>
    <w:rsid w:val="005E6729"/>
    <w:rsid w:val="005E7B94"/>
    <w:rsid w:val="005F0BBB"/>
    <w:rsid w:val="005F4561"/>
    <w:rsid w:val="005F4E99"/>
    <w:rsid w:val="005F51F3"/>
    <w:rsid w:val="005F6342"/>
    <w:rsid w:val="0060063C"/>
    <w:rsid w:val="00603798"/>
    <w:rsid w:val="0060386E"/>
    <w:rsid w:val="00604C44"/>
    <w:rsid w:val="00604C7D"/>
    <w:rsid w:val="006053A5"/>
    <w:rsid w:val="006061D9"/>
    <w:rsid w:val="00606483"/>
    <w:rsid w:val="00607808"/>
    <w:rsid w:val="0061090C"/>
    <w:rsid w:val="00612C22"/>
    <w:rsid w:val="00613F61"/>
    <w:rsid w:val="00614B10"/>
    <w:rsid w:val="006164F0"/>
    <w:rsid w:val="00620745"/>
    <w:rsid w:val="00620E8E"/>
    <w:rsid w:val="00623A55"/>
    <w:rsid w:val="00625A99"/>
    <w:rsid w:val="00625C76"/>
    <w:rsid w:val="006272D0"/>
    <w:rsid w:val="006275D1"/>
    <w:rsid w:val="00627A8F"/>
    <w:rsid w:val="0063128B"/>
    <w:rsid w:val="006314F7"/>
    <w:rsid w:val="00633BE3"/>
    <w:rsid w:val="00636834"/>
    <w:rsid w:val="0064005F"/>
    <w:rsid w:val="006405C6"/>
    <w:rsid w:val="006418D8"/>
    <w:rsid w:val="00641A83"/>
    <w:rsid w:val="00642586"/>
    <w:rsid w:val="006441A3"/>
    <w:rsid w:val="006443F9"/>
    <w:rsid w:val="00645493"/>
    <w:rsid w:val="00645A50"/>
    <w:rsid w:val="00645A75"/>
    <w:rsid w:val="00646E37"/>
    <w:rsid w:val="00646F0D"/>
    <w:rsid w:val="006471BA"/>
    <w:rsid w:val="0065240F"/>
    <w:rsid w:val="006568D0"/>
    <w:rsid w:val="00656FB8"/>
    <w:rsid w:val="00661A06"/>
    <w:rsid w:val="0066336B"/>
    <w:rsid w:val="00663572"/>
    <w:rsid w:val="00663744"/>
    <w:rsid w:val="00663AD2"/>
    <w:rsid w:val="00663D9F"/>
    <w:rsid w:val="00664A3C"/>
    <w:rsid w:val="00665D20"/>
    <w:rsid w:val="00667692"/>
    <w:rsid w:val="00671E00"/>
    <w:rsid w:val="00675EE2"/>
    <w:rsid w:val="00677C28"/>
    <w:rsid w:val="006814D4"/>
    <w:rsid w:val="00682AB0"/>
    <w:rsid w:val="006847E1"/>
    <w:rsid w:val="0068580D"/>
    <w:rsid w:val="00687370"/>
    <w:rsid w:val="00690FC5"/>
    <w:rsid w:val="0069114A"/>
    <w:rsid w:val="006932A9"/>
    <w:rsid w:val="00693D6B"/>
    <w:rsid w:val="006944F9"/>
    <w:rsid w:val="006946CD"/>
    <w:rsid w:val="00695234"/>
    <w:rsid w:val="006960C2"/>
    <w:rsid w:val="006A0163"/>
    <w:rsid w:val="006A0953"/>
    <w:rsid w:val="006A0B9B"/>
    <w:rsid w:val="006A2650"/>
    <w:rsid w:val="006A3A0C"/>
    <w:rsid w:val="006A3A84"/>
    <w:rsid w:val="006A44E1"/>
    <w:rsid w:val="006A60DD"/>
    <w:rsid w:val="006A74AF"/>
    <w:rsid w:val="006B146F"/>
    <w:rsid w:val="006B5B24"/>
    <w:rsid w:val="006B75E8"/>
    <w:rsid w:val="006B78C6"/>
    <w:rsid w:val="006C15C4"/>
    <w:rsid w:val="006C38C8"/>
    <w:rsid w:val="006C4183"/>
    <w:rsid w:val="006C4B9F"/>
    <w:rsid w:val="006C4EBC"/>
    <w:rsid w:val="006C557C"/>
    <w:rsid w:val="006C60A0"/>
    <w:rsid w:val="006C68B7"/>
    <w:rsid w:val="006D2188"/>
    <w:rsid w:val="006D2CC1"/>
    <w:rsid w:val="006D423F"/>
    <w:rsid w:val="006D5AFE"/>
    <w:rsid w:val="006D5B78"/>
    <w:rsid w:val="006D5B95"/>
    <w:rsid w:val="006D5D65"/>
    <w:rsid w:val="006D6815"/>
    <w:rsid w:val="006E1881"/>
    <w:rsid w:val="006E2353"/>
    <w:rsid w:val="006E437B"/>
    <w:rsid w:val="006E5499"/>
    <w:rsid w:val="006E5DAD"/>
    <w:rsid w:val="006E6468"/>
    <w:rsid w:val="006E68CC"/>
    <w:rsid w:val="006E6B8D"/>
    <w:rsid w:val="006E7027"/>
    <w:rsid w:val="006F025E"/>
    <w:rsid w:val="006F0729"/>
    <w:rsid w:val="006F1C67"/>
    <w:rsid w:val="006F3F7B"/>
    <w:rsid w:val="006F5726"/>
    <w:rsid w:val="006F5D8D"/>
    <w:rsid w:val="006F65F0"/>
    <w:rsid w:val="006F665B"/>
    <w:rsid w:val="00701E79"/>
    <w:rsid w:val="00703290"/>
    <w:rsid w:val="00703AAC"/>
    <w:rsid w:val="00703CCA"/>
    <w:rsid w:val="007043AD"/>
    <w:rsid w:val="00706062"/>
    <w:rsid w:val="00706D08"/>
    <w:rsid w:val="00707966"/>
    <w:rsid w:val="00710A31"/>
    <w:rsid w:val="00711380"/>
    <w:rsid w:val="00711D2C"/>
    <w:rsid w:val="0071213C"/>
    <w:rsid w:val="007132A9"/>
    <w:rsid w:val="00713AFA"/>
    <w:rsid w:val="00714073"/>
    <w:rsid w:val="007155EA"/>
    <w:rsid w:val="007178D1"/>
    <w:rsid w:val="00717D0A"/>
    <w:rsid w:val="007205FD"/>
    <w:rsid w:val="0072209F"/>
    <w:rsid w:val="00722A15"/>
    <w:rsid w:val="00725151"/>
    <w:rsid w:val="00734FB8"/>
    <w:rsid w:val="007355EF"/>
    <w:rsid w:val="00740F45"/>
    <w:rsid w:val="00741B2E"/>
    <w:rsid w:val="00743AA4"/>
    <w:rsid w:val="00743AD4"/>
    <w:rsid w:val="00744A0C"/>
    <w:rsid w:val="0074676E"/>
    <w:rsid w:val="0074686D"/>
    <w:rsid w:val="00751C91"/>
    <w:rsid w:val="00752ABD"/>
    <w:rsid w:val="00753B3A"/>
    <w:rsid w:val="00754073"/>
    <w:rsid w:val="0075577D"/>
    <w:rsid w:val="007609B5"/>
    <w:rsid w:val="00761EB0"/>
    <w:rsid w:val="0076507E"/>
    <w:rsid w:val="00765859"/>
    <w:rsid w:val="007712D2"/>
    <w:rsid w:val="0077151C"/>
    <w:rsid w:val="00775E1B"/>
    <w:rsid w:val="00776615"/>
    <w:rsid w:val="007766A0"/>
    <w:rsid w:val="00782E3A"/>
    <w:rsid w:val="007831DD"/>
    <w:rsid w:val="00783886"/>
    <w:rsid w:val="00783CD7"/>
    <w:rsid w:val="00783FD8"/>
    <w:rsid w:val="00784852"/>
    <w:rsid w:val="0078536E"/>
    <w:rsid w:val="00786227"/>
    <w:rsid w:val="00787AA6"/>
    <w:rsid w:val="00790E84"/>
    <w:rsid w:val="0079114A"/>
    <w:rsid w:val="00791CF0"/>
    <w:rsid w:val="00793C46"/>
    <w:rsid w:val="007952A3"/>
    <w:rsid w:val="007962B9"/>
    <w:rsid w:val="00796B51"/>
    <w:rsid w:val="007A1B3D"/>
    <w:rsid w:val="007A2DC9"/>
    <w:rsid w:val="007A493C"/>
    <w:rsid w:val="007A52CA"/>
    <w:rsid w:val="007A654D"/>
    <w:rsid w:val="007A6590"/>
    <w:rsid w:val="007B1324"/>
    <w:rsid w:val="007B171C"/>
    <w:rsid w:val="007B1D7E"/>
    <w:rsid w:val="007B3162"/>
    <w:rsid w:val="007B36B3"/>
    <w:rsid w:val="007B3A8E"/>
    <w:rsid w:val="007B3F0C"/>
    <w:rsid w:val="007B63FB"/>
    <w:rsid w:val="007B6F90"/>
    <w:rsid w:val="007C1560"/>
    <w:rsid w:val="007C2F4D"/>
    <w:rsid w:val="007C42A7"/>
    <w:rsid w:val="007C5D36"/>
    <w:rsid w:val="007C667F"/>
    <w:rsid w:val="007C7272"/>
    <w:rsid w:val="007C7EB8"/>
    <w:rsid w:val="007D0344"/>
    <w:rsid w:val="007D08CD"/>
    <w:rsid w:val="007D0C06"/>
    <w:rsid w:val="007D0C13"/>
    <w:rsid w:val="007D2587"/>
    <w:rsid w:val="007D3A0B"/>
    <w:rsid w:val="007D7177"/>
    <w:rsid w:val="007E1A4C"/>
    <w:rsid w:val="007E5FA2"/>
    <w:rsid w:val="007E741B"/>
    <w:rsid w:val="007E7B18"/>
    <w:rsid w:val="007F11FF"/>
    <w:rsid w:val="007F13F1"/>
    <w:rsid w:val="007F2A52"/>
    <w:rsid w:val="007F2C1B"/>
    <w:rsid w:val="007F3053"/>
    <w:rsid w:val="007F4771"/>
    <w:rsid w:val="007F5795"/>
    <w:rsid w:val="007F768C"/>
    <w:rsid w:val="008018A9"/>
    <w:rsid w:val="00801DAB"/>
    <w:rsid w:val="008024DD"/>
    <w:rsid w:val="008035F5"/>
    <w:rsid w:val="008040FD"/>
    <w:rsid w:val="008079FD"/>
    <w:rsid w:val="00810FA2"/>
    <w:rsid w:val="00811FCC"/>
    <w:rsid w:val="0081202D"/>
    <w:rsid w:val="00813820"/>
    <w:rsid w:val="00813F8E"/>
    <w:rsid w:val="00814664"/>
    <w:rsid w:val="00815315"/>
    <w:rsid w:val="00815CA8"/>
    <w:rsid w:val="0081662B"/>
    <w:rsid w:val="00816FCE"/>
    <w:rsid w:val="00817765"/>
    <w:rsid w:val="00820108"/>
    <w:rsid w:val="00821F12"/>
    <w:rsid w:val="00822EEA"/>
    <w:rsid w:val="00824085"/>
    <w:rsid w:val="008248DA"/>
    <w:rsid w:val="00824FEF"/>
    <w:rsid w:val="00825B30"/>
    <w:rsid w:val="008278CF"/>
    <w:rsid w:val="00831468"/>
    <w:rsid w:val="00831512"/>
    <w:rsid w:val="00835D65"/>
    <w:rsid w:val="008365C0"/>
    <w:rsid w:val="008369B7"/>
    <w:rsid w:val="00836A12"/>
    <w:rsid w:val="00837A58"/>
    <w:rsid w:val="008402DA"/>
    <w:rsid w:val="008437D5"/>
    <w:rsid w:val="008439DB"/>
    <w:rsid w:val="00843B00"/>
    <w:rsid w:val="00843C38"/>
    <w:rsid w:val="00843C43"/>
    <w:rsid w:val="0084458C"/>
    <w:rsid w:val="00844F79"/>
    <w:rsid w:val="008453E2"/>
    <w:rsid w:val="0084540C"/>
    <w:rsid w:val="00845563"/>
    <w:rsid w:val="00846816"/>
    <w:rsid w:val="0085044A"/>
    <w:rsid w:val="00851403"/>
    <w:rsid w:val="00851441"/>
    <w:rsid w:val="00851A71"/>
    <w:rsid w:val="00853F37"/>
    <w:rsid w:val="00854F07"/>
    <w:rsid w:val="00855FE9"/>
    <w:rsid w:val="00860739"/>
    <w:rsid w:val="008619D8"/>
    <w:rsid w:val="00863311"/>
    <w:rsid w:val="0086358E"/>
    <w:rsid w:val="0086464C"/>
    <w:rsid w:val="00864CCA"/>
    <w:rsid w:val="00866718"/>
    <w:rsid w:val="00866AC4"/>
    <w:rsid w:val="00867271"/>
    <w:rsid w:val="008672BF"/>
    <w:rsid w:val="0087006A"/>
    <w:rsid w:val="008702D2"/>
    <w:rsid w:val="00870BCD"/>
    <w:rsid w:val="0087192C"/>
    <w:rsid w:val="008732E3"/>
    <w:rsid w:val="0087348A"/>
    <w:rsid w:val="00873A18"/>
    <w:rsid w:val="00873F1F"/>
    <w:rsid w:val="00875446"/>
    <w:rsid w:val="008843EB"/>
    <w:rsid w:val="0088463C"/>
    <w:rsid w:val="008873CB"/>
    <w:rsid w:val="00887524"/>
    <w:rsid w:val="00891382"/>
    <w:rsid w:val="00891AF7"/>
    <w:rsid w:val="0089314A"/>
    <w:rsid w:val="00895FBF"/>
    <w:rsid w:val="008A0DE9"/>
    <w:rsid w:val="008A1296"/>
    <w:rsid w:val="008A250A"/>
    <w:rsid w:val="008A342C"/>
    <w:rsid w:val="008A37E6"/>
    <w:rsid w:val="008A3972"/>
    <w:rsid w:val="008A444B"/>
    <w:rsid w:val="008A4F95"/>
    <w:rsid w:val="008A54C0"/>
    <w:rsid w:val="008A68A3"/>
    <w:rsid w:val="008A6A88"/>
    <w:rsid w:val="008B03C1"/>
    <w:rsid w:val="008B0544"/>
    <w:rsid w:val="008B4CA4"/>
    <w:rsid w:val="008B56B4"/>
    <w:rsid w:val="008B7039"/>
    <w:rsid w:val="008C202A"/>
    <w:rsid w:val="008C2244"/>
    <w:rsid w:val="008C3DEF"/>
    <w:rsid w:val="008C48A1"/>
    <w:rsid w:val="008C5E81"/>
    <w:rsid w:val="008C75A5"/>
    <w:rsid w:val="008D0FAA"/>
    <w:rsid w:val="008D176A"/>
    <w:rsid w:val="008D3CF6"/>
    <w:rsid w:val="008D3DFD"/>
    <w:rsid w:val="008D665D"/>
    <w:rsid w:val="008E09C7"/>
    <w:rsid w:val="008E1DC3"/>
    <w:rsid w:val="008E1E41"/>
    <w:rsid w:val="008E25F4"/>
    <w:rsid w:val="008E371A"/>
    <w:rsid w:val="008E73E7"/>
    <w:rsid w:val="008E74C8"/>
    <w:rsid w:val="008F0068"/>
    <w:rsid w:val="008F0936"/>
    <w:rsid w:val="008F2BAB"/>
    <w:rsid w:val="008F3BBB"/>
    <w:rsid w:val="008F6CC1"/>
    <w:rsid w:val="00901EE6"/>
    <w:rsid w:val="00903D65"/>
    <w:rsid w:val="00903FA8"/>
    <w:rsid w:val="00907F98"/>
    <w:rsid w:val="009133DC"/>
    <w:rsid w:val="009138BF"/>
    <w:rsid w:val="00916A6D"/>
    <w:rsid w:val="009175FF"/>
    <w:rsid w:val="009206EF"/>
    <w:rsid w:val="00920BEA"/>
    <w:rsid w:val="00924713"/>
    <w:rsid w:val="009261A8"/>
    <w:rsid w:val="00927859"/>
    <w:rsid w:val="00927DAA"/>
    <w:rsid w:val="00930B4B"/>
    <w:rsid w:val="00933846"/>
    <w:rsid w:val="009340D1"/>
    <w:rsid w:val="00934281"/>
    <w:rsid w:val="009358E7"/>
    <w:rsid w:val="00936909"/>
    <w:rsid w:val="009369C7"/>
    <w:rsid w:val="00941A81"/>
    <w:rsid w:val="009422C7"/>
    <w:rsid w:val="00943AE3"/>
    <w:rsid w:val="0094610E"/>
    <w:rsid w:val="00947812"/>
    <w:rsid w:val="00947BA1"/>
    <w:rsid w:val="00950EB0"/>
    <w:rsid w:val="00951D50"/>
    <w:rsid w:val="00951FA6"/>
    <w:rsid w:val="00952CDF"/>
    <w:rsid w:val="00952F9A"/>
    <w:rsid w:val="00954293"/>
    <w:rsid w:val="009551F1"/>
    <w:rsid w:val="00955E00"/>
    <w:rsid w:val="00955E29"/>
    <w:rsid w:val="00957979"/>
    <w:rsid w:val="00957CBA"/>
    <w:rsid w:val="00961AE0"/>
    <w:rsid w:val="00961B9E"/>
    <w:rsid w:val="00961FC3"/>
    <w:rsid w:val="00962BB7"/>
    <w:rsid w:val="009638E8"/>
    <w:rsid w:val="00963E17"/>
    <w:rsid w:val="00964D04"/>
    <w:rsid w:val="00965091"/>
    <w:rsid w:val="009660B0"/>
    <w:rsid w:val="009702A6"/>
    <w:rsid w:val="00972AE3"/>
    <w:rsid w:val="0098032B"/>
    <w:rsid w:val="0098041C"/>
    <w:rsid w:val="0098124D"/>
    <w:rsid w:val="00982873"/>
    <w:rsid w:val="00983CE7"/>
    <w:rsid w:val="0098476B"/>
    <w:rsid w:val="0099176D"/>
    <w:rsid w:val="00991D67"/>
    <w:rsid w:val="009939C4"/>
    <w:rsid w:val="00993BC7"/>
    <w:rsid w:val="00994A2E"/>
    <w:rsid w:val="00995BD4"/>
    <w:rsid w:val="00995CAA"/>
    <w:rsid w:val="00997B6E"/>
    <w:rsid w:val="00997C52"/>
    <w:rsid w:val="00997C85"/>
    <w:rsid w:val="009A258E"/>
    <w:rsid w:val="009A2616"/>
    <w:rsid w:val="009A3B2F"/>
    <w:rsid w:val="009A403D"/>
    <w:rsid w:val="009A40AB"/>
    <w:rsid w:val="009A6AB4"/>
    <w:rsid w:val="009B113A"/>
    <w:rsid w:val="009B2493"/>
    <w:rsid w:val="009B3173"/>
    <w:rsid w:val="009B3891"/>
    <w:rsid w:val="009B3C2F"/>
    <w:rsid w:val="009B3D34"/>
    <w:rsid w:val="009B43F6"/>
    <w:rsid w:val="009B510E"/>
    <w:rsid w:val="009C0B61"/>
    <w:rsid w:val="009C24D5"/>
    <w:rsid w:val="009C2585"/>
    <w:rsid w:val="009C408F"/>
    <w:rsid w:val="009C4183"/>
    <w:rsid w:val="009C44A7"/>
    <w:rsid w:val="009C4994"/>
    <w:rsid w:val="009C4E55"/>
    <w:rsid w:val="009C7805"/>
    <w:rsid w:val="009C7B57"/>
    <w:rsid w:val="009D05A4"/>
    <w:rsid w:val="009D1B40"/>
    <w:rsid w:val="009D239F"/>
    <w:rsid w:val="009D24D0"/>
    <w:rsid w:val="009D3149"/>
    <w:rsid w:val="009D3219"/>
    <w:rsid w:val="009D4FE8"/>
    <w:rsid w:val="009D5771"/>
    <w:rsid w:val="009E1984"/>
    <w:rsid w:val="009E279B"/>
    <w:rsid w:val="009E4660"/>
    <w:rsid w:val="009E708E"/>
    <w:rsid w:val="009F09CC"/>
    <w:rsid w:val="009F0C00"/>
    <w:rsid w:val="009F10B4"/>
    <w:rsid w:val="009F5797"/>
    <w:rsid w:val="009F6F79"/>
    <w:rsid w:val="009F6FFF"/>
    <w:rsid w:val="00A0295B"/>
    <w:rsid w:val="00A0337A"/>
    <w:rsid w:val="00A0554E"/>
    <w:rsid w:val="00A078C2"/>
    <w:rsid w:val="00A114A3"/>
    <w:rsid w:val="00A11581"/>
    <w:rsid w:val="00A12280"/>
    <w:rsid w:val="00A12D2D"/>
    <w:rsid w:val="00A137AC"/>
    <w:rsid w:val="00A146A3"/>
    <w:rsid w:val="00A1631A"/>
    <w:rsid w:val="00A171C9"/>
    <w:rsid w:val="00A17E5A"/>
    <w:rsid w:val="00A20E64"/>
    <w:rsid w:val="00A21C75"/>
    <w:rsid w:val="00A21DF3"/>
    <w:rsid w:val="00A22115"/>
    <w:rsid w:val="00A24436"/>
    <w:rsid w:val="00A249D9"/>
    <w:rsid w:val="00A24A0F"/>
    <w:rsid w:val="00A259FA"/>
    <w:rsid w:val="00A30037"/>
    <w:rsid w:val="00A32B62"/>
    <w:rsid w:val="00A32FEC"/>
    <w:rsid w:val="00A3334D"/>
    <w:rsid w:val="00A33B7E"/>
    <w:rsid w:val="00A36A59"/>
    <w:rsid w:val="00A402A7"/>
    <w:rsid w:val="00A42FBB"/>
    <w:rsid w:val="00A44F8C"/>
    <w:rsid w:val="00A45A18"/>
    <w:rsid w:val="00A45CFA"/>
    <w:rsid w:val="00A46117"/>
    <w:rsid w:val="00A46CBE"/>
    <w:rsid w:val="00A46E89"/>
    <w:rsid w:val="00A47A7E"/>
    <w:rsid w:val="00A47B7D"/>
    <w:rsid w:val="00A50943"/>
    <w:rsid w:val="00A50B7C"/>
    <w:rsid w:val="00A54C5A"/>
    <w:rsid w:val="00A55002"/>
    <w:rsid w:val="00A5549F"/>
    <w:rsid w:val="00A60C5A"/>
    <w:rsid w:val="00A61396"/>
    <w:rsid w:val="00A614F9"/>
    <w:rsid w:val="00A6295A"/>
    <w:rsid w:val="00A664C5"/>
    <w:rsid w:val="00A665F2"/>
    <w:rsid w:val="00A67616"/>
    <w:rsid w:val="00A70996"/>
    <w:rsid w:val="00A71967"/>
    <w:rsid w:val="00A727AD"/>
    <w:rsid w:val="00A74A41"/>
    <w:rsid w:val="00A77266"/>
    <w:rsid w:val="00A7773E"/>
    <w:rsid w:val="00A80D88"/>
    <w:rsid w:val="00A80F2E"/>
    <w:rsid w:val="00A810D6"/>
    <w:rsid w:val="00A81466"/>
    <w:rsid w:val="00A84750"/>
    <w:rsid w:val="00A849C5"/>
    <w:rsid w:val="00A86109"/>
    <w:rsid w:val="00A90335"/>
    <w:rsid w:val="00A908C4"/>
    <w:rsid w:val="00A9117A"/>
    <w:rsid w:val="00A91337"/>
    <w:rsid w:val="00A91E5C"/>
    <w:rsid w:val="00A91E90"/>
    <w:rsid w:val="00A91F0D"/>
    <w:rsid w:val="00A92417"/>
    <w:rsid w:val="00A942D0"/>
    <w:rsid w:val="00A95189"/>
    <w:rsid w:val="00A951EE"/>
    <w:rsid w:val="00A959A4"/>
    <w:rsid w:val="00AA4256"/>
    <w:rsid w:val="00AA51A4"/>
    <w:rsid w:val="00AA6392"/>
    <w:rsid w:val="00AA6492"/>
    <w:rsid w:val="00AA774F"/>
    <w:rsid w:val="00AB056A"/>
    <w:rsid w:val="00AB2058"/>
    <w:rsid w:val="00AB6258"/>
    <w:rsid w:val="00AB6AB8"/>
    <w:rsid w:val="00AB73E9"/>
    <w:rsid w:val="00AC379A"/>
    <w:rsid w:val="00AC37CE"/>
    <w:rsid w:val="00AC48D0"/>
    <w:rsid w:val="00AC5974"/>
    <w:rsid w:val="00AC5D11"/>
    <w:rsid w:val="00AC6527"/>
    <w:rsid w:val="00AC7A5C"/>
    <w:rsid w:val="00AD018C"/>
    <w:rsid w:val="00AD0F6C"/>
    <w:rsid w:val="00AD1C8C"/>
    <w:rsid w:val="00AD269B"/>
    <w:rsid w:val="00AD2C38"/>
    <w:rsid w:val="00AD5F3E"/>
    <w:rsid w:val="00AD6658"/>
    <w:rsid w:val="00AE0429"/>
    <w:rsid w:val="00AE1C95"/>
    <w:rsid w:val="00AE2868"/>
    <w:rsid w:val="00AE3D7F"/>
    <w:rsid w:val="00AE43D2"/>
    <w:rsid w:val="00AE4EBB"/>
    <w:rsid w:val="00AE5D99"/>
    <w:rsid w:val="00AE6D45"/>
    <w:rsid w:val="00AE6EE2"/>
    <w:rsid w:val="00AF0BE6"/>
    <w:rsid w:val="00AF13B0"/>
    <w:rsid w:val="00AF234B"/>
    <w:rsid w:val="00AF2AFA"/>
    <w:rsid w:val="00AF499F"/>
    <w:rsid w:val="00AF5099"/>
    <w:rsid w:val="00AF5FC1"/>
    <w:rsid w:val="00AF6011"/>
    <w:rsid w:val="00AF6B8C"/>
    <w:rsid w:val="00B019BD"/>
    <w:rsid w:val="00B01DAB"/>
    <w:rsid w:val="00B02B11"/>
    <w:rsid w:val="00B04207"/>
    <w:rsid w:val="00B07CA5"/>
    <w:rsid w:val="00B114DD"/>
    <w:rsid w:val="00B11EE4"/>
    <w:rsid w:val="00B11FEC"/>
    <w:rsid w:val="00B1347A"/>
    <w:rsid w:val="00B14E08"/>
    <w:rsid w:val="00B15B28"/>
    <w:rsid w:val="00B16882"/>
    <w:rsid w:val="00B20469"/>
    <w:rsid w:val="00B2193C"/>
    <w:rsid w:val="00B21E24"/>
    <w:rsid w:val="00B22E29"/>
    <w:rsid w:val="00B25DF3"/>
    <w:rsid w:val="00B25E2D"/>
    <w:rsid w:val="00B27FF8"/>
    <w:rsid w:val="00B31425"/>
    <w:rsid w:val="00B31AC7"/>
    <w:rsid w:val="00B337AF"/>
    <w:rsid w:val="00B33C5E"/>
    <w:rsid w:val="00B411A3"/>
    <w:rsid w:val="00B41A2B"/>
    <w:rsid w:val="00B41EAF"/>
    <w:rsid w:val="00B429D6"/>
    <w:rsid w:val="00B46CA6"/>
    <w:rsid w:val="00B4715F"/>
    <w:rsid w:val="00B511DD"/>
    <w:rsid w:val="00B51515"/>
    <w:rsid w:val="00B535E1"/>
    <w:rsid w:val="00B53B3D"/>
    <w:rsid w:val="00B5489C"/>
    <w:rsid w:val="00B54A11"/>
    <w:rsid w:val="00B56374"/>
    <w:rsid w:val="00B57F21"/>
    <w:rsid w:val="00B60313"/>
    <w:rsid w:val="00B60EE4"/>
    <w:rsid w:val="00B61C9D"/>
    <w:rsid w:val="00B641A9"/>
    <w:rsid w:val="00B6522E"/>
    <w:rsid w:val="00B656C9"/>
    <w:rsid w:val="00B65964"/>
    <w:rsid w:val="00B6714F"/>
    <w:rsid w:val="00B70CF2"/>
    <w:rsid w:val="00B7150E"/>
    <w:rsid w:val="00B72562"/>
    <w:rsid w:val="00B73041"/>
    <w:rsid w:val="00B747F9"/>
    <w:rsid w:val="00B74AB6"/>
    <w:rsid w:val="00B74C73"/>
    <w:rsid w:val="00B81FFF"/>
    <w:rsid w:val="00B831E8"/>
    <w:rsid w:val="00B848EA"/>
    <w:rsid w:val="00B85E31"/>
    <w:rsid w:val="00B86346"/>
    <w:rsid w:val="00B876D9"/>
    <w:rsid w:val="00B87B0B"/>
    <w:rsid w:val="00BA114B"/>
    <w:rsid w:val="00BA44C0"/>
    <w:rsid w:val="00BA4A3B"/>
    <w:rsid w:val="00BB0421"/>
    <w:rsid w:val="00BB0AE7"/>
    <w:rsid w:val="00BB12EF"/>
    <w:rsid w:val="00BB19DA"/>
    <w:rsid w:val="00BB49BD"/>
    <w:rsid w:val="00BB4F29"/>
    <w:rsid w:val="00BB5FFA"/>
    <w:rsid w:val="00BC37B0"/>
    <w:rsid w:val="00BD102A"/>
    <w:rsid w:val="00BD151D"/>
    <w:rsid w:val="00BD1710"/>
    <w:rsid w:val="00BD2CE0"/>
    <w:rsid w:val="00BD37CB"/>
    <w:rsid w:val="00BD464B"/>
    <w:rsid w:val="00BD49ED"/>
    <w:rsid w:val="00BD4D7C"/>
    <w:rsid w:val="00BD4DCE"/>
    <w:rsid w:val="00BD4E91"/>
    <w:rsid w:val="00BD53F9"/>
    <w:rsid w:val="00BD7237"/>
    <w:rsid w:val="00BE0AE0"/>
    <w:rsid w:val="00BE12B8"/>
    <w:rsid w:val="00BE177B"/>
    <w:rsid w:val="00BE27F4"/>
    <w:rsid w:val="00BE4FB9"/>
    <w:rsid w:val="00BE71E3"/>
    <w:rsid w:val="00BE7AFE"/>
    <w:rsid w:val="00BF0091"/>
    <w:rsid w:val="00BF411D"/>
    <w:rsid w:val="00BF419E"/>
    <w:rsid w:val="00BF5357"/>
    <w:rsid w:val="00BF7409"/>
    <w:rsid w:val="00BF75CE"/>
    <w:rsid w:val="00BF7A86"/>
    <w:rsid w:val="00C01C18"/>
    <w:rsid w:val="00C01E06"/>
    <w:rsid w:val="00C02271"/>
    <w:rsid w:val="00C04A6A"/>
    <w:rsid w:val="00C04DCF"/>
    <w:rsid w:val="00C06469"/>
    <w:rsid w:val="00C064D7"/>
    <w:rsid w:val="00C06639"/>
    <w:rsid w:val="00C07D35"/>
    <w:rsid w:val="00C110C8"/>
    <w:rsid w:val="00C13A33"/>
    <w:rsid w:val="00C140AF"/>
    <w:rsid w:val="00C141B9"/>
    <w:rsid w:val="00C15E0F"/>
    <w:rsid w:val="00C1634F"/>
    <w:rsid w:val="00C20620"/>
    <w:rsid w:val="00C20DAF"/>
    <w:rsid w:val="00C2331D"/>
    <w:rsid w:val="00C23A38"/>
    <w:rsid w:val="00C24BC2"/>
    <w:rsid w:val="00C260B0"/>
    <w:rsid w:val="00C30981"/>
    <w:rsid w:val="00C30AF1"/>
    <w:rsid w:val="00C31AEC"/>
    <w:rsid w:val="00C32473"/>
    <w:rsid w:val="00C325CB"/>
    <w:rsid w:val="00C32DF4"/>
    <w:rsid w:val="00C3499A"/>
    <w:rsid w:val="00C34CB3"/>
    <w:rsid w:val="00C358E3"/>
    <w:rsid w:val="00C36453"/>
    <w:rsid w:val="00C40E2B"/>
    <w:rsid w:val="00C4222A"/>
    <w:rsid w:val="00C43131"/>
    <w:rsid w:val="00C432D5"/>
    <w:rsid w:val="00C4373F"/>
    <w:rsid w:val="00C44028"/>
    <w:rsid w:val="00C44385"/>
    <w:rsid w:val="00C44657"/>
    <w:rsid w:val="00C4491F"/>
    <w:rsid w:val="00C44DF9"/>
    <w:rsid w:val="00C45EEC"/>
    <w:rsid w:val="00C471A0"/>
    <w:rsid w:val="00C47306"/>
    <w:rsid w:val="00C4755C"/>
    <w:rsid w:val="00C479B5"/>
    <w:rsid w:val="00C51046"/>
    <w:rsid w:val="00C511E7"/>
    <w:rsid w:val="00C51297"/>
    <w:rsid w:val="00C55073"/>
    <w:rsid w:val="00C57C13"/>
    <w:rsid w:val="00C62CC8"/>
    <w:rsid w:val="00C638D6"/>
    <w:rsid w:val="00C63B35"/>
    <w:rsid w:val="00C646FD"/>
    <w:rsid w:val="00C66E22"/>
    <w:rsid w:val="00C70A80"/>
    <w:rsid w:val="00C71B07"/>
    <w:rsid w:val="00C71CF1"/>
    <w:rsid w:val="00C72006"/>
    <w:rsid w:val="00C73392"/>
    <w:rsid w:val="00C7377D"/>
    <w:rsid w:val="00C742C9"/>
    <w:rsid w:val="00C75891"/>
    <w:rsid w:val="00C764C3"/>
    <w:rsid w:val="00C80026"/>
    <w:rsid w:val="00C800D0"/>
    <w:rsid w:val="00C8067B"/>
    <w:rsid w:val="00C81139"/>
    <w:rsid w:val="00C81B2F"/>
    <w:rsid w:val="00C828B9"/>
    <w:rsid w:val="00C8365D"/>
    <w:rsid w:val="00C836FA"/>
    <w:rsid w:val="00C84832"/>
    <w:rsid w:val="00C871D4"/>
    <w:rsid w:val="00C8721E"/>
    <w:rsid w:val="00C902A2"/>
    <w:rsid w:val="00C90828"/>
    <w:rsid w:val="00C91165"/>
    <w:rsid w:val="00C91390"/>
    <w:rsid w:val="00C919AD"/>
    <w:rsid w:val="00C9238D"/>
    <w:rsid w:val="00C929B1"/>
    <w:rsid w:val="00C96368"/>
    <w:rsid w:val="00C9671C"/>
    <w:rsid w:val="00C97056"/>
    <w:rsid w:val="00C97A0B"/>
    <w:rsid w:val="00CA0D65"/>
    <w:rsid w:val="00CA40D3"/>
    <w:rsid w:val="00CA4FC8"/>
    <w:rsid w:val="00CA5BD9"/>
    <w:rsid w:val="00CA6179"/>
    <w:rsid w:val="00CA720E"/>
    <w:rsid w:val="00CB0DB8"/>
    <w:rsid w:val="00CB3614"/>
    <w:rsid w:val="00CB66F5"/>
    <w:rsid w:val="00CB6B3D"/>
    <w:rsid w:val="00CC069A"/>
    <w:rsid w:val="00CC147F"/>
    <w:rsid w:val="00CC17A6"/>
    <w:rsid w:val="00CC2F9C"/>
    <w:rsid w:val="00CC2FC0"/>
    <w:rsid w:val="00CC41B3"/>
    <w:rsid w:val="00CC58E7"/>
    <w:rsid w:val="00CC66CA"/>
    <w:rsid w:val="00CD059D"/>
    <w:rsid w:val="00CD226A"/>
    <w:rsid w:val="00CD36E1"/>
    <w:rsid w:val="00CD41AB"/>
    <w:rsid w:val="00CD532E"/>
    <w:rsid w:val="00CD543C"/>
    <w:rsid w:val="00CD7E0F"/>
    <w:rsid w:val="00CD7E7A"/>
    <w:rsid w:val="00CE010C"/>
    <w:rsid w:val="00CE0121"/>
    <w:rsid w:val="00CE0458"/>
    <w:rsid w:val="00CE126F"/>
    <w:rsid w:val="00CE1FAB"/>
    <w:rsid w:val="00CE21E6"/>
    <w:rsid w:val="00CE23E6"/>
    <w:rsid w:val="00CE2720"/>
    <w:rsid w:val="00CE2E13"/>
    <w:rsid w:val="00CE4BE0"/>
    <w:rsid w:val="00CE5471"/>
    <w:rsid w:val="00CE5BB0"/>
    <w:rsid w:val="00CE6282"/>
    <w:rsid w:val="00CE6A54"/>
    <w:rsid w:val="00CE6F0E"/>
    <w:rsid w:val="00CE742A"/>
    <w:rsid w:val="00CE7DDD"/>
    <w:rsid w:val="00CE7E75"/>
    <w:rsid w:val="00CF0B5D"/>
    <w:rsid w:val="00CF258A"/>
    <w:rsid w:val="00CF3471"/>
    <w:rsid w:val="00CF412C"/>
    <w:rsid w:val="00CF53F8"/>
    <w:rsid w:val="00CF7C13"/>
    <w:rsid w:val="00D0099D"/>
    <w:rsid w:val="00D03B3F"/>
    <w:rsid w:val="00D04BFD"/>
    <w:rsid w:val="00D050BB"/>
    <w:rsid w:val="00D101E2"/>
    <w:rsid w:val="00D10670"/>
    <w:rsid w:val="00D108B3"/>
    <w:rsid w:val="00D119C9"/>
    <w:rsid w:val="00D11D40"/>
    <w:rsid w:val="00D12019"/>
    <w:rsid w:val="00D135B6"/>
    <w:rsid w:val="00D14301"/>
    <w:rsid w:val="00D1478E"/>
    <w:rsid w:val="00D14AEB"/>
    <w:rsid w:val="00D15D95"/>
    <w:rsid w:val="00D20DA5"/>
    <w:rsid w:val="00D21A11"/>
    <w:rsid w:val="00D23355"/>
    <w:rsid w:val="00D23C52"/>
    <w:rsid w:val="00D24235"/>
    <w:rsid w:val="00D26F04"/>
    <w:rsid w:val="00D31222"/>
    <w:rsid w:val="00D318F1"/>
    <w:rsid w:val="00D31D9F"/>
    <w:rsid w:val="00D36408"/>
    <w:rsid w:val="00D364E2"/>
    <w:rsid w:val="00D364F8"/>
    <w:rsid w:val="00D36D28"/>
    <w:rsid w:val="00D37E7C"/>
    <w:rsid w:val="00D404C0"/>
    <w:rsid w:val="00D43476"/>
    <w:rsid w:val="00D437C7"/>
    <w:rsid w:val="00D43B16"/>
    <w:rsid w:val="00D45E06"/>
    <w:rsid w:val="00D4677B"/>
    <w:rsid w:val="00D46F45"/>
    <w:rsid w:val="00D4782C"/>
    <w:rsid w:val="00D50C63"/>
    <w:rsid w:val="00D535B5"/>
    <w:rsid w:val="00D55DEF"/>
    <w:rsid w:val="00D60F42"/>
    <w:rsid w:val="00D61653"/>
    <w:rsid w:val="00D62F7E"/>
    <w:rsid w:val="00D63734"/>
    <w:rsid w:val="00D63C2A"/>
    <w:rsid w:val="00D649B9"/>
    <w:rsid w:val="00D65DAC"/>
    <w:rsid w:val="00D668A4"/>
    <w:rsid w:val="00D67723"/>
    <w:rsid w:val="00D67D61"/>
    <w:rsid w:val="00D70123"/>
    <w:rsid w:val="00D74387"/>
    <w:rsid w:val="00D76BB5"/>
    <w:rsid w:val="00D76DD4"/>
    <w:rsid w:val="00D8091B"/>
    <w:rsid w:val="00D8142F"/>
    <w:rsid w:val="00D81CC7"/>
    <w:rsid w:val="00D8413D"/>
    <w:rsid w:val="00D84420"/>
    <w:rsid w:val="00D855F1"/>
    <w:rsid w:val="00D85975"/>
    <w:rsid w:val="00D92104"/>
    <w:rsid w:val="00D93987"/>
    <w:rsid w:val="00D94B9E"/>
    <w:rsid w:val="00D94C21"/>
    <w:rsid w:val="00DA3989"/>
    <w:rsid w:val="00DA6888"/>
    <w:rsid w:val="00DA7705"/>
    <w:rsid w:val="00DB26EB"/>
    <w:rsid w:val="00DB332C"/>
    <w:rsid w:val="00DB3436"/>
    <w:rsid w:val="00DB4A02"/>
    <w:rsid w:val="00DB4FD4"/>
    <w:rsid w:val="00DB7491"/>
    <w:rsid w:val="00DB7657"/>
    <w:rsid w:val="00DC1AD2"/>
    <w:rsid w:val="00DC2942"/>
    <w:rsid w:val="00DC31B8"/>
    <w:rsid w:val="00DC32DD"/>
    <w:rsid w:val="00DC3804"/>
    <w:rsid w:val="00DC3A02"/>
    <w:rsid w:val="00DC3ACD"/>
    <w:rsid w:val="00DC3CC2"/>
    <w:rsid w:val="00DC474D"/>
    <w:rsid w:val="00DC5B37"/>
    <w:rsid w:val="00DC6EDB"/>
    <w:rsid w:val="00DD0608"/>
    <w:rsid w:val="00DD159B"/>
    <w:rsid w:val="00DD2BC2"/>
    <w:rsid w:val="00DD2F64"/>
    <w:rsid w:val="00DE03E4"/>
    <w:rsid w:val="00DE1C56"/>
    <w:rsid w:val="00DE4D22"/>
    <w:rsid w:val="00DE7709"/>
    <w:rsid w:val="00DF06BD"/>
    <w:rsid w:val="00DF1A61"/>
    <w:rsid w:val="00DF1C31"/>
    <w:rsid w:val="00DF2217"/>
    <w:rsid w:val="00DF481C"/>
    <w:rsid w:val="00DF77FC"/>
    <w:rsid w:val="00E00DEC"/>
    <w:rsid w:val="00E00F8E"/>
    <w:rsid w:val="00E01CEF"/>
    <w:rsid w:val="00E01FC0"/>
    <w:rsid w:val="00E0308D"/>
    <w:rsid w:val="00E03BC6"/>
    <w:rsid w:val="00E03C3F"/>
    <w:rsid w:val="00E05C8B"/>
    <w:rsid w:val="00E06668"/>
    <w:rsid w:val="00E079CE"/>
    <w:rsid w:val="00E11030"/>
    <w:rsid w:val="00E11F43"/>
    <w:rsid w:val="00E1304C"/>
    <w:rsid w:val="00E14D2A"/>
    <w:rsid w:val="00E157B4"/>
    <w:rsid w:val="00E16219"/>
    <w:rsid w:val="00E209EC"/>
    <w:rsid w:val="00E226BF"/>
    <w:rsid w:val="00E24D1B"/>
    <w:rsid w:val="00E2544C"/>
    <w:rsid w:val="00E26597"/>
    <w:rsid w:val="00E26767"/>
    <w:rsid w:val="00E305C8"/>
    <w:rsid w:val="00E31310"/>
    <w:rsid w:val="00E31C57"/>
    <w:rsid w:val="00E326F8"/>
    <w:rsid w:val="00E34FD9"/>
    <w:rsid w:val="00E357CC"/>
    <w:rsid w:val="00E37271"/>
    <w:rsid w:val="00E40BFD"/>
    <w:rsid w:val="00E42D01"/>
    <w:rsid w:val="00E44662"/>
    <w:rsid w:val="00E45F14"/>
    <w:rsid w:val="00E46046"/>
    <w:rsid w:val="00E501A2"/>
    <w:rsid w:val="00E50F03"/>
    <w:rsid w:val="00E5286F"/>
    <w:rsid w:val="00E54589"/>
    <w:rsid w:val="00E579ED"/>
    <w:rsid w:val="00E64126"/>
    <w:rsid w:val="00E7029B"/>
    <w:rsid w:val="00E703E0"/>
    <w:rsid w:val="00E707EC"/>
    <w:rsid w:val="00E713A6"/>
    <w:rsid w:val="00E73ED3"/>
    <w:rsid w:val="00E7442E"/>
    <w:rsid w:val="00E7587A"/>
    <w:rsid w:val="00E76D6B"/>
    <w:rsid w:val="00E77809"/>
    <w:rsid w:val="00E77C1C"/>
    <w:rsid w:val="00E82FBD"/>
    <w:rsid w:val="00E8323A"/>
    <w:rsid w:val="00E83310"/>
    <w:rsid w:val="00E8343F"/>
    <w:rsid w:val="00E83924"/>
    <w:rsid w:val="00E84450"/>
    <w:rsid w:val="00E85FA2"/>
    <w:rsid w:val="00E86A48"/>
    <w:rsid w:val="00E86FAD"/>
    <w:rsid w:val="00E907DD"/>
    <w:rsid w:val="00E92717"/>
    <w:rsid w:val="00E92B3C"/>
    <w:rsid w:val="00E9470A"/>
    <w:rsid w:val="00EA206D"/>
    <w:rsid w:val="00EA24AC"/>
    <w:rsid w:val="00EA251F"/>
    <w:rsid w:val="00EA2AA4"/>
    <w:rsid w:val="00EA2CBF"/>
    <w:rsid w:val="00EA3843"/>
    <w:rsid w:val="00EA4474"/>
    <w:rsid w:val="00EA79AD"/>
    <w:rsid w:val="00EB19C9"/>
    <w:rsid w:val="00EB2CEB"/>
    <w:rsid w:val="00EB30C2"/>
    <w:rsid w:val="00EB40EA"/>
    <w:rsid w:val="00EB467C"/>
    <w:rsid w:val="00EB51D9"/>
    <w:rsid w:val="00EB57F8"/>
    <w:rsid w:val="00EB6332"/>
    <w:rsid w:val="00EC0CC0"/>
    <w:rsid w:val="00EC1644"/>
    <w:rsid w:val="00EC2AD1"/>
    <w:rsid w:val="00EC2F2F"/>
    <w:rsid w:val="00EC37E2"/>
    <w:rsid w:val="00EC44C1"/>
    <w:rsid w:val="00EC5727"/>
    <w:rsid w:val="00EC5F3D"/>
    <w:rsid w:val="00EC6A04"/>
    <w:rsid w:val="00ED0645"/>
    <w:rsid w:val="00ED3567"/>
    <w:rsid w:val="00ED4354"/>
    <w:rsid w:val="00ED7112"/>
    <w:rsid w:val="00EE02B0"/>
    <w:rsid w:val="00EE04C0"/>
    <w:rsid w:val="00EE20D8"/>
    <w:rsid w:val="00EE21DE"/>
    <w:rsid w:val="00EE2F57"/>
    <w:rsid w:val="00EE3923"/>
    <w:rsid w:val="00EE4D12"/>
    <w:rsid w:val="00EE52C9"/>
    <w:rsid w:val="00EF1859"/>
    <w:rsid w:val="00EF22A6"/>
    <w:rsid w:val="00EF25E4"/>
    <w:rsid w:val="00EF2C74"/>
    <w:rsid w:val="00EF3E55"/>
    <w:rsid w:val="00F01FCD"/>
    <w:rsid w:val="00F02546"/>
    <w:rsid w:val="00F0267F"/>
    <w:rsid w:val="00F04691"/>
    <w:rsid w:val="00F05D4F"/>
    <w:rsid w:val="00F062AB"/>
    <w:rsid w:val="00F0635A"/>
    <w:rsid w:val="00F07906"/>
    <w:rsid w:val="00F10A1C"/>
    <w:rsid w:val="00F114FF"/>
    <w:rsid w:val="00F12F63"/>
    <w:rsid w:val="00F155A9"/>
    <w:rsid w:val="00F15E63"/>
    <w:rsid w:val="00F16125"/>
    <w:rsid w:val="00F2258B"/>
    <w:rsid w:val="00F25C18"/>
    <w:rsid w:val="00F2604A"/>
    <w:rsid w:val="00F2627D"/>
    <w:rsid w:val="00F27269"/>
    <w:rsid w:val="00F27E06"/>
    <w:rsid w:val="00F27E7A"/>
    <w:rsid w:val="00F27F37"/>
    <w:rsid w:val="00F3030A"/>
    <w:rsid w:val="00F30662"/>
    <w:rsid w:val="00F31230"/>
    <w:rsid w:val="00F3196A"/>
    <w:rsid w:val="00F338EA"/>
    <w:rsid w:val="00F35BF3"/>
    <w:rsid w:val="00F37A3B"/>
    <w:rsid w:val="00F403CD"/>
    <w:rsid w:val="00F40A61"/>
    <w:rsid w:val="00F42DE3"/>
    <w:rsid w:val="00F45BC2"/>
    <w:rsid w:val="00F46346"/>
    <w:rsid w:val="00F50F83"/>
    <w:rsid w:val="00F50FE8"/>
    <w:rsid w:val="00F517D6"/>
    <w:rsid w:val="00F518B5"/>
    <w:rsid w:val="00F53562"/>
    <w:rsid w:val="00F5459A"/>
    <w:rsid w:val="00F54620"/>
    <w:rsid w:val="00F551A5"/>
    <w:rsid w:val="00F55443"/>
    <w:rsid w:val="00F5647A"/>
    <w:rsid w:val="00F56A1D"/>
    <w:rsid w:val="00F56AE9"/>
    <w:rsid w:val="00F57206"/>
    <w:rsid w:val="00F57AB5"/>
    <w:rsid w:val="00F604A3"/>
    <w:rsid w:val="00F62AB0"/>
    <w:rsid w:val="00F6351F"/>
    <w:rsid w:val="00F65088"/>
    <w:rsid w:val="00F652B3"/>
    <w:rsid w:val="00F66BA3"/>
    <w:rsid w:val="00F6760F"/>
    <w:rsid w:val="00F70390"/>
    <w:rsid w:val="00F706D7"/>
    <w:rsid w:val="00F70C7E"/>
    <w:rsid w:val="00F70F57"/>
    <w:rsid w:val="00F717B7"/>
    <w:rsid w:val="00F7220A"/>
    <w:rsid w:val="00F73B31"/>
    <w:rsid w:val="00F741EE"/>
    <w:rsid w:val="00F752EB"/>
    <w:rsid w:val="00F76247"/>
    <w:rsid w:val="00F76D26"/>
    <w:rsid w:val="00F77210"/>
    <w:rsid w:val="00F81D1A"/>
    <w:rsid w:val="00F82DA3"/>
    <w:rsid w:val="00F869D4"/>
    <w:rsid w:val="00F87572"/>
    <w:rsid w:val="00F928EF"/>
    <w:rsid w:val="00FA0E65"/>
    <w:rsid w:val="00FA1AB6"/>
    <w:rsid w:val="00FA69BD"/>
    <w:rsid w:val="00FB03DB"/>
    <w:rsid w:val="00FB0476"/>
    <w:rsid w:val="00FB1171"/>
    <w:rsid w:val="00FB161B"/>
    <w:rsid w:val="00FB1D03"/>
    <w:rsid w:val="00FB5F38"/>
    <w:rsid w:val="00FB6B57"/>
    <w:rsid w:val="00FC0248"/>
    <w:rsid w:val="00FC0F1C"/>
    <w:rsid w:val="00FC15A5"/>
    <w:rsid w:val="00FC2B2E"/>
    <w:rsid w:val="00FC311A"/>
    <w:rsid w:val="00FC3814"/>
    <w:rsid w:val="00FC500C"/>
    <w:rsid w:val="00FD15FC"/>
    <w:rsid w:val="00FD1B4C"/>
    <w:rsid w:val="00FD4966"/>
    <w:rsid w:val="00FD56A2"/>
    <w:rsid w:val="00FD60E4"/>
    <w:rsid w:val="00FD6440"/>
    <w:rsid w:val="00FD679B"/>
    <w:rsid w:val="00FD6F36"/>
    <w:rsid w:val="00FE3E83"/>
    <w:rsid w:val="00FE42D3"/>
    <w:rsid w:val="00FF2D11"/>
    <w:rsid w:val="00FF2E99"/>
    <w:rsid w:val="00FF43A8"/>
    <w:rsid w:val="00FF4504"/>
    <w:rsid w:val="00FF6252"/>
    <w:rsid w:val="00FF67AD"/>
    <w:rsid w:val="00FF6C73"/>
    <w:rsid w:val="00FF6D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FAEE6"/>
  <w15:chartTrackingRefBased/>
  <w15:docId w15:val="{5DC89635-03FB-9F4D-8B31-12503524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E1FAB"/>
    <w:pPr>
      <w:widowControl w:val="0"/>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eastAsia="ja-JP"/>
    </w:rPr>
  </w:style>
  <w:style w:type="paragraph" w:styleId="Heading5">
    <w:name w:val="heading 5"/>
    <w:basedOn w:val="Normal"/>
    <w:link w:val="Heading5Char"/>
    <w:qFormat/>
    <w:rsid w:val="0048309C"/>
    <w:pPr>
      <w:widowControl/>
      <w:spacing w:before="100" w:beforeAutospacing="1" w:after="100" w:afterAutospacing="1"/>
      <w:outlineLvl w:val="4"/>
    </w:pPr>
    <w:rPr>
      <w:b/>
      <w:bCs/>
      <w:szCs w:val="20"/>
      <w:lang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eastAsia="ja-JP"/>
    </w:rPr>
  </w:style>
  <w:style w:type="paragraph" w:styleId="Heading7">
    <w:name w:val="heading 7"/>
    <w:basedOn w:val="Normal"/>
    <w:next w:val="Normal"/>
    <w:link w:val="Heading7Char"/>
    <w:qFormat/>
    <w:rsid w:val="00125AB4"/>
    <w:pPr>
      <w:widowControl/>
      <w:spacing w:before="240" w:after="60"/>
      <w:jc w:val="center"/>
      <w:outlineLvl w:val="6"/>
    </w:pPr>
    <w:rPr>
      <w:sz w:val="24"/>
    </w:rPr>
  </w:style>
  <w:style w:type="paragraph" w:styleId="Heading8">
    <w:name w:val="heading 8"/>
    <w:basedOn w:val="Normal"/>
    <w:next w:val="Normal"/>
    <w:qFormat/>
    <w:rsid w:val="00F55443"/>
    <w:pPr>
      <w:widowControl/>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 w:eastAsia="en-US" w:bidi="ar-SA"/>
    </w:rPr>
  </w:style>
  <w:style w:type="character" w:customStyle="1" w:styleId="Heading2Char">
    <w:name w:val="Heading 2 Char"/>
    <w:link w:val="Heading2"/>
    <w:rsid w:val="00A727AD"/>
    <w:rPr>
      <w:rFonts w:ascii="Arial" w:hAnsi="Arial" w:cs="Arial"/>
      <w:b/>
      <w:bCs/>
      <w:i/>
      <w:iCs/>
      <w:sz w:val="28"/>
      <w:szCs w:val="28"/>
      <w:lang w:val="en" w:eastAsia="en-US" w:bidi="ar-SA"/>
    </w:rPr>
  </w:style>
  <w:style w:type="character" w:customStyle="1" w:styleId="Heading3Char">
    <w:name w:val="Heading 3 Char"/>
    <w:link w:val="Heading3"/>
    <w:rsid w:val="00125AB4"/>
    <w:rPr>
      <w:rFonts w:ascii="Arial" w:hAnsi="Arial" w:cs="Arial"/>
      <w:b/>
      <w:bCs/>
      <w:sz w:val="26"/>
      <w:szCs w:val="26"/>
      <w:lang w:val="en" w:eastAsia="en-US" w:bidi="ar-SA"/>
    </w:rPr>
  </w:style>
  <w:style w:type="character" w:customStyle="1" w:styleId="Heading4Char">
    <w:name w:val="Heading 4 Char"/>
    <w:link w:val="Heading4"/>
    <w:semiHidden/>
    <w:rsid w:val="00125AB4"/>
    <w:rPr>
      <w:rFonts w:eastAsia="MS Mincho"/>
      <w:i/>
      <w:iCs/>
      <w:sz w:val="24"/>
      <w:szCs w:val="24"/>
      <w:lang w:val="en" w:eastAsia="ja-JP" w:bidi="ar-SA"/>
    </w:rPr>
  </w:style>
  <w:style w:type="character" w:customStyle="1" w:styleId="Heading5Char">
    <w:name w:val="Heading 5 Char"/>
    <w:link w:val="Heading5"/>
    <w:rsid w:val="0048309C"/>
    <w:rPr>
      <w:b/>
      <w:bCs/>
      <w:lang w:val="en" w:eastAsia="id-ID" w:bidi="ar-SA"/>
    </w:rPr>
  </w:style>
  <w:style w:type="character" w:customStyle="1" w:styleId="Heading6Char">
    <w:name w:val="Heading 6 Char"/>
    <w:link w:val="Heading6"/>
    <w:rsid w:val="00125AB4"/>
    <w:rPr>
      <w:rFonts w:eastAsia="MS Mincho"/>
      <w:i/>
      <w:iCs/>
      <w:sz w:val="24"/>
      <w:szCs w:val="24"/>
      <w:lang w:val="en" w:eastAsia="ja-JP" w:bidi="ar-SA"/>
    </w:rPr>
  </w:style>
  <w:style w:type="character" w:customStyle="1" w:styleId="Heading7Char">
    <w:name w:val="Heading 7 Char"/>
    <w:link w:val="Heading7"/>
    <w:rsid w:val="00125AB4"/>
    <w:rPr>
      <w:sz w:val="24"/>
      <w:szCs w:val="24"/>
      <w:lang w:val="en"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 w:eastAsia="en-US" w:bidi="ar-SA"/>
    </w:rPr>
  </w:style>
  <w:style w:type="paragraph" w:customStyle="1" w:styleId="Ventura-AuthorAddress">
    <w:name w:val="Ventura-AuthorAddress"/>
    <w:basedOn w:val="Normal"/>
    <w:link w:val="Ventura-AuthorAddressChar"/>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 w:eastAsia="en-US" w:bidi="ar-SA"/>
    </w:rPr>
  </w:style>
  <w:style w:type="paragraph" w:customStyle="1" w:styleId="Ventura-Keyword">
    <w:name w:val="Ventura-Keyword"/>
    <w:basedOn w:val="Ventura-Abstract"/>
    <w:link w:val="Ventura-KeywordChar"/>
    <w:rsid w:val="00DC3CC2"/>
  </w:style>
  <w:style w:type="character" w:customStyle="1" w:styleId="Ventura-KeywordChar">
    <w:name w:val="Ventura-Keyword Char"/>
    <w:link w:val="Ventura-Keyword"/>
    <w:rsid w:val="00DC3CC2"/>
    <w:rPr>
      <w:rFonts w:ascii="Book Antiqua" w:hAnsi="Book Antiqua"/>
      <w:i/>
      <w:spacing w:val="2"/>
      <w:sz w:val="18"/>
      <w:szCs w:val="24"/>
      <w:lang w:val="en"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 w:eastAsia="en-US" w:bidi="ar-SA"/>
    </w:rPr>
  </w:style>
  <w:style w:type="character" w:customStyle="1" w:styleId="CommentTextChar">
    <w:name w:val="Comment Text Char"/>
    <w:link w:val="CommentText"/>
    <w:uiPriority w:val="99"/>
    <w:semiHidden/>
    <w:locked/>
    <w:rsid w:val="00117232"/>
    <w:rPr>
      <w:lang w:val="en" w:eastAsia="en-US" w:bidi="ar-SA"/>
    </w:rPr>
  </w:style>
  <w:style w:type="paragraph" w:styleId="CommentText">
    <w:name w:val="annotation text"/>
    <w:basedOn w:val="Normal"/>
    <w:link w:val="CommentTextChar"/>
    <w:uiPriority w:val="99"/>
    <w:semiHidden/>
    <w:rsid w:val="00117232"/>
    <w:pPr>
      <w:widowControl/>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aliases w:val="JAP Judul Char"/>
    <w:link w:val="Title"/>
    <w:locked/>
    <w:rsid w:val="00E7587A"/>
    <w:rPr>
      <w:rFonts w:ascii="Book Antiqua" w:hAnsi="Book Antiqua"/>
      <w:b/>
      <w:bCs/>
      <w:sz w:val="24"/>
      <w:szCs w:val="24"/>
      <w:lang w:val="en" w:eastAsia="x-none"/>
    </w:rPr>
  </w:style>
  <w:style w:type="paragraph" w:styleId="Title">
    <w:name w:val="Title"/>
    <w:aliases w:val="JAP Judul"/>
    <w:basedOn w:val="Normal"/>
    <w:link w:val="TitleChar"/>
    <w:qFormat/>
    <w:rsid w:val="00E7587A"/>
    <w:pPr>
      <w:widowControl/>
      <w:jc w:val="center"/>
    </w:pPr>
    <w:rPr>
      <w:rFonts w:ascii="Book Antiqua" w:hAnsi="Book Antiqua"/>
      <w:b/>
      <w:bCs/>
      <w:sz w:val="24"/>
      <w:lang w:eastAsia="x-none"/>
    </w:rPr>
  </w:style>
  <w:style w:type="character" w:customStyle="1" w:styleId="BodyTextIndentChar">
    <w:name w:val="Body Text Indent Char"/>
    <w:link w:val="BodyTextIndent"/>
    <w:locked/>
    <w:rsid w:val="004A4EB6"/>
    <w:rPr>
      <w:sz w:val="24"/>
      <w:szCs w:val="24"/>
      <w:lang w:val="en" w:eastAsia="en-US" w:bidi="ar-SA"/>
    </w:rPr>
  </w:style>
  <w:style w:type="paragraph" w:styleId="BodyTextIndent">
    <w:name w:val="Body Text Indent"/>
    <w:basedOn w:val="Normal"/>
    <w:link w:val="BodyTextIndentChar"/>
    <w:rsid w:val="004A4EB6"/>
    <w:pPr>
      <w:widowControl/>
      <w:spacing w:after="120"/>
      <w:ind w:left="360"/>
    </w:pPr>
    <w:rPr>
      <w:sz w:val="24"/>
    </w:rPr>
  </w:style>
  <w:style w:type="paragraph" w:styleId="BalloonText">
    <w:name w:val="Balloon Text"/>
    <w:basedOn w:val="Normal"/>
    <w:link w:val="BalloonTextChar"/>
    <w:uiPriority w:val="99"/>
    <w:semiHidden/>
    <w:rsid w:val="00CE4BE0"/>
    <w:rPr>
      <w:rFonts w:ascii="Tahoma" w:hAnsi="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 w:eastAsia="zh-CN"/>
    </w:rPr>
  </w:style>
  <w:style w:type="paragraph" w:styleId="PlainText">
    <w:name w:val="Plain Text"/>
    <w:basedOn w:val="Normal"/>
    <w:link w:val="PlainTextChar"/>
    <w:unhideWhenUsed/>
    <w:rsid w:val="00464DED"/>
    <w:pPr>
      <w:widowControl/>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rPr>
  </w:style>
  <w:style w:type="paragraph" w:styleId="NormalWeb">
    <w:name w:val="Normal (Web)"/>
    <w:aliases w:val="Normal (Web) Char"/>
    <w:basedOn w:val="Normal"/>
    <w:link w:val="NormalWebChar1"/>
    <w:uiPriority w:val="99"/>
    <w:rsid w:val="00A727AD"/>
    <w:pPr>
      <w:widowControl/>
      <w:spacing w:before="100" w:beforeAutospacing="1" w:after="100" w:afterAutospacing="1"/>
    </w:pPr>
    <w:rPr>
      <w:sz w:val="24"/>
    </w:rPr>
  </w:style>
  <w:style w:type="character" w:customStyle="1" w:styleId="NormalWebChar1">
    <w:name w:val="Normal (Web) Char1"/>
    <w:aliases w:val="Normal (Web) Char Char"/>
    <w:link w:val="NormalWeb"/>
    <w:rsid w:val="00464DED"/>
    <w:rPr>
      <w:sz w:val="24"/>
      <w:szCs w:val="24"/>
      <w:lang w:val="en"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rPr>
  </w:style>
  <w:style w:type="paragraph" w:customStyle="1" w:styleId="HlmJudul">
    <w:name w:val="Hlm Judul"/>
    <w:basedOn w:val="Normal"/>
    <w:rsid w:val="00A727AD"/>
    <w:pPr>
      <w:widowControl/>
      <w:ind w:firstLine="720"/>
      <w:jc w:val="center"/>
    </w:pPr>
    <w:rPr>
      <w:b/>
      <w:bCs/>
      <w:sz w:val="28"/>
      <w:szCs w:val="20"/>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rPr>
  </w:style>
  <w:style w:type="character" w:customStyle="1" w:styleId="SubtitleChar">
    <w:name w:val="Subtitle Char"/>
    <w:link w:val="Subtitle"/>
    <w:rsid w:val="00125AB4"/>
    <w:rPr>
      <w:b/>
      <w:sz w:val="24"/>
      <w:lang w:val="en"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en"/>
    </w:rPr>
  </w:style>
  <w:style w:type="paragraph" w:styleId="NoSpacing">
    <w:name w:val="No Spacing"/>
    <w:link w:val="NoSpacingChar"/>
    <w:qFormat/>
    <w:rsid w:val="00464DED"/>
    <w:rPr>
      <w:sz w:val="24"/>
      <w:szCs w:val="24"/>
    </w:rPr>
  </w:style>
  <w:style w:type="character" w:customStyle="1" w:styleId="NoSpacingChar">
    <w:name w:val="No Spacing Char"/>
    <w:link w:val="NoSpacing"/>
    <w:rsid w:val="007D3A0B"/>
    <w:rPr>
      <w:sz w:val="24"/>
      <w:szCs w:val="24"/>
      <w:lang w:val="en"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pPr>
    <w:rPr>
      <w:rFonts w:eastAsia="SimSun"/>
      <w:sz w:val="16"/>
      <w:szCs w:val="16"/>
    </w:rPr>
  </w:style>
  <w:style w:type="character" w:customStyle="1" w:styleId="NormalWebCharCharChar">
    <w:name w:val="Normal (Web) Char Char Char"/>
    <w:rsid w:val="00464DED"/>
    <w:rPr>
      <w:sz w:val="24"/>
      <w:szCs w:val="24"/>
      <w:lang w:val="en"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pPr>
    <w:rPr>
      <w:szCs w:val="20"/>
    </w:rPr>
  </w:style>
  <w:style w:type="character" w:customStyle="1" w:styleId="FootnoteTextChar">
    <w:name w:val="Footnote Text Char"/>
    <w:link w:val="FootnoteText"/>
    <w:uiPriority w:val="99"/>
    <w:rsid w:val="005D097E"/>
    <w:rPr>
      <w:lang w:val="en"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pPr>
    <w:rPr>
      <w:rFonts w:ascii="Arial" w:eastAsia="Lucida Sans Unicode" w:hAnsi="Arial" w:cs="Tahoma"/>
      <w:sz w:val="28"/>
      <w:szCs w:val="28"/>
      <w:lang w:eastAsia="ar-SA"/>
    </w:rPr>
  </w:style>
  <w:style w:type="paragraph" w:styleId="List">
    <w:name w:val="List"/>
    <w:basedOn w:val="BodyText"/>
    <w:rsid w:val="00F55443"/>
    <w:pPr>
      <w:widowControl/>
      <w:suppressAutoHyphens/>
    </w:pPr>
    <w:rPr>
      <w:rFonts w:cs="Tahoma"/>
      <w:sz w:val="24"/>
      <w:lang w:eastAsia="ar-SA"/>
    </w:rPr>
  </w:style>
  <w:style w:type="paragraph" w:styleId="Caption">
    <w:name w:val="caption"/>
    <w:basedOn w:val="Normal"/>
    <w:uiPriority w:val="35"/>
    <w:qFormat/>
    <w:rsid w:val="007B3F0C"/>
    <w:pPr>
      <w:widowControl/>
      <w:suppressLineNumbers/>
      <w:suppressAutoHyphens/>
      <w:jc w:val="center"/>
    </w:pPr>
    <w:rPr>
      <w:rFonts w:ascii="Book Antiqua" w:hAnsi="Book Antiqua" w:cs="Tahoma"/>
      <w:b/>
      <w:iCs/>
      <w:lang w:eastAsia="ar-SA"/>
    </w:rPr>
  </w:style>
  <w:style w:type="paragraph" w:customStyle="1" w:styleId="Index">
    <w:name w:val="Index"/>
    <w:basedOn w:val="Normal"/>
    <w:rsid w:val="00F55443"/>
    <w:pPr>
      <w:widowControl/>
      <w:suppressLineNumbers/>
      <w:suppressAutoHyphens/>
    </w:pPr>
    <w:rPr>
      <w:rFonts w:cs="Tahoma"/>
      <w:sz w:val="24"/>
      <w:lang w:eastAsia="ar-SA"/>
    </w:rPr>
  </w:style>
  <w:style w:type="paragraph" w:customStyle="1" w:styleId="TableContents">
    <w:name w:val="Table Contents"/>
    <w:basedOn w:val="Normal"/>
    <w:rsid w:val="00F55443"/>
    <w:pPr>
      <w:widowControl/>
      <w:suppressLineNumbers/>
      <w:suppressAutoHyphens/>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pPr>
    <w:rPr>
      <w:sz w:val="24"/>
      <w:lang w:eastAsia="ar-SA"/>
    </w:rPr>
  </w:style>
  <w:style w:type="paragraph" w:styleId="TOC1">
    <w:name w:val="toc 1"/>
    <w:basedOn w:val="Normal"/>
    <w:next w:val="Normal"/>
    <w:autoRedefine/>
    <w:unhideWhenUsed/>
    <w:qFormat/>
    <w:rsid w:val="007D3A0B"/>
    <w:pPr>
      <w:widowControl/>
      <w:spacing w:after="100"/>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val="en"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eastAsia="id-ID"/>
    </w:rPr>
  </w:style>
  <w:style w:type="character" w:customStyle="1" w:styleId="Achievement0">
    <w:name w:val="Achievement (文字)"/>
    <w:link w:val="Achievement"/>
    <w:rsid w:val="007D3A0B"/>
    <w:rPr>
      <w:rFonts w:eastAsia="MS Mincho"/>
      <w:bCs/>
      <w:iCs/>
      <w:lang w:val="en" w:eastAsia="id-ID" w:bidi="ar-SA"/>
    </w:rPr>
  </w:style>
  <w:style w:type="paragraph" w:customStyle="1" w:styleId="Address1">
    <w:name w:val="Address 1"/>
    <w:basedOn w:val="Normal"/>
    <w:rsid w:val="007D3A0B"/>
    <w:pPr>
      <w:widowControl/>
      <w:spacing w:line="200" w:lineRule="atLeast"/>
    </w:pPr>
    <w:rPr>
      <w:rFonts w:eastAsia="MS Mincho"/>
      <w:sz w:val="16"/>
      <w:szCs w:val="20"/>
      <w:u w:color="FFFFFF"/>
    </w:rPr>
  </w:style>
  <w:style w:type="paragraph" w:customStyle="1" w:styleId="Address2">
    <w:name w:val="Address 2"/>
    <w:basedOn w:val="Normal"/>
    <w:rsid w:val="007D3A0B"/>
    <w:pPr>
      <w:widowControl/>
      <w:spacing w:line="200" w:lineRule="atLeas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eastAsia="id-ID"/>
    </w:rPr>
  </w:style>
  <w:style w:type="character" w:customStyle="1" w:styleId="JobTitle0">
    <w:name w:val="Job Title (文字)"/>
    <w:link w:val="JobTitle"/>
    <w:rsid w:val="007D3A0B"/>
    <w:rPr>
      <w:rFonts w:ascii="Arial" w:eastAsia="MS Mincho" w:hAnsi="Arial"/>
      <w:b/>
      <w:spacing w:val="-10"/>
      <w:lang w:val="en" w:eastAsia="id-ID" w:bidi="ar-SA"/>
    </w:rPr>
  </w:style>
  <w:style w:type="paragraph" w:customStyle="1" w:styleId="Name">
    <w:name w:val="Name"/>
    <w:basedOn w:val="Normal"/>
    <w:next w:val="Normal"/>
    <w:autoRedefine/>
    <w:rsid w:val="007D3A0B"/>
    <w:pPr>
      <w:widowControl/>
      <w:spacing w:before="360" w:after="440" w:line="240" w:lineRule="atLeast"/>
      <w:ind w:right="-150"/>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lang w:eastAsia="x-none"/>
    </w:rPr>
  </w:style>
  <w:style w:type="character" w:customStyle="1" w:styleId="aaChar">
    <w:name w:val="aa Char"/>
    <w:link w:val="aa"/>
    <w:rsid w:val="005D097E"/>
    <w:rPr>
      <w:rFonts w:ascii="Arial" w:eastAsia="Calibri" w:hAnsi="Arial"/>
      <w:sz w:val="24"/>
      <w:szCs w:val="24"/>
      <w:lang w:val="en"/>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pPr>
    <w:rPr>
      <w:rFonts w:ascii="Calibri" w:eastAsia="Calibri" w:hAnsi="Calibri"/>
      <w:szCs w:val="20"/>
      <w:lang w:eastAsia="x-none"/>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paragraph" w:customStyle="1" w:styleId="JAPABSTRACT">
    <w:name w:val="JAP ABSTRACT"/>
    <w:basedOn w:val="Ventura-Heading1"/>
    <w:link w:val="JAPABSTRACTChar"/>
    <w:autoRedefine/>
    <w:qFormat/>
    <w:rsid w:val="00693D6B"/>
    <w:pPr>
      <w:tabs>
        <w:tab w:val="left" w:pos="454"/>
      </w:tabs>
      <w:jc w:val="both"/>
    </w:pPr>
    <w:rPr>
      <w:b w:val="0"/>
      <w:bCs/>
      <w:i/>
      <w:iCs/>
      <w:caps w:val="0"/>
      <w:sz w:val="18"/>
      <w:szCs w:val="18"/>
    </w:rPr>
  </w:style>
  <w:style w:type="paragraph" w:customStyle="1" w:styleId="JAPABSTRAK">
    <w:name w:val="JAP ABSTRAK"/>
    <w:basedOn w:val="Ventura-Heading1"/>
    <w:link w:val="JAPABSTRAKChar"/>
    <w:autoRedefine/>
    <w:qFormat/>
    <w:rsid w:val="00693D6B"/>
    <w:pPr>
      <w:tabs>
        <w:tab w:val="left" w:pos="454"/>
      </w:tabs>
      <w:jc w:val="both"/>
    </w:pPr>
    <w:rPr>
      <w:b w:val="0"/>
      <w:bCs/>
      <w:iCs/>
      <w:caps w:val="0"/>
      <w:sz w:val="18"/>
      <w:szCs w:val="18"/>
    </w:rPr>
  </w:style>
  <w:style w:type="character" w:customStyle="1" w:styleId="JAPABSTRACTChar">
    <w:name w:val="JAP ABSTRACT Char"/>
    <w:link w:val="JAPABSTRACT"/>
    <w:rsid w:val="00693D6B"/>
    <w:rPr>
      <w:rFonts w:ascii="Book Antiqua" w:hAnsi="Book Antiqua"/>
      <w:bCs/>
      <w:i/>
      <w:iCs/>
      <w:sz w:val="18"/>
      <w:szCs w:val="18"/>
      <w:lang w:val="en" w:eastAsia="en-US"/>
    </w:rPr>
  </w:style>
  <w:style w:type="paragraph" w:customStyle="1" w:styleId="JAPBODYTEXT">
    <w:name w:val="JAP BODY TEXT"/>
    <w:basedOn w:val="CommentText"/>
    <w:link w:val="JAPBODYTEXTChar"/>
    <w:autoRedefine/>
    <w:qFormat/>
    <w:rsid w:val="00D26F04"/>
    <w:pPr>
      <w:jc w:val="both"/>
    </w:pPr>
    <w:rPr>
      <w:rFonts w:ascii="Book Antiqua" w:hAnsi="Book Antiqua"/>
      <w:sz w:val="18"/>
      <w:szCs w:val="18"/>
      <w:lang w:val="en-ID"/>
    </w:rPr>
  </w:style>
  <w:style w:type="character" w:customStyle="1" w:styleId="JAPABSTRAKChar">
    <w:name w:val="JAP ABSTRAK Char"/>
    <w:link w:val="JAPABSTRAK"/>
    <w:rsid w:val="00693D6B"/>
    <w:rPr>
      <w:rFonts w:ascii="Book Antiqua" w:hAnsi="Book Antiqua"/>
      <w:bCs/>
      <w:iCs/>
      <w:sz w:val="18"/>
      <w:szCs w:val="18"/>
      <w:lang w:val="en" w:eastAsia="en-US"/>
    </w:rPr>
  </w:style>
  <w:style w:type="paragraph" w:customStyle="1" w:styleId="JAPPenulis">
    <w:name w:val="JAP Penulis"/>
    <w:basedOn w:val="Ventura-Author"/>
    <w:link w:val="JAPPenulisChar"/>
    <w:autoRedefine/>
    <w:qFormat/>
    <w:rsid w:val="00CB66F5"/>
    <w:pPr>
      <w:jc w:val="center"/>
    </w:pPr>
  </w:style>
  <w:style w:type="character" w:customStyle="1" w:styleId="JAPBODYTEXTChar">
    <w:name w:val="JAP BODY TEXT Char"/>
    <w:link w:val="JAPBODYTEXT"/>
    <w:rsid w:val="00D26F04"/>
    <w:rPr>
      <w:rFonts w:ascii="Book Antiqua" w:hAnsi="Book Antiqua"/>
      <w:sz w:val="18"/>
      <w:szCs w:val="18"/>
      <w:lang w:val="en-ID"/>
    </w:rPr>
  </w:style>
  <w:style w:type="paragraph" w:customStyle="1" w:styleId="JAPNamaInstansiPenulis">
    <w:name w:val="JAP Nama Instansi Penulis"/>
    <w:basedOn w:val="Ventura-AuthorAddress"/>
    <w:link w:val="JAPNamaInstansiPenulisChar"/>
    <w:autoRedefine/>
    <w:qFormat/>
    <w:rsid w:val="009660B0"/>
    <w:pPr>
      <w:jc w:val="center"/>
    </w:pPr>
    <w:rPr>
      <w:rFonts w:ascii="Book Antiqua" w:hAnsi="Book Antiqua"/>
    </w:rPr>
  </w:style>
  <w:style w:type="character" w:customStyle="1" w:styleId="JAPPenulisChar">
    <w:name w:val="JAP Penulis Char"/>
    <w:link w:val="JAPPenulis"/>
    <w:rsid w:val="00CB66F5"/>
    <w:rPr>
      <w:rFonts w:ascii="Book Antiqua" w:hAnsi="Book Antiqua"/>
      <w:sz w:val="24"/>
      <w:szCs w:val="24"/>
      <w:lang w:val="en" w:eastAsia="en-US" w:bidi="ar-SA"/>
    </w:rPr>
  </w:style>
  <w:style w:type="paragraph" w:customStyle="1" w:styleId="JAPSub-Judul">
    <w:name w:val="JAP Sub-Judul"/>
    <w:basedOn w:val="Ventura-Heading1"/>
    <w:link w:val="JAPSub-JudulChar"/>
    <w:autoRedefine/>
    <w:qFormat/>
    <w:rsid w:val="00C30981"/>
    <w:rPr>
      <w:iCs/>
      <w:szCs w:val="18"/>
    </w:rPr>
  </w:style>
  <w:style w:type="character" w:customStyle="1" w:styleId="Ventura-AuthorAddressChar">
    <w:name w:val="Ventura-AuthorAddress Char"/>
    <w:link w:val="Ventura-AuthorAddress"/>
    <w:rsid w:val="00CB66F5"/>
    <w:rPr>
      <w:i/>
      <w:szCs w:val="24"/>
    </w:rPr>
  </w:style>
  <w:style w:type="character" w:customStyle="1" w:styleId="JAPNamaInstansiPenulisChar">
    <w:name w:val="JAP Nama Instansi Penulis Char"/>
    <w:link w:val="JAPNamaInstansiPenulis"/>
    <w:rsid w:val="009660B0"/>
    <w:rPr>
      <w:rFonts w:ascii="Book Antiqua" w:hAnsi="Book Antiqua"/>
      <w:i/>
      <w:szCs w:val="24"/>
      <w:lang w:val="en"/>
    </w:rPr>
  </w:style>
  <w:style w:type="paragraph" w:customStyle="1" w:styleId="JAP-DaftarPustaka">
    <w:name w:val="JAP - Daftar Pustaka"/>
    <w:basedOn w:val="Ventura-Reference"/>
    <w:link w:val="JAP-DaftarPustakaChar"/>
    <w:autoRedefine/>
    <w:qFormat/>
    <w:rsid w:val="00D364F8"/>
    <w:pPr>
      <w:ind w:left="567" w:hanging="567"/>
    </w:pPr>
  </w:style>
  <w:style w:type="character" w:customStyle="1" w:styleId="JAPSub-JudulChar">
    <w:name w:val="JAP Sub-Judul Char"/>
    <w:link w:val="JAPSub-Judul"/>
    <w:rsid w:val="00C30981"/>
    <w:rPr>
      <w:rFonts w:ascii="Book Antiqua" w:hAnsi="Book Antiqua"/>
      <w:b/>
      <w:iCs/>
      <w:caps/>
      <w:szCs w:val="18"/>
      <w:lang w:val="en"/>
    </w:rPr>
  </w:style>
  <w:style w:type="paragraph" w:customStyle="1" w:styleId="JAP-KeywordsABSTRACT">
    <w:name w:val="JAP - Keywords ABSTRACT"/>
    <w:basedOn w:val="Ventura-AuthorAddress"/>
    <w:link w:val="JAP-KeywordsABSTRACTChar"/>
    <w:autoRedefine/>
    <w:qFormat/>
    <w:rsid w:val="00301B1B"/>
    <w:rPr>
      <w:rFonts w:ascii="Book Antiqua" w:hAnsi="Book Antiqua"/>
      <w:b/>
      <w:bCs/>
      <w:sz w:val="18"/>
      <w:szCs w:val="18"/>
    </w:rPr>
  </w:style>
  <w:style w:type="character" w:customStyle="1" w:styleId="JAP-DaftarPustakaChar">
    <w:name w:val="JAP - Daftar Pustaka Char"/>
    <w:link w:val="JAP-DaftarPustaka"/>
    <w:rsid w:val="00D364F8"/>
    <w:rPr>
      <w:rFonts w:ascii="Book Antiqua" w:hAnsi="Book Antiqua"/>
      <w:szCs w:val="24"/>
      <w:lang w:val="en" w:eastAsia="en-US" w:bidi="ar-SA"/>
    </w:rPr>
  </w:style>
  <w:style w:type="paragraph" w:customStyle="1" w:styleId="JAP-KataKunciABSTRAK">
    <w:name w:val="JAP - Kata Kunci ABSTRAK"/>
    <w:basedOn w:val="Ventura-AuthorAddress"/>
    <w:link w:val="JAP-KataKunciABSTRAKChar"/>
    <w:autoRedefine/>
    <w:qFormat/>
    <w:rsid w:val="00301B1B"/>
    <w:rPr>
      <w:rFonts w:ascii="Book Antiqua" w:hAnsi="Book Antiqua"/>
      <w:b/>
      <w:i w:val="0"/>
      <w:sz w:val="18"/>
      <w:szCs w:val="18"/>
    </w:rPr>
  </w:style>
  <w:style w:type="character" w:customStyle="1" w:styleId="JAP-KeywordsABSTRACTChar">
    <w:name w:val="JAP - Keywords ABSTRACT Char"/>
    <w:link w:val="JAP-KeywordsABSTRACT"/>
    <w:rsid w:val="00301B1B"/>
    <w:rPr>
      <w:rFonts w:ascii="Book Antiqua" w:hAnsi="Book Antiqua"/>
      <w:b/>
      <w:bCs/>
      <w:i/>
      <w:sz w:val="18"/>
      <w:szCs w:val="18"/>
      <w:lang w:val="en"/>
    </w:rPr>
  </w:style>
  <w:style w:type="character" w:styleId="UnresolvedMention">
    <w:name w:val="Unresolved Mention"/>
    <w:uiPriority w:val="99"/>
    <w:semiHidden/>
    <w:unhideWhenUsed/>
    <w:rsid w:val="001759BD"/>
    <w:rPr>
      <w:color w:val="605E5C"/>
      <w:shd w:val="clear" w:color="auto" w:fill="E1DFDD"/>
    </w:rPr>
  </w:style>
  <w:style w:type="character" w:customStyle="1" w:styleId="JAP-KataKunciABSTRAKChar">
    <w:name w:val="JAP - Kata Kunci ABSTRAK Char"/>
    <w:link w:val="JAP-KataKunciABSTRAK"/>
    <w:rsid w:val="00301B1B"/>
    <w:rPr>
      <w:rFonts w:ascii="Book Antiqua" w:hAnsi="Book Antiqua"/>
      <w:b/>
      <w:i w:val="0"/>
      <w:sz w:val="18"/>
      <w:szCs w:val="18"/>
      <w:lang w:val="en"/>
    </w:rPr>
  </w:style>
  <w:style w:type="paragraph" w:styleId="Revision">
    <w:name w:val="Revision"/>
    <w:hidden/>
    <w:uiPriority w:val="99"/>
    <w:semiHidden/>
    <w:rsid w:val="00EB467C"/>
    <w:rPr>
      <w:szCs w:val="24"/>
    </w:rPr>
  </w:style>
  <w:style w:type="character" w:customStyle="1" w:styleId="c-pjlv">
    <w:name w:val="c-pjlv"/>
    <w:basedOn w:val="DefaultParagraphFont"/>
    <w:rsid w:val="00AF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6847">
      <w:bodyDiv w:val="1"/>
      <w:marLeft w:val="0"/>
      <w:marRight w:val="0"/>
      <w:marTop w:val="0"/>
      <w:marBottom w:val="0"/>
      <w:divBdr>
        <w:top w:val="none" w:sz="0" w:space="0" w:color="auto"/>
        <w:left w:val="none" w:sz="0" w:space="0" w:color="auto"/>
        <w:bottom w:val="none" w:sz="0" w:space="0" w:color="auto"/>
        <w:right w:val="none" w:sz="0" w:space="0" w:color="auto"/>
      </w:divBdr>
    </w:div>
    <w:div w:id="442044355">
      <w:bodyDiv w:val="1"/>
      <w:marLeft w:val="0"/>
      <w:marRight w:val="0"/>
      <w:marTop w:val="0"/>
      <w:marBottom w:val="0"/>
      <w:divBdr>
        <w:top w:val="none" w:sz="0" w:space="0" w:color="auto"/>
        <w:left w:val="none" w:sz="0" w:space="0" w:color="auto"/>
        <w:bottom w:val="none" w:sz="0" w:space="0" w:color="auto"/>
        <w:right w:val="none" w:sz="0" w:space="0" w:color="auto"/>
      </w:divBdr>
    </w:div>
    <w:div w:id="561865706">
      <w:bodyDiv w:val="1"/>
      <w:marLeft w:val="0"/>
      <w:marRight w:val="0"/>
      <w:marTop w:val="0"/>
      <w:marBottom w:val="0"/>
      <w:divBdr>
        <w:top w:val="none" w:sz="0" w:space="0" w:color="auto"/>
        <w:left w:val="none" w:sz="0" w:space="0" w:color="auto"/>
        <w:bottom w:val="none" w:sz="0" w:space="0" w:color="auto"/>
        <w:right w:val="none" w:sz="0" w:space="0" w:color="auto"/>
      </w:divBdr>
    </w:div>
    <w:div w:id="665939866">
      <w:bodyDiv w:val="1"/>
      <w:marLeft w:val="0"/>
      <w:marRight w:val="0"/>
      <w:marTop w:val="0"/>
      <w:marBottom w:val="0"/>
      <w:divBdr>
        <w:top w:val="none" w:sz="0" w:space="0" w:color="auto"/>
        <w:left w:val="none" w:sz="0" w:space="0" w:color="auto"/>
        <w:bottom w:val="none" w:sz="0" w:space="0" w:color="auto"/>
        <w:right w:val="none" w:sz="0" w:space="0" w:color="auto"/>
      </w:divBdr>
    </w:div>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1015763629">
      <w:bodyDiv w:val="1"/>
      <w:marLeft w:val="0"/>
      <w:marRight w:val="0"/>
      <w:marTop w:val="0"/>
      <w:marBottom w:val="0"/>
      <w:divBdr>
        <w:top w:val="none" w:sz="0" w:space="0" w:color="auto"/>
        <w:left w:val="none" w:sz="0" w:space="0" w:color="auto"/>
        <w:bottom w:val="none" w:sz="0" w:space="0" w:color="auto"/>
        <w:right w:val="none" w:sz="0" w:space="0" w:color="auto"/>
      </w:divBdr>
    </w:div>
    <w:div w:id="1112088797">
      <w:bodyDiv w:val="1"/>
      <w:marLeft w:val="0"/>
      <w:marRight w:val="0"/>
      <w:marTop w:val="0"/>
      <w:marBottom w:val="0"/>
      <w:divBdr>
        <w:top w:val="none" w:sz="0" w:space="0" w:color="auto"/>
        <w:left w:val="none" w:sz="0" w:space="0" w:color="auto"/>
        <w:bottom w:val="none" w:sz="0" w:space="0" w:color="auto"/>
        <w:right w:val="none" w:sz="0" w:space="0" w:color="auto"/>
      </w:divBdr>
    </w:div>
    <w:div w:id="1163665994">
      <w:bodyDiv w:val="1"/>
      <w:marLeft w:val="0"/>
      <w:marRight w:val="0"/>
      <w:marTop w:val="0"/>
      <w:marBottom w:val="0"/>
      <w:divBdr>
        <w:top w:val="none" w:sz="0" w:space="0" w:color="auto"/>
        <w:left w:val="none" w:sz="0" w:space="0" w:color="auto"/>
        <w:bottom w:val="none" w:sz="0" w:space="0" w:color="auto"/>
        <w:right w:val="none" w:sz="0" w:space="0" w:color="auto"/>
      </w:divBdr>
    </w:div>
    <w:div w:id="1253976888">
      <w:bodyDiv w:val="1"/>
      <w:marLeft w:val="0"/>
      <w:marRight w:val="0"/>
      <w:marTop w:val="0"/>
      <w:marBottom w:val="0"/>
      <w:divBdr>
        <w:top w:val="none" w:sz="0" w:space="0" w:color="auto"/>
        <w:left w:val="none" w:sz="0" w:space="0" w:color="auto"/>
        <w:bottom w:val="none" w:sz="0" w:space="0" w:color="auto"/>
        <w:right w:val="none" w:sz="0" w:space="0" w:color="auto"/>
      </w:divBdr>
    </w:div>
    <w:div w:id="1504320002">
      <w:bodyDiv w:val="1"/>
      <w:marLeft w:val="0"/>
      <w:marRight w:val="0"/>
      <w:marTop w:val="0"/>
      <w:marBottom w:val="0"/>
      <w:divBdr>
        <w:top w:val="none" w:sz="0" w:space="0" w:color="auto"/>
        <w:left w:val="none" w:sz="0" w:space="0" w:color="auto"/>
        <w:bottom w:val="none" w:sz="0" w:space="0" w:color="auto"/>
        <w:right w:val="none" w:sz="0" w:space="0" w:color="auto"/>
      </w:divBdr>
    </w:div>
    <w:div w:id="1782262855">
      <w:bodyDiv w:val="1"/>
      <w:marLeft w:val="0"/>
      <w:marRight w:val="0"/>
      <w:marTop w:val="0"/>
      <w:marBottom w:val="0"/>
      <w:divBdr>
        <w:top w:val="none" w:sz="0" w:space="0" w:color="auto"/>
        <w:left w:val="none" w:sz="0" w:space="0" w:color="auto"/>
        <w:bottom w:val="none" w:sz="0" w:space="0" w:color="auto"/>
        <w:right w:val="none" w:sz="0" w:space="0" w:color="auto"/>
      </w:divBdr>
    </w:div>
    <w:div w:id="21254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http://jurnal.unmer.ac.id/index.php/ap" TargetMode="External"/><Relationship Id="rId2" Type="http://schemas.openxmlformats.org/officeDocument/2006/relationships/image" Target="media/image3.jpe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Sit21</b:Tag>
    <b:SourceType>JournalArticle</b:SourceType>
    <b:Guid>{84DD992F-C400-B14E-8F82-784394DAD5E8}</b:Guid>
    <b:Author>
      <b:Author>
        <b:NameList>
          <b:Person>
            <b:Last>Hodijah</b:Last>
            <b:First>Siti</b:First>
          </b:Person>
          <b:Person>
            <b:Last>Angelina</b:Last>
            <b:First>Grace</b:First>
            <b:Middle>Patricia</b:Middle>
          </b:Person>
        </b:NameList>
      </b:Author>
    </b:Author>
    <b:Title>Analisis Pengaruh Ekspor dan Impor terhadap Pertumbuhan Ekonomi di Indonesia</b:Title>
    <b:Year>2021</b:Year>
    <b:JournalName>Jurnal Manajemen Terapan dan Keuangan (Mankeu)</b:JournalName>
    <b:Pages>53-62</b:Pages>
    <b:RefOrder>1</b:RefOrder>
  </b:Source>
  <b:Source>
    <b:Tag>Bad22</b:Tag>
    <b:SourceType>InternetSite</b:SourceType>
    <b:Guid>{991F10BF-03E1-FA42-8971-0FB5732F65FB}</b:Guid>
    <b:Author>
      <b:Author>
        <b:Corporate>Badan Kebijakan Fiskal</b:Corporate>
      </b:Author>
    </b:Author>
    <b:Title>Publikasi</b:Title>
    <b:InternetSiteTitle>Web site Badan Kebijakan Fiskal</b:InternetSiteTitle>
    <b:URL>https://fiskal.kemenkeu.go.id/</b:URL>
    <b:Year>2022</b:Year>
    <b:Month>May</b:Month>
    <b:Day>17</b:Day>
    <b:RefOrder>2</b:RefOrder>
  </b:Source>
  <b:Source>
    <b:Tag>Edd16</b:Tag>
    <b:SourceType>InternetSite</b:SourceType>
    <b:Guid>{94C9277E-CF75-E043-BA37-0840CDBD768E}</b:Guid>
    <b:Title>Filosofi Kepabeanan dan Cukai</b:Title>
    <b:Year>2016</b:Year>
    <b:Author>
      <b:Author>
        <b:NameList>
          <b:Person>
            <b:Last>Sutarto</b:Last>
            <b:First>Eddhi</b:First>
          </b:Person>
        </b:NameList>
      </b:Author>
    </b:Author>
    <b:InternetSiteTitle>Website KPPBC TMP Tanjung Emas</b:InternetSiteTitle>
    <b:URL>https://bctemas.beacukai.go.id/filosofi-kepabeanan-dan-cukai/</b:URL>
    <b:Month>February</b:Month>
    <b:Day>22</b:Day>
    <b:RefOrder>3</b:RefOrder>
  </b:Source>
  <b:Source>
    <b:Tag>Anj21</b:Tag>
    <b:SourceType>Book</b:SourceType>
    <b:Guid>{F694E001-5B5C-4949-B6A5-E7F4EF40CC09}</b:Guid>
    <b:Author>
      <b:Author>
        <b:NameList>
          <b:Person>
            <b:Last>Anjarwi</b:Last>
            <b:First>Astri</b:First>
            <b:Middle>Warih</b:Middle>
          </b:Person>
        </b:NameList>
      </b:Author>
    </b:Author>
    <b:Title>Pajak Lalu Lintas Barang : Kepabeanan, Ekspor, Impor, dan Cukai</b:Title>
    <b:Year>2021</b:Year>
    <b:City>Yogyakarta</b:City>
    <b:Publisher>Deepublish</b:Publisher>
    <b:RefOrder>4</b:RefOrder>
  </b:Source>
  <b:Source>
    <b:Tag>Pem06</b:Tag>
    <b:SourceType>Book</b:SourceType>
    <b:Guid>{91DEBB60-F889-1149-8C5C-C17AEEA8E667}</b:Guid>
    <b:Author>
      <b:Author>
        <b:Corporate>Pemerintah Republik Indonesia</b:Corporate>
      </b:Author>
    </b:Author>
    <b:Title>Undang-Undang Nomor 17 Tahun 2006 tentang entang Perubahan atas Undang-Undang Nomor 10 Tahun 1995 tentang Kepabeanan</b:Title>
    <b:Year>2006</b:Year>
    <b:City>Indonesia</b:City>
    <b:RefOrder>5</b:RefOrder>
  </b:Source>
  <b:Source>
    <b:Tag>Mit12</b:Tag>
    <b:SourceType>Book</b:SourceType>
    <b:Guid>{E981BED4-5621-3742-A0C7-BA6DF76FAB6F}</b:Guid>
    <b:Author>
      <b:Author>
        <b:NameList>
          <b:Person>
            <b:Last>Rasfina</b:Last>
            <b:First>Mita</b:First>
          </b:Person>
        </b:NameList>
      </b:Author>
    </b:Author>
    <b:Title>Analisis Pelaksanaan Penyelesaian Sengketa Banding Tarif Bea Masuk di Pengadilan Pajak (Studi Kasus Pt. 3i Di Pengadilan Pajak)</b:Title>
    <b:City>Depok</b:City>
    <b:Publisher>Universitas Indonesia</b:Publisher>
    <b:Year>2012</b:Year>
    <b:RefOrder>7</b:RefOrder>
  </b:Source>
  <b:Source>
    <b:Tag>Ozi21</b:Tag>
    <b:SourceType>JournalArticle</b:SourceType>
    <b:Guid>{ACB62C31-8EEE-3D46-B7EF-ECDAD2A06799}</b:Guid>
    <b:Title>Threshold Effects of Import Dependence on Economic Growth in Nigeria</b:Title>
    <b:Year>2021</b:Year>
    <b:Author>
      <b:Author>
        <b:NameList>
          <b:Person>
            <b:Last>Aigheyisi</b:Last>
            <b:First>Oziengbe</b:First>
            <b:Middle>Scott</b:Middle>
          </b:Person>
        </b:NameList>
      </b:Author>
    </b:Author>
    <b:JournalName>SSRN</b:JournalName>
    <b:Pages>198-219</b:Pages>
    <b:RefOrder>2</b:RefOrder>
  </b:Source>
  <b:Source>
    <b:Tag>OEC23</b:Tag>
    <b:SourceType>InternetSite</b:SourceType>
    <b:Guid>{D3AE28A8-C5C6-2441-9ECF-5067F1311705}</b:Guid>
    <b:Author>
      <b:Author>
        <b:Corporate>OECD</b:Corporate>
      </b:Author>
    </b:Author>
    <b:Title>International trade statistics: trends in fourth quarter 2022</b:Title>
    <b:Year>2023</b:Year>
    <b:InternetSiteTitle>OECD Home: Newsroom</b:InternetSiteTitle>
    <b:URL>https://www.oecd.org/newsroom/international-trade-statistics-trends-in-fourth-quarter-2022.htm</b:URL>
    <b:Month>February</b:Month>
    <b:Day>23</b:Day>
    <b:RefOrder>3</b:RefOrder>
  </b:Source>
  <b:Source>
    <b:Tag>Bad23</b:Tag>
    <b:SourceType>InternetSite</b:SourceType>
    <b:Guid>{1C3480B0-DDF5-194D-9B50-9B4A526536D0}</b:Guid>
    <b:Title>Berita Resmi Statistik</b:Title>
    <b:Year>2023</b:Year>
    <b:Author>
      <b:Author>
        <b:Corporate>Badan Pusat Statistik</b:Corporate>
      </b:Author>
    </b:Author>
    <b:InternetSiteTitle>Web site Badan Pusat Statistik</b:InternetSiteTitle>
    <b:URL>https://www.bps.go.id/</b:URL>
    <b:Month>January</b:Month>
    <b:Day>16</b:Day>
    <b:RefOrder>4</b:RefOrder>
  </b:Source>
  <b:Source>
    <b:Tag>Saz20</b:Tag>
    <b:SourceType>JournalArticle</b:SourceType>
    <b:Guid>{B3FF2453-35D3-CA42-818C-73F38BA4909A}</b:Guid>
    <b:Author>
      <b:Author>
        <b:NameList>
          <b:Person>
            <b:Last>Sazir Nsubuga Mayanja</b:Last>
            <b:First>Kato</b:First>
            <b:Middle>Mahazi, Twesige Daniel</b:Middle>
          </b:Person>
        </b:NameList>
      </b:Author>
    </b:Author>
    <b:Title>Effect of Tax Dispute Resolution Mechanism on Taxpayer’s Compliance: The Case of Rwanda</b:Title>
    <b:JournalName>Science Journal of Business and Management</b:JournalName>
    <b:Year>2020</b:Year>
    <b:Pages>74-82</b:Pages>
    <b:RefOrder>10</b:RefOrder>
  </b:Source>
  <b:Source>
    <b:Tag>Kem23</b:Tag>
    <b:SourceType>Book</b:SourceType>
    <b:Guid>{7044A61D-11D5-7648-8336-1402C09B66E1}</b:Guid>
    <b:Author>
      <b:Author>
        <b:Corporate>Pemerintah Republik Indonesia</b:Corporate>
      </b:Author>
    </b:Author>
    <b:Title>Peraturan Menteri Keuangan Nomor 78 Tahun 2023 tentang Penelitian Ulang di Bidang Kepabeanan</b:Title>
    <b:Year>2023</b:Year>
    <b:City>Jakarta</b:City>
    <b:Publisher>Pemerintah Republik Indonesia</b:Publisher>
    <b:RefOrder>12</b:RefOrder>
  </b:Source>
  <b:Source>
    <b:Tag>Bud19</b:Tag>
    <b:SourceType>JournalArticle</b:SourceType>
    <b:Guid>{563112AE-032E-4146-892B-CA356DDDAE92}</b:Guid>
    <b:Author>
      <b:Author>
        <b:NameList>
          <b:Person>
            <b:Last>Budi Ispriyarso</b:Last>
            <b:First>Nabitatus</b:First>
            <b:Middle>Saadah</b:Middle>
          </b:Person>
        </b:NameList>
      </b:Author>
    </b:Author>
    <b:Title>Independence and Procedure of Tax Dispute Resolution Institutions in Indonesia and Wast Asian Countries</b:Title>
    <b:JournalName>International Journal of Innovation, Creativity and Change</b:JournalName>
    <b:Year>2019</b:Year>
    <b:Volume>10</b:Volume>
    <b:Issue>2</b:Issue>
    <b:RefOrder>14</b:RefOrder>
  </b:Source>
  <b:Source>
    <b:Tag>Fav21</b:Tag>
    <b:SourceType>JournalArticle</b:SourceType>
    <b:Guid>{CAC9FE59-E905-2546-A7CA-4BFF579F504E}</b:Guid>
    <b:Author>
      <b:Author>
        <b:NameList>
          <b:Person>
            <b:Last>Favourate Yelesedzani Sebele-Mpofu</b:Last>
            <b:First>Eukeria</b:First>
            <b:Middle>Mashiri and Patrick Korera</b:Middle>
          </b:Person>
        </b:NameList>
      </b:Author>
    </b:Author>
    <b:Title>Transfer Pricing Audit Challenges and Dispute Resolution Effectiveness in Developing Countries with Specific Focus on Zimbabwe</b:Title>
    <b:JournalName>Accounting, Economics, and Law</b:JournalName>
    <b:Year>2021</b:Year>
    <b:City>Zimbabwe</b:City>
    <b:Month>October</b:Month>
    <b:RefOrder>15</b:RefOrder>
  </b:Source>
  <b:Source>
    <b:Tag>IGe19</b:Tag>
    <b:SourceType>JournalArticle</b:SourceType>
    <b:Guid>{E326FE65-9507-9D48-A978-C4649662F960}</b:Guid>
    <b:Author>
      <b:Author>
        <b:NameList>
          <b:Person>
            <b:Last>Kusuma</b:Last>
            <b:First>I</b:First>
            <b:Middle>Gede Komang Chahya Bayu Anta</b:Middle>
          </b:Person>
          <b:Person>
            <b:Last>Setiawan</b:Last>
            <b:First>Beny</b:First>
          </b:Person>
          <b:Person>
            <b:Last>Sugiharto</b:Last>
            <b:First>David</b:First>
            <b:Middle>Yanuar</b:Middle>
          </b:Person>
        </b:NameList>
      </b:Author>
    </b:Author>
    <b:Title>Menakar Kualitas Pemeriksaan Pajak Dalam Sengketa Pajak</b:Title>
    <b:JournalName>Jurnal Pajak Indonesia</b:JournalName>
    <b:Year>2019</b:Year>
    <b:Pages>76-83</b:Pages>
    <b:RefOrder>16</b:RefOrder>
  </b:Source>
  <b:Source>
    <b:Tag>Ghe10</b:Tag>
    <b:SourceType>JournalArticle</b:SourceType>
    <b:Guid>{7AD83402-3F4C-8D45-BE5D-FA0DECA26585}</b:Guid>
    <b:Author>
      <b:Author>
        <b:NameList>
          <b:Person>
            <b:Last>Gheorghe ILIE</b:Last>
            <b:First>Carmen</b:First>
            <b:Middle>Nadia</b:Middle>
          </b:Person>
        </b:NameList>
      </b:Author>
    </b:Author>
    <b:Title>Application of Fishbone Diagram to Determine the Risk of an Event With Multiple Causes</b:Title>
    <b:Year>2010</b:Year>
    <b:JournalName>Management Research and Practice</b:JournalName>
    <b:Pages>1-20</b:Pages>
    <b:Month>March</b:Month>
    <b:Volume>2</b:Volume>
    <b:Issue>1</b:Issue>
    <b:RefOrder>17</b:RefOrder>
  </b:Source>
  <b:Source>
    <b:Tag>Sar21</b:Tag>
    <b:SourceType>Book</b:SourceType>
    <b:Guid>{0D1312D2-416E-744E-8063-2F9931B05BAA}</b:Guid>
    <b:Author>
      <b:Author>
        <b:NameList>
          <b:Person>
            <b:Last>Sarosa</b:Last>
            <b:First>Samiaji</b:First>
          </b:Person>
        </b:NameList>
      </b:Author>
    </b:Author>
    <b:Title>Analisis Data Penelitian Kuantitatif</b:Title>
    <b:Year>2021</b:Year>
    <b:City>Daerah Istimewa Yogyakarta</b:City>
    <b:Publisher>PT Kanisius</b:Publisher>
    <b:RefOrder>22</b:RefOrder>
  </b:Source>
  <b:Source>
    <b:Tag>Rub23</b:Tag>
    <b:SourceType>JournalArticle</b:SourceType>
    <b:Guid>{8111F1BF-5E51-0C42-A48F-5079F4182BE2}</b:Guid>
    <b:Author>
      <b:Author>
        <b:NameList>
          <b:Person>
            <b:Last>Rubini</b:Last>
            <b:First>Luca</b:First>
          </b:Person>
        </b:NameList>
      </b:Author>
    </b:Author>
    <b:Title>Between Sovereignty and Complexity: The Settlement of Tax Disputes by The World Trade Organization</b:Title>
    <b:JournalName>Asia Pacific Law Review</b:JournalName>
    <b:Year>2023</b:Year>
    <b:Pages>204-218</b:Pages>
    <b:Publisher>https://doi.org/10.1080/10192557.2022.2102587</b:Publisher>
    <b:Volume>31</b:Volume>
    <b:Issue>1</b:Issue>
    <b:RefOrder>33</b:RefOrder>
  </b:Source>
  <b:Source>
    <b:Tag>Kla04</b:Tag>
    <b:SourceType>Book</b:SourceType>
    <b:Guid>{F2D2DF95-9795-C342-8FD4-B7DEC68091E7}</b:Guid>
    <b:Author>
      <b:Author>
        <b:NameList>
          <b:Person>
            <b:Last>Kripendorff</b:Last>
            <b:First>Klaus</b:First>
          </b:Person>
        </b:NameList>
      </b:Author>
    </b:Author>
    <b:Title>Content Analysis An Introduction to Its Methodology</b:Title>
    <b:City>United Statef of America</b:City>
    <b:Publisher>SAGE Publications</b:Publisher>
    <b:Year>2004</b:Year>
    <b:RefOrder>23</b:RefOrder>
  </b:Source>
  <b:Source>
    <b:Tag>Suc22</b:Tag>
    <b:SourceType>JournalArticle</b:SourceType>
    <b:Guid>{2E1B0EF6-6EC9-F845-99AE-4B06183B81EE}</b:Guid>
    <b:Author>
      <b:Author>
        <b:NameList>
          <b:Person>
            <b:Last>Suciyani</b:Last>
            <b:First>Fitri</b:First>
          </b:Person>
        </b:NameList>
      </b:Author>
    </b:Author>
    <b:Title>Kedudukan Pengadilan Pajak Dalam Sistem Peradilan di Indonesia</b:Title>
    <b:Year>2022</b:Year>
    <b:JournalName>DHARMASISYA Jurnal Program Magister Hukum Fakultas Hukum Universitas Indonesia</b:JournalName>
    <b:Pages>375-388</b:Pages>
    <b:RefOrder>13</b:RefOrder>
  </b:Source>
  <b:Source>
    <b:Tag>Alm22</b:Tag>
    <b:SourceType>JournalArticle</b:SourceType>
    <b:Guid>{3EE4602B-166F-E048-A6D3-072D32E6F845}</b:Guid>
    <b:Author>
      <b:Author>
        <b:NameList>
          <b:Person>
            <b:Last>Almahsun Misbach</b:Last>
            <b:First>P.W,</b:First>
            <b:Middle>Herlina Juni Risma Saragih</b:Middle>
          </b:Person>
        </b:NameList>
      </b:Author>
    </b:Author>
    <b:Title>The Role of Indonesia Customs in the Eradication of IUU Fishing</b:Title>
    <b:JournalName>Customs Research and Application Journal</b:JournalName>
    <b:Year>2022</b:Year>
    <b:Volume>3 Nomor 2</b:Volume>
    <b:RefOrder>34</b:RefOrder>
  </b:Source>
  <b:Source>
    <b:Tag>Wid07</b:Tag>
    <b:SourceType>JournalArticle</b:SourceType>
    <b:Guid>{C2A7D8C4-9436-DC41-80E2-B36DA20634D1}</b:Guid>
    <b:Author>
      <b:Author>
        <b:NameList>
          <b:Person>
            <b:Last>Widdowson</b:Last>
          </b:Person>
        </b:NameList>
      </b:Author>
    </b:Author>
    <b:Title>The Changing Role of Customs: Evolution or Revolution?</b:Title>
    <b:JournalName>World Customs Journal</b:JournalName>
    <b:Year>2007</b:Year>
    <b:RefOrder>35</b:RefOrder>
  </b:Source>
  <b:Source>
    <b:Tag>Lid20</b:Tag>
    <b:SourceType>JournalArticle</b:SourceType>
    <b:Guid>{709F8AEF-A63E-7C48-835F-3B5528791B0D}</b:Guid>
    <b:Author>
      <b:Author>
        <b:NameList>
          <b:Person>
            <b:Last>Lidiia Karpenko</b:Last>
            <b:First>P.P.,</b:First>
            <b:Middle>Iryna Chunytska, Anatolii Akhlamov, Alisa Kostenko</b:Middle>
          </b:Person>
        </b:NameList>
      </b:Author>
    </b:Author>
    <b:Title>The Role of Customs Regulation in Ensuring the Economic Security of the Country</b:Title>
    <b:JournalName>Journal of Security and Sustainability Issues</b:JournalName>
    <b:Year>2020</b:Year>
    <b:Volume>10 Number 1</b:Volume>
    <b:RefOrder>36</b:RefOrder>
  </b:Source>
  <b:Source>
    <b:Tag>Ell18</b:Tag>
    <b:SourceType>Book</b:SourceType>
    <b:Guid>{423704C2-1B90-5040-B9CA-0890DB72FD09}</b:Guid>
    <b:Author>
      <b:Author>
        <b:NameList>
          <b:Person>
            <b:Last>Ellet</b:Last>
            <b:First>William</b:First>
          </b:Person>
        </b:NameList>
      </b:Author>
    </b:Author>
    <b:Title>The Case Study Handbook A Student Guide</b:Title>
    <b:Year>2018</b:Year>
    <b:City>Boston</b:City>
    <b:Publisher>Harvard Business Review Press</b:Publisher>
    <b:RefOrder>19</b:RefOrder>
  </b:Source>
  <b:Source>
    <b:Tag>DrJ10</b:Tag>
    <b:SourceType>Book</b:SourceType>
    <b:Guid>{FED163DC-1C93-794A-B3AC-D88E71A269D9}</b:Guid>
    <b:Author>
      <b:Author>
        <b:NameList>
          <b:Person>
            <b:Last>Dr. J. R. Raco</b:Last>
            <b:First>ME.,</b:First>
            <b:Middle>M.Sc.</b:Middle>
          </b:Person>
        </b:NameList>
      </b:Author>
    </b:Author>
    <b:Title>Metode Penelitian Kualitatif</b:Title>
    <b:City>Jakarta</b:City>
    <b:Publisher>Grasindo</b:Publisher>
    <b:Year>2010</b:Year>
    <b:RefOrder>37</b:RefOrder>
  </b:Source>
  <b:Source>
    <b:Tag>Rob14</b:Tag>
    <b:SourceType>InternetSite</b:SourceType>
    <b:Guid>{BC3F793E-CA18-AB4C-B460-6BBBF666377E}</b:Guid>
    <b:Author>
      <b:Author>
        <b:NameList>
          <b:Person>
            <b:Last>Robert Kane</b:Last>
            <b:First>Rosaline</b:First>
            <b:Middle>Kane</b:Middle>
          </b:Person>
        </b:NameList>
      </b:Author>
    </b:Author>
    <b:Title>How to Use the Fishbone Tool for Root Cause Analysis</b:Title>
    <b:Year>2014</b:Year>
    <b:Month>February</b:Month>
    <b:Day>18</b:Day>
    <b:URL>https://www.cms.gov/medicare/provider-enrollment-and-certification/qapi/downloads/fishbonerevised.pdf</b:URL>
    <b:RefOrder>18</b:RefOrder>
  </b:Source>
  <b:Source>
    <b:Tag>Rob05</b:Tag>
    <b:SourceType>Book</b:SourceType>
    <b:Guid>{C3705FD4-0B5D-8141-9FC9-CB3B2C4297FC}</b:Guid>
    <b:Title>Studi Kasus Desain dan Metode</b:Title>
    <b:Year>2005</b:Year>
    <b:Author>
      <b:Author>
        <b:NameList>
          <b:Person>
            <b:Last>Yin</b:Last>
            <b:First>Robert</b:First>
            <b:Middle>K.</b:Middle>
          </b:Person>
        </b:NameList>
      </b:Author>
    </b:Author>
    <b:City>Jakarta</b:City>
    <b:Publisher>PT RajaGrafindo Persada</b:Publisher>
    <b:RefOrder>20</b:RefOrder>
  </b:Source>
  <b:Source>
    <b:Tag>Vir12</b:Tag>
    <b:SourceType>Book</b:SourceType>
    <b:Guid>{048A9CF8-A8F1-174B-B16E-ECEA22638179}</b:Guid>
    <b:Author>
      <b:Author>
        <b:NameList>
          <b:Person>
            <b:Last>Virginia Braun</b:Last>
            <b:First>Victoria</b:First>
            <b:Middle>Clarke</b:Middle>
          </b:Person>
        </b:NameList>
      </b:Author>
    </b:Author>
    <b:Title>Thematic Analysis</b:Title>
    <b:City>Washington</b:City>
    <b:Publisher>American Psychological Association</b:Publisher>
    <b:Year>2012</b:Year>
    <b:RefOrder>24</b:RefOrder>
  </b:Source>
  <b:Source>
    <b:Tag>Her18</b:Tag>
    <b:SourceType>JournalArticle</b:SourceType>
    <b:Guid>{1A3E42D8-D77D-9046-BE2E-8F61A468D03B}</b:Guid>
    <b:Title>Thematic Analysis sebagai Metode Menganalisa Data untuk Penelitian Kualitatif</b:Title>
    <b:Year>2018</b:Year>
    <b:Author>
      <b:Author>
        <b:NameList>
          <b:Person>
            <b:Last>Heriyanto</b:Last>
          </b:Person>
        </b:NameList>
      </b:Author>
    </b:Author>
    <b:JournalName>ANUVA</b:JournalName>
    <b:Pages>317-324</b:Pages>
    <b:RefOrder>25</b:RefOrder>
  </b:Source>
  <b:Source>
    <b:Tag>Agu16</b:Tag>
    <b:SourceType>Book</b:SourceType>
    <b:Guid>{BC865576-77C1-E14A-A010-C4CB03286F1E}</b:Guid>
    <b:Author>
      <b:Author>
        <b:NameList>
          <b:Person>
            <b:Last>Sriyanto</b:Last>
            <b:First>Agus</b:First>
          </b:Person>
        </b:NameList>
      </b:Author>
    </b:Author>
    <b:Title>Tinjauan yuridis pengenaan bea masuk dan pajak dalam rangka impor film impor</b:Title>
    <b:City>Bintaro</b:City>
    <b:Publisher>Politeknik Keuangan Negara STAN</b:Publisher>
    <b:Year>2016</b:Year>
    <b:RefOrder>38</b:RefOrder>
  </b:Source>
  <b:Source>
    <b:Tag>Ten17</b:Tag>
    <b:SourceType>JournalArticle</b:SourceType>
    <b:Guid>{7CACE8A5-933F-D547-A0DD-92CC8B83B82C}</b:Guid>
    <b:Author>
      <b:Author>
        <b:NameList>
          <b:Person>
            <b:Last>Tendi Wahyudi</b:Last>
            <b:First>Unti</b:First>
            <b:Middle>Ludigdo, Ali Djamhuri</b:Middle>
          </b:Person>
        </b:NameList>
      </b:Author>
    </b:Author>
    <b:Title>Sengketa Pajak dalam Perspektif Pemeriksa Pajak (Sebuah Studi Fenomenologi)</b:Title>
    <b:Year>2017</b:Year>
    <b:JournalName>JRAAM Jurnal Riset dan Aplikasi: Akuntansi dan Manajemen Vol 2 No 3</b:JournalName>
    <b:RefOrder>39</b:RefOrder>
  </b:Source>
  <b:Source>
    <b:Tag>Ten171</b:Tag>
    <b:SourceType>Book</b:SourceType>
    <b:Guid>{56A9C227-81CC-4344-8234-5A46E8E8535B}</b:Guid>
    <b:Author>
      <b:Author>
        <b:NameList>
          <b:Person>
            <b:Last>Ahmad Firdiansyah</b:Last>
            <b:First>Wahid</b:First>
            <b:Middle>Hasyim, Yonathan Agung Pahlevi</b:Middle>
          </b:Person>
        </b:NameList>
      </b:Author>
    </b:Author>
    <b:Title>Studi Kasus Penetapan Kembali Tarif dan atau Nilai Pabean (SPKTNP) oleh Direktur Jenderal Bea dan Cukai: Tinjauan Putusan Peninjauan Kembali Mahkamah Agung RI</b:Title>
    <b:JournalName>JRAAM Jurnal Riset dan Aplikasi: Akuntansi dan Manajemen Vol 2 No 3</b:JournalName>
    <b:Year>2018</b:Year>
    <b:City>Bintaro</b:City>
    <b:Publisher>Politeknik Keuangan Negara STAN</b:Publisher>
    <b:RefOrder>40</b:RefOrder>
  </b:Source>
  <b:Source>
    <b:Tag>Bud18</b:Tag>
    <b:SourceType>JournalArticle</b:SourceType>
    <b:Guid>{72A16C37-ACF6-0B44-969A-9633A821186F}</b:Guid>
    <b:Title>Tinjauan Sengketa atas Batu Bara sebagai Barang Kena Pajak atau Non Barang Kena Pajak</b:Title>
    <b:Year>2018</b:Year>
    <b:Author>
      <b:Author>
        <b:NameList>
          <b:Person>
            <b:Last>Harsono</b:Last>
            <b:First>Budi</b:First>
          </b:Person>
        </b:NameList>
      </b:Author>
    </b:Author>
    <b:JournalName>Simposium Nasional Keuangan Negara</b:JournalName>
    <b:Pages>252-267</b:Pages>
    <b:RefOrder>41</b:RefOrder>
  </b:Source>
  <b:Source>
    <b:Tag>Rep19</b:Tag>
    <b:SourceType>Book</b:SourceType>
    <b:Guid>{6135683C-5B42-1E46-87D5-8F2872FC907D}</b:Guid>
    <b:Author>
      <b:Author>
        <b:Corporate>Pemerintah Republik Indonesia</b:Corporate>
      </b:Author>
    </b:Author>
    <b:Title>Peraturan Direktur Jenderal Bea Cukai Nomor 24/BC/2019 tentang Perubahan atas PER-35/BC/2017 tentang Tata Laksana Audit Kepabeanan dan Cukai</b:Title>
    <b:City>Indonesia</b:City>
    <b:Year>2019</b:Year>
    <b:RefOrder>42</b:RefOrder>
  </b:Source>
  <b:Source>
    <b:Tag>Pem45</b:Tag>
    <b:SourceType>Book</b:SourceType>
    <b:Guid>{2EDA0FF6-573B-F64F-82DB-8A1D75A53403}</b:Guid>
    <b:Author>
      <b:Author>
        <b:Corporate>Pemerintah Republik Indonesia</b:Corporate>
      </b:Author>
    </b:Author>
    <b:Title>Undang-Undang Dasar Negara Republik Indonesia</b:Title>
    <b:City>Indonesia</b:City>
    <b:Year>1945</b:Year>
    <b:RefOrder>43</b:RefOrder>
  </b:Source>
  <b:Source>
    <b:Tag>Rep08</b:Tag>
    <b:SourceType>Book</b:SourceType>
    <b:Guid>{003BE339-830A-C34C-982C-267F049CA0B9}</b:Guid>
    <b:Author>
      <b:Author>
        <b:Corporate>Pemerintah Republik Indonesia</b:Corporate>
      </b:Author>
    </b:Author>
    <b:Title>Undang-Undang Nomor 36 Tahun 2008 tentang Perubahan Keempat atas Undang-Undang Nomor 7 Tahun 1983 tentang Pajak Penghasilan</b:Title>
    <b:City>Indonesia</b:City>
    <b:Year>2008</b:Year>
    <b:RefOrder>44</b:RefOrder>
  </b:Source>
  <b:Source>
    <b:Tag>Rep09</b:Tag>
    <b:SourceType>Book</b:SourceType>
    <b:Guid>{DCB1ED2B-820D-6B48-932C-1FD169A757D0}</b:Guid>
    <b:Author>
      <b:Author>
        <b:Corporate>Pemerintah Republik Indonesia</b:Corporate>
      </b:Author>
    </b:Author>
    <b:Title>Undang-Undang Nomor 48 Tahun 2009 tentang Kekuasaan Kehakiman</b:Title>
    <b:City>Indonesia</b:City>
    <b:Year>2009</b:Year>
    <b:RefOrder>45</b:RefOrder>
  </b:Source>
  <b:Source>
    <b:Tag>Rep191</b:Tag>
    <b:SourceType>Book</b:SourceType>
    <b:Guid>{9997B532-E685-144C-9BAB-C0294496CEE3}</b:Guid>
    <b:Author>
      <b:Author>
        <b:Corporate>Pemerintah Republik Indonesia</b:Corporate>
      </b:Author>
    </b:Author>
    <b:Title>Peraturan Direktur Jenderal Bea Cukai Nomor 25/BC/2019 tentang Perubahan atas PER-08/BC/2017 tentang Petunjuk Pelaksanaan Penelitian Ulang</b:Title>
    <b:City>Indonesia</b:City>
    <b:Year>2019</b:Year>
    <b:RefOrder>46</b:RefOrder>
  </b:Source>
  <b:Source>
    <b:Tag>Rep02</b:Tag>
    <b:SourceType>Book</b:SourceType>
    <b:Guid>{D436A2DD-4E06-2A45-8A0D-60783E770AB7}</b:Guid>
    <b:Author>
      <b:Author>
        <b:Corporate>Pemerintah Republik Indonesia</b:Corporate>
      </b:Author>
    </b:Author>
    <b:Title>Undang-Undang Nomor 14 Tahun 2002 tentang Pengadilan Pajak</b:Title>
    <b:City>Indonesia</b:City>
    <b:Year>2002</b:Year>
    <b:RefOrder>47</b:RefOrder>
  </b:Source>
  <b:Source>
    <b:Tag>Rep091</b:Tag>
    <b:SourceType>Book</b:SourceType>
    <b:Guid>{1DBC5A47-0AD5-0346-9571-33259A1C1AF4}</b:Guid>
    <b:Author>
      <b:Author>
        <b:Corporate>Pemerintah Republik Indonesia</b:Corporate>
      </b:Author>
    </b:Author>
    <b:Title>Undang-Undang Nomor 42 Tahun 2009 tentang Perubahan Ketiga atas Undang-Undang Nomor 8 Tahun 1983 tentang Pajak Pertambahan Nilai Barang dan Jasa dan Pajak Penjualan atas Barang Mewah</b:Title>
    <b:City>Indonesia</b:City>
    <b:Year>2009</b:Year>
    <b:RefOrder>31</b:RefOrder>
  </b:Source>
  <b:Source>
    <b:Tag>Dir22</b:Tag>
    <b:SourceType>Book</b:SourceType>
    <b:Guid>{A11559D1-8244-094C-82F0-9AEFDA20F7EF}</b:Guid>
    <b:Author>
      <b:Author>
        <b:Corporate>Direktorat Jenderal Bea Cukai</b:Corporate>
      </b:Author>
    </b:Author>
    <b:Title>Laporan Kinerja Direktorat Jenderal Bea dan Cukai Tahun 2022</b:Title>
    <b:City>Indonesia</b:City>
    <b:Year>2022</b:Year>
    <b:RefOrder>26</b:RefOrder>
  </b:Source>
  <b:Source>
    <b:Tag>Yul22</b:Tag>
    <b:SourceType>Book</b:SourceType>
    <b:Guid>{06EABAF8-CE77-194F-A198-28D82CE190CA}</b:Guid>
    <b:Author>
      <b:Author>
        <b:NameList>
          <b:Person>
            <b:Last>Yulianto</b:Last>
            <b:First>Irfan</b:First>
          </b:Person>
        </b:NameList>
      </b:Author>
    </b:Author>
    <b:Title>Analisis Sengketa Pajak atas Biaya Promosi: Studi Kasus Pada Putusan Pengadilan Pajak Periode 2016 – 2019</b:Title>
    <b:Year>2022</b:Year>
    <b:City>Jakarta</b:City>
    <b:Publisher>Universitas Indonesia</b:Publisher>
    <b:RefOrder>48</b:RefOrder>
  </b:Source>
  <b:Source>
    <b:Tag>Wel22</b:Tag>
    <b:SourceType>Book</b:SourceType>
    <b:Guid>{B8D412EA-ACC9-3940-943F-F02546177C99}</b:Guid>
    <b:Author>
      <b:Author>
        <b:NameList>
          <b:Person>
            <b:Last>Wellia Novita</b:Last>
            <b:First>Rida</b:First>
            <b:Middle>Rahim, Fajri Adrianto</b:Middle>
          </b:Person>
        </b:NameList>
      </b:Author>
    </b:Author>
    <b:Title>Sengketa Pajak dalam Perspektif Wajib Pajak (Studi Kasus Restitusi Pajak ADHI-IBG, KSO)</b:Title>
    <b:City>Padang</b:City>
    <b:Publisher>Universitas Andalas</b:Publisher>
    <b:Year>2022</b:Year>
    <b:RefOrder>49</b:RefOrder>
  </b:Source>
  <b:Source>
    <b:Tag>Dza22</b:Tag>
    <b:SourceType>Book</b:SourceType>
    <b:Guid>{801D4F94-E3A8-A041-92FE-7A5D2EF36D58}</b:Guid>
    <b:Author>
      <b:Author>
        <b:NameList>
          <b:Person>
            <b:Last>Syafiqoh</b:Last>
            <b:First>Dzahniya</b:First>
          </b:Person>
        </b:NameList>
      </b:Author>
    </b:Author>
    <b:Title>Evaluasi Manajemen Pajak atas Sengketa Pajak Pertambahan Nilai di Badan Usaha Minyak dan Gas</b:Title>
    <b:City>Jakarta</b:City>
    <b:Publisher>Universitas Indonesia</b:Publisher>
    <b:Year>2022</b:Year>
    <b:RefOrder>50</b:RefOrder>
  </b:Source>
  <b:Source>
    <b:Tag>Cer18</b:Tag>
    <b:SourceType>Book</b:SourceType>
    <b:Guid>{D055362D-74CE-734C-BA94-CB79ED5D4753}</b:Guid>
    <b:Author>
      <b:Author>
        <b:NameList>
          <b:Person>
            <b:Last>Bangun</b:Last>
            <b:First>Cerah</b:First>
          </b:Person>
        </b:NameList>
      </b:Author>
    </b:Author>
    <b:Title>Transformasi Penyelesaian Sengketa Nilai Pabean (Studi Sengketa Nilai Pabean di Pengadilan Pajak)</b:Title>
    <b:City>Jakarta</b:City>
    <b:Publisher>Universitas Indonesia</b:Publisher>
    <b:Year>2018</b:Year>
    <b:RefOrder>51</b:RefOrder>
  </b:Source>
  <b:Source>
    <b:Tag>Dar14</b:Tag>
    <b:SourceType>Book</b:SourceType>
    <b:Guid>{F895EF38-746C-BB4C-85A0-146BD1873717}</b:Guid>
    <b:Author>
      <b:Author>
        <b:NameList>
          <b:Person>
            <b:Last>Pranoto</b:Last>
            <b:First>Darat</b:First>
            <b:Middle>Agung Adi</b:Middle>
          </b:Person>
        </b:NameList>
      </b:Author>
    </b:Author>
    <b:Title>Alternative Solutions to Reduce Tax Disputes in Indonesia’s Tax Court</b:Title>
    <b:City>Depok</b:City>
    <b:Publisher>Universitas Indonesia</b:Publisher>
    <b:Year>2014</b:Year>
    <b:RefOrder>52</b:RefOrder>
  </b:Source>
  <b:Source>
    <b:Tag>Pem21</b:Tag>
    <b:SourceType>Book</b:SourceType>
    <b:Guid>{7C55C67E-08A7-9345-991C-59A17DCC8C50}</b:Guid>
    <b:Author>
      <b:Author>
        <b:Corporate>Pemerintah Republik Indonesia</b:Corporate>
      </b:Author>
    </b:Author>
    <b:Title>Peraturan Menteri Keuangan Nomor 118/PMK.01/2021 tentang Organisasi dan Tata Kerja Kementerian Keuangan</b:Title>
    <b:City>Jakarta</b:City>
    <b:Publisher>Pemerintah Republik Indonesia</b:Publisher>
    <b:Year>2021</b:Year>
    <b:RefOrder>53</b:RefOrder>
  </b:Source>
  <b:Source>
    <b:Tag>Dir21</b:Tag>
    <b:SourceType>Book</b:SourceType>
    <b:Guid>{B6A6581B-76A9-084B-BD03-868B42225FD5}</b:Guid>
    <b:Author>
      <b:Author>
        <b:Corporate>Direktorat Audit Kepabeanan dan Cukai</b:Corporate>
      </b:Author>
    </b:Author>
    <b:Title>Rencana Strategis Direktorat Audit Kepabeanan dan Cukai Tahun 2021 s.d. 2026</b:Title>
    <b:City>Jakarta</b:City>
    <b:Publisher>Direktorat Audit Kepabeanan dan Cukai</b:Publisher>
    <b:Year>2021</b:Year>
    <b:RefOrder>27</b:RefOrder>
  </b:Source>
  <b:Source>
    <b:Tag>San15</b:Tag>
    <b:SourceType>Book</b:SourceType>
    <b:Guid>{997D4FE7-57AC-5348-BE49-47BD96907382}</b:Guid>
    <b:Title>Business Statistics Communicating with Numbers third edition</b:Title>
    <b:Year>2015</b:Year>
    <b:Author>
      <b:Author>
        <b:NameList>
          <b:Person>
            <b:Last>Jaggia</b:Last>
            <b:First>Sanjiv</b:First>
          </b:Person>
          <b:Person>
            <b:Last>Kelly</b:Last>
            <b:First>Alison</b:First>
          </b:Person>
        </b:NameList>
      </b:Author>
    </b:Author>
    <b:City>New York</b:City>
    <b:Publisher>McGraw-Hill Education</b:Publisher>
    <b:RefOrder>22</b:RefOrder>
  </b:Source>
  <b:Source>
    <b:Tag>Dir221</b:Tag>
    <b:SourceType>Book</b:SourceType>
    <b:Guid>{A76C4081-389C-E943-AAF7-4532546D8909}</b:Guid>
    <b:Author>
      <b:Author>
        <b:Corporate>Direktorat Audit Kepabeanan dan Cukai</b:Corporate>
      </b:Author>
    </b:Author>
    <b:Title>Laporan Kinerja Direktorat Audit Kepabeanan dan Cukai Tahun 2022</b:Title>
    <b:City>Jakarta</b:City>
    <b:Publisher>Direktorat Audit Kepabeanan dan Cukai</b:Publisher>
    <b:Year>2022</b:Year>
    <b:RefOrder>28</b:RefOrder>
  </b:Source>
  <b:Source>
    <b:Tag>Dir222</b:Tag>
    <b:SourceType>Book</b:SourceType>
    <b:Guid>{77AD3A7B-A307-7945-82C0-517E75F39FC6}</b:Guid>
    <b:Author>
      <b:Author>
        <b:Corporate>Direktorat Keberatan Banding dan Peraturan</b:Corporate>
      </b:Author>
    </b:Author>
    <b:Title>Laporan Kinerja Direktorat Keberatan Banding dan Peraturan Tahun 2022</b:Title>
    <b:City>Jakarta</b:City>
    <b:Publisher>Direktorat Keberatan Banding dan Peraturan</b:Publisher>
    <b:Year>2022</b:Year>
    <b:RefOrder>29</b:RefOrder>
  </b:Source>
  <b:Source>
    <b:Tag>Bam11</b:Tag>
    <b:SourceType>InternetSite</b:SourceType>
    <b:Guid>{1870C205-A032-D241-AB56-D8BA92FBD555}</b:Guid>
    <b:Author>
      <b:Author>
        <b:NameList>
          <b:Person>
            <b:Last>Semedi</b:Last>
            <b:First>Bambang</b:First>
          </b:Person>
        </b:NameList>
      </b:Author>
    </b:Author>
    <b:Title>BEA CUKAI YANG TUGASNYA DIGARIS DEPAN WILAYAH REPUBLIK INDONESIA MELAKSANAKAN KETENTUAN INSTANSI TEKNIS</b:Title>
    <b:InternetSiteTitle>Website Sekretariat Badan</b:InternetSiteTitle>
    <b:URL>https://bppk.kemenkeu.go.id/sekretariat-badan/berita/bea-cukai-yang-tugasnya-digaris-depan-wilayah-republik-indonesia-melaksanakan-ketentuan-instansi-teknis-279896</b:URL>
    <b:Year>2011</b:Year>
    <b:Month>Agustus</b:Month>
    <b:Day>5</b:Day>
    <b:RefOrder>54</b:RefOrder>
  </b:Source>
  <b:Source>
    <b:Tag>Pem16</b:Tag>
    <b:SourceType>Book</b:SourceType>
    <b:Guid>{7508A4D1-B756-3A4A-8424-90A351B709C1}</b:Guid>
    <b:Author>
      <b:Author>
        <b:Corporate>Pemerintah Republik Indonesia</b:Corporate>
      </b:Author>
    </b:Author>
    <b:Title>Peraturan Menteri Keuangan Republik Indonesia Nomor 258/PMK.04/2016 tentang Perubahan atas Peraturan Menteri Keuangan Nomor 200/PMK.04/2011 tentang Audit Kepabeanan dan Audit Cukai</b:Title>
    <b:City>Jakarta</b:City>
    <b:Publisher>Pemerintah Republik Indonesia</b:Publisher>
    <b:Year>2016</b:Year>
    <b:RefOrder>55</b:RefOrder>
  </b:Source>
  <b:Source>
    <b:Tag>Shi23</b:Tag>
    <b:SourceType>Book</b:SourceType>
    <b:Guid>{9B5F8AB1-DAEB-504C-8AB1-C30202E992A9}</b:Guid>
    <b:Author>
      <b:Author>
        <b:NameList>
          <b:Person>
            <b:Last>Yunindar</b:Last>
            <b:First>Shinta</b:First>
            <b:Middle>Ayu Sri</b:Middle>
          </b:Person>
        </b:NameList>
      </b:Author>
    </b:Author>
    <b:Title>Analisis Sengketa Surat Keterangan Asal (Certificate of Origin) (Studi Kasus Pada Post Clearance Stage Direktorat Jenderal Bea dan Cukai)</b:Title>
    <b:City>Jakarta</b:City>
    <b:Publisher>Universitas Indonesia</b:Publisher>
    <b:Year>2023</b:Year>
    <b:RefOrder>56</b:RefOrder>
  </b:Source>
  <b:Source>
    <b:Tag>Rhi20</b:Tag>
    <b:SourceType>Book</b:SourceType>
    <b:Guid>{508ACDCD-6DF9-3842-B07C-83C742E5E770}</b:Guid>
    <b:Author>
      <b:Author>
        <b:NameList>
          <b:Person>
            <b:Last>Aulia</b:Last>
            <b:First>Rhisti</b:First>
          </b:Person>
        </b:NameList>
      </b:Author>
    </b:Author>
    <b:Title>Evaluasi Kebijakan Insentif Pajak Penghasilan Bagi Usaha Mikro Kecil Menengah Pada Masa Pandemi Covid-19</b:Title>
    <b:City>Jakarta</b:City>
    <b:Publisher>Universitas Indonesia</b:Publisher>
    <b:Year>2020</b:Year>
    <b:RefOrder>57</b:RefOrder>
  </b:Source>
  <b:Source>
    <b:Tag>Adv23</b:Tag>
    <b:SourceType>InternetSite</b:SourceType>
    <b:Guid>{217DF80C-B5F2-FB43-8197-67F4F554A6A8}</b:Guid>
    <b:Author>
      <b:Author>
        <b:Corporate>Advameg, Inc</b:Corporate>
      </b:Author>
    </b:Author>
    <b:Title>How products are made</b:Title>
    <b:InternetSiteTitle>Asbestos</b:InternetSiteTitle>
    <b:URL>http://www.madehow.com/Volume-4/Asbestos.html</b:URL>
    <b:Year>2023</b:Year>
    <b:Month>September</b:Month>
    <b:Day>6</b:Day>
    <b:RefOrder>58</b:RefOrder>
  </b:Source>
  <b:Source>
    <b:Tag>Foo23</b:Tag>
    <b:SourceType>InternetSite</b:SourceType>
    <b:Guid>{C6111C38-AD18-3E44-B3FE-DFE67A4A38A4}</b:Guid>
    <b:Author>
      <b:Author>
        <b:Corporate>Food and Agriculture Organization of The United Nations</b:Corporate>
      </b:Author>
    </b:Author>
    <b:Title>Whole Dates</b:Title>
    <b:InternetSiteTitle>Website Whole Dates</b:InternetSiteTitle>
    <b:URL>https://www.fao.org/3/t0681E/t0681e03.htm#1.2.a</b:URL>
    <b:Year>2023</b:Year>
    <b:Month>September</b:Month>
    <b:Day>6</b:Day>
    <b:RefOrder>30</b:RefOrder>
  </b:Source>
  <b:Source>
    <b:Tag>Pem211</b:Tag>
    <b:SourceType>Book</b:SourceType>
    <b:Guid>{4CA92E5B-93E0-0349-8571-B91AD8B4C2D8}</b:Guid>
    <b:Author>
      <b:Author>
        <b:Corporate>Pemerintah Republik Indonesia</b:Corporate>
      </b:Author>
    </b:Author>
    <b:Title>Peraturan Menteri Keuangan Nomor 115/PMK.03/2021 tentang Tata Cara Pemberian Fasilitas Dibebaskan Dari Pengenaan Pajak Pertambahan Nilai atas Impor dan atau Penyerahan Barang Kena Pajak Tertentu Yang Bersifat Strategis...</b:Title>
    <b:Year>2021</b:Year>
    <b:City>Jakarta</b:City>
    <b:Publisher>Pemerintah Republik Indonesia</b:Publisher>
    <b:RefOrder>59</b:RefOrder>
  </b:Source>
  <b:Source>
    <b:Tag>Pem18</b:Tag>
    <b:SourceType>Book</b:SourceType>
    <b:Guid>{D6D78693-427D-A049-B15C-3F923EC6C19E}</b:Guid>
    <b:Author>
      <b:Author>
        <b:Corporate>Pemerintah Republik Indonesia</b:Corporate>
      </b:Author>
    </b:Author>
    <b:Title>Organisasi dan Tata Kerja Balai Laboratorium Bea dan Cukai</b:Title>
    <b:City>Jakarta</b:City>
    <b:Publisher>Pemerintah Republik Indonesia</b:Publisher>
    <b:Year>2018</b:Year>
    <b:RefOrder>32</b:RefOrder>
  </b:Source>
  <b:Source>
    <b:Tag>Pem14</b:Tag>
    <b:SourceType>Book</b:SourceType>
    <b:Guid>{B004FF45-3F94-0B4D-BAA3-9D6915017EFE}</b:Guid>
    <b:Author>
      <b:Author>
        <b:Corporate>Pemerintah Republik Indonesia</b:Corporate>
      </b:Author>
    </b:Author>
    <b:Title>Undang-Undang Republik Indonesia Nomor 30 tahun 2014 tentang Administrasi Pemerintahan</b:Title>
    <b:City>Jakarta</b:City>
    <b:Publisher>Pemerintah Indonesia</b:Publisher>
    <b:Year>2014</b:Year>
    <b:RefOrder>60</b:RefOrder>
  </b:Source>
  <b:Source>
    <b:Tag>Wor23</b:Tag>
    <b:SourceType>InternetSite</b:SourceType>
    <b:Guid>{33513994-CCB7-E34C-9E71-0557B2901E1A}</b:Guid>
    <b:Author>
      <b:Author>
        <b:Corporate>World Bank</b:Corporate>
      </b:Author>
    </b:Author>
    <b:Title>Imports of goods and services (% of GDP) - Indonesia</b:Title>
    <b:Year>2023</b:Year>
    <b:InternetSiteTitle>The World Bank Web site</b:InternetSiteTitle>
    <b:URL>https://data.worldbank.org/indicator/NE.IMP.GNFS.ZS?end=2022&amp;locations=ID&amp;start=2013&amp;view=chart</b:URL>
    <b:Month>September</b:Month>
    <b:Day>22</b:Day>
    <b:RefOrder>61</b:RefOrder>
  </b:Source>
  <b:Source>
    <b:Tag>Wor12</b:Tag>
    <b:SourceType>Book</b:SourceType>
    <b:Guid>{5C217844-A13E-FC4E-BD1E-382994B39C56}</b:Guid>
    <b:Author>
      <b:Author>
        <b:Corporate>World Customs Organization</b:Corporate>
      </b:Author>
    </b:Author>
    <b:Title>PCA Guidelines Volume I</b:Title>
    <b:City>-</b:City>
    <b:Publisher>World Customs Organization</b:Publisher>
    <b:Year>2012</b:Year>
    <b:RefOrder>9</b:RefOrder>
  </b:Source>
  <b:Source>
    <b:Tag>ESL21</b:Tag>
    <b:SourceType>JournalArticle</b:SourceType>
    <b:Guid>{DBF6B452-8D84-8547-B916-CF26D997EDCC}</b:Guid>
    <b:Title>Driving factors of Indonesian import of fish meal</b:Title>
    <b:Year>2021</b:Year>
    <b:Author>
      <b:Author>
        <b:NameList>
          <b:Person>
            <b:Last>E S Luhur</b:Last>
            <b:First>R</b:First>
            <b:Middle>H Deswati, T Apriliani and F Y Arthatiani</b:Middle>
          </b:Person>
        </b:NameList>
      </b:Author>
    </b:Author>
    <b:JournalName>IOP Conference Series: Earth and Environmental Science</b:JournalName>
    <b:Pages>1-12</b:Pages>
    <b:RefOrder>62</b:RefOrder>
  </b:Source>
  <b:Source>
    <b:Tag>Col21</b:Tag>
    <b:SourceType>JournalArticle</b:SourceType>
    <b:Guid>{C03AFE63-085A-9744-82BE-2A0CA1D3E781}</b:Guid>
    <b:Author>
      <b:Author>
        <b:NameList>
          <b:Person>
            <b:Last>Colin Davis</b:Last>
            <b:First>Ken-ichi</b:First>
            <b:Middle>Hashimoto</b:Middle>
          </b:Person>
        </b:NameList>
      </b:Author>
    </b:Author>
    <b:Title>Import competition and industry location in a small-country model of productivity growth</b:Title>
    <b:JournalName>Review of International Economics</b:JournalName>
    <b:Year>2021</b:Year>
    <b:Pages>1046-1064</b:Pages>
    <b:RefOrder>63</b:RefOrder>
  </b:Source>
  <b:Source>
    <b:Tag>Nan23</b:Tag>
    <b:SourceType>JournalArticle</b:SourceType>
    <b:Guid>{54436933-D968-DA44-AA5D-72A1032BA374}</b:Guid>
    <b:Author>
      <b:Author>
        <b:NameList>
          <b:Person>
            <b:Last>Naniek Noviari</b:Last>
            <b:First>I</b:First>
            <b:Middle>Gusti Bagus Wiksuana, Luh Gede Sri Artini, I Putu Sudana</b:Middle>
          </b:Person>
        </b:NameList>
      </b:Author>
    </b:Author>
    <b:Title>Do tax disputes affect firm value?</b:Title>
    <b:JournalName>Uncertain Supply Chain Management</b:JournalName>
    <b:Year>2023</b:Year>
    <b:Pages>951-960</b:Pages>
    <b:RefOrder>64</b:RefOrder>
  </b:Source>
  <b:Source>
    <b:Tag>Pro06</b:Tag>
    <b:SourceType>Book</b:SourceType>
    <b:Guid>{7EB98809-7361-CD46-AF24-DBCDC7675312}</b:Guid>
    <b:Author>
      <b:Author>
        <b:NameList>
          <b:Person>
            <b:Last>Professor James Guthrie</b:Last>
            <b:First>Leanne</b:First>
            <b:Middle>Ward</b:Middle>
          </b:Person>
        </b:NameList>
      </b:Author>
    </b:Author>
    <b:Title>Legitimacy Theory: A Story of Reporting Social And Enviromental Matters Within The Australian Food and Beverage Industry</b:Title>
    <b:Year>2006</b:Year>
    <b:City>Sydney</b:City>
    <b:Publisher>The University of Sydney</b:Publisher>
    <b:RefOrder>65</b:RefOrder>
  </b:Source>
  <b:Source>
    <b:Tag>Jon22</b:Tag>
    <b:SourceType>JournalArticle</b:SourceType>
    <b:Guid>{474F6285-690C-764E-8355-8082BB77FB25}</b:Guid>
    <b:Author>
      <b:Author>
        <b:NameList>
          <b:Person>
            <b:Last>Jonathan Farrar</b:Last>
            <b:First>Morina</b:First>
            <b:Middle>Rennie, Linda Thorne</b:Middle>
          </b:Person>
        </b:NameList>
      </b:Author>
    </b:Author>
    <b:Title>Fairness, legitimacy, and tax compliance</b:Title>
    <b:Year>2022</b:Year>
    <b:JournalName>eJournal of Tax Research</b:JournalName>
    <b:Pages>186-212</b:Pages>
    <b:RefOrder>66</b:RefOrder>
  </b:Source>
</b:Sources>
</file>

<file path=customXml/itemProps1.xml><?xml version="1.0" encoding="utf-8"?>
<ds:datastoreItem xmlns:ds="http://schemas.openxmlformats.org/officeDocument/2006/customXml" ds:itemID="{D98A4516-4830-9944-A6F1-87F6C82E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D:\Printing\Perbanas\Ventura\Template Jurnal Ventura Versi 2.0.dot</Template>
  <TotalTime>543</TotalTime>
  <Pages>16</Pages>
  <Words>10584</Words>
  <Characters>60332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
  <LinksUpToDate>false</LinksUpToDate>
  <CharactersWithSpaces>70775</CharactersWithSpaces>
  <SharedDoc>false</SharedDoc>
  <HLinks>
    <vt:vector size="12" baseType="variant">
      <vt:variant>
        <vt:i4>393237</vt:i4>
      </vt:variant>
      <vt:variant>
        <vt:i4>6</vt:i4>
      </vt:variant>
      <vt:variant>
        <vt:i4>0</vt:i4>
      </vt:variant>
      <vt:variant>
        <vt:i4>5</vt:i4>
      </vt:variant>
      <vt:variant>
        <vt:lpwstr>https://peraturan.beacukai.go.id/</vt:lpwstr>
      </vt:variant>
      <vt:variant>
        <vt:lpwstr/>
      </vt:variant>
      <vt:variant>
        <vt:i4>7209003</vt:i4>
      </vt:variant>
      <vt:variant>
        <vt:i4>6</vt:i4>
      </vt:variant>
      <vt:variant>
        <vt:i4>0</vt:i4>
      </vt:variant>
      <vt:variant>
        <vt:i4>5</vt:i4>
      </vt:variant>
      <vt:variant>
        <vt:lpwstr>http://jurnal.unmer.ac.id/index.php/ap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subject/>
  <dc:creator>Bogalakon</dc:creator>
  <cp:keywords/>
  <cp:lastModifiedBy>Microsoft Office User</cp:lastModifiedBy>
  <cp:revision>248</cp:revision>
  <cp:lastPrinted>2017-09-07T06:24:00Z</cp:lastPrinted>
  <dcterms:created xsi:type="dcterms:W3CDTF">2023-10-30T03:43:00Z</dcterms:created>
  <dcterms:modified xsi:type="dcterms:W3CDTF">2023-11-02T06:22:00Z</dcterms:modified>
</cp:coreProperties>
</file>