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D895E" w14:textId="5716A311" w:rsidR="00563580" w:rsidRDefault="00563580" w:rsidP="00563580"/>
    <w:p w14:paraId="01FBB165" w14:textId="77777777" w:rsidR="00563580" w:rsidRPr="0039165A" w:rsidRDefault="00563580" w:rsidP="00563580">
      <w:pPr>
        <w:pStyle w:val="Title"/>
        <w:rPr>
          <w:sz w:val="28"/>
          <w:szCs w:val="32"/>
          <w:lang w:val="en-US"/>
        </w:rPr>
      </w:pPr>
      <w:r w:rsidRPr="0039165A">
        <w:rPr>
          <w:sz w:val="28"/>
          <w:szCs w:val="32"/>
          <w:lang w:val="id-ID"/>
        </w:rPr>
        <w:t xml:space="preserve">Tax Awareness, Taxation System, and Tax Sanctions </w:t>
      </w:r>
      <w:bookmarkStart w:id="0" w:name="_Hlk157690698"/>
      <w:r w:rsidRPr="0039165A">
        <w:rPr>
          <w:sz w:val="28"/>
          <w:szCs w:val="32"/>
          <w:lang w:val="id-ID"/>
        </w:rPr>
        <w:t xml:space="preserve">on Young Entrepreneurs' Intention not to Commit Tax </w:t>
      </w:r>
      <w:r>
        <w:rPr>
          <w:sz w:val="28"/>
          <w:szCs w:val="32"/>
          <w:lang w:val="en-US"/>
        </w:rPr>
        <w:t>Fraud</w:t>
      </w:r>
      <w:bookmarkEnd w:id="0"/>
    </w:p>
    <w:p w14:paraId="2FD125CA" w14:textId="77777777" w:rsidR="00563580" w:rsidRDefault="00563580" w:rsidP="00563580">
      <w:pPr>
        <w:pStyle w:val="Title"/>
        <w:rPr>
          <w:sz w:val="28"/>
          <w:szCs w:val="32"/>
          <w:lang w:val="en-US"/>
        </w:rPr>
      </w:pPr>
    </w:p>
    <w:p w14:paraId="05A395C6" w14:textId="77777777" w:rsidR="00563580" w:rsidRPr="00C5375A" w:rsidRDefault="00563580" w:rsidP="00563580">
      <w:pPr>
        <w:pStyle w:val="Title"/>
        <w:rPr>
          <w:sz w:val="28"/>
          <w:szCs w:val="32"/>
          <w:lang w:val="id-ID"/>
        </w:rPr>
      </w:pPr>
      <w:r>
        <w:rPr>
          <w:sz w:val="28"/>
          <w:szCs w:val="32"/>
          <w:lang w:val="id-ID"/>
        </w:rPr>
        <w:t xml:space="preserve">Kesadaran Pajak, Sistem Perpajakan, dan Sanksi Pajak </w:t>
      </w:r>
      <w:r>
        <w:rPr>
          <w:sz w:val="28"/>
          <w:szCs w:val="32"/>
          <w:lang w:val="en-US"/>
        </w:rPr>
        <w:t>t</w:t>
      </w:r>
      <w:r>
        <w:rPr>
          <w:sz w:val="28"/>
          <w:szCs w:val="32"/>
          <w:lang w:val="id-ID"/>
        </w:rPr>
        <w:t xml:space="preserve">erhadap Niat Wirausahawan Muda untuk </w:t>
      </w:r>
      <w:r>
        <w:rPr>
          <w:sz w:val="28"/>
          <w:szCs w:val="32"/>
          <w:lang w:val="en-US"/>
        </w:rPr>
        <w:t xml:space="preserve">Tidak </w:t>
      </w:r>
      <w:r>
        <w:rPr>
          <w:sz w:val="28"/>
          <w:szCs w:val="32"/>
          <w:lang w:val="id-ID"/>
        </w:rPr>
        <w:t>Melakukan Kecurangan Pajak</w:t>
      </w:r>
    </w:p>
    <w:p w14:paraId="6FB579CF" w14:textId="77777777" w:rsidR="00563580" w:rsidRPr="00C5375A" w:rsidRDefault="00563580" w:rsidP="00563580">
      <w:pPr>
        <w:pStyle w:val="Title"/>
        <w:rPr>
          <w:sz w:val="28"/>
          <w:szCs w:val="32"/>
          <w:lang w:val="id-ID"/>
        </w:rPr>
      </w:pPr>
    </w:p>
    <w:p w14:paraId="200EF2D6" w14:textId="77777777" w:rsidR="00563580" w:rsidRPr="00743AA4" w:rsidRDefault="00563580" w:rsidP="00563580">
      <w:pPr>
        <w:pStyle w:val="VenturaCover1"/>
        <w:rPr>
          <w:rFonts w:ascii="Book Antiqua" w:hAnsi="Book Antiqua"/>
        </w:rPr>
      </w:pPr>
    </w:p>
    <w:p w14:paraId="7886C04C" w14:textId="77777777" w:rsidR="00563580" w:rsidRPr="00FB42BF" w:rsidRDefault="00563580" w:rsidP="00563580">
      <w:pPr>
        <w:pStyle w:val="JAPPenulis"/>
        <w:rPr>
          <w:lang w:val="sv-SE"/>
        </w:rPr>
      </w:pPr>
      <w:r w:rsidRPr="00FB42BF">
        <w:t>Suyanto, Ahmad Ferdian Nurhuda, Fuadhillah Kirana Putri</w:t>
      </w:r>
    </w:p>
    <w:p w14:paraId="648C2B87" w14:textId="77777777" w:rsidR="00563580" w:rsidRPr="00743AA4" w:rsidRDefault="00563580" w:rsidP="00563580">
      <w:pPr>
        <w:pStyle w:val="Ventura-AuthorAddress"/>
        <w:rPr>
          <w:rFonts w:ascii="Book Antiqua" w:hAnsi="Book Antiqua"/>
          <w:lang w:val="sv-SE"/>
        </w:rPr>
      </w:pPr>
    </w:p>
    <w:p w14:paraId="706EC710" w14:textId="77777777" w:rsidR="00563580" w:rsidRPr="00FB42BF" w:rsidRDefault="00563580" w:rsidP="00563580">
      <w:pPr>
        <w:pStyle w:val="Ventura-AuthorAddress"/>
        <w:jc w:val="center"/>
        <w:rPr>
          <w:rFonts w:ascii="Book Antiqua" w:hAnsi="Book Antiqua"/>
          <w:lang w:val="sv-SE"/>
        </w:rPr>
      </w:pPr>
      <w:r w:rsidRPr="00C5375A">
        <w:rPr>
          <w:rFonts w:ascii="Book Antiqua" w:hAnsi="Book Antiqua"/>
          <w:lang w:val="sv-SE"/>
        </w:rPr>
        <w:t>Fakultas Ekonomi, Program Studi Akuntansi, Universitas Sarjanawiyata Tamansiswa</w:t>
      </w:r>
    </w:p>
    <w:p w14:paraId="64D795AA" w14:textId="77777777" w:rsidR="00563580" w:rsidRPr="007B3F0C" w:rsidRDefault="00563580" w:rsidP="00563580">
      <w:pPr>
        <w:pStyle w:val="Ventura-AuthorAddress"/>
        <w:jc w:val="center"/>
        <w:rPr>
          <w:rFonts w:ascii="Book Antiqua" w:hAnsi="Book Antiqua"/>
          <w:lang w:val="sv-SE"/>
        </w:rPr>
      </w:pPr>
      <w:r w:rsidRPr="00FB42BF">
        <w:rPr>
          <w:rFonts w:ascii="Book Antiqua" w:hAnsi="Book Antiqua"/>
          <w:lang w:val="sv-SE"/>
        </w:rPr>
        <w:t>Jl. Kusumanegara No.157, Muja Muju, Umbulharjo, Yogyakarta, DIY, 55165, Indonesia</w:t>
      </w:r>
    </w:p>
    <w:p w14:paraId="3D95877B" w14:textId="77777777" w:rsidR="00563580" w:rsidRPr="007B3F0C" w:rsidRDefault="00563580" w:rsidP="00563580">
      <w:pPr>
        <w:pStyle w:val="Ventura-AuthorAddress"/>
        <w:rPr>
          <w:rFonts w:ascii="Book Antiqua" w:hAnsi="Book Antiqua"/>
          <w:lang w:val="fr-FR"/>
        </w:rPr>
      </w:pPr>
    </w:p>
    <w:p w14:paraId="2C7B42AA" w14:textId="77777777" w:rsidR="00563580" w:rsidRPr="00FD4966" w:rsidRDefault="00563580" w:rsidP="00563580">
      <w:pPr>
        <w:pStyle w:val="Ventura-AuthorAddress"/>
        <w:rPr>
          <w:rFonts w:ascii="Book Antiqua" w:hAnsi="Book Antiqua"/>
        </w:rPr>
      </w:pPr>
    </w:p>
    <w:p w14:paraId="0FB94A74" w14:textId="77777777" w:rsidR="00563580" w:rsidRPr="00743AA4" w:rsidRDefault="00563580" w:rsidP="00563580">
      <w:pPr>
        <w:pStyle w:val="Ventura-AuthorAddress"/>
        <w:rPr>
          <w:rFonts w:ascii="Book Antiqua" w:hAnsi="Book Antiqua"/>
        </w:rPr>
        <w:sectPr w:rsidR="00563580" w:rsidRPr="00743AA4" w:rsidSect="00563580">
          <w:headerReference w:type="even" r:id="rId7"/>
          <w:headerReference w:type="default" r:id="rId8"/>
          <w:footerReference w:type="even" r:id="rId9"/>
          <w:footerReference w:type="default" r:id="rId10"/>
          <w:headerReference w:type="first" r:id="rId11"/>
          <w:footerReference w:type="first" r:id="rId12"/>
          <w:pgSz w:w="11907" w:h="16840" w:code="9"/>
          <w:pgMar w:top="1701" w:right="1247" w:bottom="1531" w:left="1134" w:header="1021" w:footer="1077" w:gutter="0"/>
          <w:pgNumType w:start="1"/>
          <w:cols w:space="720"/>
          <w:titlePg/>
          <w:docGrid w:linePitch="360"/>
        </w:sectPr>
      </w:pPr>
    </w:p>
    <w:p w14:paraId="5269FDAF" w14:textId="77777777" w:rsidR="00563580" w:rsidRDefault="00563580" w:rsidP="00563580">
      <w:pPr>
        <w:pStyle w:val="Ventura-AuthorAddress"/>
        <w:jc w:val="center"/>
        <w:rPr>
          <w:rFonts w:ascii="Book Antiqua" w:hAnsi="Book Antiqua"/>
          <w:b/>
          <w:i w:val="0"/>
          <w:sz w:val="18"/>
          <w:szCs w:val="18"/>
        </w:rPr>
      </w:pPr>
      <w:r w:rsidRPr="007B3F0C">
        <w:rPr>
          <w:rFonts w:ascii="Book Antiqua" w:hAnsi="Book Antiqua"/>
          <w:b/>
          <w:sz w:val="18"/>
          <w:szCs w:val="18"/>
        </w:rPr>
        <w:t>ABSTRACT</w:t>
      </w:r>
    </w:p>
    <w:p w14:paraId="47360F98" w14:textId="77777777" w:rsidR="00563580" w:rsidRPr="007B3F0C" w:rsidRDefault="00563580" w:rsidP="00563580">
      <w:pPr>
        <w:pStyle w:val="Ventura-AuthorAddress"/>
        <w:jc w:val="center"/>
        <w:rPr>
          <w:rFonts w:ascii="Book Antiqua" w:hAnsi="Book Antiqua"/>
          <w:b/>
          <w:i w:val="0"/>
          <w:sz w:val="18"/>
          <w:szCs w:val="18"/>
        </w:rPr>
      </w:pPr>
    </w:p>
    <w:p w14:paraId="00011F14" w14:textId="77777777" w:rsidR="00563580" w:rsidRDefault="00563580" w:rsidP="00563580">
      <w:pPr>
        <w:pStyle w:val="JAP-KeywordsABSTRACT"/>
        <w:rPr>
          <w:b w:val="0"/>
          <w:iCs/>
          <w:lang w:val="en-US"/>
        </w:rPr>
      </w:pPr>
      <w:r w:rsidRPr="00FB42BF">
        <w:rPr>
          <w:b w:val="0"/>
          <w:iCs/>
          <w:lang w:val="en-US"/>
        </w:rPr>
        <w:t xml:space="preserve">This study aims to examine the effect of tax awareness, tax system, and tax sanctions on young entrepreneurs' intention not to commit tax fraud. The test method used in this research is multiple linear regression analysis method. This type of research is quantitative. The data used in the study are primary data. Obtained by </w:t>
      </w:r>
      <w:r>
        <w:rPr>
          <w:b w:val="0"/>
          <w:iCs/>
          <w:lang w:val="en-US"/>
        </w:rPr>
        <w:t>u</w:t>
      </w:r>
      <w:r w:rsidRPr="00FB42BF">
        <w:rPr>
          <w:b w:val="0"/>
          <w:iCs/>
          <w:lang w:val="en-US"/>
        </w:rPr>
        <w:t xml:space="preserve">sing questionnaire the sample withdrawal method uses the </w:t>
      </w:r>
      <w:r>
        <w:rPr>
          <w:b w:val="0"/>
          <w:iCs/>
          <w:lang w:val="en-US"/>
        </w:rPr>
        <w:t>S</w:t>
      </w:r>
      <w:r w:rsidRPr="00FB42BF">
        <w:rPr>
          <w:b w:val="0"/>
          <w:iCs/>
          <w:lang w:val="en-US"/>
        </w:rPr>
        <w:t>lovin formula so that 150 respondents are obtained and the sampling technique uses snowball sampling technique. The questionnaire is spread through google form and the data obtained is run using SPSS version 23 software the data is analyzed with descriptive statistical tests, data quality tests, classical assumption tests, hypothesis testing. Based on simultaneous hypothesis testing (F test) the variables of tax awareness, tax system, and tax sanctions affect the intention of entrepreneurs not to commit tax fraud. The results of partial hypothesis testing (t test) show that tax awareness, taxation system, and tax sanctions have a positive effect on the intention of young entrepreneurs not to commit tax fraud. The results of this study can assist the government in designing more efficient and effective tax policies for young entrepreneurs.</w:t>
      </w:r>
    </w:p>
    <w:p w14:paraId="4611E21C" w14:textId="77777777" w:rsidR="00563580" w:rsidRPr="0089314A" w:rsidRDefault="00563580" w:rsidP="00563580">
      <w:pPr>
        <w:pStyle w:val="JAP-KeywordsABSTRACT"/>
      </w:pPr>
      <w:r w:rsidRPr="0089314A">
        <w:t>Keywords:</w:t>
      </w:r>
    </w:p>
    <w:p w14:paraId="371C2D95" w14:textId="77777777" w:rsidR="00563580" w:rsidRDefault="00563580" w:rsidP="00563580">
      <w:pPr>
        <w:pStyle w:val="Ventura-Heading1"/>
        <w:rPr>
          <w:b w:val="0"/>
          <w:bCs/>
          <w:i/>
          <w:caps w:val="0"/>
          <w:sz w:val="18"/>
          <w:szCs w:val="18"/>
          <w:lang w:val="sv-SE"/>
        </w:rPr>
      </w:pPr>
      <w:r w:rsidRPr="00FB42BF">
        <w:rPr>
          <w:b w:val="0"/>
          <w:bCs/>
          <w:i/>
          <w:caps w:val="0"/>
          <w:sz w:val="18"/>
          <w:szCs w:val="18"/>
          <w:lang w:val="sv-SE"/>
        </w:rPr>
        <w:t xml:space="preserve">Tax Awareness; Tax System; Tax Sanctions; Young Entrepreneurs; Tax </w:t>
      </w:r>
      <w:r>
        <w:rPr>
          <w:b w:val="0"/>
          <w:bCs/>
          <w:i/>
          <w:caps w:val="0"/>
          <w:sz w:val="18"/>
          <w:szCs w:val="18"/>
          <w:lang w:val="sv-SE"/>
        </w:rPr>
        <w:t>Fraud</w:t>
      </w:r>
    </w:p>
    <w:p w14:paraId="4F0D7390" w14:textId="77777777" w:rsidR="00563580" w:rsidRDefault="00563580" w:rsidP="00563580">
      <w:pPr>
        <w:pStyle w:val="Ventura-Heading1"/>
        <w:rPr>
          <w:b w:val="0"/>
          <w:bCs/>
          <w:i/>
          <w:iCs/>
          <w:caps w:val="0"/>
          <w:sz w:val="18"/>
          <w:szCs w:val="18"/>
          <w:lang w:val="sv-SE"/>
        </w:rPr>
      </w:pPr>
    </w:p>
    <w:p w14:paraId="52172B43" w14:textId="77777777" w:rsidR="00563580" w:rsidRDefault="00563580" w:rsidP="00563580">
      <w:pPr>
        <w:pStyle w:val="Ventura-AuthorAddress"/>
        <w:jc w:val="center"/>
        <w:rPr>
          <w:rFonts w:ascii="Book Antiqua" w:hAnsi="Book Antiqua"/>
          <w:b/>
          <w:i w:val="0"/>
          <w:sz w:val="18"/>
          <w:szCs w:val="18"/>
          <w:lang w:val="sv-SE"/>
        </w:rPr>
      </w:pPr>
      <w:r w:rsidRPr="007B3F0C">
        <w:rPr>
          <w:rFonts w:ascii="Book Antiqua" w:hAnsi="Book Antiqua"/>
          <w:b/>
          <w:i w:val="0"/>
          <w:sz w:val="18"/>
          <w:szCs w:val="18"/>
          <w:lang w:val="sv-SE"/>
        </w:rPr>
        <w:t>ABSTRACT</w:t>
      </w:r>
    </w:p>
    <w:p w14:paraId="5DE37BE9" w14:textId="77777777" w:rsidR="00563580" w:rsidRPr="007B3F0C" w:rsidRDefault="00563580" w:rsidP="00563580">
      <w:pPr>
        <w:pStyle w:val="Ventura-AuthorAddress"/>
        <w:jc w:val="center"/>
        <w:rPr>
          <w:rFonts w:ascii="Book Antiqua" w:hAnsi="Book Antiqua"/>
          <w:b/>
          <w:i w:val="0"/>
          <w:sz w:val="18"/>
          <w:szCs w:val="18"/>
          <w:lang w:val="sv-SE"/>
        </w:rPr>
      </w:pPr>
    </w:p>
    <w:p w14:paraId="7B1579ED" w14:textId="77777777" w:rsidR="00563580" w:rsidRDefault="00563580" w:rsidP="00563580">
      <w:pPr>
        <w:pStyle w:val="JAP-KataKunciABSTRAK"/>
        <w:rPr>
          <w:b w:val="0"/>
          <w:bCs/>
          <w:iCs/>
        </w:rPr>
      </w:pPr>
      <w:r>
        <w:rPr>
          <w:b w:val="0"/>
          <w:bCs/>
          <w:iCs/>
        </w:rPr>
        <w:t>Penelitian ini bertujuan untuk menguji pengaruh Kesadaran Pajak, Sistem Perpajakan, dan Sanksi Pajak Terhadap Niat Wirausahawan Muda Untuk Tidak Melakukan Kecurangan Pajak. Metode pengujian yang digunakan pada penelitian ini adalah metode analisis regresi linier berganda. Jenis penelitian ini adalah kuantitatif. Data yang digunakan pada penelitian adalah data primer. Metode penarikan sempel menggunakan rumus slovin sehingga diperoleh sebesar 150 responden dan teknik penentuan sampel menggunakan teknik snowball sampling. Kuesioner disebar menggunakan google from dan data yang diperoleh diolah menggunakan sotfware SPSS versi 23 dianalisis dengan uji statistik deskriptif, uji kualitas data, uji asumsi klasik, uji hipotesis. Berdasarkan uji hipotesis secara simultan (uji F) variabel kesadaran pajak, sistem perpajakan, dan sanksi pajak berpengaruh terhadap niat wirausahawan untuk tidak melakukan kecurangan pajak. Hasil uji hipotesis secara parsial (uji t) menunjukan kesadaran pajak, sistem perpajakan , dan sanksi pajak berpengaruh positif terhadap niat wirausahawan muda untuk tidak melakukan kecurangan pajak. Hasil penelitian ini dapat membantu pemerintah dalam merancang kebijakan perpajakan yang lebih efisien dan efektif untuk wirausahawan muda.</w:t>
      </w:r>
    </w:p>
    <w:p w14:paraId="01F3629A" w14:textId="77777777" w:rsidR="00563580" w:rsidRDefault="00563580" w:rsidP="00563580">
      <w:pPr>
        <w:pStyle w:val="JAP-KataKunciABSTRAK"/>
      </w:pPr>
      <w:r>
        <w:t xml:space="preserve">Kata Kunci: </w:t>
      </w:r>
    </w:p>
    <w:p w14:paraId="711A57D4" w14:textId="77777777" w:rsidR="00563580" w:rsidRDefault="00563580" w:rsidP="00563580">
      <w:pPr>
        <w:pStyle w:val="Ventura-AuthorAddress"/>
        <w:rPr>
          <w:rFonts w:ascii="Book Antiqua" w:hAnsi="Book Antiqua"/>
          <w:i w:val="0"/>
          <w:iCs/>
          <w:sz w:val="18"/>
          <w:szCs w:val="18"/>
          <w:lang w:val="sv-SE"/>
        </w:rPr>
      </w:pPr>
      <w:r>
        <w:rPr>
          <w:rFonts w:ascii="Book Antiqua" w:hAnsi="Book Antiqua"/>
          <w:i w:val="0"/>
          <w:iCs/>
          <w:sz w:val="18"/>
          <w:szCs w:val="18"/>
          <w:lang w:val="sv-SE"/>
        </w:rPr>
        <w:t>Kesadaran Pajak</w:t>
      </w:r>
      <w:r>
        <w:rPr>
          <w:rFonts w:ascii="Book Antiqua" w:hAnsi="Book Antiqua"/>
          <w:i w:val="0"/>
          <w:iCs/>
          <w:sz w:val="18"/>
          <w:szCs w:val="18"/>
          <w:lang w:val="id-ID"/>
        </w:rPr>
        <w:t>;</w:t>
      </w:r>
      <w:r>
        <w:rPr>
          <w:rFonts w:ascii="Book Antiqua" w:hAnsi="Book Antiqua"/>
          <w:i w:val="0"/>
          <w:iCs/>
          <w:sz w:val="18"/>
          <w:szCs w:val="18"/>
          <w:lang w:val="sv-SE"/>
        </w:rPr>
        <w:t xml:space="preserve"> Sistem Perpajakan</w:t>
      </w:r>
      <w:r>
        <w:rPr>
          <w:rFonts w:ascii="Book Antiqua" w:hAnsi="Book Antiqua"/>
          <w:i w:val="0"/>
          <w:iCs/>
          <w:sz w:val="18"/>
          <w:szCs w:val="18"/>
          <w:lang w:val="id-ID"/>
        </w:rPr>
        <w:t>;</w:t>
      </w:r>
      <w:r>
        <w:rPr>
          <w:rFonts w:ascii="Book Antiqua" w:hAnsi="Book Antiqua"/>
          <w:i w:val="0"/>
          <w:iCs/>
          <w:sz w:val="18"/>
          <w:szCs w:val="18"/>
          <w:lang w:val="sv-SE"/>
        </w:rPr>
        <w:t xml:space="preserve"> Sanksi Pajak</w:t>
      </w:r>
      <w:r>
        <w:rPr>
          <w:rFonts w:ascii="Book Antiqua" w:hAnsi="Book Antiqua"/>
          <w:i w:val="0"/>
          <w:iCs/>
          <w:sz w:val="18"/>
          <w:szCs w:val="18"/>
          <w:lang w:val="id-ID"/>
        </w:rPr>
        <w:t>;</w:t>
      </w:r>
      <w:r>
        <w:rPr>
          <w:rFonts w:ascii="Book Antiqua" w:hAnsi="Book Antiqua"/>
          <w:i w:val="0"/>
          <w:iCs/>
          <w:sz w:val="18"/>
          <w:szCs w:val="18"/>
          <w:lang w:val="sv-SE"/>
        </w:rPr>
        <w:t xml:space="preserve"> Wirausahawan Muda</w:t>
      </w:r>
      <w:r>
        <w:rPr>
          <w:rFonts w:ascii="Book Antiqua" w:hAnsi="Book Antiqua"/>
          <w:i w:val="0"/>
          <w:iCs/>
          <w:sz w:val="18"/>
          <w:szCs w:val="18"/>
          <w:lang w:val="id-ID"/>
        </w:rPr>
        <w:t>;</w:t>
      </w:r>
      <w:r>
        <w:rPr>
          <w:rFonts w:ascii="Book Antiqua" w:hAnsi="Book Antiqua"/>
          <w:i w:val="0"/>
          <w:iCs/>
          <w:sz w:val="18"/>
          <w:szCs w:val="18"/>
          <w:lang w:val="sv-SE"/>
        </w:rPr>
        <w:t xml:space="preserve"> Kecurangan Pajak</w:t>
      </w:r>
    </w:p>
    <w:p w14:paraId="1AA84E77" w14:textId="77777777" w:rsidR="00563580" w:rsidRDefault="00563580" w:rsidP="00563580">
      <w:pPr>
        <w:pStyle w:val="JAPSub-Judul"/>
      </w:pPr>
    </w:p>
    <w:p w14:paraId="45D6EBBE" w14:textId="77777777" w:rsidR="00563580" w:rsidRDefault="00563580" w:rsidP="00563580">
      <w:pPr>
        <w:pStyle w:val="JAPSub-Judul"/>
      </w:pPr>
      <w:r w:rsidRPr="00FD4966">
        <w:t>INTRODUCTION</w:t>
      </w:r>
    </w:p>
    <w:p w14:paraId="611EC0EC" w14:textId="77777777" w:rsidR="00563580" w:rsidRPr="00FD4966" w:rsidRDefault="00563580" w:rsidP="00563580">
      <w:pPr>
        <w:pStyle w:val="JAPSub-Judul"/>
      </w:pPr>
    </w:p>
    <w:p w14:paraId="73DC02F6" w14:textId="77777777" w:rsidR="00563580" w:rsidRDefault="00563580" w:rsidP="00563580">
      <w:pPr>
        <w:pStyle w:val="Caption"/>
        <w:ind w:firstLine="720"/>
        <w:jc w:val="both"/>
        <w:rPr>
          <w:rFonts w:cs="Times New Roman"/>
          <w:b w:val="0"/>
          <w:iCs w:val="0"/>
          <w:lang w:val="sv-SE" w:eastAsia="en-US"/>
        </w:rPr>
      </w:pPr>
      <w:r w:rsidRPr="00002952">
        <w:rPr>
          <w:rFonts w:cs="Times New Roman"/>
          <w:b w:val="0"/>
          <w:iCs w:val="0"/>
          <w:lang w:val="sv-SE" w:eastAsia="en-US"/>
        </w:rPr>
        <w:t xml:space="preserve">According to data from the </w:t>
      </w:r>
      <w:r w:rsidRPr="00084C60">
        <w:rPr>
          <w:rFonts w:cs="Times New Roman"/>
          <w:b w:val="0"/>
          <w:iCs w:val="0"/>
          <w:lang w:val="sv-SE" w:eastAsia="en-US"/>
        </w:rPr>
        <w:t>Central Statistics Agency (BPS), in 2023</w:t>
      </w:r>
      <w:r w:rsidRPr="00002952">
        <w:rPr>
          <w:rFonts w:cs="Times New Roman"/>
          <w:b w:val="0"/>
          <w:iCs w:val="0"/>
          <w:lang w:val="sv-SE" w:eastAsia="en-US"/>
        </w:rPr>
        <w:t xml:space="preserve"> there will be around 52 million young entrepreneurs in Indonesia</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URL":"https://databoks.katadata.co.id/datapublish/2023/12/15/ini-pertumbuhan-jumlah-wirausaha-di-indonesia-sampai-2023","accessed":{"date-parts":[["2024","2","3"]]},"author":[{"dropping-particle":"","family":"BPS","given":"","non-dropping-particle":"","parse-names":false,"suffix":""}],"container-title":"databoks.katadata.co.id","id":"ITEM-1","issued":{"date-parts":[["2023"]]},"title":"Ini Pertumbuhan Jumlah Wirausaha di Indonesia sampai 2023","type":"webpage"},"uris":["http://www.mendeley.com/documents/?uuid=e89c7f39-59d4-4ad4-86ed-95fad2ec786e"]}],"mendeley":{"formattedCitation":"(BPS, 2023)","plainTextFormattedCitation":"(BPS, 2023)"},"properties":{"noteIndex":0},"schema":"https://github.com/citation-style-language/schema/raw/master/csl-citation.json"}</w:instrText>
      </w:r>
      <w:r>
        <w:rPr>
          <w:rFonts w:cs="Times New Roman"/>
          <w:b w:val="0"/>
          <w:iCs w:val="0"/>
          <w:lang w:val="id-ID" w:eastAsia="en-US"/>
        </w:rPr>
        <w:fldChar w:fldCharType="separate"/>
      </w:r>
      <w:r w:rsidRPr="00084C60">
        <w:rPr>
          <w:rFonts w:cs="Times New Roman"/>
          <w:b w:val="0"/>
          <w:iCs w:val="0"/>
          <w:noProof/>
          <w:lang w:val="id-ID" w:eastAsia="en-US"/>
        </w:rPr>
        <w:t>(BPS, 2023)</w:t>
      </w:r>
      <w:r>
        <w:rPr>
          <w:rFonts w:cs="Times New Roman"/>
          <w:b w:val="0"/>
          <w:iCs w:val="0"/>
          <w:lang w:val="id-ID" w:eastAsia="en-US"/>
        </w:rPr>
        <w:fldChar w:fldCharType="end"/>
      </w:r>
      <w:r w:rsidRPr="00002952">
        <w:rPr>
          <w:rFonts w:cs="Times New Roman"/>
          <w:b w:val="0"/>
          <w:iCs w:val="0"/>
          <w:lang w:val="sv-SE" w:eastAsia="en-US"/>
        </w:rPr>
        <w:t>. This number is an accumulation of 32.2 million people who are self-employed, as well as 19.8 million people who are self-employed with the help of temporary workers/unpaid workers</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URL":"https://databoks.katadata.co.id/datapublish/2023/12/15/ini-pertumbuhan-jumlah-wirausaha-di-indonesia-sampai-2023","author":[{"dropping-particle":"","family":"Databoks","given":"","non-dropping-particle":"","parse-names":false,"suffix":""}],"container-title":"databoks.katadata.co.id","id":"ITEM-1","issued":{"date-parts":[["2023"]]},"title":"Ini Pertumbuhan Jumlah Wirausaha di Indonesia sampai 2023","type":"webpage"},"uris":["http://www.mendeley.com/documents/?uuid=909d5499-d936-414e-ba4c-315a44d8b9c9"]}],"mendeley":{"formattedCitation":"(Databoks, 2023)","plainTextFormattedCitation":"(Databoks, 2023)","previouslyFormattedCitation":"(Databoks, 2023)"},"properties":{"noteIndex":0},"schema":"https://github.com/citation-style-language/schema/raw/master/csl-citation.json"}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(Databoks, 2023)</w:t>
      </w:r>
      <w:r>
        <w:rPr>
          <w:rFonts w:cs="Times New Roman"/>
          <w:b w:val="0"/>
          <w:iCs w:val="0"/>
          <w:lang w:val="id-ID" w:eastAsia="en-US"/>
        </w:rPr>
        <w:fldChar w:fldCharType="end"/>
      </w:r>
      <w:r>
        <w:rPr>
          <w:rFonts w:cs="Times New Roman"/>
          <w:b w:val="0"/>
          <w:iCs w:val="0"/>
          <w:lang w:val="id-ID" w:eastAsia="en-US"/>
        </w:rPr>
        <w:t xml:space="preserve">. Meanwhile, the population in Indonesia in 2020 is predicted to reach 270 million people. In 2023 and in the next few years, it is predicted that the number of business actors </w:t>
      </w:r>
      <w:r>
        <w:rPr>
          <w:rFonts w:cs="Times New Roman"/>
          <w:b w:val="0"/>
          <w:iCs w:val="0"/>
          <w:lang w:val="id-ID" w:eastAsia="en-US"/>
        </w:rPr>
        <w:lastRenderedPageBreak/>
        <w:t xml:space="preserve">will continue to increase. The contribution of the Micro, Small and Medium Enterprises (MSME) sector to gross domestic product (GDP) is increasing from the previous year. The Ministry of Cooperatives and SMEs (MenKopUKM) recorded a contribution from 60.34 percent to 61.07 percent from the previous year and labor absorption in this sector also increased from 96.99 percent to 97.22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URL":"https://setneg.go.id/baca/index/kewirausahaan_umkm_dan_pertumbuhan_ekonomi","accessed":{"date-parts":[["2024","1","16"]]},"author":[{"dropping-particle":"","family":"MenKopUKM","given":"","non-dropping-particle":"","parse-names":false,"suffix":""}],"container-title":"kementrian sekertaris negara republik indonesia","id":"ITEM-1","issued":{"date-parts":[["2021"]]},"title":"Kewirausahaan UMKM dan Pertumbuhan Ekonomi","type":"webpage"},"uris":["http://www.mendeley.com/documents/?uuid=9cad4681-2763-4130-986e-9b8f3acc38e2"]}],"mendeley":{"formattedCitation":"(MenKopUKM, 2021)","plainTextFormattedCitation":"(MenKopUKM, 2021)","previouslyFormattedCitation":"(MenKopUKM, 2021)"},"properties":{"noteIndex":0},"schema":"https://github.com/citation-style-language/schema/raw/master/csl-citation.json"}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(MenKopUKM, 2021)</w:t>
      </w:r>
      <w:r>
        <w:rPr>
          <w:rFonts w:cs="Times New Roman"/>
          <w:b w:val="0"/>
          <w:iCs w:val="0"/>
          <w:lang w:val="id-ID" w:eastAsia="en-US"/>
        </w:rPr>
        <w:fldChar w:fldCharType="end"/>
      </w:r>
      <w:r w:rsidRPr="00002952">
        <w:rPr>
          <w:rFonts w:cs="Times New Roman"/>
          <w:b w:val="0"/>
          <w:iCs w:val="0"/>
          <w:lang w:val="sv-SE" w:eastAsia="en-US"/>
        </w:rPr>
        <w:t>. The MSME sector is very important for taxes in Indonesia because the trade and entrepreneurship sectors contribute 22.6 percent of the total tax collected</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URL":"https://ekbis.sindonews.com/read/779489/33/tujuh-sektor-penyumbang-pajak-terbesar-di-indonesia-1653473107","accessed":{"date-parts":[["2023","12","17"]]},"author":[{"dropping-particle":"","family":"Faizi","given":"Lutfan","non-dropping-particle":"","parse-names":false,"suffix":""}],"container-title":"sindonews.com","id":"ITEM-1","issued":{"date-parts":[["2022"]]},"title":"Tujuh Sektor Penyumbang Pajak Terbesar di Indonesia","type":"webpage"},"uris":["http://www.mendeley.com/documents/?uuid=e3ce8330-441a-4901-a147-9369b577028a"]}],"mendeley":{"formattedCitation":"(Faizi, 2022)","plainTextFormattedCitation":"(Faizi, 2022)","previouslyFormattedCitation":"(Faizi, 2022)"},"properties":{"noteIndex":0},"schema":"https://github.com/citation-style-language/schema/raw/master/csl-citation.json"}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(Faizi, 2022)</w:t>
      </w:r>
      <w:r>
        <w:rPr>
          <w:rFonts w:cs="Times New Roman"/>
          <w:b w:val="0"/>
          <w:iCs w:val="0"/>
          <w:lang w:val="id-ID" w:eastAsia="en-US"/>
        </w:rPr>
        <w:fldChar w:fldCharType="end"/>
      </w:r>
      <w:r w:rsidRPr="00002952">
        <w:rPr>
          <w:rFonts w:cs="Times New Roman"/>
          <w:b w:val="0"/>
          <w:iCs w:val="0"/>
          <w:lang w:val="sv-SE" w:eastAsia="en-US"/>
        </w:rPr>
        <w:t>.</w:t>
      </w:r>
    </w:p>
    <w:p w14:paraId="5A6A806A" w14:textId="77777777" w:rsidR="00563580" w:rsidRPr="00B56EBD" w:rsidRDefault="00563580" w:rsidP="00563580">
      <w:pPr>
        <w:pStyle w:val="Caption"/>
        <w:ind w:firstLine="720"/>
        <w:jc w:val="both"/>
        <w:rPr>
          <w:rFonts w:cs="Times New Roman"/>
          <w:b w:val="0"/>
          <w:iCs w:val="0"/>
          <w:lang w:val="id-ID" w:eastAsia="en-US"/>
        </w:rPr>
      </w:pPr>
      <w:r>
        <w:rPr>
          <w:rFonts w:cs="Times New Roman"/>
          <w:b w:val="0"/>
          <w:iCs w:val="0"/>
          <w:lang w:val="id-ID" w:eastAsia="en-US"/>
        </w:rPr>
        <w:t xml:space="preserve">Yogyakarta has a lot of young entrepreneurs, but not all of these young entrepreneurs have a NPWP to fulfill their obligations. According to the Department of Industry, Trade, Cooperatives and Agriculture of Yogyakarta City, there are 188,033 and only 30 percent or around 56,410 MSMEs in Yogyakarta City have NPWPs and are willing to pay taxes </w:t>
      </w:r>
      <w:r w:rsidRPr="00084C60">
        <w:rPr>
          <w:rFonts w:cs="Times New Roman"/>
          <w:b w:val="0"/>
          <w:iCs w:val="0"/>
          <w:lang w:val="id-ID" w:eastAsia="en-US"/>
        </w:rPr>
        <w:fldChar w:fldCharType="begin" w:fldLock="1"/>
      </w:r>
      <w:r w:rsidRPr="00084C60">
        <w:rPr>
          <w:rFonts w:cs="Times New Roman"/>
          <w:b w:val="0"/>
          <w:iCs w:val="0"/>
          <w:lang w:val="id-ID" w:eastAsia="en-US"/>
        </w:rPr>
        <w:instrText>ADDIN CSL_CITATION {"citationItems":[{"id":"ITEM-1","itemData":{"URL":"https://ekbis.harianjogja.com/read/2017/10/23/502/862382/waduh-jumlah-umkm-ber-npwp-masih-rendah","accessed":{"date-parts":[["2024","1","28"]]},"author":[{"dropping-particle":"","family":"Harainjogja","given":"","non-dropping-particle":"","parse-names":false,"suffix":""}],"container-title":"harianjogja.com","id":"ITEM-1","issued":{"date-parts":[["2021"]]},"title":"Waduh, Jumlah UMKM Ber-NPWP Masih Rendah","type":"webpage"},"uris":["http://www.mendeley.com/documents/?uuid=06cd7d0d-2bb5-4c49-98d7-68b7962794f0"]}],"mendeley":{"formattedCitation":"(Harainjogja, 2021)","plainTextFormattedCitation":"(Harainjogja, 2021)","previouslyFormattedCitation":"(Harainjogja, 2021)"},"properties":{"noteIndex":0},"schema":"https://github.com/citation-style-language/schema/raw/master/csl-citation.json"}</w:instrText>
      </w:r>
      <w:r w:rsidRPr="00084C60">
        <w:rPr>
          <w:rFonts w:cs="Times New Roman"/>
          <w:b w:val="0"/>
          <w:iCs w:val="0"/>
          <w:lang w:val="id-ID" w:eastAsia="en-US"/>
        </w:rPr>
        <w:fldChar w:fldCharType="separate"/>
      </w:r>
      <w:r w:rsidRPr="00084C60">
        <w:rPr>
          <w:rFonts w:cs="Times New Roman"/>
          <w:b w:val="0"/>
          <w:iCs w:val="0"/>
          <w:noProof/>
          <w:lang w:val="id-ID" w:eastAsia="en-US"/>
        </w:rPr>
        <w:t>(Har</w:t>
      </w:r>
      <w:r>
        <w:rPr>
          <w:rFonts w:cs="Times New Roman"/>
          <w:b w:val="0"/>
          <w:iCs w:val="0"/>
          <w:noProof/>
          <w:lang w:eastAsia="en-US"/>
        </w:rPr>
        <w:t>ian</w:t>
      </w:r>
      <w:r w:rsidRPr="00084C60">
        <w:rPr>
          <w:rFonts w:cs="Times New Roman"/>
          <w:b w:val="0"/>
          <w:iCs w:val="0"/>
          <w:noProof/>
          <w:lang w:val="id-ID" w:eastAsia="en-US"/>
        </w:rPr>
        <w:t>jogja, 2021)</w:t>
      </w:r>
      <w:r w:rsidRPr="00084C60">
        <w:rPr>
          <w:rFonts w:cs="Times New Roman"/>
          <w:b w:val="0"/>
          <w:iCs w:val="0"/>
          <w:lang w:val="id-ID" w:eastAsia="en-US"/>
        </w:rPr>
        <w:fldChar w:fldCharType="end"/>
      </w:r>
      <w:r w:rsidRPr="00084C60">
        <w:rPr>
          <w:rFonts w:cs="Times New Roman"/>
          <w:b w:val="0"/>
          <w:iCs w:val="0"/>
          <w:lang w:val="id-ID" w:eastAsia="en-US"/>
        </w:rPr>
        <w:t>.</w:t>
      </w:r>
      <w:r>
        <w:rPr>
          <w:rFonts w:cs="Times New Roman"/>
          <w:b w:val="0"/>
          <w:iCs w:val="0"/>
          <w:lang w:val="id-ID" w:eastAsia="en-US"/>
        </w:rPr>
        <w:t xml:space="preserve"> The level of willingness to pay taxes is low due to a lack of awareness of the importance of paying taxes. They feel reluctant to pay taxes because paying taxes will automatically reduce their income, and according to business actors, many of them do not understand the use of the online-based tax system so they have to queue at the tax office to report its obligations.</w:t>
      </w:r>
    </w:p>
    <w:p w14:paraId="42CD55D3" w14:textId="77777777" w:rsidR="00563580" w:rsidRPr="00D11212" w:rsidRDefault="00563580" w:rsidP="00563580">
      <w:pPr>
        <w:pStyle w:val="Caption"/>
        <w:ind w:firstLine="720"/>
        <w:jc w:val="both"/>
        <w:rPr>
          <w:rFonts w:cs="Times New Roman"/>
          <w:b w:val="0"/>
          <w:iCs w:val="0"/>
          <w:lang w:val="id-ID" w:eastAsia="en-US"/>
        </w:rPr>
      </w:pPr>
      <w:r w:rsidRPr="00002952">
        <w:rPr>
          <w:rFonts w:cs="Times New Roman"/>
          <w:b w:val="0"/>
          <w:iCs w:val="0"/>
          <w:lang w:val="sv-SE" w:eastAsia="en-US"/>
        </w:rPr>
        <w:t>Entrepreneurship can be defined as the behavior of an individual to achieve business or enterprise in various fields using opportunities and making good use of financial resources so as to generate profits</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{"citationItems":[{"id":"ITEM-1","itemData":{"DOI":"10.26740/jpak.v9n3.p323-330","ISSN":"2337-6457","abstract":"Improving human resources can never be separated from the process of educational activities. The role of education is expected to produce a generation that is superior, highly insightful, and has competitiveness to face the global era. Entrepreneurship is one of the subjects that must be taken by students. In practice, students are given the opportunity to go into the field to create a business according to their field or expertise. There is an assumption that business is only used as a sideline to meet the necessities of life or just to achieve personal pleasure to buy consumer goods. To overcome the problems faced by young entrepreneurs, especially students, a comprehensive material is needed to support knowledge and ability in entrepreneurship. The purpose of this study was to identify the financial literacy materials needed in entrepreneurship courses. The research data was obtained from the results of in-depth interviews with students who have taken entrepreneurship courses and have businesses and lecturers who are lecturers in entrepreneurship courses. The results of the study stated that there needs to be a balance between material on financial literacy and the depth of material related to financial management and business financing. In further development research, further developments related to planning, implementation and evaluation of financial literacy materials in entrepreneurship courses can be carried out as well as a more in-depth analysis of material development trial activities. The development of technology-based materials is expected to be the next alternative solution for the application of financial literacy materials in this course.","author":[{"dropping-particle":"","family":"Putri","given":"Sheila Febriani","non-dropping-particle":"","parse-names":false,"suffix":""},{"dropping-particle":"","family":"Wicaksono","given":"Mochammad Galih S","non-dropping-particle":"","parse-names":false,"suffix":""},{"dropping-particle":"","family":"Cahayati","given":"Nila","non-dropping-particle":"","parse-names":false,"suffix":""}],"container-title":"Jurnal Pendidikan Akuntansi (JPAK)","id":"ITEM-1","issue":"3","issued":{"date-parts":[["2021"]]},"page":"323-330","title":"Analisis Kebutuhan Materi Literasi Keuangan Dasar untuk Meningkatkan Kompetensi Keuangan Dasar pada Wirausahawan Muda","type":"article-journal","volume":"9"},"uris":["http://www.mendeley.com/documents/?uuid=b4fc45e5-bb20-4c93-8d89-c0decc60f790"]}],"mendeley":{"formattedCitation":"(S. F. Putri et al., 2021)","manualFormatting":"(Putri et al., 2021)","plainTextFormattedCitation":"(S. F. Putri et al., 2021)","previouslyFormattedCitation":"(S. F. Putri et al., 2021)"},"properties":{"noteIndex":0},"schema":"https://github.com/citation-style-language/schema/raw/master/csl-citation.json"}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(Putri et al., 2021)</w:t>
      </w:r>
      <w:r>
        <w:rPr>
          <w:rFonts w:cs="Times New Roman"/>
          <w:b w:val="0"/>
          <w:iCs w:val="0"/>
          <w:lang w:val="id-ID" w:eastAsia="en-US"/>
        </w:rPr>
        <w:fldChar w:fldCharType="end"/>
      </w:r>
      <w:r w:rsidRPr="00002952">
        <w:rPr>
          <w:rFonts w:cs="Times New Roman"/>
          <w:b w:val="0"/>
          <w:iCs w:val="0"/>
          <w:lang w:val="sv-SE" w:eastAsia="en-US"/>
        </w:rPr>
        <w:t>. Characteristics of young entrepreneurs which are internal factors that influence business success lead to characters such as: having high enthusiasm, having the desire to always innovate, always accepting responsibility as best as possible, wanting to achieve very high levels and daring to take risks</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{"citationItems":[{"id":"ITEM-1","itemData":{"DOI":"10.1186/s40497-019-0178-y","ISBN":"4049701901","ISSN":"2228-7566","abstract":"Small-scale firms are essential contributors to employment generation and growth of many economies. In recognition of their salient role, several policy interventions have been implemented to enhance job creation functions of small-scale firms. This study examined one of these interventions, that is, promotion of small-scale firms in Sunyani municipality of Ghana by analyzing the effect of entrepreneurs, firm, and institutional characteristics on the growth of small-scale firms. A cross-sectional survey was conducted involving 200 small-scale firm operators selected through multi-stage sampling. Both descriptive and inferential analytical tools were used to analyze the data. Descriptive techniques employed included means, frequencies, and cross-tabulations. The inferential analysis included the use of multivariate multiple regression techniques that estimate a single regression model with more than one dependent variable simultaneously. The findings show three types of small-scale enterprises viz. processing (dominated by females), artisans, and service sector (dominated by males) at Sunyani municipality of Ghana. The main findings show that demographic factors (sex of operator, completion of formal education at basic school level or junior high school), institutional variables (bank investment and training services), and firm characteristics (artisan and craft industry type) conjointly and significantly influence small-scale firm performance (number of employees and sales or monthly revenue). Consequent implications for developing economies (such as Ghana) include the need for the introduction of entrepreneurship education at basic level of education in addition to the current practice where entrepreneurship education is mostly limited to tertiary institutions or undergraduate levels, and linking provision of investment services with requisite skills training and backstopping in interventions targeting small-scale firms.","author":[{"dropping-particle":"","family":"Essel","given":"Bernard Kwamena Cobbina","non-dropping-particle":"","parse-names":false,"suffix":""},{"dropping-particle":"","family":"Adams","given":"Faizal","non-dropping-particle":"","parse-names":false,"suffix":""},{"dropping-particle":"","family":"Amankwah","given":"Kwadwo","non-dropping-particle":"","parse-names":false,"suffix":""}],"container-title":"Journal of Global Entrepreneurship Research","id":"ITEM-1","issue":"1","issued":{"date-parts":[["2019"]]},"publisher":"Journal of Global Entrepreneurship Research","title":"Effect of entrepreneur, firm, and institutional characteristics on small-scale firm performance in Ghana","type":"article-journal","volume":"9"},"uris":["http://www.mendeley.com/documents/?uuid=96034e47-356a-4b9b-845d-6cea0d857f66"]}],"mendeley":{"formattedCitation":"(Essel et al., 2019)","plainTextFormattedCitation":"(Essel et al., 2019)","previouslyFormattedCitation":"(Essel et al., 2019)"},"properties":{"noteIndex":0},"schema":"https://github.com/citation-style-language/schema/raw/master/csl-citation.json"}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(Essel et al., 2019)</w:t>
      </w:r>
      <w:r>
        <w:rPr>
          <w:rFonts w:cs="Times New Roman"/>
          <w:b w:val="0"/>
          <w:iCs w:val="0"/>
          <w:lang w:val="id-ID" w:eastAsia="en-US"/>
        </w:rPr>
        <w:fldChar w:fldCharType="end"/>
      </w:r>
      <w:r w:rsidRPr="00002952">
        <w:rPr>
          <w:rFonts w:cs="Times New Roman"/>
          <w:b w:val="0"/>
          <w:iCs w:val="0"/>
          <w:lang w:val="sv-SE" w:eastAsia="en-US"/>
        </w:rPr>
        <w:t>. A young entrepreneur is required to always be optimistic, think positively and creatively to face all circumstances in a very dynamic business environment</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{"citationItems":[{"id":"ITEM-1","itemData":{"DOI":"10.1186/s40497-019-0178-y","ISBN":"4049701901","ISSN":"2228-7566","abstract":"Small-scale firms are essential contributors to employment generation and growth of many economies. In recognition of their salient role, several policy interventions have been implemented to enhance job creation functions of small-scale firms. This study examined one of these interventions, that is, promotion of small-scale firms in Sunyani municipality of Ghana by analyzing the effect of entrepreneurs, firm, and institutional characteristics on the growth of small-scale firms. A cross-sectional survey was conducted involving 200 small-scale firm operators selected through multi-stage sampling. Both descriptive and inferential analytical tools were used to analyze the data. Descriptive techniques employed included means, frequencies, and cross-tabulations. The inferential analysis included the use of multivariate multiple regression techniques that estimate a single regression model with more than one dependent variable simultaneously. The findings show three types of small-scale enterprises viz. processing (dominated by females), artisans, and service sector (dominated by males) at Sunyani municipality of Ghana. The main findings show that demographic factors (sex of operator, completion of formal education at basic school level or junior high school), institutional variables (bank investment and training services), and firm characteristics (artisan and craft industry type) conjointly and significantly influence small-scale firm performance (number of employees and sales or monthly revenue). Consequent implications for developing economies (such as Ghana) include the need for the introduction of entrepreneurship education at basic level of education in addition to the current practice where entrepreneurship education is mostly limited to tertiary institutions or undergraduate levels, and linking provision of investment services with requisite skills training and backstopping in interventions targeting small-scale firms.","author":[{"dropping-particle":"","family":"Essel","given":"Bernard Kwamena Cobbina","non-dropping-particle":"","parse-names":false,"suffix":""},{"dropping-particle":"","family":"Adams","given":"Faizal","non-dropping-particle":"","parse-names":false,"suffix":""},{"dropping-particle":"","family":"Amankwah","given":"Kwadwo","non-dropping-particle":"","parse-names":false,"suffix":""}],"container-title":"Journal of Global Entrepreneurship Research","id":"ITEM-1","issue":"1","issued":{"date-parts":[["2019"]]},"publisher":"Journal of Global Entrepreneurship Research","title":"Effect of entrepreneur, firm, and institutional characteristics on small-scale firm performance in Ghana","type":"article-journal","volume":"9"},"uris":["http://www.mendeley.com/documents/?uuid=96034e47-356a-4b9b-845d-6cea0d857f66"]}],"mendeley":{"formattedCitation":"(Essel et al., 2019)","plainTextFormattedCitation":"(Essel et al., 2019)","previouslyFormattedCitation":"(Essel et al., 2019)"},"properties":{"noteIndex":0},"schema":"https://github.com/citation-style-language/schema/raw/master/csl-citation.json"}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(Essel et al., 2019)</w:t>
      </w:r>
      <w:r>
        <w:rPr>
          <w:rFonts w:cs="Times New Roman"/>
          <w:b w:val="0"/>
          <w:iCs w:val="0"/>
          <w:lang w:val="id-ID" w:eastAsia="en-US"/>
        </w:rPr>
        <w:fldChar w:fldCharType="end"/>
      </w:r>
      <w:r w:rsidRPr="00002952">
        <w:rPr>
          <w:rFonts w:cs="Times New Roman"/>
          <w:b w:val="0"/>
          <w:iCs w:val="0"/>
          <w:lang w:val="sv-SE" w:eastAsia="en-US"/>
        </w:rPr>
        <w:t>. Entrepreneurs do not feel afraid of the risks that will occur because they have the ability and skills to overcome these risks</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{"citationItems":[{"id":"ITEM-1","itemData":{"DOI":"10.24036/invotek.v19i1.433","ISSN":"1411-3414","abstract":"Pertumbuhan industri/lapangan kerja tidak sebanding dengan jumlah lulusan SMK menjadikan tingkat persaingan bekerja semakin ketat. Untuk menyiapkan lulusan dan mengurangi angka penganguran di SMKN 1 Tarusan dan SMKN 2 Painan, maka peneliti mencoba meimplemtansikan pembelajaran berbasis produk, untuk membuka wawasan siswa tentang wirausaha. Daerah Pesisir Selatan merupakan satu-satunya daerah yang telah mendapatkan predikat Wisata Shar’I, sehingga menjadi peluang bagus bagi alumni SMK untuk berkreasi menciptakan produk inovatif yang bernilai jual sebagai cendramata wisata daerah Pesisir Selatan. Metode pebelajaran berbasis produk ini menerapkan rancangan penelitian R&amp;D. Produk yang dihasilkan sampel penelitian adalah Lampu Hias dari Stick es Krim. Implementasi pembelajaran berbasis produk telah mampu meningkatkan minat siswa untuk berwirausaha sebesar 44%.","author":[{"dropping-particle":"","family":"Basri","given":"Irma Yulia","non-dropping-particle":"","parse-names":false,"suffix":""},{"dropping-particle":"","family":"Faiza","given":"Delsina","non-dropping-particle":"","parse-names":false,"suffix":""},{"dropping-particle":"","family":"Nasir","given":"M","non-dropping-particle":"","parse-names":false,"suffix":""},{"dropping-particle":"","family":"Nasrun","given":"Nasrun","non-dropping-particle":"","parse-names":false,"suffix":""}],"container-title":"INVOTEK: Jurnal Inovasi Vokasional dan Teknologi","id":"ITEM-1","issue":"1","issued":{"date-parts":[["2019"]]},"page":"43-52","title":"Implementasi Pembelajaran Berbasis Produk Dalam Rangka Menyiapkan Lulusan SMK Menjadi Wirausahawan Muda","type":"article-journal","volume":"19"},"uris":["http://www.mendeley.com/documents/?uuid=758ab167-6a92-492a-88fb-2fb09c5eb400"]}],"mendeley":{"formattedCitation":"(Basri et al., 2019)","plainTextFormattedCitation":"(Basri et al., 2019)","previouslyFormattedCitation":"(Basri et al., 2019)"},"properties":{"noteIndex":0},"schema":"https://github.com/citation-style-language/schema/raw/master/csl-citation.json"}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(Basri et al., 2019)</w:t>
      </w:r>
      <w:r>
        <w:rPr>
          <w:rFonts w:cs="Times New Roman"/>
          <w:b w:val="0"/>
          <w:iCs w:val="0"/>
          <w:lang w:val="id-ID" w:eastAsia="en-US"/>
        </w:rPr>
        <w:fldChar w:fldCharType="end"/>
      </w:r>
      <w:r w:rsidRPr="00002952">
        <w:rPr>
          <w:rFonts w:cs="Times New Roman"/>
          <w:b w:val="0"/>
          <w:iCs w:val="0"/>
          <w:lang w:val="sv-SE" w:eastAsia="en-US"/>
        </w:rPr>
        <w:t>. Young entrepreneurs tend to have lower incomes and are less able to manage taxes, besides that, young entrepreneurs are also more vulnerable to errors in managing taxes and lack experience in the tax system</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URL":"https://smeru.or.id/id/research-id/ekosistem-kewirausahaan-pemuda-di-indonesia","accessed":{"date-parts":[["2024","1","17"]]},"author":[{"dropping-particle":"","family":"Widyaningsih","given":"Dyan","non-dropping-particle":"","parse-names":false,"suffix":""},{"dropping-particle":"","family":"Fatah","given":"Akhmad Ramadhan","non-dropping-particle":"","parse-names":false,"suffix":""}],"container-title":"SMERU Research Institute","id":"ITEM-1","issued":{"date-parts":[["2021"]]},"title":"Ekosistem Kewirausahaan Pemuda di Indonesia","type":"webpage"},"uris":["http://www.mendeley.com/documents/?uuid=8426a770-1927-4b8b-a5cf-a667c7ec36ac"]}],"mendeley":{"formattedCitation":"(Widyaningsih &amp; Fatah, 2021)","plainTextFormattedCitation":"(Widyaningsih &amp; Fatah, 2021)","previouslyFormattedCitation":"(Widyaningsih &amp; Fatah, 2021)"},"properties":{"noteIndex":0},"schema":"https://github.com/citation-style-language/schema/raw/master/csl-citation.json"}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(Widyaningsih &amp; Fatah, 2021)</w:t>
      </w:r>
      <w:r>
        <w:rPr>
          <w:rFonts w:cs="Times New Roman"/>
          <w:b w:val="0"/>
          <w:iCs w:val="0"/>
          <w:lang w:val="id-ID" w:eastAsia="en-US"/>
        </w:rPr>
        <w:fldChar w:fldCharType="end"/>
      </w:r>
      <w:r>
        <w:rPr>
          <w:rFonts w:cs="Times New Roman"/>
          <w:b w:val="0"/>
          <w:iCs w:val="0"/>
          <w:lang w:val="id-ID" w:eastAsia="en-US"/>
        </w:rPr>
        <w:t>.</w:t>
      </w:r>
    </w:p>
    <w:p w14:paraId="5A624808" w14:textId="77777777" w:rsidR="00563580" w:rsidRPr="00002952" w:rsidRDefault="00563580" w:rsidP="00563580">
      <w:pPr>
        <w:pStyle w:val="Caption"/>
        <w:ind w:firstLine="720"/>
        <w:jc w:val="both"/>
        <w:rPr>
          <w:rFonts w:cs="Times New Roman"/>
          <w:b w:val="0"/>
          <w:iCs w:val="0"/>
          <w:lang w:val="sv-SE" w:eastAsia="en-US"/>
        </w:rPr>
      </w:pPr>
      <w:r w:rsidRPr="00002952">
        <w:rPr>
          <w:rFonts w:cs="Times New Roman"/>
          <w:b w:val="0"/>
          <w:iCs w:val="0"/>
          <w:lang w:val="sv-SE" w:eastAsia="en-US"/>
        </w:rPr>
        <w:t>Data on the tax crime mode that often occurs is falsification of tax invoices in around 44 cases, in this case, young entrepreneurs report tax invoices that are not based on actual transactions</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URL":"https://www.cnbcindonesia.com/news/20211021123320-4-285440/kejahatan-pajak-orang-ri-palsukan-npwp-sampai-cuci-uang","accessed":{"date-parts":[["2023","9","24"]]},"author":[{"dropping-particle":"","family":"Julita","given":"Lidya","non-dropping-particle":"","parse-names":false,"suffix":""}],"container-title":"CNBCIndonesia.com","id":"ITEM-1","issued":{"date-parts":[["2021"]]},"title":"Kejahatan Pajak Orang RI: Palsukan NPWP Sampai Cuci Uang!","type":"webpage"},"uris":["http://www.mendeley.com/documents/?uuid=2b44bf7e-ab4b-44d6-a7cb-b3945bc38493"]}],"mendeley":{"formattedCitation":"(Julita, 2021)","plainTextFormattedCitation":"(Julita, 2021)","previouslyFormattedCitation":"(Julita, 2021)"},"properties":{"noteIndex":0},"schema":"https://github.com/citation-style-language/schema/raw/master/csl-citation.json"}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(Julita, 2021)</w:t>
      </w:r>
      <w:r>
        <w:rPr>
          <w:rFonts w:cs="Times New Roman"/>
          <w:b w:val="0"/>
          <w:iCs w:val="0"/>
          <w:lang w:val="id-ID" w:eastAsia="en-US"/>
        </w:rPr>
        <w:fldChar w:fldCharType="end"/>
      </w:r>
      <w:r w:rsidRPr="00002952">
        <w:rPr>
          <w:rFonts w:cs="Times New Roman"/>
          <w:b w:val="0"/>
          <w:iCs w:val="0"/>
          <w:lang w:val="sv-SE" w:eastAsia="en-US"/>
        </w:rPr>
        <w:t>. One example of a case that occurred in Jakarta, the perpetrator with the initials HI, 39 years old, was handed over to the South Jakarta District Prosecutor's Office after causing losses to the state amounting to IDR 10.2 billion, the suspect falsified tax invoices that were not based on actual transactions through PT. Bul for the period 2011-2021</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URL":"https://money.kompas.com/read/2021/11/23/124957026/tersangka-kasus-pidana-pajak-ini-rugikan-negara-hingga-rp-102-miliar","accessed":{"date-parts":[["2023","4","4"]]},"author":[{"dropping-particle":"","family":"Ulya","given":"Fika Nurul","non-dropping-particle":"","parse-names":false,"suffix":""}],"container-title":"kompas.com","id":"ITEM-1","issued":{"date-parts":[["2021"]]},"title":"Tersangka Kasus Pidana Pajak Ini Rugikan Negara hingga Rp 10,2 Miliar","type":"webpage"},"uris":["http://www.mendeley.com/documents/?uuid=c8bab33d-2bed-4e80-aad9-ae6c6ce78a55"]}],"mendeley":{"formattedCitation":"(Ulya, 2021)","plainTextFormattedCitation":"(Ulya, 2021)","previouslyFormattedCitation":"(Ulya, 2021)"},"properties":{"noteIndex":0},"schema":"https://github.com/citation-style-language/schema/raw/master/csl-citation.json"}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(Ulya, 2021)</w:t>
      </w:r>
      <w:r>
        <w:rPr>
          <w:rFonts w:cs="Times New Roman"/>
          <w:b w:val="0"/>
          <w:iCs w:val="0"/>
          <w:lang w:val="id-ID" w:eastAsia="en-US"/>
        </w:rPr>
        <w:fldChar w:fldCharType="end"/>
      </w:r>
      <w:r w:rsidRPr="00002952">
        <w:rPr>
          <w:rFonts w:cs="Times New Roman"/>
          <w:b w:val="0"/>
          <w:iCs w:val="0"/>
          <w:lang w:val="sv-SE" w:eastAsia="en-US"/>
        </w:rPr>
        <w:t>. The Government Budget and State Expenditures (APBN) included in tax government data from 2019-2022 show a continued increase, but it does not rule out the possibility that there will be a decrease caused by tax fraud, such as the example of the invoice falsification case above</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URL":"https://www.pajak.go.id/id/laporan-kinerja-tahun-2020","accessed":{"date-parts":[["2023","4","4"]]},"author":[{"dropping-particle":"","family":"Utomo","given":"Suryo","non-dropping-particle":"","parse-names":false,"suffix":""}],"container-title":"Direktorat Jendral Pajak","id":"ITEM-1","issued":{"date-parts":[["2021"]]},"title":"Laporan Kinerja Tahun 2020","type":"webpage"},"uris":["http://www.mendeley.com/documents/?uuid=37ff3c33-25b9-4860-85dd-3d0ed779da36"]}],"mendeley":{"formattedCitation":"(Utomo, 2021)","plainTextFormattedCitation":"(Utomo, 2021)","previouslyFormattedCitation":"(Utomo, 2021)"},"properties":{"noteIndex":0},"schema":"https://github.com/citation-style-language/schema/raw/master/csl-citation.json"}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(Utomo, 2021)</w:t>
      </w:r>
      <w:r>
        <w:rPr>
          <w:rFonts w:cs="Times New Roman"/>
          <w:b w:val="0"/>
          <w:iCs w:val="0"/>
          <w:lang w:val="id-ID" w:eastAsia="en-US"/>
        </w:rPr>
        <w:fldChar w:fldCharType="end"/>
      </w:r>
      <w:r w:rsidRPr="00002952">
        <w:rPr>
          <w:rFonts w:cs="Times New Roman"/>
          <w:b w:val="0"/>
          <w:iCs w:val="0"/>
          <w:lang w:val="sv-SE" w:eastAsia="en-US"/>
        </w:rPr>
        <w:t>.</w:t>
      </w:r>
    </w:p>
    <w:p w14:paraId="07724695" w14:textId="77777777" w:rsidR="00563580" w:rsidRPr="00002952" w:rsidRDefault="00563580" w:rsidP="00563580">
      <w:pPr>
        <w:pStyle w:val="Caption"/>
        <w:ind w:firstLine="720"/>
        <w:jc w:val="both"/>
        <w:rPr>
          <w:rFonts w:cs="Times New Roman"/>
          <w:b w:val="0"/>
          <w:iCs w:val="0"/>
          <w:lang w:val="sv-SE" w:eastAsia="en-US"/>
        </w:rPr>
      </w:pPr>
      <w:r w:rsidRPr="00002952">
        <w:rPr>
          <w:rFonts w:cs="Times New Roman"/>
          <w:b w:val="0"/>
          <w:iCs w:val="0"/>
          <w:lang w:val="sv-SE" w:eastAsia="en-US"/>
        </w:rPr>
        <w:t>Tax is a mandatory and compelling obligation, and is the country's largest income so it helps the country's economy. There are still entrepreneurs who do not want to pay taxes for various reasons</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{"citationItems":[{"id":"ITEM-1","itemData":{"DOI":"10.52859/jba.v10i1.281","ISSN":"2338-1132","abstract":"This Research examine whether the tax rates, tax systems, the intention to commit tax evasion. The research collected a sample from students majors at Sarjanawiyata Tamansiswa Yogyakarta University. The sample in this study is determined by sampling convenience method. The data collected with the distribution of questionnaires. Number of questionnaires processed was 100 questionnaires. The result of the research indicates that Tax rates has positif on intention to commit tax evasion. Tax system has no influenceon intention to commit tax evasion.","author":[{"dropping-particle":"","family":"Wardani","given":"Dewi Kusuma","non-dropping-particle":"","parse-names":false,"suffix":""},{"dropping-particle":"","family":"Rahmawatiningsih","given":"Nurfitri","non-dropping-particle":"","parse-names":false,"suffix":""}],"container-title":"Jurnal Bina Akuntansi","id":"ITEM-1","issued":{"date-parts":[["2022"]]},"title":"Pengaruh Tarif Dan Sistem Perpajakan Terhadap Niat Melakukan Penggelapan Pajak","type":"article-journal"},"uris":["http://www.mendeley.com/documents/?uuid=5e40e65a-f673-4569-8caa-5535228043ed"]}],"mendeley":{"formattedCitation":"(Wardani &amp; Rahmawatiningsih, 2022)","plainTextFormattedCitation":"(Wardani &amp; Rahmawatiningsih, 2022)","previouslyFormattedCitation":"(Wardani &amp; Rahmawatiningsih, 2022)"},"properties":{"noteIndex":0},"schema":"https://github.com/citation-style-language/schema/raw/master/csl-citation.json"}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(Wardani &amp; Rahmawatiningsih, 2022)</w:t>
      </w:r>
      <w:r>
        <w:rPr>
          <w:rFonts w:cs="Times New Roman"/>
          <w:b w:val="0"/>
          <w:iCs w:val="0"/>
          <w:lang w:val="id-ID" w:eastAsia="en-US"/>
        </w:rPr>
        <w:fldChar w:fldCharType="end"/>
      </w:r>
      <w:r w:rsidRPr="00002952">
        <w:rPr>
          <w:rFonts w:cs="Times New Roman"/>
          <w:b w:val="0"/>
          <w:iCs w:val="0"/>
          <w:lang w:val="sv-SE" w:eastAsia="en-US"/>
        </w:rPr>
        <w:t>. Entrepreneurs will try to minimize business expenses so that profits can be maximized, one way is to minimize the company's tax burden</w:t>
      </w:r>
      <w:r>
        <w:rPr>
          <w:rFonts w:cs="Times New Roman"/>
          <w:b w:val="0"/>
          <w:iCs w:val="0"/>
          <w:lang w:val="id-ID" w:eastAsia="en-US"/>
        </w:rPr>
        <w:t xml:space="preserve"> </w:t>
      </w:r>
      <w:r>
        <w:rPr>
          <w:rFonts w:cs="Times New Roman"/>
          <w:b w:val="0"/>
          <w:iCs w:val="0"/>
          <w:lang w:val="sv-SE" w:eastAsia="en-US"/>
        </w:rPr>
        <w:fldChar w:fldCharType="begin" w:fldLock="1"/>
      </w:r>
      <w:r>
        <w:rPr>
          <w:rFonts w:cs="Times New Roman"/>
          <w:b w:val="0"/>
          <w:iCs w:val="0"/>
          <w:lang w:val="sv-SE" w:eastAsia="en-US"/>
        </w:rPr>
        <w:instrText>ADDIN CSL_CITATION {"citationItems":[{"id":"ITEM-1","itemData":{"DOI":"10.9744/jmk.13.2.124-134","ISSN":"1411-1438","abstract":"Penelitian ini bertujuan untuk menginvestigasi faktor-faktor yang mempengaruhi minat mahasiswa menekuni dunia wirausaha. Model yang dianalisa mencakup faktor-faktor internal, faktor-faktor sikap terhadap terhadap kewirausahaan dan faktor-faktor kontekstual. Penelitian ini melibatkan sampel 225 orang mahasiswa dari 6 fakultas di Universitas Kristen Satyawacana yang diperoleh dengan menggunakan teknik accidental sampling. Hasil-hasil penelitian menunjukkan signifikansi dari faktor-faktor sikap, yaitu faktor otonomi dan otoritas, faktor realisasi diri, faktor keyakinan, dan faktor jaminan keamanan, dalam mempengaruhi minat berwirausaha mahasiswa. Lebih lanjut, penelitian ini juga membuktikan peran penting dari faktor-faktor kontekstual, seperti dukungan akademik, dukungan sosial, terhadap niat berwirausaha dikalangan mahasiswa. Kata Kunci: niat kewirausahaan, faktor internal, faktor sikap, faktor kontekstual","author":[{"dropping-particle":"","family":"Suharti","given":"Lieli","non-dropping-particle":"","parse-names":false,"suffix":""},{"dropping-particle":"","family":"Sirine","given":"Hani","non-dropping-particle":"","parse-names":false,"suffix":""}],"container-title":"Jurnal Manajemen dan Kewirausahaan","id":"ITEM-1","issue":"2","issued":{"date-parts":[["2012"]]},"title":"Faktor-Faktor yang Berpengaruh Terhadap Niat Kewirausahaan (Entrepreneurial Intention)","type":"article-journal","volume":"13"},"uris":["http://www.mendeley.com/documents/?uuid=57e8fa33-f6e7-43f3-8a84-a1ec5109f1f6"]}],"mendeley":{"formattedCitation":"(Suharti &amp; Sirine, 2012)","plainTextFormattedCitation":"(Suharti &amp; Sirine, 2012)","previouslyFormattedCitation":"(Suharti &amp; Sirine, 2012)"},"properties":{"noteIndex":0},"schema":"https://github.com/citation-style-language/schema/raw/master/csl-citation.json"}</w:instrText>
      </w:r>
      <w:r>
        <w:rPr>
          <w:rFonts w:cs="Times New Roman"/>
          <w:b w:val="0"/>
          <w:iCs w:val="0"/>
          <w:lang w:val="sv-SE" w:eastAsia="en-US"/>
        </w:rPr>
        <w:fldChar w:fldCharType="separate"/>
      </w:r>
      <w:r w:rsidRPr="0010253B">
        <w:rPr>
          <w:rFonts w:cs="Times New Roman"/>
          <w:b w:val="0"/>
          <w:iCs w:val="0"/>
          <w:noProof/>
          <w:lang w:val="sv-SE" w:eastAsia="en-US"/>
        </w:rPr>
        <w:t>(Suharti &amp; Sirine, 2012)</w:t>
      </w:r>
      <w:r>
        <w:rPr>
          <w:rFonts w:cs="Times New Roman"/>
          <w:b w:val="0"/>
          <w:iCs w:val="0"/>
          <w:lang w:val="sv-SE" w:eastAsia="en-US"/>
        </w:rPr>
        <w:fldChar w:fldCharType="end"/>
      </w:r>
      <w:r w:rsidRPr="00002952">
        <w:rPr>
          <w:rFonts w:cs="Times New Roman"/>
          <w:b w:val="0"/>
          <w:iCs w:val="0"/>
          <w:lang w:val="sv-SE" w:eastAsia="en-US"/>
        </w:rPr>
        <w:t>. Taxes are considered a burden by companies, so certain efforts or strategies need to be made to reduce them</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{"citationItems":[{"id":"ITEM-1","itemData":{"ISSN":"2086-2563","abstract":"This study tests whether attitude, social influences, and rationalization act as the factors that influence the intention to commit tax fraud. Furthermore, this study also evaluates the influence of intention towards tax fraud behaviour and tests the moderation effect of information technology and law enforcement in the relationship between intention and tax fraud. The respondents in this study were individual taxpayers. One hundred twelve questionnaires were analyzed using the Partial Least Square (PLS) method. This study showed that attitude, social influences, and rationalization positively influence the taxpayer's intention to commit tax fraud. Likewise, intention to commit tax fraud positively influenced taxpayers' fraud behaviour. The moderation test result showed that compared to law enforcement, the interaction between intention and information technology is more effective to prevent tax fraud. This integrative model explains that other than anticipating fraudulent acts through tax service digitalization, morality in tax fraud needs to get more attention from tax authorities.","author":[{"dropping-particle":"","family":"Mangoting","given":"Yenni","non-dropping-particle":"","parse-names":false,"suffix":""},{"dropping-particle":"","family":"Aprilia","given":"Chaterine","non-dropping-particle":"","parse-names":false,"suffix":""},{"dropping-particle":"","family":"Melliani","given":"Febby","non-dropping-particle":"","parse-names":false,"suffix":""},{"dropping-particle":"","family":"Grace Evangelina","given":"Jennifer","non-dropping-particle":"","parse-names":false,"suffix":""}],"container-title":"Jurnal ASET (Akuntansi Riset)","id":"ITEM-1","issue":"2","issued":{"date-parts":[["2021"]]},"page":"331-347","title":"Tax Fraud Intentions with an Integrative Model Approach","type":"article-journal","volume":"13"},"uris":["http://www.mendeley.com/documents/?uuid=2cd2465b-98f0-42bb-a66e-51d410fbc57f"]}],"mendeley":{"formattedCitation":"(Mangoting et al., 2021)","plainTextFormattedCitation":"(Mangoting et al., 2021)","previouslyFormattedCitation":"(Mangoting et al., 2021)"},"properties":{"noteIndex":0},"schema":"https://github.com/citation-style-language/schema/raw/master/csl-citation.json"}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(Mangoting et al., 2021)</w:t>
      </w:r>
      <w:r>
        <w:rPr>
          <w:rFonts w:cs="Times New Roman"/>
          <w:b w:val="0"/>
          <w:iCs w:val="0"/>
          <w:lang w:val="id-ID" w:eastAsia="en-US"/>
        </w:rPr>
        <w:fldChar w:fldCharType="end"/>
      </w:r>
      <w:r w:rsidRPr="00002952">
        <w:rPr>
          <w:rFonts w:cs="Times New Roman"/>
          <w:b w:val="0"/>
          <w:iCs w:val="0"/>
          <w:lang w:val="sv-SE" w:eastAsia="en-US"/>
        </w:rPr>
        <w:t>.</w:t>
      </w:r>
    </w:p>
    <w:p w14:paraId="460A7647" w14:textId="77777777" w:rsidR="00563580" w:rsidRPr="00002952" w:rsidRDefault="00563580" w:rsidP="00563580">
      <w:pPr>
        <w:pStyle w:val="Caption"/>
        <w:ind w:firstLine="720"/>
        <w:jc w:val="both"/>
        <w:rPr>
          <w:rFonts w:cs="Times New Roman"/>
          <w:b w:val="0"/>
          <w:iCs w:val="0"/>
          <w:lang w:val="sv-SE" w:eastAsia="en-US"/>
        </w:rPr>
      </w:pPr>
      <w:r w:rsidRPr="00002952">
        <w:rPr>
          <w:rFonts w:cs="Times New Roman"/>
          <w:b w:val="0"/>
          <w:iCs w:val="0"/>
          <w:lang w:val="sv-SE" w:eastAsia="en-US"/>
        </w:rPr>
        <w:t>Another way entrepreneurs report committing tax fraud is by illegally not paying taxes by committing deviant acts with various forms of tax fraud carried out intentionally and in a state of awareness</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{"citationItems":[{"id":"ITEM-1","itemData":{"author":[{"dropping-particle":"","family":"Putri","given":"Ananda Liana","non-dropping-particle":"","parse-names":false,"suffix":""}],"id":"ITEM-1","issued":{"date-parts":[["2016"]]},"publisher":"Skripsi tidak diterbitkan, Fakultas Ekonomi, Universitas Pasundan, Bandung","title":"Pengaruh Money Ethics terhadap Tax Evasion dengan Religiosity sebagai Variabel Moderating","type":"thesis"},"uris":["http://www.mendeley.com/documents/?uuid=98c535cf-e047-4b6c-a814-f1a55b5851cb"]}],"mendeley":{"formattedCitation":"(A. L. Putri, 2016)","manualFormatting":"(Putri, 2016)","plainTextFormattedCitation":"(A. L. Putri, 2016)","previouslyFormattedCitation":"(A. L. Putri, 2016)"},"properties":{"noteIndex":0},"schema":"https://github.com/citation-style-language/schema/raw/master/csl-citation.json"}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(Putri, 2016)</w:t>
      </w:r>
      <w:r>
        <w:rPr>
          <w:rFonts w:cs="Times New Roman"/>
          <w:b w:val="0"/>
          <w:iCs w:val="0"/>
          <w:lang w:val="id-ID" w:eastAsia="en-US"/>
        </w:rPr>
        <w:fldChar w:fldCharType="end"/>
      </w:r>
      <w:r w:rsidRPr="00002952">
        <w:rPr>
          <w:rFonts w:cs="Times New Roman"/>
          <w:b w:val="0"/>
          <w:iCs w:val="0"/>
          <w:lang w:val="sv-SE" w:eastAsia="en-US"/>
        </w:rPr>
        <w:t>. This makes entrepreneurs try to reduce the tax burden that will be paid illegally. Some of these tax evasion actions take advantage of loopholes in tax provisions such as Tax Avoidance or violate the law such as tax evasion or Tax Evasion.</w:t>
      </w:r>
    </w:p>
    <w:p w14:paraId="1A686BD2" w14:textId="77777777" w:rsidR="00563580" w:rsidRPr="00002952" w:rsidRDefault="00563580" w:rsidP="00563580">
      <w:pPr>
        <w:pStyle w:val="Caption"/>
        <w:ind w:firstLine="720"/>
        <w:jc w:val="both"/>
        <w:rPr>
          <w:rFonts w:cs="Times New Roman"/>
          <w:b w:val="0"/>
          <w:iCs w:val="0"/>
          <w:lang w:val="sv-SE" w:eastAsia="en-US"/>
        </w:rPr>
      </w:pPr>
      <w:r w:rsidRPr="00002952">
        <w:rPr>
          <w:rFonts w:cs="Times New Roman"/>
          <w:b w:val="0"/>
          <w:iCs w:val="0"/>
          <w:lang w:val="sv-SE" w:eastAsia="en-US"/>
        </w:rPr>
        <w:t>The aim of tax avoidance is to avoid taxes as much as possible without violating applicable laws or regulations, meanwhile, in tax evasion, individuals or companies deliberately violate the law by not reporting or reducing their income to avoid taxes that should be paid</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URL":"https://associe.co.id/tax-and-accounting/tax-avoidance-adalah/","accessed":{"date-parts":[["2023","3","27"]]},"author":[{"dropping-particle":"","family":"Associe.co.id","given":"","non-dropping-particle":"","parse-names":false,"suffix":""}],"container-title":"https://associe.co.id/","id":"ITEM-1","issued":{"date-parts":[["2023"]]},"title":"Pengertian Tax Avoidance","type":"webpage"},"uris":["http://www.mendeley.com/documents/?uuid=ab1b54c4-e905-479f-9eb4-d79b0bb1e7c7"]}],"mendeley":{"formattedCitation":"(Associe.co.id, 2023)","plainTextFormattedCitation":"(Associe.co.id, 2023)","previouslyFormattedCitation":"(Associe.co.id, 2023)"},"properties":{"noteIndex":0},"schema":"https://github.com/citation-style-language/schema/raw/master/csl-citation.json"}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(Associe.co.id, 2023)</w:t>
      </w:r>
      <w:r>
        <w:rPr>
          <w:rFonts w:cs="Times New Roman"/>
          <w:b w:val="0"/>
          <w:iCs w:val="0"/>
          <w:lang w:val="id-ID" w:eastAsia="en-US"/>
        </w:rPr>
        <w:fldChar w:fldCharType="end"/>
      </w:r>
      <w:r w:rsidRPr="00002952">
        <w:rPr>
          <w:rFonts w:cs="Times New Roman"/>
          <w:b w:val="0"/>
          <w:iCs w:val="0"/>
          <w:lang w:val="sv-SE" w:eastAsia="en-US"/>
        </w:rPr>
        <w:t>. Cases related to tax awareness by taxpayers occurred in Yogyakarta Province, from data from the Yogyakarta City Regional Financial and Asset Management Agency (BPKAD), unpaid land and building taxes dominate tax arrears in Yogyakarta City, regional tax arrears reached around IDR 145 billion and almost 80% or IDR 112 billion comes from land and building tax arrears for 2014-2021</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URL":"https://jogja.jpnn.com/jogja-terkini/2827/waduh-banyak-warga-yogyakarta-yang-menunggak-pajak-bumi-dan-bangunan","accessed":{"date-parts":[["2023","4","11"]]},"author":[{"dropping-particle":"","family":"JPNN.com","given":"","non-dropping-particle":"","parse-names":false,"suffix":""}],"container-title":"https://jogja.jpnn.com","id":"ITEM-1","issued":{"date-parts":[["2022"]]},"title":"Waduh, Banyak Warga Yogyakarta yang Menunggak Pajak Bumi dan Bangunan","type":"webpage"},"uris":["http://www.mendeley.com/documents/?uuid=d6bfc4a0-2905-4e50-a59a-8571955d7562"]}],"mendeley":{"formattedCitation":"(JPNN.com, 2022)","plainTextFormattedCitation":"(JPNN.com, 2022)","previouslyFormattedCitation":"(JPNN.com, 2022)"},"properties":{"noteIndex":0},"schema":"https://github.com/citation-style-language/schema/raw/master/csl-citation.json"}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(JPNN.com, 2022)</w:t>
      </w:r>
      <w:r>
        <w:rPr>
          <w:rFonts w:cs="Times New Roman"/>
          <w:b w:val="0"/>
          <w:iCs w:val="0"/>
          <w:lang w:val="id-ID" w:eastAsia="en-US"/>
        </w:rPr>
        <w:fldChar w:fldCharType="end"/>
      </w:r>
      <w:r w:rsidRPr="00002952">
        <w:rPr>
          <w:rFonts w:cs="Times New Roman"/>
          <w:b w:val="0"/>
          <w:iCs w:val="0"/>
          <w:lang w:val="sv-SE" w:eastAsia="en-US"/>
        </w:rPr>
        <w:t>. The case above shows that taxpayer compliance over this period of time is still an important and interesting issue that deserves more attention. Indonesia has a relatively low level of taxpayer compliance with a tax collection system that requires taxpayers to voluntarily pay their obligations. One of the problems that is the main factor for economic policy decision makers is encouraging taxpayers to be more compliant with their tax obligations because there are still people who are not yet aware of fulfilling their tax obligations</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{"citationItems":[{"id":"ITEM-1","itemData":{"DOI":"10.33087/ekonomis.v4i2.170","abstract":"This study aims to test the determinants of tax compliance in small and medium enterprises (MSMEs) empirically, by considering several aspects such as tax knowledge, tax administration, tax rates, and tax sanctions in influencing the compliance of MSME taxpayers in Indonesia. The population and sample in this study focus on businesses with a turnover of less than 4.8 billion, which are included in the MSME sector. A total of 154 questionnaires were collected and can be used for further analysis through a series of statistical tests. The results showed that tax knowledge, tax administration, and tax sanctions have a positive effect on tax compliance in Indonesia. These findings indicate that better knowledge of tax, tax administration, and enforcement of fair and transparent tax sanctions can improve tax compliance.","author":[{"dropping-particle":"","family":"Zulma","given":"Gandy Wahyu Maulana","non-dropping-particle":"","parse-names":false,"suffix":""}],"container-title":"Ekonomis: Journal of Economics and Business","id":"ITEM-1","issue":"2","issued":{"date-parts":[["2020"]]},"page":"288","title":"Pengaruh Pengetahuan Wajib Pajak, Administrasi Pajak, Tarif Pajak dan Sanksi Perpajakan terhadap Kepatuhan Pajak Pada Pelaku Usaha UMKM di Indonesia","type":"article-journal","volume":"4"},"uris":["http://www.mendeley.com/documents/?uuid=8431b0bf-581f-4d5b-9279-156cb60243eb"]}],"mendeley":{"formattedCitation":"(Zulma, 2020)","plainTextFormattedCitation":"(Zulma, 2020)","previouslyFormattedCitation":"(Zulma, 2020)"},"properties":{"noteIndex":0},"schema":"https://github.com/citation-style-language/schema/raw/master/csl-citation.json"}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(Zulma, 2020)</w:t>
      </w:r>
      <w:r>
        <w:rPr>
          <w:rFonts w:cs="Times New Roman"/>
          <w:b w:val="0"/>
          <w:iCs w:val="0"/>
          <w:lang w:val="id-ID" w:eastAsia="en-US"/>
        </w:rPr>
        <w:fldChar w:fldCharType="end"/>
      </w:r>
      <w:r w:rsidRPr="00002952">
        <w:rPr>
          <w:rFonts w:cs="Times New Roman"/>
          <w:b w:val="0"/>
          <w:iCs w:val="0"/>
          <w:lang w:val="sv-SE" w:eastAsia="en-US"/>
        </w:rPr>
        <w:t>. The tax collection system is one of the important things that shows the achievement of tax collection in a country.</w:t>
      </w:r>
    </w:p>
    <w:p w14:paraId="32FD0B97" w14:textId="77777777" w:rsidR="00563580" w:rsidRPr="00CE2720" w:rsidRDefault="00563580" w:rsidP="00563580">
      <w:pPr>
        <w:pStyle w:val="Caption"/>
        <w:ind w:firstLine="720"/>
        <w:jc w:val="both"/>
        <w:rPr>
          <w:rFonts w:cs="Times New Roman"/>
          <w:i/>
          <w:iCs w:val="0"/>
          <w:lang w:val="sv-SE" w:eastAsia="en-US"/>
        </w:rPr>
      </w:pPr>
      <w:r w:rsidRPr="00002952">
        <w:rPr>
          <w:rFonts w:cs="Times New Roman"/>
          <w:b w:val="0"/>
          <w:iCs w:val="0"/>
          <w:lang w:val="sv-SE" w:eastAsia="en-US"/>
        </w:rPr>
        <w:t>The tax system adopted in Indonesia is the Self Assessment system, which is a tax collection system that requires taxpayers to report and calculate the tax owed themselves, but this belief is often misused by taxpayers to manipulate their tax burden so that the taxpayer's tax burden is reduced, thus encouraging taxpayers to do so tax fraud</w:t>
      </w:r>
      <w:r>
        <w:rPr>
          <w:rFonts w:cs="Times New Roman"/>
          <w:b w:val="0"/>
          <w:iCs w:val="0"/>
          <w:lang w:val="id-ID" w:eastAsia="en-US"/>
        </w:rPr>
        <w:t xml:space="preserve"> </w:t>
      </w:r>
      <w:r>
        <w:rPr>
          <w:rFonts w:cs="Times New Roman"/>
          <w:b w:val="0"/>
          <w:iCs w:val="0"/>
          <w:lang w:val="id-ID" w:eastAsia="en-US"/>
        </w:rPr>
        <w:fldChar w:fldCharType="begin" w:fldLock="1"/>
      </w:r>
      <w:r>
        <w:rPr>
          <w:rFonts w:cs="Times New Roman"/>
          <w:b w:val="0"/>
          <w:iCs w:val="0"/>
          <w:lang w:val="id-ID" w:eastAsia="en-US"/>
        </w:rPr>
        <w:instrText>ADDIN CSL_CITATION {"citationItems":[{"id":"ITEM-1","itemData":{"abstract":"This study aimed to analyze factors affect taxpayer’s intention about the tax evasion. These factors are the fairness, tax system, discrimination and money ethic against the taxpayer’s Intention about the tax evasion. The population in this study are individual taxpayers who registered in KPP Pratama Semarang Candisari. In this research used primer data include questionnaires, which are distributed via google forms to personal obligation tax. The sample technique in this study is determined by sampling convenience method. The data were analysed by SmartPLS 3.0. The results of this study show that the fairness, tax systems, discrimination and money ethic have a positive and significant effect on taxpayer’s intention about the tax evasion. These findings suggest that tax evasion is viewed as unethical acts. Direktorat Jenderal Pajak needs to hold socialization that tax revenue are importance for the development in order to increase awareness of taxation, especially in Semarang","author":[{"dropping-particle":"","family":"Kurnia","given":"Salma Azzahra","non-dropping-particle":"","parse-names":false,"suffix":""},{"dropping-particle":"","family":"Faisal","given":"","non-dropping-particle":"","parse-names":false,"suffix":""}],"container-title":"Diponegoro Journal of Accounting","id":"ITEM-1","issue":"4","issued":{"date-parts":[["2022"]]},"page":"1-14","title":"Pengaruh Keadilan Pajak, Sistem Perpajakan, Diskriminasi Pajak Dan Etika Uang (Money Ethic) Terhadap Niat Wajib Pajak Mengenai Penggelapan Pajak (Studi Empiris Pada Wajib Pajak Orang Pribadi Terdaftar Di Kpp Pratama Semarang Candisari)","type":"article-journal","volume":"11"},"uris":["http://www.mendeley.com/documents/?uuid=c350893b-0ee0-4f0c-b13a-0e7885a8bb7a"]},{"id":"ITEM-2","itemData":{"abstract":"This study aimed to determine of tax payers perception about the effect of justice, tax system, and tax sanctions to the tax evasion (surveys to Small Medium Entities in Bekasi). Purposive sampling is used, and result 90 SME’s as the respondents. Linear regression is used as the analysis data technique. The results show that justice did not effect to tax evasion, but tax system and tax sanction have negatively significant impact to tax evasion.","author":[{"dropping-particle":"","family":"Maghfiroh","given":"Dhinda","non-dropping-particle":"","parse-names":false,"suffix":""},{"dropping-particle":"","family":"Fajarwati","given":"Diana","non-dropping-particle":"","parse-names":false,"suffix":""}],"container-title":"Jurnal Riset Akuntansi &amp; Komputerisasi Akuntansi","id":"ITEM-2","issue":"1","issued":{"date-parts":[["2016"]]},"page":"39-55","title":"Persepsi wajib pajak mengenai pengaruh keadilan sistem perpajakan dan sanksi perpajakan terhadap penggelapan pajak","type":"article-journal","volume":"7"},"uris":["http://www.mendeley.com/documents/?uuid=81588cea-bdaa-4380-9283-5d6415da1ac7"]},{"id":"ITEM-3","itemData":{"DOI":"10.37676/ekombis.v10i2.2397","ISSN":"2716-4411","abstract":"The purpose of this study is to examine the effect of tax fairness, tax system, tax discrimination, technology and information of taxation on taxpayer perception about the ethics of tax evasion. The data used in this study wereprimary data. The primarydata were obtained from questionnaires distributed to individual taxpayers in Bengkulu City. The number of questionnaires that distributed were 110, but only 108 questionnaires that could be proceed.The data were analyzed by using multiple linear regression analysis with SPSS program.","author":[{"dropping-particle":"","family":"Wahyuni","given":"Mirra Sri","non-dropping-particle":"","parse-names":false,"suffix":""},{"dropping-particle":"","family":"Khairiyah","given":"Diah","non-dropping-particle":"","parse-names":false,"suffix":""},{"dropping-particle":"","family":"Yuniarti. Zs","given":"Nensi","non-dropping-particle":"","parse-names":false,"suffix":""}],"container-title":"EKOMBIS REVIEW: Jurnal Ilmiah Ekonomi dan Bisnis","id":"ITEM-3","issue":"2","issued":{"date-parts":[["2022"]]},"title":"Faktor-Faktor Yang Mempengaruhi Persepsi Wajib Pajak Mengenai Etika Atas Penggelapan Pajak (Tax Evasion)","type":"article-journal","volume":"10"},"uris":["http://www.mendeley.com/documents/?uuid=97e7c8cd-fa85-4c3d-b91d-4b35ef77cb36"]},{"id":"ITEM-4","itemData":{"DOI":"10.52859/jba.v10i1.281","ISSN":"2338-1132","abstract":"This Research examine whether the tax rates, tax systems, the intention to commit tax evasion. The research collected a sample from students majors at Sarjanawiyata Tamansiswa Yogyakarta University. The sample in this study is determined by sampling convenience method. The data collected with the distribution of questionnaires. Number of questionnaires processed was 100 questionnaires. The result of the research indicates that Tax rates has positif on intention to commit tax evasion. Tax system has no influenceon intention to commit tax evasion.","author":[{"dropping-particle":"","family":"Wardani","given":"Dewi Kusuma","non-dropping-particle":"","parse-names":false,"suffix":""},{"dropping-particle":"","family":"Rahmawatiningsih","given":"Nurfitri","non-dropping-particle":"","parse-names":false,"suffix":""}],"container-title":"Jurnal Bina Akuntansi","id":"ITEM-4","issued":{"date-parts":[["2022"]]},"title":"Pengaruh Tarif Dan Sistem Perpajakan Terhadap Niat Melakukan Penggelapan Pajak","type":"article-journal"},"uris":["http://www.mendeley.com/documents/?uuid=5e40e65a-f673-4569-8caa-5535228043ed"]}],"mendeley":{"formattedCitation":"(Kurnia &amp; Faisal, 2022; Maghfiroh &amp; Fajarwati, 2016; Wahyuni et al., 2022; Wardani &amp; Rahmawatiningsih, 2022)","manualFormatting":"Kurnia &amp; Faisal, (2022); Maghfiroh &amp; Fajarwati, (2016); Wahyuni et al., (2022); Wardani &amp; Rahmawatiningsih, (2022)","plainTextFormattedCitation":"(Kurnia &amp; Faisal, 2022; Maghfiroh &amp; Fajarwati, 2016; Wahyuni et al., 2022; Wardani &amp; Rahmawatiningsih, 2022)","previouslyFormattedCitation":"(Kurnia &amp; Faisal, 2022; Maghfiroh &amp; Fajarwati, 2016; Wahyuni et al., 2022; Wardani &amp; Rahmawatiningsih, 2022)"},"properties":{"noteIndex":0},"schema":"https://github.com/citation-style-language/schema/raw/master/csl-citation.json"}</w:instrText>
      </w:r>
      <w:r>
        <w:rPr>
          <w:rFonts w:cs="Times New Roman"/>
          <w:b w:val="0"/>
          <w:iCs w:val="0"/>
          <w:lang w:val="id-ID" w:eastAsia="en-US"/>
        </w:rPr>
        <w:fldChar w:fldCharType="separate"/>
      </w:r>
      <w:r w:rsidRPr="0010253B">
        <w:rPr>
          <w:rFonts w:cs="Times New Roman"/>
          <w:b w:val="0"/>
          <w:iCs w:val="0"/>
          <w:noProof/>
          <w:lang w:val="id-ID" w:eastAsia="en-US"/>
        </w:rPr>
        <w:t xml:space="preserve">Kurnia &amp; Faisal, </w:t>
      </w:r>
      <w:r>
        <w:rPr>
          <w:rFonts w:cs="Times New Roman"/>
          <w:b w:val="0"/>
          <w:iCs w:val="0"/>
          <w:noProof/>
          <w:lang w:val="id-ID" w:eastAsia="en-US"/>
        </w:rPr>
        <w:t>(</w:t>
      </w:r>
      <w:r w:rsidRPr="0010253B">
        <w:rPr>
          <w:rFonts w:cs="Times New Roman"/>
          <w:b w:val="0"/>
          <w:iCs w:val="0"/>
          <w:noProof/>
          <w:lang w:val="id-ID" w:eastAsia="en-US"/>
        </w:rPr>
        <w:t>2022</w:t>
      </w:r>
      <w:r>
        <w:rPr>
          <w:rFonts w:cs="Times New Roman"/>
          <w:b w:val="0"/>
          <w:iCs w:val="0"/>
          <w:noProof/>
          <w:lang w:val="id-ID" w:eastAsia="en-US"/>
        </w:rPr>
        <w:t>)</w:t>
      </w:r>
      <w:r w:rsidRPr="0010253B">
        <w:rPr>
          <w:rFonts w:cs="Times New Roman"/>
          <w:b w:val="0"/>
          <w:iCs w:val="0"/>
          <w:noProof/>
          <w:lang w:val="id-ID" w:eastAsia="en-US"/>
        </w:rPr>
        <w:t xml:space="preserve">; Maghfiroh &amp; Fajarwati, </w:t>
      </w:r>
      <w:r>
        <w:rPr>
          <w:rFonts w:cs="Times New Roman"/>
          <w:b w:val="0"/>
          <w:iCs w:val="0"/>
          <w:noProof/>
          <w:lang w:val="id-ID" w:eastAsia="en-US"/>
        </w:rPr>
        <w:t>(</w:t>
      </w:r>
      <w:r w:rsidRPr="0010253B">
        <w:rPr>
          <w:rFonts w:cs="Times New Roman"/>
          <w:b w:val="0"/>
          <w:iCs w:val="0"/>
          <w:noProof/>
          <w:lang w:val="id-ID" w:eastAsia="en-US"/>
        </w:rPr>
        <w:t>2016</w:t>
      </w:r>
      <w:r>
        <w:rPr>
          <w:rFonts w:cs="Times New Roman"/>
          <w:b w:val="0"/>
          <w:iCs w:val="0"/>
          <w:noProof/>
          <w:lang w:val="id-ID" w:eastAsia="en-US"/>
        </w:rPr>
        <w:t>)</w:t>
      </w:r>
      <w:r w:rsidRPr="0010253B">
        <w:rPr>
          <w:rFonts w:cs="Times New Roman"/>
          <w:b w:val="0"/>
          <w:iCs w:val="0"/>
          <w:noProof/>
          <w:lang w:val="id-ID" w:eastAsia="en-US"/>
        </w:rPr>
        <w:t xml:space="preserve">; Wahyuni et al., </w:t>
      </w:r>
      <w:r>
        <w:rPr>
          <w:rFonts w:cs="Times New Roman"/>
          <w:b w:val="0"/>
          <w:iCs w:val="0"/>
          <w:noProof/>
          <w:lang w:val="id-ID" w:eastAsia="en-US"/>
        </w:rPr>
        <w:t>(</w:t>
      </w:r>
      <w:r w:rsidRPr="0010253B">
        <w:rPr>
          <w:rFonts w:cs="Times New Roman"/>
          <w:b w:val="0"/>
          <w:iCs w:val="0"/>
          <w:noProof/>
          <w:lang w:val="id-ID" w:eastAsia="en-US"/>
        </w:rPr>
        <w:t>2022</w:t>
      </w:r>
      <w:r>
        <w:rPr>
          <w:rFonts w:cs="Times New Roman"/>
          <w:b w:val="0"/>
          <w:iCs w:val="0"/>
          <w:noProof/>
          <w:lang w:val="id-ID" w:eastAsia="en-US"/>
        </w:rPr>
        <w:t>)</w:t>
      </w:r>
      <w:r w:rsidRPr="0010253B">
        <w:rPr>
          <w:rFonts w:cs="Times New Roman"/>
          <w:b w:val="0"/>
          <w:iCs w:val="0"/>
          <w:noProof/>
          <w:lang w:val="id-ID" w:eastAsia="en-US"/>
        </w:rPr>
        <w:t xml:space="preserve">; Wardani &amp; Rahmawatiningsih, </w:t>
      </w:r>
      <w:r>
        <w:rPr>
          <w:rFonts w:cs="Times New Roman"/>
          <w:b w:val="0"/>
          <w:iCs w:val="0"/>
          <w:noProof/>
          <w:lang w:val="id-ID" w:eastAsia="en-US"/>
        </w:rPr>
        <w:t>(</w:t>
      </w:r>
      <w:r w:rsidRPr="0010253B">
        <w:rPr>
          <w:rFonts w:cs="Times New Roman"/>
          <w:b w:val="0"/>
          <w:iCs w:val="0"/>
          <w:noProof/>
          <w:lang w:val="id-ID" w:eastAsia="en-US"/>
        </w:rPr>
        <w:t>2022)</w:t>
      </w:r>
      <w:r>
        <w:rPr>
          <w:rFonts w:cs="Times New Roman"/>
          <w:b w:val="0"/>
          <w:iCs w:val="0"/>
          <w:lang w:val="id-ID" w:eastAsia="en-US"/>
        </w:rPr>
        <w:fldChar w:fldCharType="end"/>
      </w:r>
      <w:r>
        <w:rPr>
          <w:rFonts w:cs="Times New Roman"/>
          <w:b w:val="0"/>
          <w:iCs w:val="0"/>
          <w:lang w:val="id-ID" w:eastAsia="en-US"/>
        </w:rPr>
        <w:t xml:space="preserve"> </w:t>
      </w:r>
      <w:r w:rsidRPr="00002952">
        <w:rPr>
          <w:rFonts w:cs="Times New Roman"/>
          <w:b w:val="0"/>
          <w:iCs w:val="0"/>
          <w:lang w:val="sv-SE" w:eastAsia="en-US"/>
        </w:rPr>
        <w:t>states that when the tax system implemented is not good then tax fraud will be considered normal or normal.</w:t>
      </w:r>
    </w:p>
    <w:p w14:paraId="30B27174" w14:textId="77777777" w:rsidR="00563580" w:rsidRDefault="00563580" w:rsidP="00563580">
      <w:pPr>
        <w:pStyle w:val="Caption"/>
        <w:rPr>
          <w:rFonts w:cs="Times New Roman"/>
          <w:i/>
          <w:iCs w:val="0"/>
          <w:lang w:val="sv-SE" w:eastAsia="en-US"/>
        </w:rPr>
      </w:pPr>
    </w:p>
    <w:p w14:paraId="48B74190" w14:textId="77777777" w:rsidR="00563580" w:rsidRPr="00CE2720" w:rsidRDefault="00563580" w:rsidP="00563580">
      <w:pPr>
        <w:pStyle w:val="Caption"/>
        <w:rPr>
          <w:rFonts w:cs="Times New Roman"/>
          <w:i/>
          <w:iCs w:val="0"/>
          <w:lang w:val="sv-SE" w:eastAsia="en-US"/>
        </w:rPr>
        <w:sectPr w:rsidR="00563580" w:rsidRPr="00CE2720" w:rsidSect="00563580">
          <w:type w:val="continuous"/>
          <w:pgSz w:w="11907" w:h="16840" w:code="9"/>
          <w:pgMar w:top="1701" w:right="1247" w:bottom="1531" w:left="1134" w:header="1021" w:footer="1077" w:gutter="0"/>
          <w:cols w:space="340"/>
          <w:docGrid w:linePitch="360"/>
        </w:sectPr>
      </w:pPr>
    </w:p>
    <w:p w14:paraId="395B03A9" w14:textId="77777777" w:rsidR="00563580" w:rsidRDefault="00563580" w:rsidP="00563580">
      <w:pPr>
        <w:pStyle w:val="JAPSub-Judul"/>
        <w:spacing w:line="360" w:lineRule="auto"/>
        <w:rPr>
          <w:lang w:val="id-ID" w:eastAsia="id-ID"/>
        </w:rPr>
      </w:pPr>
      <w:r>
        <w:rPr>
          <w:lang w:val="id-ID" w:eastAsia="id-ID"/>
        </w:rPr>
        <w:t>HYPOTHESIS DEVELOPMENT</w:t>
      </w:r>
    </w:p>
    <w:p w14:paraId="73A835C5" w14:textId="77777777" w:rsidR="00563580" w:rsidRDefault="00563580" w:rsidP="00563580">
      <w:pPr>
        <w:pStyle w:val="JAPSub-Judul"/>
        <w:rPr>
          <w:lang w:val="id-ID" w:eastAsia="id-ID"/>
        </w:rPr>
      </w:pPr>
      <w:r>
        <w:rPr>
          <w:lang w:val="id-ID" w:eastAsia="id-ID"/>
        </w:rPr>
        <w:t>The influence of tax awareness on tax fraud</w:t>
      </w:r>
    </w:p>
    <w:p w14:paraId="1723BC6E" w14:textId="77777777" w:rsidR="00563580" w:rsidRPr="00E72B26" w:rsidRDefault="00563580" w:rsidP="00563580">
      <w:pPr>
        <w:pStyle w:val="JAPSub-Judul"/>
        <w:ind w:firstLine="720"/>
        <w:rPr>
          <w:b w:val="0"/>
          <w:bCs/>
          <w:caps w:val="0"/>
          <w:lang w:val="id-ID" w:eastAsia="id-ID"/>
        </w:rPr>
      </w:pPr>
      <w:r w:rsidRPr="00E72B26">
        <w:rPr>
          <w:b w:val="0"/>
          <w:bCs/>
          <w:caps w:val="0"/>
          <w:lang w:val="id-ID" w:eastAsia="id-ID"/>
        </w:rPr>
        <w:t>Increased tax awareness can lead to a better understanding of the consequences of tax fraud</w:t>
      </w:r>
      <w:r>
        <w:rPr>
          <w:b w:val="0"/>
          <w:bCs/>
          <w:caps w:val="0"/>
          <w:lang w:val="id-ID" w:eastAsia="id-ID"/>
        </w:rPr>
        <w:t xml:space="preserve"> </w:t>
      </w:r>
      <w:r>
        <w:rPr>
          <w:b w:val="0"/>
          <w:bCs/>
          <w:caps w:val="0"/>
          <w:lang w:val="id-ID" w:eastAsia="id-ID"/>
        </w:rPr>
        <w:fldChar w:fldCharType="begin" w:fldLock="1"/>
      </w:r>
      <w:r>
        <w:rPr>
          <w:b w:val="0"/>
          <w:bCs/>
          <w:caps w:val="0"/>
          <w:lang w:val="id-ID" w:eastAsia="id-ID"/>
        </w:rPr>
        <w:instrText>ADDIN CSL_CITATION {"citationItems":[{"id":"ITEM-1","itemData":{"DOI":"10.21831/nominal.v8i2.26461","ISSN":"2303-2065","abstract":"Abstrak: Pengaruh Kesadaran Membayar Pajak, Persepsi Atas Efektivitas Sistem Perpajakan dan Pemahaman Peraturan Pemerintah Nomor 23 Tahun 2018 terhadap Kemauan Membayar Pajak (Pada UMKM Sektor Perdagangan di Kabupaten Klaten). Penelitian ini bertujuan untuk mengetahui pengaruh Kesadaran Membayar Pajak, Persepsi atas Efektivitas Sistem Perpajakan dan Pemahaman Peraturan Pemerintah No. 23 Tahun 2018 terhadap Kemauan Membayar Pajak. Penelitian ini menggunakan metode kuantitatif. Populasi dalam penelitian ini adalah pelaku Usaha Mikro, Kecil, Menengah (UMKM) Kabupaten Klaten. Teknik pengambilan sampel dengan purposive sampling didapatkan sampel sebanyak 388 pelaku UMKM sektor perdagangan. Teknik pengumpulan data menggunakan kuesioner yang telah diuji validitas dan reliabilitasnya. Teknik analisis data menggunakan regresi linear sederhana dan berganda. Hasil penelitian ini menunjukkan bahwa Kesadaran Membayar Pajak, Persepsi atas Efektivitas Sistem Perpajakan, dan Pemahaman Peraturan Pemerintah No. 23 Tahun 2018 berpengaruh positif dan signifikan terhadap Kemauan Membayar Pajak, dibuktikan dengan nilai signifikansi 0,000; 0,000; dan 0,000.Kata kunci: Kesadaran Membayar Pajak, Persepsi Atas Efektivitas Sistem Perpajakan, Pemahaman PP No. 23 Tahun 2018, dan Kemauan Membayar Pajak","author":[{"dropping-particle":"","family":"Pangesti","given":"Dhea Mayang","non-dropping-particle":"","parse-names":false,"suffix":""},{"dropping-particle":"","family":"Yushita","given":"Amanita Novi","non-dropping-particle":"","parse-names":false,"suffix":""}],"container-title":"Nominal: Barometer Riset Akuntansi dan Manajemen","id":"ITEM-1","issue":"2","issued":{"date-parts":[["2019"]]},"page":"166-178","title":"Pengaruh Kesadaran Membayar Pajak, Persepsi Atas Efektivitas Sistem Perpajakan, Dan Pemahaman Peraturan Pemerintah Nomor 23 Tahun 2018 Terhadap Kemauan Membayar Pajak (Pada Umkm Sektor Perdagangan Di Kabupaten Klaten)","type":"article-journal","volume":"8"},"uris":["http://www.mendeley.com/documents/?uuid=dd10fba4-88e9-4761-965f-c6e56f650a62"]}],"mendeley":{"formattedCitation":"(Pangesti &amp; Yushita, 2019)","plainTextFormattedCitation":"(Pangesti &amp; Yushita, 2019)","previouslyFormattedCitation":"(Pangesti &amp; Yushita, 2019)"},"properties":{"noteIndex":0},"schema":"https://github.com/citation-style-language/schema/raw/master/csl-citation.json"}</w:instrText>
      </w:r>
      <w:r>
        <w:rPr>
          <w:b w:val="0"/>
          <w:bCs/>
          <w:caps w:val="0"/>
          <w:lang w:val="id-ID" w:eastAsia="id-ID"/>
        </w:rPr>
        <w:fldChar w:fldCharType="separate"/>
      </w:r>
      <w:r w:rsidRPr="0010253B">
        <w:rPr>
          <w:b w:val="0"/>
          <w:bCs/>
          <w:caps w:val="0"/>
          <w:noProof/>
          <w:lang w:val="id-ID" w:eastAsia="id-ID"/>
        </w:rPr>
        <w:t>(Pangesti &amp; Yushita, 2019)</w:t>
      </w:r>
      <w:r>
        <w:rPr>
          <w:b w:val="0"/>
          <w:bCs/>
          <w:caps w:val="0"/>
          <w:lang w:val="id-ID" w:eastAsia="id-ID"/>
        </w:rPr>
        <w:fldChar w:fldCharType="end"/>
      </w:r>
      <w:r w:rsidRPr="00E72B26">
        <w:rPr>
          <w:b w:val="0"/>
          <w:bCs/>
          <w:caps w:val="0"/>
          <w:lang w:val="id-ID" w:eastAsia="id-ID"/>
        </w:rPr>
        <w:t>. When young entrepreneurs are more aware of the importance of taxes, they are less likely to commit tax fraud</w:t>
      </w:r>
      <w:r>
        <w:rPr>
          <w:b w:val="0"/>
          <w:bCs/>
          <w:caps w:val="0"/>
          <w:lang w:val="id-ID" w:eastAsia="id-ID"/>
        </w:rPr>
        <w:t xml:space="preserve"> </w:t>
      </w:r>
      <w:r>
        <w:rPr>
          <w:b w:val="0"/>
          <w:bCs/>
          <w:caps w:val="0"/>
          <w:lang w:val="id-ID" w:eastAsia="id-ID"/>
        </w:rPr>
        <w:fldChar w:fldCharType="begin" w:fldLock="1"/>
      </w:r>
      <w:r>
        <w:rPr>
          <w:b w:val="0"/>
          <w:bCs/>
          <w:caps w:val="0"/>
          <w:lang w:val="id-ID" w:eastAsia="id-ID"/>
        </w:rPr>
        <w:instrText>ADDIN CSL_CITATION {"citationItems":[{"id":"ITEM-1","itemData":{"DOI":"10.24036/invotek.v19i1.433","ISSN":"1411-3414","abstract":"Pertumbuhan industri/lapangan kerja tidak sebanding dengan jumlah lulusan SMK menjadikan tingkat persaingan bekerja semakin ketat. Untuk menyiapkan lulusan dan mengurangi angka penganguran di SMKN 1 Tarusan dan SMKN 2 Painan, maka peneliti mencoba meimplemtansikan pembelajaran berbasis produk, untuk membuka wawasan siswa tentang wirausaha. Daerah Pesisir Selatan merupakan satu-satunya daerah yang telah mendapatkan predikat Wisata Shar’I, sehingga menjadi peluang bagus bagi alumni SMK untuk berkreasi menciptakan produk inovatif yang bernilai jual sebagai cendramata wisata daerah Pesisir Selatan. Metode pebelajaran berbasis produk ini menerapkan rancangan penelitian R&amp;D. Produk yang dihasilkan sampel penelitian adalah Lampu Hias dari Stick es Krim. Implementasi pembelajaran berbasis produk telah mampu meningkatkan minat siswa untuk berwirausaha sebesar 44%.","author":[{"dropping-particle":"","family":"Basri","given":"Irma Yulia","non-dropping-particle":"","parse-names":false,"suffix":""},{"dropping-particle":"","family":"Faiza","given":"Delsina","non-dropping-particle":"","parse-names":false,"suffix":""},{"dropping-particle":"","family":"Nasir","given":"M","non-dropping-particle":"","parse-names":false,"suffix":""},{"dropping-particle":"","family":"Nasrun","given":"Nasrun","non-dropping-particle":"","parse-names":false,"suffix":""}],"container-title":"INVOTEK: Jurnal Inovasi Vokasional dan Teknologi","id":"ITEM-1","issue":"1","issued":{"date-parts":[["2019"]]},"page":"43-52","title":"Implementasi Pembelajaran Berbasis Produk Dalam Rangka Menyiapkan Lulusan SMK Menjadi Wirausahawan Muda","type":"article-journal","volume":"19"},"uris":["http://www.mendeley.com/documents/?uuid=758ab167-6a92-492a-88fb-2fb09c5eb400"]}],"mendeley":{"formattedCitation":"(Basri et al., 2019)","plainTextFormattedCitation":"(Basri et al., 2019)","previouslyFormattedCitation":"(Basri et al., 2019)"},"properties":{"noteIndex":0},"schema":"https://github.com/citation-style-language/schema/raw/master/csl-citation.json"}</w:instrText>
      </w:r>
      <w:r>
        <w:rPr>
          <w:b w:val="0"/>
          <w:bCs/>
          <w:caps w:val="0"/>
          <w:lang w:val="id-ID" w:eastAsia="id-ID"/>
        </w:rPr>
        <w:fldChar w:fldCharType="separate"/>
      </w:r>
      <w:r w:rsidRPr="0010253B">
        <w:rPr>
          <w:b w:val="0"/>
          <w:bCs/>
          <w:caps w:val="0"/>
          <w:noProof/>
          <w:lang w:val="id-ID" w:eastAsia="id-ID"/>
        </w:rPr>
        <w:t>(Basri et al., 2019)</w:t>
      </w:r>
      <w:r>
        <w:rPr>
          <w:b w:val="0"/>
          <w:bCs/>
          <w:caps w:val="0"/>
          <w:lang w:val="id-ID" w:eastAsia="id-ID"/>
        </w:rPr>
        <w:fldChar w:fldCharType="end"/>
      </w:r>
      <w:r w:rsidRPr="00E72B26">
        <w:rPr>
          <w:b w:val="0"/>
          <w:bCs/>
          <w:caps w:val="0"/>
          <w:lang w:val="id-ID" w:eastAsia="id-ID"/>
        </w:rPr>
        <w:t>. Because they are more aware of the consequences of tax cheating, they believe that it is wrong. Additionally, when young entrepreneurs have a stronger sense of citizenship, they tend to believe it is important to pay their taxes</w:t>
      </w:r>
      <w:r>
        <w:rPr>
          <w:b w:val="0"/>
          <w:bCs/>
          <w:caps w:val="0"/>
          <w:lang w:val="id-ID" w:eastAsia="id-ID"/>
        </w:rPr>
        <w:t xml:space="preserve"> </w:t>
      </w:r>
      <w:r>
        <w:rPr>
          <w:b w:val="0"/>
          <w:bCs/>
          <w:caps w:val="0"/>
          <w:lang w:val="id-ID" w:eastAsia="id-ID"/>
        </w:rPr>
        <w:fldChar w:fldCharType="begin" w:fldLock="1"/>
      </w:r>
      <w:r>
        <w:rPr>
          <w:b w:val="0"/>
          <w:bCs/>
          <w:caps w:val="0"/>
          <w:lang w:val="id-ID" w:eastAsia="id-ID"/>
        </w:rPr>
        <w:instrText>ADDIN CSL_CITATION {"citationItems":[{"id":"ITEM-1","itemData":{"DOI":"10.52859/jba.v10i1.281","ISSN":"2338-1132","abstract":"This Research examine whether the tax rates, tax systems, the intention to commit tax evasion. The research collected a sample from students majors at Sarjanawiyata Tamansiswa Yogyakarta University. The sample in this study is determined by sampling convenience method. The data collected with the distribution of questionnaires. Number of questionnaires processed was 100 questionnaires. The result of the research indicates that Tax rates has positif on intention to commit tax evasion. Tax system has no influenceon intention to commit tax evasion.","author":[{"dropping-particle":"","family":"Wardani","given":"Dewi Kusuma","non-dropping-particle":"","parse-names":false,"suffix":""},{"dropping-particle":"","family":"Rahmawatiningsih","given":"Nurfitri","non-dropping-particle":"","parse-names":false,"suffix":""}],"container-title":"Jurnal Bina Akuntansi","id":"ITEM-1","issued":{"date-parts":[["2022"]]},"title":"Pengaruh Tarif Dan Sistem Perpajakan Terhadap Niat Melakukan Penggelapan Pajak","type":"article-journal"},"uris":["http://www.mendeley.com/documents/?uuid=5e40e65a-f673-4569-8caa-5535228043ed"]}],"mendeley":{"formattedCitation":"(Wardani &amp; Rahmawatiningsih, 2022)","plainTextFormattedCitation":"(Wardani &amp; Rahmawatiningsih, 2022)","previouslyFormattedCitation":"(Wardani &amp; Rahmawatiningsih, 2022)"},"properties":{"noteIndex":0},"schema":"https://github.com/citation-style-language/schema/raw/master/csl-citation.json"}</w:instrText>
      </w:r>
      <w:r>
        <w:rPr>
          <w:b w:val="0"/>
          <w:bCs/>
          <w:caps w:val="0"/>
          <w:lang w:val="id-ID" w:eastAsia="id-ID"/>
        </w:rPr>
        <w:fldChar w:fldCharType="separate"/>
      </w:r>
      <w:r w:rsidRPr="0010253B">
        <w:rPr>
          <w:b w:val="0"/>
          <w:bCs/>
          <w:caps w:val="0"/>
          <w:noProof/>
          <w:lang w:val="id-ID" w:eastAsia="id-ID"/>
        </w:rPr>
        <w:t>(Wardani &amp; Rahmawatiningsih, 2022)</w:t>
      </w:r>
      <w:r>
        <w:rPr>
          <w:b w:val="0"/>
          <w:bCs/>
          <w:caps w:val="0"/>
          <w:lang w:val="id-ID" w:eastAsia="id-ID"/>
        </w:rPr>
        <w:fldChar w:fldCharType="end"/>
      </w:r>
      <w:r w:rsidRPr="00E72B26">
        <w:rPr>
          <w:b w:val="0"/>
          <w:bCs/>
          <w:caps w:val="0"/>
          <w:lang w:val="id-ID" w:eastAsia="id-ID"/>
        </w:rPr>
        <w:t>.</w:t>
      </w:r>
    </w:p>
    <w:p w14:paraId="51009729" w14:textId="77777777" w:rsidR="00563580" w:rsidRPr="00E72B26" w:rsidRDefault="00563580" w:rsidP="00563580">
      <w:pPr>
        <w:pStyle w:val="JAPSub-Judul"/>
        <w:ind w:firstLine="720"/>
        <w:rPr>
          <w:b w:val="0"/>
          <w:bCs/>
          <w:caps w:val="0"/>
          <w:lang w:val="id-ID" w:eastAsia="id-ID"/>
        </w:rPr>
      </w:pPr>
      <w:r w:rsidRPr="00E72B26">
        <w:rPr>
          <w:b w:val="0"/>
          <w:bCs/>
          <w:caps w:val="0"/>
          <w:lang w:val="id-ID" w:eastAsia="id-ID"/>
        </w:rPr>
        <w:t>The Theory of Planned Behavior (TPB) has 3 determining factors, namely behavioral beliefs, normative beliefs, and control beliefs. The tax awareness variable corresponds to one of the TBP factors, namely behavioral beliefs, this is a factor that has intentions or attitudes towards positive and negative behavior. If young entrepreneurs are aware and fulfill their tax obligations to the state then this is a positive action, however, if young entrepreneurs choose to avoid taxes or if they do not want to fulfill their tax obligations, this is clearly a negative action or attitude.</w:t>
      </w:r>
    </w:p>
    <w:p w14:paraId="1EB3D983" w14:textId="77777777" w:rsidR="00563580" w:rsidRPr="00E72B26" w:rsidRDefault="00563580" w:rsidP="00563580">
      <w:pPr>
        <w:pStyle w:val="JAPSub-Judul"/>
        <w:ind w:firstLine="720"/>
        <w:rPr>
          <w:b w:val="0"/>
          <w:bCs/>
          <w:caps w:val="0"/>
          <w:lang w:val="id-ID" w:eastAsia="id-ID"/>
        </w:rPr>
      </w:pPr>
      <w:r w:rsidRPr="00E72B26">
        <w:rPr>
          <w:b w:val="0"/>
          <w:bCs/>
          <w:caps w:val="0"/>
          <w:lang w:val="id-ID" w:eastAsia="id-ID"/>
        </w:rPr>
        <w:t>Research conducted by</w:t>
      </w:r>
      <w:r>
        <w:rPr>
          <w:b w:val="0"/>
          <w:bCs/>
          <w:caps w:val="0"/>
          <w:lang w:val="id-ID" w:eastAsia="id-ID"/>
        </w:rPr>
        <w:t xml:space="preserve"> </w:t>
      </w:r>
      <w:r>
        <w:rPr>
          <w:b w:val="0"/>
          <w:bCs/>
          <w:caps w:val="0"/>
          <w:lang w:val="id-ID" w:eastAsia="id-ID"/>
        </w:rPr>
        <w:fldChar w:fldCharType="begin" w:fldLock="1"/>
      </w:r>
      <w:r>
        <w:rPr>
          <w:b w:val="0"/>
          <w:bCs/>
          <w:caps w:val="0"/>
          <w:lang w:val="id-ID" w:eastAsia="id-ID"/>
        </w:rPr>
        <w:instrText>ADDIN CSL_CITATION {"citationItems":[{"id":"ITEM-1","itemData":{"DOI":"10.31258/jc.2.2.205-216","ISSN":"2721-2416","abstract":"This study aims to test the influence of E-Filling implementation, tax awareness, and tax sanctions on the compliance of private taxpayers. The population of this research is a private taxpayer who lives in dki Jakarta area who has an NPWP and has used E-Filling. Data in the form of questionnaires disseminated through Google Form and obtained samples used by as many as 100 respondents and processed with Smart PLS 3. The results showed the application of E-Filling system and tax awareness had an effect on the compliance of private taxpayers. While tax sanctions have no effect on the compliance of private taxpayers.","author":[{"dropping-particle":"","family":"Natalia","given":"Cindy","non-dropping-particle":"","parse-names":false,"suffix":""},{"dropping-particle":"","family":"Riswandari","given":"Ernie","non-dropping-particle":"","parse-names":false,"suffix":""}],"container-title":"CURRENT: Jurnal Kajian Akuntansi dan Bisnis Terkini","id":"ITEM-1","issue":"2","issued":{"date-parts":[["2021"]]},"page":"205-216","title":"Penerapan Sistem E-Filling, Kesadaran Perpajakan, Dan Sanksi Perpajakan Pada Kepatuhan Wajib Pajak Orang Pribadi","type":"article-journal","volume":"2"},"uris":["http://www.mendeley.com/documents/?uuid=6ce91b09-d801-4dbf-9611-3fd65d6b1ce1"]}],"mendeley":{"formattedCitation":"(Natalia &amp; Riswandari, 2021)","manualFormatting":"Natalia &amp; Riswandari, (2021)","plainTextFormattedCitation":"(Natalia &amp; Riswandari, 2021)","previouslyFormattedCitation":"(Natalia &amp; Riswandari, 2021)"},"properties":{"noteIndex":0},"schema":"https://github.com/citation-style-language/schema/raw/master/csl-citation.json"}</w:instrText>
      </w:r>
      <w:r>
        <w:rPr>
          <w:b w:val="0"/>
          <w:bCs/>
          <w:caps w:val="0"/>
          <w:lang w:val="id-ID" w:eastAsia="id-ID"/>
        </w:rPr>
        <w:fldChar w:fldCharType="separate"/>
      </w:r>
      <w:r w:rsidRPr="0010253B">
        <w:rPr>
          <w:b w:val="0"/>
          <w:bCs/>
          <w:caps w:val="0"/>
          <w:noProof/>
          <w:lang w:val="id-ID" w:eastAsia="id-ID"/>
        </w:rPr>
        <w:t xml:space="preserve">Natalia &amp; Riswandari, </w:t>
      </w:r>
      <w:r>
        <w:rPr>
          <w:b w:val="0"/>
          <w:bCs/>
          <w:caps w:val="0"/>
          <w:noProof/>
          <w:lang w:val="id-ID" w:eastAsia="id-ID"/>
        </w:rPr>
        <w:t>(</w:t>
      </w:r>
      <w:r w:rsidRPr="0010253B">
        <w:rPr>
          <w:b w:val="0"/>
          <w:bCs/>
          <w:caps w:val="0"/>
          <w:noProof/>
          <w:lang w:val="id-ID" w:eastAsia="id-ID"/>
        </w:rPr>
        <w:t>2021)</w:t>
      </w:r>
      <w:r>
        <w:rPr>
          <w:b w:val="0"/>
          <w:bCs/>
          <w:caps w:val="0"/>
          <w:lang w:val="id-ID" w:eastAsia="id-ID"/>
        </w:rPr>
        <w:fldChar w:fldCharType="end"/>
      </w:r>
      <w:r w:rsidRPr="00E72B26">
        <w:rPr>
          <w:b w:val="0"/>
          <w:bCs/>
          <w:caps w:val="0"/>
          <w:lang w:val="id-ID" w:eastAsia="id-ID"/>
        </w:rPr>
        <w:t xml:space="preserve"> revealed that the influence of tax awareness has a significant effect on mandatory compliance.</w:t>
      </w:r>
      <w:r>
        <w:rPr>
          <w:b w:val="0"/>
          <w:bCs/>
          <w:caps w:val="0"/>
          <w:lang w:val="id-ID" w:eastAsia="id-ID"/>
        </w:rPr>
        <w:t xml:space="preserve"> </w:t>
      </w:r>
      <w:r>
        <w:rPr>
          <w:b w:val="0"/>
          <w:bCs/>
          <w:caps w:val="0"/>
          <w:lang w:val="id-ID" w:eastAsia="id-ID"/>
        </w:rPr>
        <w:fldChar w:fldCharType="begin" w:fldLock="1"/>
      </w:r>
      <w:r>
        <w:rPr>
          <w:b w:val="0"/>
          <w:bCs/>
          <w:caps w:val="0"/>
          <w:lang w:val="id-ID" w:eastAsia="id-ID"/>
        </w:rPr>
        <w:instrText>ADDIN CSL_CITATION {"citationItems":[{"id":"ITEM-1","itemData":{"DOI":"10.24964/ja.v5i1.253","ISSN":"2088-768X","abstract":"This study aimed to examine the effect of knowledge of the taxpayer, the taxpayer awareness, motor vehicle tax penalties, and the system of samsat drive thru on tax compliance in the motor vehicle in samsat Bantul. The data that is used in this study are primary data from the results of questionnaires. Respondents in this study are the taxpayer automobiles that make tax payments in the system samsat drive-thru. The questionnaire was distributed to 110 respondents and data that can be processed are 100 questionnaires. The sampling method used accidental sampling. The data analysis techniques in this study used multiple linear regression techniques. Results of regression analysis showed that the awareness of taxpayers and system of samsat drive-thru has positive effect on tax compliance motor vehicle while knowledge of taxpayers and tax penalties vehicle had no significant effect on tax compliance vehicle.\r  \r Keywords:\r Knowledge taxpayer, taxpayer awareness, tax penalties motor vehicles, and drive-thru samsat systems, motor vehicle tax compliance.","author":[{"dropping-particle":"","family":"Wardani","given":"Dewi Kusuma","non-dropping-particle":"","parse-names":false,"suffix":""},{"dropping-particle":"","family":"Rumiyatun","given":"Rumiyatun","non-dropping-particle":"","parse-names":false,"suffix":""}],"container-title":"Jurnal Akuntansi","id":"ITEM-1","issue":"1","issued":{"date-parts":[["2017"]]},"page":"15","title":"Pengaruh Pengetahuan Wajib Pajak, Kesadaran Wajib Pajak, Sanksi Pajak Kendaraan Bermotor, Dan Sistem Samsat Drive Thru Terhadap Kepatuhan Wajib Pajak Kendaraan Bermotor","type":"article-journal","volume":"5"},"uris":["http://www.mendeley.com/documents/?uuid=8dd0edcc-e400-47fb-b900-a0bc34fb9803"]}],"mendeley":{"formattedCitation":"(Wardani &amp; Rumiyatun, 2017)","manualFormatting":"Wardani &amp; Rumiyatun, (2017)","plainTextFormattedCitation":"(Wardani &amp; Rumiyatun, 2017)","previouslyFormattedCitation":"(Wardani &amp; Rumiyatun, 2017)"},"properties":{"noteIndex":0},"schema":"https://github.com/citation-style-language/schema/raw/master/csl-citation.json"}</w:instrText>
      </w:r>
      <w:r>
        <w:rPr>
          <w:b w:val="0"/>
          <w:bCs/>
          <w:caps w:val="0"/>
          <w:lang w:val="id-ID" w:eastAsia="id-ID"/>
        </w:rPr>
        <w:fldChar w:fldCharType="separate"/>
      </w:r>
      <w:r w:rsidRPr="0010253B">
        <w:rPr>
          <w:b w:val="0"/>
          <w:bCs/>
          <w:caps w:val="0"/>
          <w:noProof/>
          <w:lang w:val="id-ID" w:eastAsia="id-ID"/>
        </w:rPr>
        <w:t xml:space="preserve">Wardani &amp; Rumiyatun, </w:t>
      </w:r>
      <w:r>
        <w:rPr>
          <w:b w:val="0"/>
          <w:bCs/>
          <w:caps w:val="0"/>
          <w:noProof/>
          <w:lang w:val="id-ID" w:eastAsia="id-ID"/>
        </w:rPr>
        <w:t>(</w:t>
      </w:r>
      <w:r w:rsidRPr="0010253B">
        <w:rPr>
          <w:b w:val="0"/>
          <w:bCs/>
          <w:caps w:val="0"/>
          <w:noProof/>
          <w:lang w:val="id-ID" w:eastAsia="id-ID"/>
        </w:rPr>
        <w:t>2017)</w:t>
      </w:r>
      <w:r>
        <w:rPr>
          <w:b w:val="0"/>
          <w:bCs/>
          <w:caps w:val="0"/>
          <w:lang w:val="id-ID" w:eastAsia="id-ID"/>
        </w:rPr>
        <w:fldChar w:fldCharType="end"/>
      </w:r>
      <w:r>
        <w:rPr>
          <w:b w:val="0"/>
          <w:bCs/>
          <w:caps w:val="0"/>
          <w:lang w:val="id-ID" w:eastAsia="id-ID"/>
        </w:rPr>
        <w:t xml:space="preserve"> also revealed the same thing, namely that taxpayer awareness has a positive effect on taxpayer compliance. </w:t>
      </w:r>
      <w:r w:rsidRPr="00E72B26">
        <w:rPr>
          <w:b w:val="0"/>
          <w:bCs/>
          <w:caps w:val="0"/>
          <w:lang w:val="id-ID" w:eastAsia="id-ID"/>
        </w:rPr>
        <w:t>A higher level of tax awareness can be considered a positive factor that can influence young entrepreneurs not to engage in tax fraud</w:t>
      </w:r>
      <w:r>
        <w:rPr>
          <w:b w:val="0"/>
          <w:bCs/>
          <w:caps w:val="0"/>
          <w:lang w:val="id-ID" w:eastAsia="id-ID"/>
        </w:rPr>
        <w:t xml:space="preserve"> </w:t>
      </w:r>
      <w:r>
        <w:rPr>
          <w:b w:val="0"/>
          <w:bCs/>
          <w:caps w:val="0"/>
          <w:lang w:val="id-ID" w:eastAsia="id-ID"/>
        </w:rPr>
        <w:fldChar w:fldCharType="begin" w:fldLock="1"/>
      </w:r>
      <w:r>
        <w:rPr>
          <w:b w:val="0"/>
          <w:bCs/>
          <w:caps w:val="0"/>
          <w:lang w:val="id-ID" w:eastAsia="id-ID"/>
        </w:rPr>
        <w:instrText>ADDIN CSL_CITATION {"citationItems":[{"id":"ITEM-1","itemData":{"DOI":"10.31326/tabr.v3i2.1477","abstract":"Penelitian ini bertujuan untuk menganalisis kesadaran wajib pajak, pemahaman perajakan,\ndan sanksi pajak terhadap kepatuhan wajib pajak UMKM. Sampel yang digunakan dalam\npenelitian ini adalah wajib pajak UMKM di Pasar Tohaga Cibinong sebanyak 100 responden.\nTeknik pengambilan sampel yang digunakan pada penelitian ini yaitu purposive sampling.\nJenis data yang digunakan adalah data primer. Jenis penelitian ini adalah penelitian\nkuantitatif dengan teknik pengumpulan data yaitu metode penyebaran kuesioner melalui\ngoogle form menggunakan skala likert. Teknik analisis data pada penelitian ini dilakukan\nmenggunakan metode program perangkat lunak SmartPLS versi 3.2.9. Hasil penelitian ini\nmenunjukkan bahwa sanksi pajak berpengaruh positif dan signifikan terhadap kepatuhan\nwajib pajak UMKM. Sedangkan kesadaran wajib pajak dan pemahaman perpajakan tidak\nberpengaruh terhadap kepatuhan wajib pajak UMKM.","author":[{"dropping-particle":"","family":"Rizki","given":"Muhammad","non-dropping-particle":"","parse-names":false,"suffix":""},{"dropping-particle":"","family":"Farina","given":"Khoirina","non-dropping-particle":"","parse-names":false,"suffix":""}],"container-title":"Trilogi Accounting and Business Research","id":"ITEM-1","issue":"2","issued":{"date-parts":[["2022"]]},"title":"Pengaruh Kesadaran Wajib Pajak, Pemahaman Perpajakan Dan Sanksi Pajak Terhadap Kepatuhan Wajib Pajak Umkm Di Pasar Tohaga Cibinong","type":"article-journal","volume":"3"},"uris":["http://www.mendeley.com/documents/?uuid=8787dd8b-5dfb-4aba-baea-4295f22cc6c1"]}],"mendeley":{"formattedCitation":"(Rizki &amp; Farina, 2022)","plainTextFormattedCitation":"(Rizki &amp; Farina, 2022)","previouslyFormattedCitation":"(Rizki &amp; Farina, 2022)"},"properties":{"noteIndex":0},"schema":"https://github.com/citation-style-language/schema/raw/master/csl-citation.json"}</w:instrText>
      </w:r>
      <w:r>
        <w:rPr>
          <w:b w:val="0"/>
          <w:bCs/>
          <w:caps w:val="0"/>
          <w:lang w:val="id-ID" w:eastAsia="id-ID"/>
        </w:rPr>
        <w:fldChar w:fldCharType="separate"/>
      </w:r>
      <w:r w:rsidRPr="0010253B">
        <w:rPr>
          <w:b w:val="0"/>
          <w:bCs/>
          <w:caps w:val="0"/>
          <w:noProof/>
          <w:lang w:val="id-ID" w:eastAsia="id-ID"/>
        </w:rPr>
        <w:t>(Rizki &amp; Farina, 2022)</w:t>
      </w:r>
      <w:r>
        <w:rPr>
          <w:b w:val="0"/>
          <w:bCs/>
          <w:caps w:val="0"/>
          <w:lang w:val="id-ID" w:eastAsia="id-ID"/>
        </w:rPr>
        <w:fldChar w:fldCharType="end"/>
      </w:r>
      <w:r w:rsidRPr="00E72B26">
        <w:rPr>
          <w:b w:val="0"/>
          <w:bCs/>
          <w:caps w:val="0"/>
          <w:lang w:val="id-ID" w:eastAsia="id-ID"/>
        </w:rPr>
        <w:t>. Reflecting the logic that individuals who are more tax conscious may be more likely to comply with tax rules</w:t>
      </w:r>
      <w:r>
        <w:rPr>
          <w:b w:val="0"/>
          <w:bCs/>
          <w:caps w:val="0"/>
          <w:lang w:val="id-ID" w:eastAsia="id-ID"/>
        </w:rPr>
        <w:t xml:space="preserve"> </w:t>
      </w:r>
      <w:r>
        <w:rPr>
          <w:b w:val="0"/>
          <w:bCs/>
          <w:caps w:val="0"/>
          <w:lang w:val="id-ID" w:eastAsia="id-ID"/>
        </w:rPr>
        <w:fldChar w:fldCharType="begin" w:fldLock="1"/>
      </w:r>
      <w:r>
        <w:rPr>
          <w:b w:val="0"/>
          <w:bCs/>
          <w:caps w:val="0"/>
          <w:lang w:val="id-ID" w:eastAsia="id-ID"/>
        </w:rPr>
        <w:instrText>ADDIN CSL_CITATION {"citationItems":[{"id":"ITEM-1","itemData":{"DOI":"10.21831/nominal.v8i2.26461","ISSN":"2303-2065","abstract":"Abstrak: Pengaruh Kesadaran Membayar Pajak, Persepsi Atas Efektivitas Sistem Perpajakan dan Pemahaman Peraturan Pemerintah Nomor 23 Tahun 2018 terhadap Kemauan Membayar Pajak (Pada UMKM Sektor Perdagangan di Kabupaten Klaten). Penelitian ini bertujuan untuk mengetahui pengaruh Kesadaran Membayar Pajak, Persepsi atas Efektivitas Sistem Perpajakan dan Pemahaman Peraturan Pemerintah No. 23 Tahun 2018 terhadap Kemauan Membayar Pajak. Penelitian ini menggunakan metode kuantitatif. Populasi dalam penelitian ini adalah pelaku Usaha Mikro, Kecil, Menengah (UMKM) Kabupaten Klaten. Teknik pengambilan sampel dengan purposive sampling didapatkan sampel sebanyak 388 pelaku UMKM sektor perdagangan. Teknik pengumpulan data menggunakan kuesioner yang telah diuji validitas dan reliabilitasnya. Teknik analisis data menggunakan regresi linear sederhana dan berganda. Hasil penelitian ini menunjukkan bahwa Kesadaran Membayar Pajak, Persepsi atas Efektivitas Sistem Perpajakan, dan Pemahaman Peraturan Pemerintah No. 23 Tahun 2018 berpengaruh positif dan signifikan terhadap Kemauan Membayar Pajak, dibuktikan dengan nilai signifikansi 0,000; 0,000; dan 0,000.Kata kunci: Kesadaran Membayar Pajak, Persepsi Atas Efektivitas Sistem Perpajakan, Pemahaman PP No. 23 Tahun 2018, dan Kemauan Membayar Pajak","author":[{"dropping-particle":"","family":"Pangesti","given":"Dhea Mayang","non-dropping-particle":"","parse-names":false,"suffix":""},{"dropping-particle":"","family":"Yushita","given":"Amanita Novi","non-dropping-particle":"","parse-names":false,"suffix":""}],"container-title":"Nominal: Barometer Riset Akuntansi dan Manajemen","id":"ITEM-1","issue":"2","issued":{"date-parts":[["2019"]]},"page":"166-178","title":"Pengaruh Kesadaran Membayar Pajak, Persepsi Atas Efektivitas Sistem Perpajakan, Dan Pemahaman Peraturan Pemerintah Nomor 23 Tahun 2018 Terhadap Kemauan Membayar Pajak (Pada Umkm Sektor Perdagangan Di Kabupaten Klaten)","type":"article-journal","volume":"8"},"uris":["http://www.mendeley.com/documents/?uuid=dd10fba4-88e9-4761-965f-c6e56f650a62"]}],"mendeley":{"formattedCitation":"(Pangesti &amp; Yushita, 2019)","plainTextFormattedCitation":"(Pangesti &amp; Yushita, 2019)","previouslyFormattedCitation":"(Pangesti &amp; Yushita, 2019)"},"properties":{"noteIndex":0},"schema":"https://github.com/citation-style-language/schema/raw/master/csl-citation.json"}</w:instrText>
      </w:r>
      <w:r>
        <w:rPr>
          <w:b w:val="0"/>
          <w:bCs/>
          <w:caps w:val="0"/>
          <w:lang w:val="id-ID" w:eastAsia="id-ID"/>
        </w:rPr>
        <w:fldChar w:fldCharType="separate"/>
      </w:r>
      <w:r w:rsidRPr="0010253B">
        <w:rPr>
          <w:b w:val="0"/>
          <w:bCs/>
          <w:caps w:val="0"/>
          <w:noProof/>
          <w:lang w:val="id-ID" w:eastAsia="id-ID"/>
        </w:rPr>
        <w:t>(Pangesti &amp; Yushita, 2019)</w:t>
      </w:r>
      <w:r>
        <w:rPr>
          <w:b w:val="0"/>
          <w:bCs/>
          <w:caps w:val="0"/>
          <w:lang w:val="id-ID" w:eastAsia="id-ID"/>
        </w:rPr>
        <w:fldChar w:fldCharType="end"/>
      </w:r>
      <w:r w:rsidRPr="00E72B26">
        <w:rPr>
          <w:b w:val="0"/>
          <w:bCs/>
          <w:caps w:val="0"/>
          <w:lang w:val="id-ID" w:eastAsia="id-ID"/>
        </w:rPr>
        <w:t>. Therefore the hypothesis that can be made is:</w:t>
      </w:r>
    </w:p>
    <w:p w14:paraId="74AC335B" w14:textId="77777777" w:rsidR="00563580" w:rsidRDefault="00563580" w:rsidP="00563580">
      <w:pPr>
        <w:pStyle w:val="JAPSub-Judul"/>
        <w:rPr>
          <w:b w:val="0"/>
          <w:bCs/>
          <w:caps w:val="0"/>
          <w:lang w:val="id-ID" w:eastAsia="id-ID"/>
        </w:rPr>
      </w:pPr>
      <w:r w:rsidRPr="00E72B26">
        <w:rPr>
          <w:b w:val="0"/>
          <w:bCs/>
          <w:caps w:val="0"/>
          <w:lang w:val="id-ID" w:eastAsia="id-ID"/>
        </w:rPr>
        <w:t>H1: Tax awareness has a positive effect on young entrepreneurs' intention not to commit tax fraud.</w:t>
      </w:r>
    </w:p>
    <w:p w14:paraId="0D3B0FD1" w14:textId="77777777" w:rsidR="00563580" w:rsidRDefault="00563580" w:rsidP="00563580">
      <w:pPr>
        <w:pStyle w:val="JAPSub-Judul"/>
        <w:rPr>
          <w:lang w:eastAsia="id-ID"/>
        </w:rPr>
      </w:pPr>
    </w:p>
    <w:p w14:paraId="2DDA6BD1" w14:textId="77777777" w:rsidR="00563580" w:rsidRDefault="00563580" w:rsidP="00563580">
      <w:pPr>
        <w:pStyle w:val="JAPSub-Judul"/>
        <w:rPr>
          <w:lang w:val="id-ID" w:eastAsia="id-ID"/>
        </w:rPr>
      </w:pPr>
      <w:r>
        <w:rPr>
          <w:lang w:val="id-ID" w:eastAsia="id-ID"/>
        </w:rPr>
        <w:t>the influence of the taxation system on tax fraud</w:t>
      </w:r>
    </w:p>
    <w:p w14:paraId="2F66EED1" w14:textId="77777777" w:rsidR="00563580" w:rsidRPr="00784F7B" w:rsidRDefault="00563580" w:rsidP="00563580">
      <w:pPr>
        <w:pStyle w:val="JAPSub-Judul"/>
        <w:ind w:firstLine="720"/>
        <w:rPr>
          <w:b w:val="0"/>
          <w:bCs/>
          <w:caps w:val="0"/>
          <w:lang w:val="id-ID"/>
        </w:rPr>
      </w:pPr>
      <w:r w:rsidRPr="006F51E3">
        <w:rPr>
          <w:b w:val="0"/>
          <w:bCs/>
          <w:caps w:val="0"/>
        </w:rPr>
        <w:t>The tax system was created to make it easier for people or young entrepreneurs to pay taxes in order to finance development and other government expenditures</w:t>
      </w:r>
      <w:r>
        <w:rPr>
          <w:b w:val="0"/>
          <w:bCs/>
          <w:caps w:val="0"/>
          <w:lang w:val="id-ID"/>
        </w:rPr>
        <w:t xml:space="preserve"> </w:t>
      </w:r>
      <w:r>
        <w:rPr>
          <w:b w:val="0"/>
          <w:bCs/>
          <w:caps w:val="0"/>
        </w:rPr>
        <w:fldChar w:fldCharType="begin" w:fldLock="1"/>
      </w:r>
      <w:r>
        <w:rPr>
          <w:b w:val="0"/>
          <w:bCs/>
          <w:caps w:val="0"/>
        </w:rPr>
        <w:instrText>ADDIN CSL_CITATION {"citationItems":[{"id":"ITEM-1","itemData":{"abstract":"This study aims to analyze the effect of taxpayer morale, tax penalties, tax systems, tax audits, and tax rates on taxpayers' perceptions of ethics on tax evasion. The population of this research is all individual taxpayers at KPP Pratama Gianyar. The sample in this study were as many as 100 people who were obtained based on the Slovin method. The sapling technique used in this study was accidental sampling, the data were collected by distributing questionnaires. The analysis technique used is multiple linear regression analysis techniques. Based on the results of the analysis, it shows that the tax system and tax audits have a positive effect on taxpayers 'perceptions of ethics on tax evasion, while taxpayer morale, tax sanctions, and tax rates have no effect on taxpayers' perceptions of ethics on tax evasion.","author":[{"dropping-particle":"","family":"Maharani","given":"Gusti Agung Ayu Intan","non-dropping-particle":"","parse-names":false,"suffix":""},{"dropping-particle":"","family":"Endiana","given":"I Dewa Made","non-dropping-particle":"","parse-names":false,"suffix":""},{"dropping-particle":"","family":"Kumalasari","given":"Putu Diah","non-dropping-particle":"","parse-names":false,"suffix":""}],"container-title":"Jurnal Kharisma","id":"ITEM-1","issue":"1","issued":{"date-parts":[["2021"]]},"page":"63-72","title":"Pengaruh Moral Wajib Pajak, Sanksi Pajak, Sistem Pajak, Pemeriksaan Pajak Dan Tarif Pajak Terhadap Persepsi Wajib Pajak Mengenai Etika Atas Tax Evasion","type":"article-journal","volume":"3"},"uris":["http://www.mendeley.com/documents/?uuid=b0aac730-7ec9-447f-beea-afe3fe5ad9f5"]}],"mendeley":{"formattedCitation":"(Maharani et al., 2021)","plainTextFormattedCitation":"(Maharani et al., 2021)","previouslyFormattedCitation":"(Maharani et al., 2021)"},"properties":{"noteIndex":0},"schema":"https://github.com/citation-style-language/schema/raw/master/csl-citation.json"}</w:instrText>
      </w:r>
      <w:r>
        <w:rPr>
          <w:b w:val="0"/>
          <w:bCs/>
          <w:caps w:val="0"/>
        </w:rPr>
        <w:fldChar w:fldCharType="separate"/>
      </w:r>
      <w:r w:rsidRPr="0010253B">
        <w:rPr>
          <w:b w:val="0"/>
          <w:bCs/>
          <w:caps w:val="0"/>
          <w:noProof/>
        </w:rPr>
        <w:t>(Maharani et al., 2021)</w:t>
      </w:r>
      <w:r>
        <w:rPr>
          <w:b w:val="0"/>
          <w:bCs/>
          <w:caps w:val="0"/>
        </w:rPr>
        <w:fldChar w:fldCharType="end"/>
      </w:r>
      <w:r w:rsidRPr="006F51E3">
        <w:rPr>
          <w:b w:val="0"/>
          <w:bCs/>
          <w:caps w:val="0"/>
        </w:rPr>
        <w:t>. Tax system variables in accordance with the Theory of Planned Behavior (TPB) have behavioral control variables. Behavioral control variables mean that not all actions taken by an individual are under the individual's control</w:t>
      </w:r>
      <w:r>
        <w:rPr>
          <w:b w:val="0"/>
          <w:bCs/>
          <w:caps w:val="0"/>
          <w:lang w:val="id-ID"/>
        </w:rPr>
        <w:t xml:space="preserve"> </w:t>
      </w:r>
      <w:r>
        <w:rPr>
          <w:b w:val="0"/>
          <w:bCs/>
          <w:caps w:val="0"/>
        </w:rPr>
        <w:fldChar w:fldCharType="begin" w:fldLock="1"/>
      </w:r>
      <w:r>
        <w:rPr>
          <w:b w:val="0"/>
          <w:bCs/>
          <w:caps w:val="0"/>
        </w:rPr>
        <w:instrText>ADDIN CSL_CITATION {"citationItems":[{"id":"ITEM-1","itemData":{"abstract":"This study aims to analyze the effect of taxpayer morale, tax penalties, tax systems, tax audits, and tax rates on taxpayers' perceptions of ethics on tax evasion. The population of this research is all individual taxpayers at KPP Pratama Gianyar. The sample in this study were as many as 100 people who were obtained based on the Slovin method. The sapling technique used in this study was accidental sampling, the data were collected by distributing questionnaires. The analysis technique used is multiple linear regression analysis techniques. Based on the results of the analysis, it shows that the tax system and tax audits have a positive effect on taxpayers 'perceptions of ethics on tax evasion, while taxpayer morale, tax sanctions, and tax rates have no effect on taxpayers' perceptions of ethics on tax evasion.","author":[{"dropping-particle":"","family":"Maharani","given":"Gusti Agung Ayu Intan","non-dropping-particle":"","parse-names":false,"suffix":""},{"dropping-particle":"","family":"Endiana","given":"I Dewa Made","non-dropping-particle":"","parse-names":false,"suffix":""},{"dropping-particle":"","family":"Kumalasari","given":"Putu Diah","non-dropping-particle":"","parse-names":false,"suffix":""}],"container-title":"Jurnal Kharisma","id":"ITEM-1","issue":"1","issued":{"date-parts":[["2021"]]},"page":"63-72","title":"Pengaruh Moral Wajib Pajak, Sanksi Pajak, Sistem Pajak, Pemeriksaan Pajak Dan Tarif Pajak Terhadap Persepsi Wajib Pajak Mengenai Etika Atas Tax Evasion","type":"article-journal","volume":"3"},"uris":["http://www.mendeley.com/documents/?uuid=b0aac730-7ec9-447f-beea-afe3fe5ad9f5"]}],"mendeley":{"formattedCitation":"(Maharani et al., 2021)","plainTextFormattedCitation":"(Maharani et al., 2021)","previouslyFormattedCitation":"(Maharani et al., 2021)"},"properties":{"noteIndex":0},"schema":"https://github.com/citation-style-language/schema/raw/master/csl-citation.json"}</w:instrText>
      </w:r>
      <w:r>
        <w:rPr>
          <w:b w:val="0"/>
          <w:bCs/>
          <w:caps w:val="0"/>
        </w:rPr>
        <w:fldChar w:fldCharType="separate"/>
      </w:r>
      <w:r w:rsidRPr="0010253B">
        <w:rPr>
          <w:b w:val="0"/>
          <w:bCs/>
          <w:caps w:val="0"/>
          <w:noProof/>
        </w:rPr>
        <w:t>(Maharani et al., 2021)</w:t>
      </w:r>
      <w:r>
        <w:rPr>
          <w:b w:val="0"/>
          <w:bCs/>
          <w:caps w:val="0"/>
        </w:rPr>
        <w:fldChar w:fldCharType="end"/>
      </w:r>
      <w:r w:rsidRPr="006F51E3">
        <w:rPr>
          <w:b w:val="0"/>
          <w:bCs/>
          <w:caps w:val="0"/>
        </w:rPr>
        <w:t>. The individual's attitude to behave well when carrying out tax provisions directly makes it easier for taxpayers in their tax activities, and acts of committing tax fraud are reduced</w:t>
      </w:r>
      <w:r>
        <w:rPr>
          <w:b w:val="0"/>
          <w:bCs/>
          <w:caps w:val="0"/>
          <w:lang w:val="id-ID"/>
        </w:rPr>
        <w:t xml:space="preserve"> </w:t>
      </w:r>
      <w:r>
        <w:rPr>
          <w:b w:val="0"/>
          <w:bCs/>
          <w:caps w:val="0"/>
        </w:rPr>
        <w:fldChar w:fldCharType="begin" w:fldLock="1"/>
      </w:r>
      <w:r>
        <w:rPr>
          <w:b w:val="0"/>
          <w:bCs/>
          <w:caps w:val="0"/>
        </w:rPr>
        <w:instrText>ADDIN CSL_CITATION {"citationItems":[{"id":"ITEM-1","itemData":{"abstract":"Penelitian ini bertujuan untuk mengetahui apakah keadilan pajak, sistem perpajakan, diskriminasi, kemungkinan terdeteksinya kecurangan, pemeriksaan pajak dan tarif pajak berpengaruh terhadap penggelapan pajak. Objek penelitian ini adalah wajib pajak orang pribadi yang terdaftar di KPP Sleman. Penelitian ini menggunakan purposive sampling dan didapatkan sampel sebanyak 100 orang. Pengumpulan data dilakukan dengan metode kuesioner yang disebarkan pada responden dan diolah menggunakan SPSS Statistic 23. Hasil penelitian ini menunjukan bahwa sistem perpajakan dan pemeriksaan pajak berpengaruh negatif dan signifikan terhadap penggelapan pajak.","author":[{"dropping-particle":"","family":"Fhyel","given":"Vygoma Geatara","non-dropping-particle":"","parse-names":false,"suffix":""}],"container-title":"Skripsi Fakultas Ekonomi Universitas Islam Indonesia Yogyakarta","id":"ITEM-1","issued":{"date-parts":[["2018"]]},"page":"131","title":"Faktor Yang Mempengaruhi Penggelapan Pajak","type":"article-journal"},"uris":["http://www.mendeley.com/documents/?uuid=7e35ad0d-d84e-4331-af75-15a8974d4a95"]}],"mendeley":{"formattedCitation":"(Fhyel, 2018)","plainTextFormattedCitation":"(Fhyel, 2018)","previouslyFormattedCitation":"(Fhyel, 2018)"},"properties":{"noteIndex":0},"schema":"https://github.com/citation-style-language/schema/raw/master/csl-citation.json"}</w:instrText>
      </w:r>
      <w:r>
        <w:rPr>
          <w:b w:val="0"/>
          <w:bCs/>
          <w:caps w:val="0"/>
        </w:rPr>
        <w:fldChar w:fldCharType="separate"/>
      </w:r>
      <w:r w:rsidRPr="0010253B">
        <w:rPr>
          <w:b w:val="0"/>
          <w:bCs/>
          <w:caps w:val="0"/>
          <w:noProof/>
        </w:rPr>
        <w:t>(Fhyel, 2018)</w:t>
      </w:r>
      <w:r>
        <w:rPr>
          <w:b w:val="0"/>
          <w:bCs/>
          <w:caps w:val="0"/>
        </w:rPr>
        <w:fldChar w:fldCharType="end"/>
      </w:r>
      <w:r>
        <w:rPr>
          <w:b w:val="0"/>
          <w:bCs/>
          <w:caps w:val="0"/>
          <w:lang w:val="id-ID"/>
        </w:rPr>
        <w:t>.</w:t>
      </w:r>
    </w:p>
    <w:p w14:paraId="1AE4A31E" w14:textId="77777777" w:rsidR="00563580" w:rsidRPr="006F51E3" w:rsidRDefault="00563580" w:rsidP="00563580">
      <w:pPr>
        <w:pStyle w:val="JAPSub-Judul"/>
        <w:ind w:firstLine="720"/>
        <w:rPr>
          <w:b w:val="0"/>
          <w:bCs/>
          <w:caps w:val="0"/>
        </w:rPr>
      </w:pPr>
      <w:r w:rsidRPr="006F51E3">
        <w:rPr>
          <w:b w:val="0"/>
          <w:bCs/>
          <w:caps w:val="0"/>
        </w:rPr>
        <w:t>The Directorate General of Taxes (DJP) has made it easy for taxpayers to report and pay taxes through supporting systems, namely e-filling, e-SPT, e-NPWP, and e-banking</w:t>
      </w:r>
      <w:r>
        <w:rPr>
          <w:b w:val="0"/>
          <w:bCs/>
          <w:caps w:val="0"/>
          <w:lang w:val="id-ID"/>
        </w:rPr>
        <w:t xml:space="preserve"> </w:t>
      </w:r>
      <w:r>
        <w:rPr>
          <w:b w:val="0"/>
          <w:bCs/>
          <w:caps w:val="0"/>
        </w:rPr>
        <w:fldChar w:fldCharType="begin" w:fldLock="1"/>
      </w:r>
      <w:r>
        <w:rPr>
          <w:b w:val="0"/>
          <w:bCs/>
          <w:caps w:val="0"/>
        </w:rPr>
        <w:instrText>ADDIN CSL_CITATION {"citationItems":[{"id":"ITEM-1","itemData":{"DOI":"10.21831/nominal.v8i2.26461","ISSN":"2303-2065","abstract":"Abstrak: Pengaruh Kesadaran Membayar Pajak, Persepsi Atas Efektivitas Sistem Perpajakan dan Pemahaman Peraturan Pemerintah Nomor 23 Tahun 2018 terhadap Kemauan Membayar Pajak (Pada UMKM Sektor Perdagangan di Kabupaten Klaten). Penelitian ini bertujuan untuk mengetahui pengaruh Kesadaran Membayar Pajak, Persepsi atas Efektivitas Sistem Perpajakan dan Pemahaman Peraturan Pemerintah No. 23 Tahun 2018 terhadap Kemauan Membayar Pajak. Penelitian ini menggunakan metode kuantitatif. Populasi dalam penelitian ini adalah pelaku Usaha Mikro, Kecil, Menengah (UMKM) Kabupaten Klaten. Teknik pengambilan sampel dengan purposive sampling didapatkan sampel sebanyak 388 pelaku UMKM sektor perdagangan. Teknik pengumpulan data menggunakan kuesioner yang telah diuji validitas dan reliabilitasnya. Teknik analisis data menggunakan regresi linear sederhana dan berganda. Hasil penelitian ini menunjukkan bahwa Kesadaran Membayar Pajak, Persepsi atas Efektivitas Sistem Perpajakan, dan Pemahaman Peraturan Pemerintah No. 23 Tahun 2018 berpengaruh positif dan signifikan terhadap Kemauan Membayar Pajak, dibuktikan dengan nilai signifikansi 0,000; 0,000; dan 0,000.Kata kunci: Kesadaran Membayar Pajak, Persepsi Atas Efektivitas Sistem Perpajakan, Pemahaman PP No. 23 Tahun 2018, dan Kemauan Membayar Pajak","author":[{"dropping-particle":"","family":"Pangesti","given":"Dhea Mayang","non-dropping-particle":"","parse-names":false,"suffix":""},{"dropping-particle":"","family":"Yushita","given":"Amanita Novi","non-dropping-particle":"","parse-names":false,"suffix":""}],"container-title":"Nominal: Barometer Riset Akuntansi dan Manajemen","id":"ITEM-1","issue":"2","issued":{"date-parts":[["2019"]]},"page":"166-178","title":"Pengaruh Kesadaran Membayar Pajak, Persepsi Atas Efektivitas Sistem Perpajakan, Dan Pemahaman Peraturan Pemerintah Nomor 23 Tahun 2018 Terhadap Kemauan Membayar Pajak (Pada Umkm Sektor Perdagangan Di Kabupaten Klaten)","type":"article-journal","volume":"8"},"uris":["http://www.mendeley.com/documents/?uuid=dd10fba4-88e9-4761-965f-c6e56f650a62"]}],"mendeley":{"formattedCitation":"(Pangesti &amp; Yushita, 2019)","plainTextFormattedCitation":"(Pangesti &amp; Yushita, 2019)","previouslyFormattedCitation":"(Pangesti &amp; Yushita, 2019)"},"properties":{"noteIndex":0},"schema":"https://github.com/citation-style-language/schema/raw/master/csl-citation.json"}</w:instrText>
      </w:r>
      <w:r>
        <w:rPr>
          <w:b w:val="0"/>
          <w:bCs/>
          <w:caps w:val="0"/>
        </w:rPr>
        <w:fldChar w:fldCharType="separate"/>
      </w:r>
      <w:r w:rsidRPr="0010253B">
        <w:rPr>
          <w:b w:val="0"/>
          <w:bCs/>
          <w:caps w:val="0"/>
          <w:noProof/>
        </w:rPr>
        <w:t>(Pangesti &amp; Yushita, 2019)</w:t>
      </w:r>
      <w:r>
        <w:rPr>
          <w:b w:val="0"/>
          <w:bCs/>
          <w:caps w:val="0"/>
        </w:rPr>
        <w:fldChar w:fldCharType="end"/>
      </w:r>
      <w:r w:rsidRPr="006F51E3">
        <w:rPr>
          <w:b w:val="0"/>
          <w:bCs/>
          <w:caps w:val="0"/>
        </w:rPr>
        <w:t>. With the existence of an easy, good and controlled support system for the tax system, tax evasion will become increasingly unethical to carry out</w:t>
      </w:r>
      <w:r>
        <w:rPr>
          <w:b w:val="0"/>
          <w:bCs/>
          <w:caps w:val="0"/>
          <w:lang w:val="id-ID"/>
        </w:rPr>
        <w:t xml:space="preserve"> </w:t>
      </w:r>
      <w:r>
        <w:rPr>
          <w:b w:val="0"/>
          <w:bCs/>
          <w:caps w:val="0"/>
        </w:rPr>
        <w:fldChar w:fldCharType="begin" w:fldLock="1"/>
      </w:r>
      <w:r>
        <w:rPr>
          <w:b w:val="0"/>
          <w:bCs/>
          <w:caps w:val="0"/>
        </w:rPr>
        <w:instrText>ADDIN CSL_CITATION {"citationItems":[{"id":"ITEM-1","itemData":{"abstract":"This study aims to analyze the effect of taxpayer morale, tax penalties, tax systems, tax audits, and tax rates on taxpayers' perceptions of ethics on tax evasion. The population of this research is all individual taxpayers at KPP Pratama Gianyar. The sample in this study were as many as 100 people who were obtained based on the Slovin method. The sapling technique used in this study was accidental sampling, the data were collected by distributing questionnaires. The analysis technique used is multiple linear regression analysis techniques. Based on the results of the analysis, it shows that the tax system and tax audits have a positive effect on taxpayers 'perceptions of ethics on tax evasion, while taxpayer morale, tax sanctions, and tax rates have no effect on taxpayers' perceptions of ethics on tax evasion.","author":[{"dropping-particle":"","family":"Maharani","given":"Gusti Agung Ayu Intan","non-dropping-particle":"","parse-names":false,"suffix":""},{"dropping-particle":"","family":"Endiana","given":"I Dewa Made","non-dropping-particle":"","parse-names":false,"suffix":""},{"dropping-particle":"","family":"Kumalasari","given":"Putu Diah","non-dropping-particle":"","parse-names":false,"suffix":""}],"container-title":"Jurnal Kharisma","id":"ITEM-1","issue":"1","issued":{"date-parts":[["2021"]]},"page":"63-72","title":"Pengaruh Moral Wajib Pajak, Sanksi Pajak, Sistem Pajak, Pemeriksaan Pajak Dan Tarif Pajak Terhadap Persepsi Wajib Pajak Mengenai Etika Atas Tax Evasion","type":"article-journal","volume":"3"},"uris":["http://www.mendeley.com/documents/?uuid=b0aac730-7ec9-447f-beea-afe3fe5ad9f5"]}],"mendeley":{"formattedCitation":"(Maharani et al., 2021)","plainTextFormattedCitation":"(Maharani et al., 2021)","previouslyFormattedCitation":"(Maharani et al., 2021)"},"properties":{"noteIndex":0},"schema":"https://github.com/citation-style-language/schema/raw/master/csl-citation.json"}</w:instrText>
      </w:r>
      <w:r>
        <w:rPr>
          <w:b w:val="0"/>
          <w:bCs/>
          <w:caps w:val="0"/>
        </w:rPr>
        <w:fldChar w:fldCharType="separate"/>
      </w:r>
      <w:r w:rsidRPr="0010253B">
        <w:rPr>
          <w:b w:val="0"/>
          <w:bCs/>
          <w:caps w:val="0"/>
          <w:noProof/>
        </w:rPr>
        <w:t>(Maharani et al., 2021)</w:t>
      </w:r>
      <w:r>
        <w:rPr>
          <w:b w:val="0"/>
          <w:bCs/>
          <w:caps w:val="0"/>
        </w:rPr>
        <w:fldChar w:fldCharType="end"/>
      </w:r>
      <w:r w:rsidRPr="006F51E3">
        <w:rPr>
          <w:b w:val="0"/>
          <w:bCs/>
          <w:caps w:val="0"/>
        </w:rPr>
        <w:t>. In line with the research results</w:t>
      </w:r>
      <w:r>
        <w:rPr>
          <w:b w:val="0"/>
          <w:bCs/>
          <w:caps w:val="0"/>
          <w:lang w:val="id-ID"/>
        </w:rPr>
        <w:t xml:space="preserve"> </w:t>
      </w:r>
      <w:r>
        <w:rPr>
          <w:b w:val="0"/>
          <w:bCs/>
          <w:caps w:val="0"/>
          <w:lang w:val="id-ID"/>
        </w:rPr>
        <w:fldChar w:fldCharType="begin" w:fldLock="1"/>
      </w:r>
      <w:r>
        <w:rPr>
          <w:b w:val="0"/>
          <w:bCs/>
          <w:caps w:val="0"/>
          <w:lang w:val="id-ID"/>
        </w:rPr>
        <w:instrText>ADDIN CSL_CITATION {"citationItems":[{"id":"ITEM-1","itemData":{"abstract":"This study examines the influence of fairness, tax system, and discrimination on ethical perceptions of taxpayer about tax evasion in Indonesia specially in Daerah Istimewa Yogyakarta. This study use survey method, with personal income taxpayer in Daerah Istimewa Yogyakarta as respondents. The results of this study indicate that the tax system has positive associated with perceptions of ethical taxpayer, and discrimination has negative associated with perceptions of ethical taxpayer. While fairness has positive associated with ethical perceptions of taxpayer can not be proved.","author":[{"dropping-particle":"","family":"Suminarsasi","given":"Wahyu; Supriyadi","non-dropping-particle":"","parse-names":false,"suffix":""}],"container-title":"SNA 15 Banjarmasin","id":"ITEM-1","issue":"2 (oktober)","issued":{"date-parts":[["2012"]]},"number-of-pages":"0-29","title":"Pengaruh Keadilan, Sistem Perpajakan, Dan Diskriminasi Terhadapterhadap Persepsi Wajib Pajak Mengenai Etika Penggelapan Pajak ( Tax Evasion ) Wahyu Suminarsasi Universitas Gadjah Mada Supriyadi Universitas Gadjah Mada Fairness , Tax System , Discriminatio","type":"report","volume":"1"},"uris":["http://www.mendeley.com/documents/?uuid=cdb32abd-19a9-30cd-9fb5-484ebdbc63a6"]},{"id":"ITEM-2","itemData":{"DOI":"10.9744/jmk.17.2.135","ISBN":"978-0-615-18550-7","ISSN":"1907-235X","abstract":"Basically, service can be said as act of serving others to fullfill their needs and wants. Level of satisfaction achieved from service that can be measured through what the consumer feel after receiving the service, comparing with their expectation of service quality. This study intended to observe the lack of expected and actual service received by consumers of Tunjungan Plaza Surabaya. Factors to be observed are availability and how easy to find the product, responsibility of quality and pricing, responsibility of product safety, and consumers security.\\r\\n\\r\\n\\r\\nAbstract in Bahasa Indonesia :\\r\\n\\r\\nPelayanan pada dasarnya dapat dikatakan sebagai suatu tindakan dan perlakuan atau cara melayani orang lain untuk memenuhi apa yang menjadi kebutuhan dan keinginannya. Tingkat kepuasan konsumen atas suatu pelayanan dapat diukur dengan membandingkan antara harapan konsumen terhadap kualitas pelayanan yang diinginkannya dengan kenyataan yang diterimanya atau dirasakannya. Studi ini untuk melihat kesenjangan antara jasa yang diharapakan dengan jasa yang dirasakan oleh pengunjung Plaza Tunjungan Surabaya. Kemudahan dan kelengkapan penyediaan berbagai produk, tanggung jawab atas kualitas dan penetapan harga, serta tanggung jawab atas keamanan barang dan keselamatan pengunjung maupun pembeli merupakan faktor-faktor paling sesuai antara apa yang diharapkan dengan apa yang dirasakan konsumen pengunjung Plaza Tunjungan Surabaya.\\r\\n\\r\\nKata kunci: kualitas pelayanan, kepuasan konsumen.","author":[{"dropping-particle":"","family":"Suwono","given":"Diah Indriani","non-dropping-particle":"","parse-names":false,"suffix":""},{"dropping-particle":"","family":"Sutanto","given":"Eddy Madiono","non-dropping-particle":"","parse-names":false,"suffix":""}],"container-title":"Jurnal Manajemen dan Kewirausahaan","id":"ITEM-2","issue":"2","issued":{"date-parts":[["2015"]]},"page":"41-59","title":"Hubungan Lingkungan Kerja, Disiplin Kerja, Dan Kinerja Karyawan","type":"article-journal","volume":"17"},"uris":["http://www.mendeley.com/documents/?uuid=fdb27e30-9238-4af8-b05a-16b1b4d9970c"]}],"mendeley":{"formattedCitation":"(Suminarsasi, 2012; Suwono &amp; Sutanto, 2015)","manualFormatting":"Suminarsasi, (2012); Suwono &amp; Sutanto, (2015)","plainTextFormattedCitation":"(Suminarsasi, 2012; Suwono &amp; Sutanto, 2015)","previouslyFormattedCitation":"(Suminarsasi, 2012; Suwono &amp; Sutanto, 2015)"},"properties":{"noteIndex":0},"schema":"https://github.com/citation-style-language/schema/raw/master/csl-citation.json"}</w:instrText>
      </w:r>
      <w:r>
        <w:rPr>
          <w:b w:val="0"/>
          <w:bCs/>
          <w:caps w:val="0"/>
          <w:lang w:val="id-ID"/>
        </w:rPr>
        <w:fldChar w:fldCharType="separate"/>
      </w:r>
      <w:r w:rsidRPr="0010253B">
        <w:rPr>
          <w:b w:val="0"/>
          <w:bCs/>
          <w:caps w:val="0"/>
          <w:noProof/>
          <w:lang w:val="id-ID"/>
        </w:rPr>
        <w:t xml:space="preserve">Suminarsasi, </w:t>
      </w:r>
      <w:r>
        <w:rPr>
          <w:b w:val="0"/>
          <w:bCs/>
          <w:caps w:val="0"/>
          <w:noProof/>
          <w:lang w:val="id-ID"/>
        </w:rPr>
        <w:t>(</w:t>
      </w:r>
      <w:r w:rsidRPr="0010253B">
        <w:rPr>
          <w:b w:val="0"/>
          <w:bCs/>
          <w:caps w:val="0"/>
          <w:noProof/>
          <w:lang w:val="id-ID"/>
        </w:rPr>
        <w:t>2012</w:t>
      </w:r>
      <w:r>
        <w:rPr>
          <w:b w:val="0"/>
          <w:bCs/>
          <w:caps w:val="0"/>
          <w:noProof/>
          <w:lang w:val="id-ID"/>
        </w:rPr>
        <w:t>)</w:t>
      </w:r>
      <w:r w:rsidRPr="0010253B">
        <w:rPr>
          <w:b w:val="0"/>
          <w:bCs/>
          <w:caps w:val="0"/>
          <w:noProof/>
          <w:lang w:val="id-ID"/>
        </w:rPr>
        <w:t xml:space="preserve">; Suwono &amp; Sutanto, </w:t>
      </w:r>
      <w:r>
        <w:rPr>
          <w:b w:val="0"/>
          <w:bCs/>
          <w:caps w:val="0"/>
          <w:noProof/>
          <w:lang w:val="id-ID"/>
        </w:rPr>
        <w:t>(</w:t>
      </w:r>
      <w:r w:rsidRPr="0010253B">
        <w:rPr>
          <w:b w:val="0"/>
          <w:bCs/>
          <w:caps w:val="0"/>
          <w:noProof/>
          <w:lang w:val="id-ID"/>
        </w:rPr>
        <w:t>2015)</w:t>
      </w:r>
      <w:r>
        <w:rPr>
          <w:b w:val="0"/>
          <w:bCs/>
          <w:caps w:val="0"/>
          <w:lang w:val="id-ID"/>
        </w:rPr>
        <w:fldChar w:fldCharType="end"/>
      </w:r>
      <w:r>
        <w:rPr>
          <w:b w:val="0"/>
          <w:bCs/>
          <w:caps w:val="0"/>
          <w:lang w:val="id-ID"/>
        </w:rPr>
        <w:t xml:space="preserve"> </w:t>
      </w:r>
      <w:r w:rsidRPr="006F51E3">
        <w:rPr>
          <w:b w:val="0"/>
          <w:bCs/>
          <w:caps w:val="0"/>
        </w:rPr>
        <w:t>revealed that the tax system has a positive effect on taxpayers' perceptions regarding the ethics of tax evasion being unacceptable, this shows that tax evasion is seen as unethical behavior. Based on the explanation above, the hypothesis used in this research is:</w:t>
      </w:r>
    </w:p>
    <w:p w14:paraId="50526B8C" w14:textId="77777777" w:rsidR="00563580" w:rsidRPr="00E72B26" w:rsidRDefault="00563580" w:rsidP="00563580">
      <w:pPr>
        <w:pStyle w:val="JAPSub-Judul"/>
        <w:rPr>
          <w:b w:val="0"/>
          <w:bCs/>
          <w:lang w:val="id-ID" w:eastAsia="id-ID"/>
        </w:rPr>
      </w:pPr>
      <w:r w:rsidRPr="006F51E3">
        <w:rPr>
          <w:b w:val="0"/>
          <w:bCs/>
          <w:caps w:val="0"/>
        </w:rPr>
        <w:t>H2: The tax system has a positive effect on the intention of young entrepreneurs not to commit tax fraud.</w:t>
      </w:r>
    </w:p>
    <w:p w14:paraId="04F4B5CD" w14:textId="77777777" w:rsidR="00563580" w:rsidRDefault="00563580" w:rsidP="00563580">
      <w:pPr>
        <w:pStyle w:val="JAPSub-Judul"/>
        <w:rPr>
          <w:lang w:eastAsia="id-ID"/>
        </w:rPr>
      </w:pPr>
    </w:p>
    <w:p w14:paraId="3AEF2814" w14:textId="77777777" w:rsidR="00563580" w:rsidRDefault="00563580" w:rsidP="00563580">
      <w:pPr>
        <w:pStyle w:val="JAPSub-Judul"/>
        <w:rPr>
          <w:lang w:val="id-ID" w:eastAsia="id-ID"/>
        </w:rPr>
      </w:pPr>
      <w:r>
        <w:rPr>
          <w:lang w:val="id-ID" w:eastAsia="id-ID"/>
        </w:rPr>
        <w:t>The effect of tax sanctions on tax fraud</w:t>
      </w:r>
    </w:p>
    <w:p w14:paraId="03E1605C" w14:textId="77777777" w:rsidR="00563580" w:rsidRPr="006F51E3" w:rsidRDefault="00563580" w:rsidP="00563580">
      <w:pPr>
        <w:pStyle w:val="JAPSub-Judul"/>
        <w:ind w:firstLine="720"/>
        <w:rPr>
          <w:b w:val="0"/>
          <w:bCs/>
          <w:caps w:val="0"/>
        </w:rPr>
      </w:pPr>
      <w:r w:rsidRPr="006F51E3">
        <w:rPr>
          <w:b w:val="0"/>
          <w:bCs/>
          <w:caps w:val="0"/>
        </w:rPr>
        <w:t>Tax sanctions are used to prevent young entrepreneurs from committing tax fraud</w:t>
      </w:r>
      <w:r>
        <w:rPr>
          <w:b w:val="0"/>
          <w:bCs/>
          <w:caps w:val="0"/>
          <w:lang w:val="id-ID"/>
        </w:rPr>
        <w:t xml:space="preserve"> </w:t>
      </w:r>
      <w:r>
        <w:rPr>
          <w:b w:val="0"/>
          <w:bCs/>
          <w:caps w:val="0"/>
          <w:lang w:val="id-ID"/>
        </w:rPr>
        <w:fldChar w:fldCharType="begin" w:fldLock="1"/>
      </w:r>
      <w:r>
        <w:rPr>
          <w:b w:val="0"/>
          <w:bCs/>
          <w:caps w:val="0"/>
          <w:lang w:val="id-ID"/>
        </w:rPr>
        <w:instrText>ADDIN CSL_CITATION {"citationItems":[{"id":"ITEM-1","itemData":{"abstract":"Tujuan dari penelitian ini adalah untuk menguji pengaruh pengetahuan, ketegasan sanksi dan keadilan perpajakan terhadap kepatuhan Wajib Pajak UMKM di Kota Semarang. Sampel dalam penelitian ini adalah 59 UMKM di Kota Semarang. Metode Pengumpulan Data menggunakan kuesioner. Analisis data dalam penelitian ini menggunakan analisis regresi berganda. Hasil penelitian menunjukkan secara parsial variabel pengetahuan pajak berpengaruh terhadap kepatuhan Wajib Pajak, sedangkan ketegasan sanksi dan keadilan perpajakan tidak berpengaruh terhadap kepatuhan Wajib Pajak. Secara simultan variabel pengetahuan, ketegasan sanksi dan keadilan perpajakan berpengaruh terhadap kepatuhan Wajib Pajak UMKM.","author":[{"dropping-particle":"","family":"Susmiatun","given":"","non-dropping-particle":"","parse-names":false,"suffix":""},{"dropping-particle":"","family":"Kusmuriyanto","given":"","non-dropping-particle":"","parse-names":false,"suffix":""}],"id":"ITEM-1","issue":"3","issued":{"date-parts":[["2014"]]},"page":"378-386","title":"Pengaruh Pengetahuan Perpajakan, Ketegasan Sanksi Perpajakan dan Keadilan Perpajakan terhadap Kepatuhan Wajib Pajak UMKM di Kota Semarang","type":"article-journal","volume":"3"},"uris":["http://www.mendeley.com/documents/?uuid=14109508-3179-466b-ba51-d3f423258000"]}],"mendeley":{"formattedCitation":"(Susmiatun &amp; Kusmuriyanto, 2014)","plainTextFormattedCitation":"(Susmiatun &amp; Kusmuriyanto, 2014)","previouslyFormattedCitation":"(Susmiatun &amp; Kusmuriyanto, 2014)"},"properties":{"noteIndex":0},"schema":"https://github.com/citation-style-language/schema/raw/master/csl-citation.json"}</w:instrText>
      </w:r>
      <w:r>
        <w:rPr>
          <w:b w:val="0"/>
          <w:bCs/>
          <w:caps w:val="0"/>
          <w:lang w:val="id-ID"/>
        </w:rPr>
        <w:fldChar w:fldCharType="separate"/>
      </w:r>
      <w:r w:rsidRPr="00D6636F">
        <w:rPr>
          <w:b w:val="0"/>
          <w:bCs/>
          <w:caps w:val="0"/>
          <w:noProof/>
          <w:lang w:val="id-ID"/>
        </w:rPr>
        <w:t>(Susmiatun &amp; Kusmuriyanto, 2014)</w:t>
      </w:r>
      <w:r>
        <w:rPr>
          <w:b w:val="0"/>
          <w:bCs/>
          <w:caps w:val="0"/>
          <w:lang w:val="id-ID"/>
        </w:rPr>
        <w:fldChar w:fldCharType="end"/>
      </w:r>
      <w:r w:rsidRPr="006F51E3">
        <w:rPr>
          <w:b w:val="0"/>
          <w:bCs/>
          <w:caps w:val="0"/>
        </w:rPr>
        <w:t>. The strength of tax sanctions will influence the perception of young entrepreneurs regarding tax fraud, from this perception young entrepreneurs will not commit tax fraud, so the heavier and stricter the sanctions, the higher the level of tax fraud</w:t>
      </w:r>
      <w:r>
        <w:rPr>
          <w:b w:val="0"/>
          <w:bCs/>
          <w:caps w:val="0"/>
          <w:lang w:val="id-ID"/>
        </w:rPr>
        <w:t xml:space="preserve"> </w:t>
      </w:r>
      <w:r>
        <w:rPr>
          <w:b w:val="0"/>
          <w:bCs/>
          <w:caps w:val="0"/>
          <w:lang w:val="id-ID"/>
        </w:rPr>
        <w:fldChar w:fldCharType="begin" w:fldLock="1"/>
      </w:r>
      <w:r>
        <w:rPr>
          <w:b w:val="0"/>
          <w:bCs/>
          <w:caps w:val="0"/>
          <w:lang w:val="id-ID"/>
        </w:rPr>
        <w:instrText>ADDIN CSL_CITATION {"citationItems":[{"id":"ITEM-1","itemData":{"abstract":"This study aims to analyze the effect of taxpayer morale, tax penalties, tax systems, tax audits, and tax rates on taxpayers' perceptions of ethics on tax evasion. The population of this research is all individual taxpayers at KPP Pratama Gianyar. The sample in this study were as many as 100 people who were obtained based on the Slovin method. The sapling technique used in this study was accidental sampling, the data were collected by distributing questionnaires. The analysis technique used is multiple linear regression analysis techniques. Based on the results of the analysis, it shows that the tax system and tax audits have a positive effect on taxpayers 'perceptions of ethics on tax evasion, while taxpayer morale, tax sanctions, and tax rates have no effect on taxpayers' perceptions of ethics on tax evasion.","author":[{"dropping-particle":"","family":"Maharani","given":"Gusti Agung Ayu Intan","non-dropping-particle":"","parse-names":false,"suffix":""},{"dropping-particle":"","family":"Endiana","given":"I Dewa Made","non-dropping-particle":"","parse-names":false,"suffix":""},{"dropping-particle":"","family":"Kumalasari","given":"Putu Diah","non-dropping-particle":"","parse-names":false,"suffix":""}],"container-title":"Jurnal Kharisma","id":"ITEM-1","issue":"1","issued":{"date-parts":[["2021"]]},"page":"63-72","title":"Pengaruh Moral Wajib Pajak, Sanksi Pajak, Sistem Pajak, Pemeriksaan Pajak Dan Tarif Pajak Terhadap Persepsi Wajib Pajak Mengenai Etika Atas Tax Evasion","type":"article-journal","volume":"3"},"uris":["http://www.mendeley.com/documents/?uuid=b0aac730-7ec9-447f-beea-afe3fe5ad9f5"]}],"mendeley":{"formattedCitation":"(Maharani et al., 2021)","plainTextFormattedCitation":"(Maharani et al., 2021)","previouslyFormattedCitation":"(Maharani et al., 2021)"},"properties":{"noteIndex":0},"schema":"https://github.com/citation-style-language/schema/raw/master/csl-citation.json"}</w:instrText>
      </w:r>
      <w:r>
        <w:rPr>
          <w:b w:val="0"/>
          <w:bCs/>
          <w:caps w:val="0"/>
          <w:lang w:val="id-ID"/>
        </w:rPr>
        <w:fldChar w:fldCharType="separate"/>
      </w:r>
      <w:r w:rsidRPr="00D6636F">
        <w:rPr>
          <w:b w:val="0"/>
          <w:bCs/>
          <w:caps w:val="0"/>
          <w:noProof/>
          <w:lang w:val="id-ID"/>
        </w:rPr>
        <w:t>(Maharani et al., 2021)</w:t>
      </w:r>
      <w:r>
        <w:rPr>
          <w:b w:val="0"/>
          <w:bCs/>
          <w:caps w:val="0"/>
          <w:lang w:val="id-ID"/>
        </w:rPr>
        <w:fldChar w:fldCharType="end"/>
      </w:r>
      <w:r w:rsidRPr="006F51E3">
        <w:rPr>
          <w:b w:val="0"/>
          <w:bCs/>
          <w:caps w:val="0"/>
        </w:rPr>
        <w:t>. This is related to control beliefs with the theory of planned behavior (TPB), which is a belief about the existence of things that support or hinder the behavior to be displayed and the perception of how strong the things that support and inhibit that behavior are (perceived power)</w:t>
      </w:r>
      <w:r>
        <w:rPr>
          <w:b w:val="0"/>
          <w:bCs/>
          <w:caps w:val="0"/>
          <w:lang w:val="id-ID"/>
        </w:rPr>
        <w:t xml:space="preserve"> </w:t>
      </w:r>
      <w:r>
        <w:rPr>
          <w:b w:val="0"/>
          <w:bCs/>
          <w:caps w:val="0"/>
        </w:rPr>
        <w:fldChar w:fldCharType="begin" w:fldLock="1"/>
      </w:r>
      <w:r>
        <w:rPr>
          <w:b w:val="0"/>
          <w:bCs/>
          <w:caps w:val="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approach.","author":[{"dropping-particle":"","family":"Setiya","given":"Dennisa Rhesa Kenny Axel","non-dropping-particle":"","parse-names":false,"suffix":""}],"container-title":"Gastronomía ecuatoriana y turismo local.","id":"ITEM-1","issue":"69","issued":{"date-parts":[["2018"]]},"page":"5-24","title":"Pengaruh Kesadaran Perpajakan, Sikap Rasional, Pelayanan Fiskus, Sanksi Pajak Dan Lingkungan Terhadap Kepatuhan Wajib Pajak Orang Pribadi Dalam Meningkatkan Penerimaan Pajak (Studi Empiris Pada Wajib Pajak Di Kota Blora)","type":"article-journal","volume":"1"},"uris":["http://www.mendeley.com/documents/?uuid=cce9c812-7bb8-40b3-a154-bdc53d99eb4e"]}],"mendeley":{"formattedCitation":"(Setiya, 2018)","plainTextFormattedCitation":"(Setiya, 2018)","previouslyFormattedCitation":"(Setiya, 2018)"},"properties":{"noteIndex":0},"schema":"https://github.com/citation-style-language/schema/raw/master/csl-citation.json"}</w:instrText>
      </w:r>
      <w:r>
        <w:rPr>
          <w:b w:val="0"/>
          <w:bCs/>
          <w:caps w:val="0"/>
        </w:rPr>
        <w:fldChar w:fldCharType="separate"/>
      </w:r>
      <w:r w:rsidRPr="00D6636F">
        <w:rPr>
          <w:b w:val="0"/>
          <w:bCs/>
          <w:caps w:val="0"/>
          <w:noProof/>
        </w:rPr>
        <w:t>(Setiya, 2018)</w:t>
      </w:r>
      <w:r>
        <w:rPr>
          <w:b w:val="0"/>
          <w:bCs/>
          <w:caps w:val="0"/>
        </w:rPr>
        <w:fldChar w:fldCharType="end"/>
      </w:r>
      <w:r w:rsidRPr="006F51E3">
        <w:rPr>
          <w:b w:val="0"/>
          <w:bCs/>
          <w:caps w:val="0"/>
        </w:rPr>
        <w:t>.</w:t>
      </w:r>
    </w:p>
    <w:p w14:paraId="783A5BC5" w14:textId="77777777" w:rsidR="00563580" w:rsidRPr="006F51E3" w:rsidRDefault="00563580" w:rsidP="00563580">
      <w:pPr>
        <w:pStyle w:val="JAPSub-Judul"/>
        <w:ind w:firstLine="720"/>
        <w:rPr>
          <w:b w:val="0"/>
          <w:bCs/>
          <w:caps w:val="0"/>
        </w:rPr>
      </w:pPr>
      <w:r w:rsidRPr="006F51E3">
        <w:rPr>
          <w:b w:val="0"/>
          <w:bCs/>
          <w:caps w:val="0"/>
        </w:rPr>
        <w:t xml:space="preserve">The regulations that regulate the government have the basis for imposing strict sanctions on anyone who violates or does not comply with paying taxes </w:t>
      </w:r>
      <w:r>
        <w:rPr>
          <w:b w:val="0"/>
          <w:bCs/>
          <w:caps w:val="0"/>
        </w:rPr>
        <w:fldChar w:fldCharType="begin" w:fldLock="1"/>
      </w:r>
      <w:r>
        <w:rPr>
          <w:b w:val="0"/>
          <w:bCs/>
          <w:caps w:val="0"/>
        </w:rPr>
        <w:instrText>ADDIN CSL_CITATION {"citationItems":[{"id":"ITEM-1","itemData":{"author":[{"dropping-particle":"","family":"Putra","given":"Afuan Fajrian","non-dropping-particle":"","parse-names":false,"suffix":""}],"container-title":"Jurnal Riset Akuntansi dan Perpajakan","id":"ITEM-1","issue":"1","issued":{"date-parts":[["2020"]]},"page":"1-12","title":"MSME Taxpayer Compliance: Tax Knowledge, Tax Sanctions, and System Modernization","type":"article-journal","volume":"7"},"uris":["http://www.mendeley.com/documents/?uuid=7de7a3e7-e9b8-4621-a297-0d62643223e5"]}],"mendeley":{"formattedCitation":"(Putra, 2020)","plainTextFormattedCitation":"(Putra, 2020)","previouslyFormattedCitation":"(Putra, 2020)"},"properties":{"noteIndex":0},"schema":"https://github.com/citation-style-language/schema/raw/master/csl-citation.json"}</w:instrText>
      </w:r>
      <w:r>
        <w:rPr>
          <w:b w:val="0"/>
          <w:bCs/>
          <w:caps w:val="0"/>
        </w:rPr>
        <w:fldChar w:fldCharType="separate"/>
      </w:r>
      <w:r w:rsidRPr="00D6636F">
        <w:rPr>
          <w:b w:val="0"/>
          <w:bCs/>
          <w:caps w:val="0"/>
          <w:noProof/>
        </w:rPr>
        <w:t>(Putra, 2020)</w:t>
      </w:r>
      <w:r>
        <w:rPr>
          <w:b w:val="0"/>
          <w:bCs/>
          <w:caps w:val="0"/>
        </w:rPr>
        <w:fldChar w:fldCharType="end"/>
      </w:r>
      <w:r w:rsidRPr="006F51E3">
        <w:rPr>
          <w:b w:val="0"/>
          <w:bCs/>
          <w:caps w:val="0"/>
        </w:rPr>
        <w:t>. Tax sanctions are given not to harm taxpayers or benefit tax officials or the state, tax sanctions are given so that taxpayers comply with tax regulations</w:t>
      </w:r>
      <w:r>
        <w:rPr>
          <w:b w:val="0"/>
          <w:bCs/>
          <w:caps w:val="0"/>
        </w:rPr>
        <w:fldChar w:fldCharType="begin" w:fldLock="1"/>
      </w:r>
      <w:r>
        <w:rPr>
          <w:b w:val="0"/>
          <w:bCs/>
          <w:caps w:val="0"/>
        </w:rPr>
        <w:instrText>ADDIN CSL_CITATION {"citationItems":[{"id":"ITEM-1","itemData":{"DOI":"10.21460/jrmb.2021.161.369","ISSN":"1907-7343","abstract":"ABSTRAK Penelitian ini bertujuan untuk menguji apakah sosialisasi perpajakan, kesadaran wajib pajak dan sanksi perpajakan berpengaruh terhadap kepatuhan wajib pajak UMKM e-commerce. Metode penelitian ini menggunakan metode deskriptif kuantitatif dan data primer dengan menggunakan kuesioner. Penelitian mengambil sampel pengusaha e-commerce yang ada di Indonesia. Teknik pengambilan sampel menggunakan purposive sampling. Pengumpulan data dilakukan dengan cara mengirimkan kuesioner melalui chat personal atau melalui e-mail dalam bentuk google form kepada pengusaha e-commerce. Jumlah kuesioner yang diolah adalah 100 kuesioner. Data dianalisis menggunakan analisis regresi linear berganda. Hasil penelitian ini menunjukkan bahwa sosialisasi perpajakan berpengaruh positif terhadap kepatuhan wajib pajak UMKM e-commerce sedangkan kesadaran wajib pajak dan sanksi perpajakan tidak berpengaruh signifikan terhadap kepatuhan wajib pajak UMKM e-commerce.Kata kunci: sosialisasi perpajakan, kesadaran wajib pajak, sanksi perpajakan, kepatuhan wajib pajak, umkm e-commerce. ABSTRACT This study aims to examine whether taxation socialization, awareness of taxpayers and tax sanctions affect the tax compliance of MSME e-commerce taxpayers. This research method uses quantitative descriptive methods and primary data using a questionnaire. The study took a sample of e-commerce entrepreneurs in Indonesia. The sampling technique uses purposive sampling. Data collection is done by sending questionnaires via personal chat or via e-mail in the form of Google forms to e-commerce entrepreneurs. The number of questionnaires processed was 100 questionnaires. Data were analyzed using multiple linear regression analysis. The results of this study indicate that taxation socialization has a positive effect on tax compliance of MSME e-commerce taxpayers while awareness of taxpayers and tax sanctions does not have a significant effect on tax compliance of MSME e-commerce taxpayersKeywords: taxation socialization, taxpayer awareness, tax sanction, taxpayer compliance, e-commerce SME","author":[{"dropping-particle":"","family":"Maxuel","given":"Afeni","non-dropping-particle":"","parse-names":false,"suffix":""},{"dropping-particle":"","family":"Primastiwi","given":"Anita","non-dropping-particle":"","parse-names":false,"suffix":""}],"container-title":"Jurnal Riset Manajemen dan Bisnis","id":"ITEM-1","issued":{"date-parts":[["2021"]]},"title":"Pengaruh Sosialisasi Perpajakan Dan Sanksi Perpajakan Terhadap Kepatuhan Wajib Pajak Umkm E-Commerce","type":"article-journal"},"uris":["http://www.mendeley.com/documents/?uuid=8b5d2290-4c3e-4202-9f07-ad74e47e779b"]}],"mendeley":{"formattedCitation":"(Maxuel &amp; Primastiwi, 2021)","plainTextFormattedCitation":"(Maxuel &amp; Primastiwi, 2021)","previouslyFormattedCitation":"(Maxuel &amp; Primastiwi, 2021)"},"properties":{"noteIndex":0},"schema":"https://github.com/citation-style-language/schema/raw/master/csl-citation.json"}</w:instrText>
      </w:r>
      <w:r>
        <w:rPr>
          <w:b w:val="0"/>
          <w:bCs/>
          <w:caps w:val="0"/>
        </w:rPr>
        <w:fldChar w:fldCharType="separate"/>
      </w:r>
      <w:r w:rsidRPr="00D6636F">
        <w:rPr>
          <w:b w:val="0"/>
          <w:bCs/>
          <w:caps w:val="0"/>
          <w:noProof/>
        </w:rPr>
        <w:t>(Maxuel &amp; Primastiwi, 2021)</w:t>
      </w:r>
      <w:r>
        <w:rPr>
          <w:b w:val="0"/>
          <w:bCs/>
          <w:caps w:val="0"/>
        </w:rPr>
        <w:fldChar w:fldCharType="end"/>
      </w:r>
      <w:r w:rsidRPr="006F51E3">
        <w:rPr>
          <w:b w:val="0"/>
          <w:bCs/>
          <w:caps w:val="0"/>
        </w:rPr>
        <w:t>.</w:t>
      </w:r>
    </w:p>
    <w:p w14:paraId="71DF972A" w14:textId="77777777" w:rsidR="00563580" w:rsidRPr="006F51E3" w:rsidRDefault="00563580" w:rsidP="00563580">
      <w:pPr>
        <w:pStyle w:val="JAPSub-Judul"/>
        <w:rPr>
          <w:b w:val="0"/>
          <w:bCs/>
          <w:caps w:val="0"/>
        </w:rPr>
      </w:pPr>
      <w:r w:rsidRPr="006F51E3">
        <w:rPr>
          <w:b w:val="0"/>
          <w:bCs/>
          <w:caps w:val="0"/>
        </w:rPr>
        <w:t>Research conducted by</w:t>
      </w:r>
      <w:r>
        <w:rPr>
          <w:b w:val="0"/>
          <w:bCs/>
          <w:caps w:val="0"/>
          <w:lang w:val="id-ID"/>
        </w:rPr>
        <w:t xml:space="preserve"> </w:t>
      </w:r>
      <w:r>
        <w:rPr>
          <w:b w:val="0"/>
          <w:bCs/>
          <w:caps w:val="0"/>
          <w:lang w:val="id-ID"/>
        </w:rPr>
        <w:fldChar w:fldCharType="begin" w:fldLock="1"/>
      </w:r>
      <w:r>
        <w:rPr>
          <w:b w:val="0"/>
          <w:bCs/>
          <w:caps w:val="0"/>
          <w:lang w:val="id-ID"/>
        </w:rPr>
        <w:instrText>ADDIN CSL_CITATION {"citationItems":[{"id":"ITEM-1","itemData":{"DOI":"10.36778/jesya.v5i2.796","ISSN":"2614-3259","abstract":"Tujuan investigasi adalah untuk mengetahui pengaruh insentif pajak, sanksi pajak, dan pelayanan pajak terhadap kepatuhan wajib pajak UMKM. Sampel penelitian ini adalah wajib pajak UMKM di Pasar Rebo Jakarta Timur dengan responden sebanyak 100 responden. Metode purposive sampling digunakan terkait dengan pemilihan sampel. Jenis data kuantitatif digunakan pada penelitian ini. Hasil riset ini adalah terdapat pengaruh insentif pajak, saksi pajak, dan pelayanan pajak terhadap kepatuhan wajib pajak UMKM, yang artinya bahwa insentif pajak, sanksi pajak, dan pelayanan pajak dapat meningkatkan kepatuhan wajib pajak UMKM","author":[{"dropping-particle":"","family":"Andreansyah","given":"Fiqi","non-dropping-particle":"","parse-names":false,"suffix":""},{"dropping-particle":"","family":"Farina","given":"Khoirina","non-dropping-particle":"","parse-names":false,"suffix":""}],"container-title":"Jesya","id":"ITEM-1","issue":"2","issued":{"date-parts":[["2022"]]},"page":"2097-2104","title":"Analisis Pengaruh Insentif Pajak, Sanksi Pajak Dan Pelayanan Pajak Terhadap Kepatuhan Wajib Pajak UMKM","type":"article-journal","volume":"5"},"uris":["http://www.mendeley.com/documents/?uuid=5711f846-b57f-4ed9-adaa-13f26172e824"]},{"id":"ITEM-2","itemData":{"abstract":"more than one year and had a small and medium enterprise in the area of KPP Pratama Pati, and from that number 100 respondents were taken as respondents. Variables in this study were tax penalties (X1), taxpayer awareness (X2), and tax service quality (X3), taxpayer compliance (Y). Methods of data collection are questionnaires and observations. The analytical method is the classic assumption test which consists of normality test, multicollinearity test, autocorrelation test, heteroscedasticity test and multiple regression analysis that consist of F test, t test, and coefficient of determination (R2) test. The results showed that respondents' responses to tax penalties were very good, awareness of taxpayers and the quality of tax office services were also very good, and taxpayer compliance at KPP Pratama Pati was also very high. The results of the t test obtained a value of p &lt;0.05 for the three independent variables with a positive correlation coefficient value of 0.582; 0.293; and 0,980 for variable tax penalties, taxpayer awareness and service quality of the tax office. The explanatory power of the three variables towards taxpayer compliance is 61.9%. The conclusions in this study are: tax penalties, awareness of taxpayers and the quality of tax services have a positive and significant effect on taxpayer compliance. The dominant factor affecting personal taxpayer compliance is the service quality of the tax office.","author":[{"dropping-particle":"","family":"Nafiah","given":"Zumrotun","non-dropping-particle":"","parse-names":false,"suffix":""},{"dropping-particle":"","family":"Sopi","given":"","non-dropping-particle":"","parse-names":false,"suffix":""},{"dropping-particle":"","family":"Novadalina","given":"Arini","non-dropping-particle":"","parse-names":false,"suffix":""}],"container-title":"Jurnal STIE Semarang","id":"ITEM-2","issue":"2","issued":{"date-parts":[["2021"]]},"page":"1-12","title":"Pengaruh Sanksi Pajak, Kesadaran Wajib Pajak, dan Kualitas Pelayanan Pajak Terhadap Kepatuhan Wajib Pajak Orang Pribadi di KPP Pratama Pati","type":"article-journal","volume":"13"},"uris":["http://www.mendeley.com/documents/?uuid=696d5c0f-936e-4dc1-9eba-a66277188379"]},{"id":"ITEM-3","itemData":{"DOI":"10.31326/tabr.v3i2.1477","abstract":"Penelitian ini bertujuan untuk menganalisis kesadaran wajib pajak, pemahaman perajakan,\ndan sanksi pajak terhadap kepatuhan wajib pajak UMKM. Sampel yang digunakan dalam\npenelitian ini adalah wajib pajak UMKM di Pasar Tohaga Cibinong sebanyak 100 responden.\nTeknik pengambilan sampel yang digunakan pada penelitian ini yaitu purposive sampling.\nJenis data yang digunakan adalah data primer. Jenis penelitian ini adalah penelitian\nkuantitatif dengan teknik pengumpulan data yaitu metode penyebaran kuesioner melalui\ngoogle form menggunakan skala likert. Teknik analisis data pada penelitian ini dilakukan\nmenggunakan metode program perangkat lunak SmartPLS versi 3.2.9. Hasil penelitian ini\nmenunjukkan bahwa sanksi pajak berpengaruh positif dan signifikan terhadap kepatuhan\nwajib pajak UMKM. Sedangkan kesadaran wajib pajak dan pemahaman perpajakan tidak\nberpengaruh terhadap kepatuhan wajib pajak UMKM.","author":[{"dropping-particle":"","family":"Rizki","given":"Muhammad","non-dropping-particle":"","parse-names":false,"suffix":""},{"dropping-particle":"","family":"Farina","given":"Khoirina","non-dropping-particle":"","parse-names":false,"suffix":""}],"container-title":"Trilogi Accounting and Business Research","id":"ITEM-3","issue":"2","issued":{"date-parts":[["2022"]]},"title":"Pengaruh Kesadaran Wajib Pajak, Pemahaman Perpajakan Dan Sanksi Pajak Terhadap Kepatuhan Wajib Pajak Umkm Di Pasar Tohaga Cibinong","type":"article-journal","volume":"3"},"uris":["http://www.mendeley.com/documents/?uuid=8787dd8b-5dfb-4aba-baea-4295f22cc6c1"]}],"mendeley":{"formattedCitation":"(Andreansyah &amp; Farina, 2022; Nafiah et al., 2021; Rizki &amp; Farina, 2022)","manualFormatting":"Andreansyah &amp; Farina, (2022); Nafiah et al., (2021); Rizki &amp; Farina, (2022)","plainTextFormattedCitation":"(Andreansyah &amp; Farina, 2022; Nafiah et al., 2021; Rizki &amp; Farina, 2022)","previouslyFormattedCitation":"(Andreansyah &amp; Farina, 2022; Nafiah et al., 2021; Rizki &amp; Farina, 2022)"},"properties":{"noteIndex":0},"schema":"https://github.com/citation-style-language/schema/raw/master/csl-citation.json"}</w:instrText>
      </w:r>
      <w:r>
        <w:rPr>
          <w:b w:val="0"/>
          <w:bCs/>
          <w:caps w:val="0"/>
          <w:lang w:val="id-ID"/>
        </w:rPr>
        <w:fldChar w:fldCharType="separate"/>
      </w:r>
      <w:r w:rsidRPr="00D6636F">
        <w:rPr>
          <w:b w:val="0"/>
          <w:bCs/>
          <w:caps w:val="0"/>
          <w:noProof/>
          <w:lang w:val="id-ID"/>
        </w:rPr>
        <w:t xml:space="preserve">Andreansyah &amp; Farina, </w:t>
      </w:r>
      <w:r>
        <w:rPr>
          <w:b w:val="0"/>
          <w:bCs/>
          <w:caps w:val="0"/>
          <w:noProof/>
          <w:lang w:val="id-ID"/>
        </w:rPr>
        <w:t>(</w:t>
      </w:r>
      <w:r w:rsidRPr="00D6636F">
        <w:rPr>
          <w:b w:val="0"/>
          <w:bCs/>
          <w:caps w:val="0"/>
          <w:noProof/>
          <w:lang w:val="id-ID"/>
        </w:rPr>
        <w:t>2022</w:t>
      </w:r>
      <w:r>
        <w:rPr>
          <w:b w:val="0"/>
          <w:bCs/>
          <w:caps w:val="0"/>
          <w:noProof/>
          <w:lang w:val="id-ID"/>
        </w:rPr>
        <w:t>)</w:t>
      </w:r>
      <w:r w:rsidRPr="00D6636F">
        <w:rPr>
          <w:b w:val="0"/>
          <w:bCs/>
          <w:caps w:val="0"/>
          <w:noProof/>
          <w:lang w:val="id-ID"/>
        </w:rPr>
        <w:t xml:space="preserve">; Nafiah et al., </w:t>
      </w:r>
      <w:r>
        <w:rPr>
          <w:b w:val="0"/>
          <w:bCs/>
          <w:caps w:val="0"/>
          <w:noProof/>
          <w:lang w:val="id-ID"/>
        </w:rPr>
        <w:t>(</w:t>
      </w:r>
      <w:r w:rsidRPr="00D6636F">
        <w:rPr>
          <w:b w:val="0"/>
          <w:bCs/>
          <w:caps w:val="0"/>
          <w:noProof/>
          <w:lang w:val="id-ID"/>
        </w:rPr>
        <w:t>2021</w:t>
      </w:r>
      <w:r>
        <w:rPr>
          <w:b w:val="0"/>
          <w:bCs/>
          <w:caps w:val="0"/>
          <w:noProof/>
          <w:lang w:val="id-ID"/>
        </w:rPr>
        <w:t>)</w:t>
      </w:r>
      <w:r w:rsidRPr="00D6636F">
        <w:rPr>
          <w:b w:val="0"/>
          <w:bCs/>
          <w:caps w:val="0"/>
          <w:noProof/>
          <w:lang w:val="id-ID"/>
        </w:rPr>
        <w:t xml:space="preserve">; Rizki &amp; Farina, </w:t>
      </w:r>
      <w:r>
        <w:rPr>
          <w:b w:val="0"/>
          <w:bCs/>
          <w:caps w:val="0"/>
          <w:noProof/>
          <w:lang w:val="id-ID"/>
        </w:rPr>
        <w:t>(</w:t>
      </w:r>
      <w:r w:rsidRPr="00D6636F">
        <w:rPr>
          <w:b w:val="0"/>
          <w:bCs/>
          <w:caps w:val="0"/>
          <w:noProof/>
          <w:lang w:val="id-ID"/>
        </w:rPr>
        <w:t>2022)</w:t>
      </w:r>
      <w:r>
        <w:rPr>
          <w:b w:val="0"/>
          <w:bCs/>
          <w:caps w:val="0"/>
          <w:lang w:val="id-ID"/>
        </w:rPr>
        <w:fldChar w:fldCharType="end"/>
      </w:r>
      <w:r>
        <w:rPr>
          <w:b w:val="0"/>
          <w:bCs/>
          <w:caps w:val="0"/>
          <w:lang w:val="id-ID"/>
        </w:rPr>
        <w:t xml:space="preserve"> </w:t>
      </w:r>
      <w:r w:rsidRPr="006F51E3">
        <w:rPr>
          <w:b w:val="0"/>
          <w:bCs/>
          <w:caps w:val="0"/>
        </w:rPr>
        <w:t>states that sanctions have a significant and positive effect on taxpayer compliance. Based on the explanation above, the hypothesis used in this research is:</w:t>
      </w:r>
    </w:p>
    <w:p w14:paraId="29B7172D" w14:textId="77777777" w:rsidR="00563580" w:rsidRDefault="00563580" w:rsidP="00563580">
      <w:pPr>
        <w:pStyle w:val="JAPSub-Judul"/>
        <w:rPr>
          <w:b w:val="0"/>
          <w:bCs/>
          <w:caps w:val="0"/>
        </w:rPr>
      </w:pPr>
      <w:r w:rsidRPr="006F51E3">
        <w:rPr>
          <w:b w:val="0"/>
          <w:bCs/>
          <w:caps w:val="0"/>
        </w:rPr>
        <w:t>H3: Tax sanctions have a positive effect on young entrepreneurs' intention not to commit tax fraud.</w:t>
      </w:r>
    </w:p>
    <w:p w14:paraId="7000E8FE" w14:textId="77777777" w:rsidR="00563580" w:rsidRDefault="00563580" w:rsidP="00563580">
      <w:pPr>
        <w:pStyle w:val="JAPSub-Judul"/>
        <w:rPr>
          <w:b w:val="0"/>
          <w:bCs/>
          <w:caps w:val="0"/>
        </w:rPr>
      </w:pPr>
    </w:p>
    <w:p w14:paraId="6DF75BB2" w14:textId="77777777" w:rsidR="00563580" w:rsidRPr="00CE2720" w:rsidRDefault="00563580" w:rsidP="00563580">
      <w:pPr>
        <w:pStyle w:val="JAPSub-Judul"/>
        <w:rPr>
          <w:lang w:eastAsia="id-ID"/>
        </w:rPr>
      </w:pPr>
      <w:r w:rsidRPr="00CE2720">
        <w:rPr>
          <w:lang w:eastAsia="id-ID"/>
        </w:rPr>
        <w:t>METHOD</w:t>
      </w:r>
    </w:p>
    <w:p w14:paraId="4585AC95" w14:textId="3A4BED64" w:rsidR="00563580" w:rsidRDefault="00563580" w:rsidP="00563580">
      <w:pPr>
        <w:pStyle w:val="Ventura-Content"/>
        <w:rPr>
          <w:lang w:val="sv-SE"/>
        </w:rPr>
      </w:pPr>
      <w:r w:rsidRPr="00163288">
        <w:rPr>
          <w:lang w:val="sv-SE"/>
        </w:rPr>
        <w:t xml:space="preserve">This research uses a quantitative method by distributing questionnaires to young entrepreneurs in the Yogyakarta City area who have their own business and have a Taxpayer Tax Number (NPWP) to pay taxes. In this method the author goes directly into the field to obtain the necessary data because this method requires direct contact with respondents. The technique used in sampling was the snowball sampling method where the questionnaire was in the form of Google Form numbers and data was collected from 178 respondents who had completed the survey and 28 respondents who were not used by researchers in the research. Data were processed </w:t>
      </w:r>
      <w:r w:rsidR="002813DB">
        <w:rPr>
          <w:lang w:val="sv-SE"/>
        </w:rPr>
        <w:t xml:space="preserve">by </w:t>
      </w:r>
      <w:r w:rsidRPr="00163288">
        <w:rPr>
          <w:lang w:val="sv-SE"/>
        </w:rPr>
        <w:t>using SPSS ver.23 to analyze independent and dependent variables. The time used by researchers to collect questionnaire results from respondents takes 1 month from November-December 2023.</w:t>
      </w:r>
      <w:r>
        <w:rPr>
          <w:lang w:val="sv-SE"/>
        </w:rPr>
        <w:t xml:space="preserve"> </w:t>
      </w:r>
      <w:r w:rsidRPr="00A0651A">
        <w:rPr>
          <w:lang w:val="sv-SE"/>
        </w:rPr>
        <w:t xml:space="preserve">Data collection in this study used a questionnaire with a 4 point Likert scale, namely positive statements: score 1 strongly agree, score 2 agree, score 3 disagree, score 4 strongly disagree and negative statements: score 1 strongly disagree, score 2 disagree, score 3 agree, score 4 strongly agree. This Likert scale is used as an instrument that can be used in research with the aim of producing accurate data. </w:t>
      </w:r>
    </w:p>
    <w:p w14:paraId="343A9FC7" w14:textId="1ACA5006" w:rsidR="00563580" w:rsidRDefault="00563580" w:rsidP="00563580">
      <w:pPr>
        <w:pStyle w:val="Ventura-Content"/>
        <w:rPr>
          <w:lang w:val="sv-SE"/>
        </w:rPr>
      </w:pPr>
      <w:r w:rsidRPr="00163288">
        <w:rPr>
          <w:lang w:val="sv-SE"/>
        </w:rPr>
        <w:t xml:space="preserve">This research uses primary data which is processed </w:t>
      </w:r>
      <w:r w:rsidR="002813DB">
        <w:rPr>
          <w:lang w:val="sv-SE"/>
        </w:rPr>
        <w:t xml:space="preserve">by </w:t>
      </w:r>
      <w:r w:rsidRPr="00163288">
        <w:rPr>
          <w:lang w:val="sv-SE"/>
        </w:rPr>
        <w:t>using the multiple linear regression analysis method. Before carrying out the multiple linear regression analysis test, data quality testing is carried out, consisting of validity and reliability tests. After carrying out the data quality test, we continue with the assumption test, namely the classic assumption consisting of the normality test, multicollinearity test and heteroscedasticity test. The statistical test that will be used in this research uses regression analysis calculations to obtain conclusions, so the steps that will be taken in analyzing the variables of this research are partial testing, simultaneous testing, and determining coefficient tests. Operational definitions of variables and indicators can be seen in the following table:</w:t>
      </w:r>
    </w:p>
    <w:p w14:paraId="4810725B" w14:textId="77777777" w:rsidR="00563580" w:rsidRDefault="00563580" w:rsidP="00563580">
      <w:pPr>
        <w:pStyle w:val="Caption"/>
        <w:jc w:val="both"/>
      </w:pPr>
    </w:p>
    <w:p w14:paraId="39FFD777" w14:textId="77777777" w:rsidR="00563580" w:rsidRDefault="00563580" w:rsidP="00563580">
      <w:pPr>
        <w:pStyle w:val="Caption"/>
        <w:jc w:val="both"/>
        <w:rPr>
          <w:b w:val="0"/>
          <w:bCs/>
          <w:lang w:val="id-ID"/>
        </w:rPr>
      </w:pPr>
      <w:bookmarkStart w:id="1" w:name="_Hlk163150427"/>
      <w:r>
        <w:t>Table</w:t>
      </w:r>
      <w:r>
        <w:rPr>
          <w:lang w:val="id-ID"/>
        </w:rPr>
        <w:t xml:space="preserve"> </w:t>
      </w:r>
      <w:r>
        <w:fldChar w:fldCharType="begin"/>
      </w:r>
      <w:r>
        <w:instrText xml:space="preserve"> SEQ Tabel \* ARABIC </w:instrText>
      </w:r>
      <w:r>
        <w:fldChar w:fldCharType="separate"/>
      </w:r>
      <w:r>
        <w:rPr>
          <w:noProof/>
        </w:rPr>
        <w:t>1</w:t>
      </w:r>
      <w:r>
        <w:rPr>
          <w:noProof/>
        </w:rPr>
        <w:fldChar w:fldCharType="end"/>
      </w:r>
      <w:r>
        <w:rPr>
          <w:noProof/>
          <w:lang w:val="id-ID"/>
        </w:rPr>
        <w:t xml:space="preserve"> </w:t>
      </w:r>
      <w:r>
        <w:rPr>
          <w:lang w:val="id-ID"/>
        </w:rPr>
        <w:t>Data Collection Results</w:t>
      </w:r>
    </w:p>
    <w:tbl>
      <w:tblPr>
        <w:tblW w:w="0" w:type="auto"/>
        <w:tblLook w:val="04A0" w:firstRow="1" w:lastRow="0" w:firstColumn="1" w:lastColumn="0" w:noHBand="0" w:noVBand="1"/>
      </w:tblPr>
      <w:tblGrid>
        <w:gridCol w:w="5920"/>
        <w:gridCol w:w="1418"/>
      </w:tblGrid>
      <w:tr w:rsidR="00563580" w:rsidRPr="000034CC" w14:paraId="54B9E452" w14:textId="77777777" w:rsidTr="00F0642B">
        <w:tc>
          <w:tcPr>
            <w:tcW w:w="5920" w:type="dxa"/>
            <w:tcBorders>
              <w:top w:val="single" w:sz="4" w:space="0" w:color="auto"/>
              <w:bottom w:val="single" w:sz="4" w:space="0" w:color="auto"/>
            </w:tcBorders>
            <w:shd w:val="clear" w:color="auto" w:fill="auto"/>
          </w:tcPr>
          <w:bookmarkEnd w:id="1"/>
          <w:p w14:paraId="26F9B1DF" w14:textId="77777777" w:rsidR="00563580" w:rsidRPr="000034CC" w:rsidRDefault="00563580" w:rsidP="00F0642B">
            <w:pPr>
              <w:pStyle w:val="Caption"/>
              <w:rPr>
                <w:lang w:val="id-ID"/>
              </w:rPr>
            </w:pPr>
            <w:r w:rsidRPr="000034CC">
              <w:rPr>
                <w:lang w:val="id-ID"/>
              </w:rPr>
              <w:t>Information</w:t>
            </w:r>
          </w:p>
        </w:tc>
        <w:tc>
          <w:tcPr>
            <w:tcW w:w="1418" w:type="dxa"/>
            <w:tcBorders>
              <w:top w:val="single" w:sz="4" w:space="0" w:color="auto"/>
              <w:bottom w:val="single" w:sz="4" w:space="0" w:color="auto"/>
            </w:tcBorders>
            <w:shd w:val="clear" w:color="auto" w:fill="auto"/>
          </w:tcPr>
          <w:p w14:paraId="54296FFB" w14:textId="77777777" w:rsidR="00563580" w:rsidRPr="000034CC" w:rsidRDefault="00563580" w:rsidP="00F0642B">
            <w:pPr>
              <w:pStyle w:val="Caption"/>
              <w:rPr>
                <w:lang w:val="id-ID"/>
              </w:rPr>
            </w:pPr>
            <w:r w:rsidRPr="000034CC">
              <w:rPr>
                <w:lang w:val="id-ID"/>
              </w:rPr>
              <w:t>Amount</w:t>
            </w:r>
          </w:p>
        </w:tc>
      </w:tr>
      <w:tr w:rsidR="00563580" w:rsidRPr="000034CC" w14:paraId="7436D4E3" w14:textId="77777777" w:rsidTr="00F0642B">
        <w:tc>
          <w:tcPr>
            <w:tcW w:w="5920" w:type="dxa"/>
            <w:tcBorders>
              <w:top w:val="single" w:sz="4" w:space="0" w:color="auto"/>
            </w:tcBorders>
            <w:shd w:val="clear" w:color="auto" w:fill="auto"/>
          </w:tcPr>
          <w:p w14:paraId="7A790C74" w14:textId="77777777" w:rsidR="00563580" w:rsidRPr="000034CC" w:rsidRDefault="00563580" w:rsidP="00F0642B">
            <w:pPr>
              <w:pStyle w:val="Caption"/>
              <w:jc w:val="both"/>
              <w:rPr>
                <w:b w:val="0"/>
                <w:bCs/>
                <w:i/>
                <w:iCs w:val="0"/>
                <w:lang w:val="id-ID"/>
              </w:rPr>
            </w:pPr>
            <w:r w:rsidRPr="000034CC">
              <w:rPr>
                <w:b w:val="0"/>
                <w:bCs/>
                <w:lang w:val="id-ID"/>
              </w:rPr>
              <w:t>Total questionnaires collected from Google Form</w:t>
            </w:r>
          </w:p>
        </w:tc>
        <w:tc>
          <w:tcPr>
            <w:tcW w:w="1418" w:type="dxa"/>
            <w:tcBorders>
              <w:top w:val="single" w:sz="4" w:space="0" w:color="auto"/>
            </w:tcBorders>
            <w:shd w:val="clear" w:color="auto" w:fill="auto"/>
          </w:tcPr>
          <w:p w14:paraId="10DFC936" w14:textId="77777777" w:rsidR="00563580" w:rsidRPr="000034CC" w:rsidRDefault="00563580" w:rsidP="00F0642B">
            <w:pPr>
              <w:pStyle w:val="Caption"/>
              <w:rPr>
                <w:b w:val="0"/>
                <w:bCs/>
                <w:lang w:val="id-ID"/>
              </w:rPr>
            </w:pPr>
            <w:r w:rsidRPr="000034CC">
              <w:rPr>
                <w:b w:val="0"/>
                <w:bCs/>
                <w:lang w:val="id-ID"/>
              </w:rPr>
              <w:t>178</w:t>
            </w:r>
          </w:p>
        </w:tc>
      </w:tr>
      <w:tr w:rsidR="00563580" w:rsidRPr="000034CC" w14:paraId="64B3D8DC" w14:textId="77777777" w:rsidTr="00F0642B">
        <w:tc>
          <w:tcPr>
            <w:tcW w:w="5920" w:type="dxa"/>
            <w:shd w:val="clear" w:color="auto" w:fill="auto"/>
          </w:tcPr>
          <w:p w14:paraId="7691F21C" w14:textId="77777777" w:rsidR="00563580" w:rsidRPr="000034CC" w:rsidRDefault="00563580" w:rsidP="00F0642B">
            <w:pPr>
              <w:pStyle w:val="Caption"/>
              <w:jc w:val="both"/>
              <w:rPr>
                <w:b w:val="0"/>
                <w:bCs/>
                <w:i/>
                <w:iCs w:val="0"/>
                <w:lang w:val="id-ID"/>
              </w:rPr>
            </w:pPr>
            <w:r w:rsidRPr="000034CC">
              <w:rPr>
                <w:b w:val="0"/>
                <w:bCs/>
                <w:lang w:val="id-ID"/>
              </w:rPr>
              <w:t>Questionnaires that are outliers</w:t>
            </w:r>
          </w:p>
        </w:tc>
        <w:tc>
          <w:tcPr>
            <w:tcW w:w="1418" w:type="dxa"/>
            <w:shd w:val="clear" w:color="auto" w:fill="auto"/>
          </w:tcPr>
          <w:p w14:paraId="580220DE" w14:textId="77777777" w:rsidR="00563580" w:rsidRPr="000034CC" w:rsidRDefault="00563580" w:rsidP="00F0642B">
            <w:pPr>
              <w:pStyle w:val="Caption"/>
              <w:rPr>
                <w:b w:val="0"/>
                <w:bCs/>
                <w:lang w:val="id-ID"/>
              </w:rPr>
            </w:pPr>
            <w:r w:rsidRPr="000034CC">
              <w:rPr>
                <w:b w:val="0"/>
                <w:bCs/>
                <w:lang w:val="id-ID"/>
              </w:rPr>
              <w:t>28</w:t>
            </w:r>
          </w:p>
        </w:tc>
      </w:tr>
      <w:tr w:rsidR="00563580" w:rsidRPr="000034CC" w14:paraId="2076E36B" w14:textId="77777777" w:rsidTr="00F0642B">
        <w:trPr>
          <w:trHeight w:val="58"/>
        </w:trPr>
        <w:tc>
          <w:tcPr>
            <w:tcW w:w="5920" w:type="dxa"/>
            <w:tcBorders>
              <w:bottom w:val="single" w:sz="4" w:space="0" w:color="auto"/>
            </w:tcBorders>
            <w:shd w:val="clear" w:color="auto" w:fill="auto"/>
          </w:tcPr>
          <w:p w14:paraId="6293658F" w14:textId="77777777" w:rsidR="00563580" w:rsidRPr="000034CC" w:rsidRDefault="00563580" w:rsidP="00F0642B">
            <w:pPr>
              <w:pStyle w:val="Caption"/>
              <w:jc w:val="both"/>
              <w:rPr>
                <w:b w:val="0"/>
                <w:bCs/>
                <w:lang w:val="id-ID"/>
              </w:rPr>
            </w:pPr>
            <w:r w:rsidRPr="000034CC">
              <w:rPr>
                <w:b w:val="0"/>
                <w:bCs/>
                <w:lang w:val="id-ID"/>
              </w:rPr>
              <w:t>Processed questionnaire</w:t>
            </w:r>
          </w:p>
        </w:tc>
        <w:tc>
          <w:tcPr>
            <w:tcW w:w="1418" w:type="dxa"/>
            <w:tcBorders>
              <w:bottom w:val="single" w:sz="4" w:space="0" w:color="auto"/>
            </w:tcBorders>
            <w:shd w:val="clear" w:color="auto" w:fill="auto"/>
          </w:tcPr>
          <w:p w14:paraId="4BABFF88" w14:textId="77777777" w:rsidR="00563580" w:rsidRPr="000034CC" w:rsidRDefault="00563580" w:rsidP="00F0642B">
            <w:pPr>
              <w:pStyle w:val="Caption"/>
              <w:rPr>
                <w:b w:val="0"/>
                <w:bCs/>
                <w:lang w:val="id-ID"/>
              </w:rPr>
            </w:pPr>
            <w:r w:rsidRPr="000034CC">
              <w:rPr>
                <w:b w:val="0"/>
                <w:bCs/>
                <w:lang w:val="id-ID"/>
              </w:rPr>
              <w:t>150</w:t>
            </w:r>
          </w:p>
        </w:tc>
      </w:tr>
    </w:tbl>
    <w:p w14:paraId="0BFF3FA3" w14:textId="77777777" w:rsidR="00563580" w:rsidRDefault="00563580" w:rsidP="00563580">
      <w:pPr>
        <w:pStyle w:val="Caption"/>
        <w:jc w:val="both"/>
        <w:rPr>
          <w:b w:val="0"/>
          <w:bCs/>
          <w:lang w:val="id-ID"/>
        </w:rPr>
      </w:pPr>
      <w:r>
        <w:rPr>
          <w:b w:val="0"/>
          <w:bCs/>
          <w:lang w:val="id-ID"/>
        </w:rPr>
        <w:t>Source: Primary data processed (2023)</w:t>
      </w:r>
    </w:p>
    <w:p w14:paraId="5A3919CB" w14:textId="77777777" w:rsidR="00563580" w:rsidRDefault="00563580" w:rsidP="00563580">
      <w:pPr>
        <w:pStyle w:val="Caption"/>
        <w:jc w:val="both"/>
      </w:pPr>
    </w:p>
    <w:p w14:paraId="5B9F68D2" w14:textId="77777777" w:rsidR="00563580" w:rsidRDefault="00563580" w:rsidP="00563580">
      <w:pPr>
        <w:pStyle w:val="Caption"/>
        <w:jc w:val="both"/>
        <w:rPr>
          <w:b w:val="0"/>
          <w:bCs/>
          <w:lang w:val="id-ID"/>
        </w:rPr>
      </w:pPr>
      <w:r>
        <w:t>Table</w:t>
      </w:r>
      <w:r>
        <w:rPr>
          <w:lang w:val="id-ID"/>
        </w:rPr>
        <w:t xml:space="preserve"> </w:t>
      </w:r>
      <w:r>
        <w:fldChar w:fldCharType="begin"/>
      </w:r>
      <w:r>
        <w:instrText xml:space="preserve"> SEQ Tabel \* ARABIC </w:instrText>
      </w:r>
      <w:r>
        <w:fldChar w:fldCharType="separate"/>
      </w:r>
      <w:r>
        <w:rPr>
          <w:noProof/>
        </w:rPr>
        <w:t>2</w:t>
      </w:r>
      <w:r>
        <w:rPr>
          <w:noProof/>
        </w:rPr>
        <w:fldChar w:fldCharType="end"/>
      </w:r>
      <w:r>
        <w:rPr>
          <w:noProof/>
          <w:lang w:val="id-ID"/>
        </w:rPr>
        <w:t xml:space="preserve"> </w:t>
      </w:r>
      <w:r>
        <w:rPr>
          <w:lang w:val="id-ID"/>
        </w:rPr>
        <w:t>Operational Definitions and Indicators of Research Variables</w:t>
      </w:r>
    </w:p>
    <w:tbl>
      <w:tblPr>
        <w:tblW w:w="0" w:type="auto"/>
        <w:tblLook w:val="04A0" w:firstRow="1" w:lastRow="0" w:firstColumn="1" w:lastColumn="0" w:noHBand="0" w:noVBand="1"/>
      </w:tblPr>
      <w:tblGrid>
        <w:gridCol w:w="2061"/>
        <w:gridCol w:w="3587"/>
        <w:gridCol w:w="3153"/>
        <w:gridCol w:w="725"/>
      </w:tblGrid>
      <w:tr w:rsidR="00563580" w:rsidRPr="000034CC" w14:paraId="1A42A219" w14:textId="77777777" w:rsidTr="00F0642B">
        <w:tc>
          <w:tcPr>
            <w:tcW w:w="2061" w:type="dxa"/>
            <w:tcBorders>
              <w:top w:val="single" w:sz="4" w:space="0" w:color="auto"/>
              <w:bottom w:val="single" w:sz="4" w:space="0" w:color="auto"/>
            </w:tcBorders>
            <w:shd w:val="clear" w:color="auto" w:fill="auto"/>
          </w:tcPr>
          <w:p w14:paraId="0D852598" w14:textId="77777777" w:rsidR="00563580" w:rsidRPr="000034CC" w:rsidRDefault="00563580" w:rsidP="00F0642B">
            <w:pPr>
              <w:pStyle w:val="Caption"/>
              <w:rPr>
                <w:lang w:val="id-ID"/>
              </w:rPr>
            </w:pPr>
            <w:r w:rsidRPr="000034CC">
              <w:rPr>
                <w:lang w:val="id-ID"/>
              </w:rPr>
              <w:t>Variable</w:t>
            </w:r>
          </w:p>
        </w:tc>
        <w:tc>
          <w:tcPr>
            <w:tcW w:w="3587" w:type="dxa"/>
            <w:tcBorders>
              <w:top w:val="single" w:sz="4" w:space="0" w:color="auto"/>
              <w:bottom w:val="single" w:sz="4" w:space="0" w:color="auto"/>
            </w:tcBorders>
            <w:shd w:val="clear" w:color="auto" w:fill="auto"/>
          </w:tcPr>
          <w:p w14:paraId="480001E0" w14:textId="77777777" w:rsidR="00563580" w:rsidRPr="000034CC" w:rsidRDefault="00563580" w:rsidP="00F0642B">
            <w:pPr>
              <w:pStyle w:val="Caption"/>
              <w:rPr>
                <w:lang w:val="id-ID"/>
              </w:rPr>
            </w:pPr>
            <w:r w:rsidRPr="000034CC">
              <w:rPr>
                <w:lang w:val="id-ID"/>
              </w:rPr>
              <w:t>Operational definition</w:t>
            </w:r>
          </w:p>
        </w:tc>
        <w:tc>
          <w:tcPr>
            <w:tcW w:w="3153" w:type="dxa"/>
            <w:tcBorders>
              <w:top w:val="single" w:sz="4" w:space="0" w:color="auto"/>
              <w:bottom w:val="single" w:sz="4" w:space="0" w:color="auto"/>
            </w:tcBorders>
            <w:shd w:val="clear" w:color="auto" w:fill="auto"/>
          </w:tcPr>
          <w:p w14:paraId="4354B70E" w14:textId="77777777" w:rsidR="00563580" w:rsidRPr="000034CC" w:rsidRDefault="00563580" w:rsidP="00F0642B">
            <w:pPr>
              <w:pStyle w:val="Caption"/>
              <w:rPr>
                <w:lang w:val="id-ID"/>
              </w:rPr>
            </w:pPr>
            <w:r w:rsidRPr="000034CC">
              <w:rPr>
                <w:lang w:val="id-ID"/>
              </w:rPr>
              <w:t>Indicator</w:t>
            </w:r>
          </w:p>
        </w:tc>
        <w:tc>
          <w:tcPr>
            <w:tcW w:w="725" w:type="dxa"/>
            <w:tcBorders>
              <w:top w:val="single" w:sz="4" w:space="0" w:color="auto"/>
              <w:bottom w:val="single" w:sz="4" w:space="0" w:color="auto"/>
            </w:tcBorders>
            <w:shd w:val="clear" w:color="auto" w:fill="auto"/>
          </w:tcPr>
          <w:p w14:paraId="23FF7545" w14:textId="77777777" w:rsidR="00563580" w:rsidRPr="000034CC" w:rsidRDefault="00563580" w:rsidP="00F0642B">
            <w:pPr>
              <w:pStyle w:val="Caption"/>
              <w:rPr>
                <w:lang w:val="id-ID"/>
              </w:rPr>
            </w:pPr>
            <w:r w:rsidRPr="000034CC">
              <w:rPr>
                <w:lang w:val="id-ID"/>
              </w:rPr>
              <w:t>Scale</w:t>
            </w:r>
          </w:p>
        </w:tc>
      </w:tr>
      <w:tr w:rsidR="00563580" w:rsidRPr="000034CC" w14:paraId="5463D6A9" w14:textId="77777777" w:rsidTr="00F0642B">
        <w:tc>
          <w:tcPr>
            <w:tcW w:w="2061" w:type="dxa"/>
            <w:tcBorders>
              <w:top w:val="single" w:sz="4" w:space="0" w:color="auto"/>
              <w:bottom w:val="single" w:sz="4" w:space="0" w:color="auto"/>
            </w:tcBorders>
            <w:shd w:val="clear" w:color="auto" w:fill="auto"/>
          </w:tcPr>
          <w:p w14:paraId="09515E3F" w14:textId="77777777" w:rsidR="00563580" w:rsidRPr="000034CC" w:rsidRDefault="00563580" w:rsidP="00F0642B">
            <w:pPr>
              <w:pStyle w:val="Caption"/>
              <w:jc w:val="both"/>
              <w:rPr>
                <w:b w:val="0"/>
                <w:bCs/>
                <w:lang w:val="id-ID"/>
              </w:rPr>
            </w:pPr>
            <w:r w:rsidRPr="000034CC">
              <w:rPr>
                <w:b w:val="0"/>
                <w:bCs/>
                <w:lang w:val="id-ID"/>
              </w:rPr>
              <w:t>Tax Awareness</w:t>
            </w:r>
          </w:p>
        </w:tc>
        <w:tc>
          <w:tcPr>
            <w:tcW w:w="3587" w:type="dxa"/>
            <w:tcBorders>
              <w:top w:val="single" w:sz="4" w:space="0" w:color="auto"/>
              <w:bottom w:val="single" w:sz="4" w:space="0" w:color="auto"/>
            </w:tcBorders>
            <w:shd w:val="clear" w:color="auto" w:fill="auto"/>
          </w:tcPr>
          <w:p w14:paraId="11993D1A" w14:textId="77777777" w:rsidR="00563580" w:rsidRPr="000034CC" w:rsidRDefault="00563580" w:rsidP="00F0642B">
            <w:pPr>
              <w:pStyle w:val="Caption"/>
              <w:jc w:val="both"/>
              <w:rPr>
                <w:b w:val="0"/>
                <w:bCs/>
                <w:lang w:val="id-ID"/>
              </w:rPr>
            </w:pPr>
            <w:r w:rsidRPr="000034CC">
              <w:rPr>
                <w:b w:val="0"/>
                <w:bCs/>
                <w:lang w:val="id-ID"/>
              </w:rPr>
              <w:t xml:space="preserve">A situation where someone knows, understands and understands how to pay taxes </w:t>
            </w:r>
            <w:r>
              <w:rPr>
                <w:b w:val="0"/>
                <w:bCs/>
                <w:lang w:val="id-ID"/>
              </w:rPr>
              <w:fldChar w:fldCharType="begin" w:fldLock="1"/>
            </w:r>
            <w:r>
              <w:rPr>
                <w:b w:val="0"/>
                <w:bCs/>
                <w:lang w:val="id-ID"/>
              </w:rPr>
              <w:instrText>ADDIN CSL_CITATION {"citationItems":[{"id":"ITEM-1","itemData":{"ISBN":"1120190347","ISSN":"14720701","abstract":"Purpose: Corporate governance (CG) is an ongoing interesting topic getting the attention of market participant, business regulators and researchers in today’s business environment. The purpose of this study is to analyze the moderating role of earnings management on CG-value and CG-risk relationship in the emerging economy of Pakistan. Design/methodology/approach: A panel data analysis is used in this study. A panel data of 71 non-financial listed companies of Pakistan for the 2008-2017 period is considered for this study. Secondary data is collected from the annual reports of non-financial firms listed on PSX. Seven econometric equations are developed to test the research hypothesis. Findings: The results reveal that CG significantly enhances the firm value and performance measures. Moreover, CG mitigates the practices of earning management and eliminates the risk that develops opportunistic behavior among managers to commit frauds. Practical implications: The results of this study suggest that the board of directors (BODs) should intensify their governance role and ensure that the executives perform their duties to maximize the wealth of the shareholders and not engage in any misrepresentation of accounts that may lower the company position and decrease the firm value. Moreover, the managers should be informed about their accountability and acknowledged that at the end of the year, they would be audited by an expert’s auditors for their responsibilities. Concerning regulatory bodies, regulatory authorities should ensure that there must be at least one independent member on the board. The better-governed system reduces both agency conflicts and enhances firm value. Originality/value: A number of studies have already been undertaken by multiple investigators to build connection among CG with firm performance, but there is not even a single study in the literature that considers CG, firm value, firm Risk and discretionary earning management as a whole in one model to generalize its results in the emerging economy of Pakistan. A fundamental element of current analyzation process addresses that this is the very first graft of study conducted in Pakistan having combination of four variables together in one revision. There is minimal work that focuses on moderating effects of earning management on the CG-value and CG-risk relationships. This study uses two standard measures of firm performance (i.e. ROA and Tobin’s Q), one proxy of earning management (DEM) a…","author":[{"dropping-particle":"","family":"Safitri","given":"Resa Eka Dwiki","non-dropping-particle":"","parse-names":false,"suffix":""}],"container-title":"Corporate Governance (Bingley)","id":"ITEM-1","issue":"1","issued":{"date-parts":[["2020"]]},"page":"54-75","title":"Pengaruh Pemahaman Pengetahuan Perpajakan, Kesadaran Wajib Pajak, Akuntabilitas Pelayanan Publik Dan Kualitas Pelayanan Terhadap Kepatuhan Wajib Pajak Kendaraan Bermotor (Studi Pada SAMSAT Kota Semarang)","type":"article-journal","volume":"10"},"uris":["http://www.mendeley.com/documents/?uuid=83fcbb7e-56c0-46e1-ac64-3edf5b175364"]}],"mendeley":{"formattedCitation":"(Safitri, 2020)","plainTextFormattedCitation":"(Safitri, 2020)","previouslyFormattedCitation":"(Safitri, 2020)"},"properties":{"noteIndex":0},"schema":"https://github.com/citation-style-language/schema/raw/master/csl-citation.json"}</w:instrText>
            </w:r>
            <w:r>
              <w:rPr>
                <w:b w:val="0"/>
                <w:bCs/>
                <w:lang w:val="id-ID"/>
              </w:rPr>
              <w:fldChar w:fldCharType="separate"/>
            </w:r>
            <w:r w:rsidRPr="00D6636F">
              <w:rPr>
                <w:b w:val="0"/>
                <w:bCs/>
                <w:noProof/>
                <w:lang w:val="id-ID"/>
              </w:rPr>
              <w:t>(Safitri, 2020)</w:t>
            </w:r>
            <w:r>
              <w:rPr>
                <w:b w:val="0"/>
                <w:bCs/>
                <w:lang w:val="id-ID"/>
              </w:rPr>
              <w:fldChar w:fldCharType="end"/>
            </w:r>
            <w:r w:rsidRPr="000034CC">
              <w:rPr>
                <w:b w:val="0"/>
                <w:bCs/>
                <w:lang w:val="id-ID"/>
              </w:rPr>
              <w:t>.</w:t>
            </w:r>
          </w:p>
        </w:tc>
        <w:tc>
          <w:tcPr>
            <w:tcW w:w="3153" w:type="dxa"/>
            <w:tcBorders>
              <w:top w:val="single" w:sz="4" w:space="0" w:color="auto"/>
              <w:bottom w:val="single" w:sz="4" w:space="0" w:color="auto"/>
            </w:tcBorders>
            <w:shd w:val="clear" w:color="auto" w:fill="auto"/>
          </w:tcPr>
          <w:p w14:paraId="3EC9DA59" w14:textId="77777777" w:rsidR="00563580" w:rsidRPr="000034CC" w:rsidRDefault="00563580" w:rsidP="00F0642B">
            <w:pPr>
              <w:pStyle w:val="Caption"/>
              <w:numPr>
                <w:ilvl w:val="0"/>
                <w:numId w:val="2"/>
              </w:numPr>
              <w:ind w:left="170" w:hanging="218"/>
              <w:jc w:val="both"/>
              <w:rPr>
                <w:b w:val="0"/>
                <w:bCs/>
                <w:lang w:val="id-ID"/>
              </w:rPr>
            </w:pPr>
            <w:r w:rsidRPr="000034CC">
              <w:rPr>
                <w:b w:val="0"/>
                <w:bCs/>
                <w:lang w:val="id-ID"/>
              </w:rPr>
              <w:t>Public awareness about the meaning of tax.</w:t>
            </w:r>
          </w:p>
          <w:p w14:paraId="60CA623F" w14:textId="77777777" w:rsidR="00563580" w:rsidRDefault="00563580" w:rsidP="00F0642B">
            <w:pPr>
              <w:pStyle w:val="Caption"/>
              <w:numPr>
                <w:ilvl w:val="0"/>
                <w:numId w:val="2"/>
              </w:numPr>
              <w:ind w:left="170" w:hanging="218"/>
              <w:jc w:val="both"/>
              <w:rPr>
                <w:b w:val="0"/>
                <w:bCs/>
                <w:lang w:val="id-ID"/>
              </w:rPr>
            </w:pPr>
            <w:r w:rsidRPr="000034CC">
              <w:rPr>
                <w:b w:val="0"/>
                <w:bCs/>
                <w:lang w:val="id-ID"/>
              </w:rPr>
              <w:t>Awareness of tax rights and obligations to fulfill tax payment obligations.</w:t>
            </w:r>
          </w:p>
          <w:p w14:paraId="4F27E387" w14:textId="77777777" w:rsidR="00563580" w:rsidRPr="009B18EE" w:rsidRDefault="00563580" w:rsidP="00F0642B">
            <w:pPr>
              <w:pStyle w:val="Caption"/>
              <w:numPr>
                <w:ilvl w:val="0"/>
                <w:numId w:val="2"/>
              </w:numPr>
              <w:ind w:left="170" w:hanging="218"/>
              <w:jc w:val="both"/>
              <w:rPr>
                <w:b w:val="0"/>
                <w:bCs/>
                <w:lang w:val="id-ID"/>
              </w:rPr>
            </w:pPr>
            <w:r w:rsidRPr="009B18EE">
              <w:rPr>
                <w:b w:val="0"/>
                <w:bCs/>
                <w:lang w:val="id-ID"/>
              </w:rPr>
              <w:t>Self-encouragement to pay taxes voluntarily.</w:t>
            </w:r>
          </w:p>
        </w:tc>
        <w:tc>
          <w:tcPr>
            <w:tcW w:w="725" w:type="dxa"/>
            <w:tcBorders>
              <w:top w:val="single" w:sz="4" w:space="0" w:color="auto"/>
              <w:bottom w:val="single" w:sz="4" w:space="0" w:color="auto"/>
            </w:tcBorders>
            <w:shd w:val="clear" w:color="auto" w:fill="auto"/>
          </w:tcPr>
          <w:p w14:paraId="48508750" w14:textId="77777777" w:rsidR="00563580" w:rsidRPr="000034CC" w:rsidRDefault="00563580" w:rsidP="00F0642B">
            <w:pPr>
              <w:pStyle w:val="Caption"/>
              <w:jc w:val="both"/>
              <w:rPr>
                <w:b w:val="0"/>
                <w:bCs/>
                <w:i/>
                <w:iCs w:val="0"/>
                <w:lang w:val="id-ID"/>
              </w:rPr>
            </w:pPr>
            <w:r w:rsidRPr="000034CC">
              <w:rPr>
                <w:b w:val="0"/>
                <w:bCs/>
                <w:i/>
                <w:iCs w:val="0"/>
                <w:lang w:val="id-ID"/>
              </w:rPr>
              <w:t>Likert</w:t>
            </w:r>
          </w:p>
        </w:tc>
      </w:tr>
      <w:tr w:rsidR="00563580" w:rsidRPr="000034CC" w14:paraId="03571908" w14:textId="77777777" w:rsidTr="00F0642B">
        <w:tc>
          <w:tcPr>
            <w:tcW w:w="2061" w:type="dxa"/>
            <w:tcBorders>
              <w:top w:val="single" w:sz="4" w:space="0" w:color="auto"/>
              <w:bottom w:val="single" w:sz="4" w:space="0" w:color="auto"/>
            </w:tcBorders>
            <w:shd w:val="clear" w:color="auto" w:fill="auto"/>
          </w:tcPr>
          <w:p w14:paraId="152EFFFE" w14:textId="77777777" w:rsidR="00563580" w:rsidRPr="000034CC" w:rsidRDefault="00563580" w:rsidP="00F0642B">
            <w:pPr>
              <w:pStyle w:val="Caption"/>
              <w:jc w:val="both"/>
              <w:rPr>
                <w:b w:val="0"/>
                <w:bCs/>
                <w:lang w:val="id-ID"/>
              </w:rPr>
            </w:pPr>
            <w:r w:rsidRPr="000034CC">
              <w:rPr>
                <w:b w:val="0"/>
                <w:bCs/>
                <w:lang w:val="id-ID"/>
              </w:rPr>
              <w:t>Tax System</w:t>
            </w:r>
          </w:p>
        </w:tc>
        <w:tc>
          <w:tcPr>
            <w:tcW w:w="3587" w:type="dxa"/>
            <w:tcBorders>
              <w:top w:val="single" w:sz="4" w:space="0" w:color="auto"/>
              <w:bottom w:val="single" w:sz="4" w:space="0" w:color="auto"/>
            </w:tcBorders>
            <w:shd w:val="clear" w:color="auto" w:fill="auto"/>
          </w:tcPr>
          <w:p w14:paraId="471F6AA5" w14:textId="77777777" w:rsidR="00563580" w:rsidRPr="000034CC" w:rsidRDefault="00563580" w:rsidP="00F0642B">
            <w:pPr>
              <w:pStyle w:val="Caption"/>
              <w:jc w:val="both"/>
              <w:rPr>
                <w:b w:val="0"/>
                <w:bCs/>
                <w:lang w:val="id-ID"/>
              </w:rPr>
            </w:pPr>
            <w:r>
              <w:rPr>
                <w:b w:val="0"/>
                <w:bCs/>
                <w:lang w:val="id-ID"/>
              </w:rPr>
              <w:t>A</w:t>
            </w:r>
            <w:r w:rsidRPr="000034CC">
              <w:rPr>
                <w:b w:val="0"/>
                <w:bCs/>
                <w:lang w:val="id-ID"/>
              </w:rPr>
              <w:t xml:space="preserve"> tax collection system regarding high and low tax rates and accountability for tax contributions needed to finance state administration and development</w:t>
            </w:r>
          </w:p>
          <w:p w14:paraId="1B4B1EB3" w14:textId="77777777" w:rsidR="00563580" w:rsidRPr="000034CC" w:rsidRDefault="00563580" w:rsidP="00F0642B">
            <w:pPr>
              <w:pStyle w:val="Caption"/>
              <w:jc w:val="both"/>
              <w:rPr>
                <w:b w:val="0"/>
                <w:bCs/>
                <w:lang w:val="id-ID"/>
              </w:rPr>
            </w:pPr>
            <w:r>
              <w:rPr>
                <w:b w:val="0"/>
                <w:bCs/>
                <w:lang w:val="id-ID"/>
              </w:rPr>
              <w:fldChar w:fldCharType="begin" w:fldLock="1"/>
            </w:r>
            <w:r>
              <w:rPr>
                <w:b w:val="0"/>
                <w:bCs/>
                <w:lang w:val="id-ID"/>
              </w:rPr>
              <w:instrText>ADDIN CSL_CITATION {"citationItems":[{"id":"ITEM-1","itemData":{"DOI":"10.52859/jba.v10i1.281","ISSN":"2338-1132","abstract":"This Research examine whether the tax rates, tax systems, the intention to commit tax evasion. The research collected a sample from students majors at Sarjanawiyata Tamansiswa Yogyakarta University. The sample in this study is determined by sampling convenience method. The data collected with the distribution of questionnaires. Number of questionnaires processed was 100 questionnaires. The result of the research indicates that Tax rates has positif on intention to commit tax evasion. Tax system has no influenceon intention to commit tax evasion.","author":[{"dropping-particle":"","family":"Wardani","given":"Dewi Kusuma","non-dropping-particle":"","parse-names":false,"suffix":""},{"dropping-particle":"","family":"Rahmawatiningsih","given":"Nurfitri","non-dropping-particle":"","parse-names":false,"suffix":""}],"container-title":"Jurnal Bina Akuntansi","id":"ITEM-1","issued":{"date-parts":[["2022"]]},"title":"Pengaruh Tarif Dan Sistem Perpajakan Terhadap Niat Melakukan Penggelapan Pajak","type":"article-journal"},"uris":["http://www.mendeley.com/documents/?uuid=5e40e65a-f673-4569-8caa-5535228043ed"]}],"mendeley":{"formattedCitation":"(Wardani &amp; Rahmawatiningsih, 2022)","plainTextFormattedCitation":"(Wardani &amp; Rahmawatiningsih, 2022)","previouslyFormattedCitation":"(Wardani &amp; Rahmawatiningsih, 2022)"},"properties":{"noteIndex":0},"schema":"https://github.com/citation-style-language/schema/raw/master/csl-citation.json"}</w:instrText>
            </w:r>
            <w:r>
              <w:rPr>
                <w:b w:val="0"/>
                <w:bCs/>
                <w:lang w:val="id-ID"/>
              </w:rPr>
              <w:fldChar w:fldCharType="separate"/>
            </w:r>
            <w:r w:rsidRPr="00D6636F">
              <w:rPr>
                <w:b w:val="0"/>
                <w:bCs/>
                <w:noProof/>
                <w:lang w:val="id-ID"/>
              </w:rPr>
              <w:t>(Wardani &amp; Rahmawatiningsih, 2022)</w:t>
            </w:r>
            <w:r>
              <w:rPr>
                <w:b w:val="0"/>
                <w:bCs/>
                <w:lang w:val="id-ID"/>
              </w:rPr>
              <w:fldChar w:fldCharType="end"/>
            </w:r>
            <w:r w:rsidRPr="000034CC">
              <w:rPr>
                <w:b w:val="0"/>
                <w:bCs/>
                <w:lang w:val="id-ID"/>
              </w:rPr>
              <w:t>.</w:t>
            </w:r>
          </w:p>
        </w:tc>
        <w:tc>
          <w:tcPr>
            <w:tcW w:w="3153" w:type="dxa"/>
            <w:tcBorders>
              <w:top w:val="single" w:sz="4" w:space="0" w:color="auto"/>
              <w:bottom w:val="single" w:sz="4" w:space="0" w:color="auto"/>
            </w:tcBorders>
            <w:shd w:val="clear" w:color="auto" w:fill="auto"/>
          </w:tcPr>
          <w:p w14:paraId="2BE57BF1" w14:textId="77777777" w:rsidR="00563580" w:rsidRPr="000034CC" w:rsidRDefault="00563580" w:rsidP="00F0642B">
            <w:pPr>
              <w:pStyle w:val="Caption"/>
              <w:numPr>
                <w:ilvl w:val="0"/>
                <w:numId w:val="3"/>
              </w:numPr>
              <w:ind w:left="170" w:hanging="218"/>
              <w:jc w:val="both"/>
              <w:rPr>
                <w:b w:val="0"/>
                <w:bCs/>
                <w:lang w:val="id-ID"/>
              </w:rPr>
            </w:pPr>
            <w:r w:rsidRPr="000034CC">
              <w:rPr>
                <w:b w:val="0"/>
                <w:bCs/>
                <w:lang w:val="id-ID"/>
              </w:rPr>
              <w:t>Tax rates applied in Indonesia.</w:t>
            </w:r>
          </w:p>
          <w:p w14:paraId="1DD087E5" w14:textId="77777777" w:rsidR="00563580" w:rsidRDefault="00563580" w:rsidP="00F0642B">
            <w:pPr>
              <w:pStyle w:val="Caption"/>
              <w:numPr>
                <w:ilvl w:val="0"/>
                <w:numId w:val="3"/>
              </w:numPr>
              <w:ind w:left="170" w:hanging="218"/>
              <w:jc w:val="both"/>
              <w:rPr>
                <w:b w:val="0"/>
                <w:bCs/>
                <w:lang w:val="id-ID"/>
              </w:rPr>
            </w:pPr>
            <w:r w:rsidRPr="000034CC">
              <w:rPr>
                <w:b w:val="0"/>
                <w:bCs/>
                <w:lang w:val="id-ID"/>
              </w:rPr>
              <w:t>Distribution of funds originating from taxes.</w:t>
            </w:r>
          </w:p>
          <w:p w14:paraId="63FA30A2" w14:textId="77777777" w:rsidR="00563580" w:rsidRPr="00750228" w:rsidRDefault="00563580" w:rsidP="00F0642B">
            <w:pPr>
              <w:pStyle w:val="Caption"/>
              <w:numPr>
                <w:ilvl w:val="0"/>
                <w:numId w:val="3"/>
              </w:numPr>
              <w:ind w:left="170" w:hanging="218"/>
              <w:jc w:val="both"/>
              <w:rPr>
                <w:b w:val="0"/>
                <w:bCs/>
                <w:lang w:val="id-ID"/>
              </w:rPr>
            </w:pPr>
            <w:r w:rsidRPr="00750228">
              <w:rPr>
                <w:b w:val="0"/>
                <w:bCs/>
                <w:lang w:val="id-ID"/>
              </w:rPr>
              <w:t>Ease of taxation system facilities.</w:t>
            </w:r>
          </w:p>
        </w:tc>
        <w:tc>
          <w:tcPr>
            <w:tcW w:w="725" w:type="dxa"/>
            <w:tcBorders>
              <w:top w:val="single" w:sz="4" w:space="0" w:color="auto"/>
              <w:bottom w:val="single" w:sz="4" w:space="0" w:color="auto"/>
            </w:tcBorders>
            <w:shd w:val="clear" w:color="auto" w:fill="auto"/>
          </w:tcPr>
          <w:p w14:paraId="1028ABE5" w14:textId="77777777" w:rsidR="00563580" w:rsidRPr="000034CC" w:rsidRDefault="00563580" w:rsidP="00F0642B">
            <w:pPr>
              <w:pStyle w:val="Caption"/>
              <w:jc w:val="both"/>
              <w:rPr>
                <w:b w:val="0"/>
                <w:bCs/>
                <w:i/>
                <w:iCs w:val="0"/>
                <w:lang w:val="id-ID"/>
              </w:rPr>
            </w:pPr>
            <w:r w:rsidRPr="000034CC">
              <w:rPr>
                <w:b w:val="0"/>
                <w:bCs/>
                <w:i/>
                <w:iCs w:val="0"/>
                <w:lang w:val="id-ID"/>
              </w:rPr>
              <w:t>Likert</w:t>
            </w:r>
          </w:p>
        </w:tc>
      </w:tr>
    </w:tbl>
    <w:p w14:paraId="3F67FB28" w14:textId="77777777" w:rsidR="00563580" w:rsidRDefault="00563580" w:rsidP="00563580">
      <w:r>
        <w:rPr>
          <w:b/>
          <w:iCs/>
        </w:rPr>
        <w:br w:type="page"/>
      </w:r>
    </w:p>
    <w:tbl>
      <w:tblPr>
        <w:tblW w:w="0" w:type="auto"/>
        <w:tblLook w:val="04A0" w:firstRow="1" w:lastRow="0" w:firstColumn="1" w:lastColumn="0" w:noHBand="0" w:noVBand="1"/>
      </w:tblPr>
      <w:tblGrid>
        <w:gridCol w:w="2061"/>
        <w:gridCol w:w="3587"/>
        <w:gridCol w:w="3153"/>
        <w:gridCol w:w="725"/>
      </w:tblGrid>
      <w:tr w:rsidR="00563580" w:rsidRPr="000034CC" w14:paraId="52A4DE03" w14:textId="77777777" w:rsidTr="00F0642B">
        <w:tc>
          <w:tcPr>
            <w:tcW w:w="2061" w:type="dxa"/>
            <w:tcBorders>
              <w:top w:val="single" w:sz="4" w:space="0" w:color="auto"/>
              <w:bottom w:val="single" w:sz="4" w:space="0" w:color="auto"/>
            </w:tcBorders>
            <w:shd w:val="clear" w:color="auto" w:fill="auto"/>
          </w:tcPr>
          <w:p w14:paraId="131B10AA" w14:textId="77777777" w:rsidR="00563580" w:rsidRPr="000034CC" w:rsidRDefault="00563580" w:rsidP="00F0642B">
            <w:pPr>
              <w:pStyle w:val="Caption"/>
              <w:rPr>
                <w:b w:val="0"/>
                <w:bCs/>
                <w:lang w:val="id-ID"/>
              </w:rPr>
            </w:pPr>
            <w:r w:rsidRPr="000034CC">
              <w:rPr>
                <w:lang w:val="id-ID"/>
              </w:rPr>
              <w:t>Variable</w:t>
            </w:r>
          </w:p>
        </w:tc>
        <w:tc>
          <w:tcPr>
            <w:tcW w:w="3587" w:type="dxa"/>
            <w:tcBorders>
              <w:top w:val="single" w:sz="4" w:space="0" w:color="auto"/>
              <w:bottom w:val="single" w:sz="4" w:space="0" w:color="auto"/>
            </w:tcBorders>
            <w:shd w:val="clear" w:color="auto" w:fill="auto"/>
          </w:tcPr>
          <w:p w14:paraId="105B0926" w14:textId="77777777" w:rsidR="00563580" w:rsidRPr="000034CC" w:rsidRDefault="00563580" w:rsidP="00F0642B">
            <w:pPr>
              <w:pStyle w:val="Caption"/>
              <w:rPr>
                <w:b w:val="0"/>
                <w:bCs/>
                <w:lang w:val="id-ID"/>
              </w:rPr>
            </w:pPr>
            <w:r w:rsidRPr="000034CC">
              <w:rPr>
                <w:lang w:val="id-ID"/>
              </w:rPr>
              <w:t>Operational definition</w:t>
            </w:r>
          </w:p>
        </w:tc>
        <w:tc>
          <w:tcPr>
            <w:tcW w:w="3153" w:type="dxa"/>
            <w:tcBorders>
              <w:top w:val="single" w:sz="4" w:space="0" w:color="auto"/>
              <w:bottom w:val="single" w:sz="4" w:space="0" w:color="auto"/>
            </w:tcBorders>
            <w:shd w:val="clear" w:color="auto" w:fill="auto"/>
          </w:tcPr>
          <w:p w14:paraId="0F7AC3E9" w14:textId="77777777" w:rsidR="00563580" w:rsidRPr="000034CC" w:rsidRDefault="00563580" w:rsidP="00F0642B">
            <w:pPr>
              <w:pStyle w:val="Caption"/>
              <w:ind w:left="170"/>
              <w:rPr>
                <w:b w:val="0"/>
                <w:bCs/>
                <w:lang w:val="id-ID"/>
              </w:rPr>
            </w:pPr>
            <w:r w:rsidRPr="000034CC">
              <w:rPr>
                <w:lang w:val="id-ID"/>
              </w:rPr>
              <w:t>Indicator</w:t>
            </w:r>
          </w:p>
        </w:tc>
        <w:tc>
          <w:tcPr>
            <w:tcW w:w="725" w:type="dxa"/>
            <w:tcBorders>
              <w:top w:val="single" w:sz="4" w:space="0" w:color="auto"/>
              <w:bottom w:val="single" w:sz="4" w:space="0" w:color="auto"/>
            </w:tcBorders>
            <w:shd w:val="clear" w:color="auto" w:fill="auto"/>
          </w:tcPr>
          <w:p w14:paraId="73BA7199" w14:textId="77777777" w:rsidR="00563580" w:rsidRPr="000034CC" w:rsidRDefault="00563580" w:rsidP="00F0642B">
            <w:pPr>
              <w:pStyle w:val="Caption"/>
              <w:rPr>
                <w:b w:val="0"/>
                <w:bCs/>
                <w:i/>
                <w:iCs w:val="0"/>
                <w:lang w:val="id-ID"/>
              </w:rPr>
            </w:pPr>
            <w:r w:rsidRPr="000034CC">
              <w:rPr>
                <w:lang w:val="id-ID"/>
              </w:rPr>
              <w:t>Scale</w:t>
            </w:r>
          </w:p>
        </w:tc>
      </w:tr>
      <w:tr w:rsidR="00563580" w:rsidRPr="000034CC" w14:paraId="5021DCCD" w14:textId="77777777" w:rsidTr="00F0642B">
        <w:tc>
          <w:tcPr>
            <w:tcW w:w="2061" w:type="dxa"/>
            <w:tcBorders>
              <w:top w:val="single" w:sz="4" w:space="0" w:color="auto"/>
              <w:bottom w:val="single" w:sz="4" w:space="0" w:color="auto"/>
            </w:tcBorders>
            <w:shd w:val="clear" w:color="auto" w:fill="auto"/>
          </w:tcPr>
          <w:p w14:paraId="19E5F46E" w14:textId="77777777" w:rsidR="00563580" w:rsidRPr="000034CC" w:rsidRDefault="00563580" w:rsidP="00F0642B">
            <w:pPr>
              <w:pStyle w:val="Caption"/>
              <w:jc w:val="both"/>
              <w:rPr>
                <w:b w:val="0"/>
                <w:bCs/>
                <w:lang w:val="id-ID"/>
              </w:rPr>
            </w:pPr>
            <w:r w:rsidRPr="000034CC">
              <w:rPr>
                <w:b w:val="0"/>
                <w:bCs/>
                <w:lang w:val="id-ID"/>
              </w:rPr>
              <w:t>Tax Sanctions</w:t>
            </w:r>
          </w:p>
        </w:tc>
        <w:tc>
          <w:tcPr>
            <w:tcW w:w="3587" w:type="dxa"/>
            <w:tcBorders>
              <w:top w:val="single" w:sz="4" w:space="0" w:color="auto"/>
              <w:bottom w:val="single" w:sz="4" w:space="0" w:color="auto"/>
            </w:tcBorders>
            <w:shd w:val="clear" w:color="auto" w:fill="auto"/>
          </w:tcPr>
          <w:p w14:paraId="25DEE38C" w14:textId="77777777" w:rsidR="00563580" w:rsidRPr="000034CC" w:rsidRDefault="00563580" w:rsidP="00F0642B">
            <w:pPr>
              <w:pStyle w:val="Caption"/>
              <w:jc w:val="both"/>
              <w:rPr>
                <w:b w:val="0"/>
                <w:bCs/>
                <w:lang w:val="id-ID"/>
              </w:rPr>
            </w:pPr>
            <w:r w:rsidRPr="000034CC">
              <w:rPr>
                <w:b w:val="0"/>
                <w:bCs/>
                <w:lang w:val="id-ID"/>
              </w:rPr>
              <w:t>Guarantee that the provisions of tax laws and regulations (tax norms) will be adhered to, in other words tax sanctions are a preventative tool so that taxpayers do not violate tax norms</w:t>
            </w:r>
            <w:r>
              <w:rPr>
                <w:b w:val="0"/>
                <w:bCs/>
                <w:lang w:val="id-ID"/>
              </w:rPr>
              <w:t xml:space="preserve"> </w:t>
            </w:r>
            <w:r>
              <w:rPr>
                <w:b w:val="0"/>
                <w:bCs/>
                <w:lang w:val="id-ID"/>
              </w:rPr>
              <w:fldChar w:fldCharType="begin" w:fldLock="1"/>
            </w:r>
            <w:r>
              <w:rPr>
                <w:b w:val="0"/>
                <w:bCs/>
                <w:lang w:val="id-ID"/>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approach.","author":[{"dropping-particle":"","family":"Setiya","given":"Dennisa Rhesa Kenny Axel","non-dropping-particle":"","parse-names":false,"suffix":""}],"container-title":"Gastronomía ecuatoriana y turismo local.","id":"ITEM-1","issue":"69","issued":{"date-parts":[["2018"]]},"page":"5-24","title":"Pengaruh Kesadaran Perpajakan, Sikap Rasional, Pelayanan Fiskus, Sanksi Pajak Dan Lingkungan Terhadap Kepatuhan Wajib Pajak Orang Pribadi Dalam Meningkatkan Penerimaan Pajak (Studi Empiris Pada Wajib Pajak Di Kota Blora)","type":"article-journal","volume":"1"},"uris":["http://www.mendeley.com/documents/?uuid=cce9c812-7bb8-40b3-a154-bdc53d99eb4e"]}],"mendeley":{"formattedCitation":"(Setiya, 2018)","plainTextFormattedCitation":"(Setiya, 2018)","previouslyFormattedCitation":"(Setiya, 2018)"},"properties":{"noteIndex":0},"schema":"https://github.com/citation-style-language/schema/raw/master/csl-citation.json"}</w:instrText>
            </w:r>
            <w:r>
              <w:rPr>
                <w:b w:val="0"/>
                <w:bCs/>
                <w:lang w:val="id-ID"/>
              </w:rPr>
              <w:fldChar w:fldCharType="separate"/>
            </w:r>
            <w:r w:rsidRPr="00D6636F">
              <w:rPr>
                <w:b w:val="0"/>
                <w:bCs/>
                <w:noProof/>
                <w:lang w:val="id-ID"/>
              </w:rPr>
              <w:t>(Setiya, 2018)</w:t>
            </w:r>
            <w:r>
              <w:rPr>
                <w:b w:val="0"/>
                <w:bCs/>
                <w:lang w:val="id-ID"/>
              </w:rPr>
              <w:fldChar w:fldCharType="end"/>
            </w:r>
            <w:r w:rsidRPr="000034CC">
              <w:rPr>
                <w:b w:val="0"/>
                <w:bCs/>
                <w:lang w:val="id-ID"/>
              </w:rPr>
              <w:t>.</w:t>
            </w:r>
          </w:p>
        </w:tc>
        <w:tc>
          <w:tcPr>
            <w:tcW w:w="3153" w:type="dxa"/>
            <w:tcBorders>
              <w:top w:val="single" w:sz="4" w:space="0" w:color="auto"/>
              <w:bottom w:val="single" w:sz="4" w:space="0" w:color="auto"/>
            </w:tcBorders>
            <w:shd w:val="clear" w:color="auto" w:fill="auto"/>
          </w:tcPr>
          <w:p w14:paraId="72CC458D" w14:textId="77777777" w:rsidR="00563580" w:rsidRDefault="00563580" w:rsidP="00F0642B">
            <w:pPr>
              <w:pStyle w:val="Caption"/>
              <w:numPr>
                <w:ilvl w:val="0"/>
                <w:numId w:val="4"/>
              </w:numPr>
              <w:ind w:left="170" w:hanging="218"/>
              <w:jc w:val="both"/>
              <w:rPr>
                <w:b w:val="0"/>
                <w:bCs/>
                <w:lang w:val="id-ID"/>
              </w:rPr>
            </w:pPr>
            <w:r w:rsidRPr="000034CC">
              <w:rPr>
                <w:b w:val="0"/>
                <w:bCs/>
                <w:lang w:val="id-ID"/>
              </w:rPr>
              <w:t>Late payment of tax is forgiven and interest penalties are not imposed.</w:t>
            </w:r>
          </w:p>
          <w:p w14:paraId="21952E4E" w14:textId="77777777" w:rsidR="00563580" w:rsidRDefault="00563580" w:rsidP="00F0642B">
            <w:pPr>
              <w:pStyle w:val="Caption"/>
              <w:numPr>
                <w:ilvl w:val="0"/>
                <w:numId w:val="4"/>
              </w:numPr>
              <w:ind w:left="170" w:hanging="218"/>
              <w:jc w:val="both"/>
              <w:rPr>
                <w:b w:val="0"/>
                <w:bCs/>
                <w:lang w:val="id-ID"/>
              </w:rPr>
            </w:pPr>
            <w:r w:rsidRPr="00BD0651">
              <w:rPr>
                <w:b w:val="0"/>
                <w:bCs/>
                <w:lang w:val="id-ID"/>
              </w:rPr>
              <w:t>Imposing sanctions for hiding taxes</w:t>
            </w:r>
            <w:r>
              <w:rPr>
                <w:b w:val="0"/>
                <w:bCs/>
                <w:lang w:val="id-ID"/>
              </w:rPr>
              <w:t>.</w:t>
            </w:r>
          </w:p>
          <w:p w14:paraId="731E3861" w14:textId="77777777" w:rsidR="00563580" w:rsidRPr="000034CC" w:rsidRDefault="00563580" w:rsidP="00F0642B">
            <w:pPr>
              <w:pStyle w:val="Caption"/>
              <w:numPr>
                <w:ilvl w:val="0"/>
                <w:numId w:val="4"/>
              </w:numPr>
              <w:ind w:left="170" w:hanging="218"/>
              <w:jc w:val="both"/>
              <w:rPr>
                <w:b w:val="0"/>
                <w:bCs/>
                <w:lang w:val="id-ID"/>
              </w:rPr>
            </w:pPr>
            <w:r w:rsidRPr="000034CC">
              <w:rPr>
                <w:b w:val="0"/>
                <w:bCs/>
                <w:lang w:val="id-ID"/>
              </w:rPr>
              <w:t>Imposing sanctions for hiding taxes.</w:t>
            </w:r>
          </w:p>
          <w:p w14:paraId="6965DD78" w14:textId="77777777" w:rsidR="00563580" w:rsidRPr="000034CC" w:rsidRDefault="00563580" w:rsidP="00F0642B">
            <w:pPr>
              <w:pStyle w:val="Caption"/>
              <w:numPr>
                <w:ilvl w:val="0"/>
                <w:numId w:val="4"/>
              </w:numPr>
              <w:ind w:left="170" w:hanging="218"/>
              <w:jc w:val="both"/>
              <w:rPr>
                <w:b w:val="0"/>
                <w:bCs/>
                <w:lang w:val="id-ID"/>
              </w:rPr>
            </w:pPr>
            <w:r w:rsidRPr="000034CC">
              <w:rPr>
                <w:b w:val="0"/>
                <w:bCs/>
                <w:lang w:val="id-ID"/>
              </w:rPr>
              <w:t>Imposition of fines if you pay taxes incorrectly.</w:t>
            </w:r>
          </w:p>
          <w:p w14:paraId="03EE24BB" w14:textId="77777777" w:rsidR="00563580" w:rsidRPr="000034CC" w:rsidRDefault="00563580" w:rsidP="00F0642B">
            <w:pPr>
              <w:pStyle w:val="Caption"/>
              <w:numPr>
                <w:ilvl w:val="0"/>
                <w:numId w:val="4"/>
              </w:numPr>
              <w:ind w:left="170" w:hanging="218"/>
              <w:jc w:val="both"/>
              <w:rPr>
                <w:b w:val="0"/>
                <w:bCs/>
                <w:lang w:val="id-ID"/>
              </w:rPr>
            </w:pPr>
            <w:r w:rsidRPr="000034CC">
              <w:rPr>
                <w:b w:val="0"/>
                <w:bCs/>
                <w:lang w:val="id-ID"/>
              </w:rPr>
              <w:t>Sanctions for presenting fake documents.</w:t>
            </w:r>
          </w:p>
          <w:p w14:paraId="6203CF22" w14:textId="77777777" w:rsidR="00563580" w:rsidRPr="000034CC" w:rsidRDefault="00563580" w:rsidP="00F0642B">
            <w:pPr>
              <w:pStyle w:val="Caption"/>
              <w:numPr>
                <w:ilvl w:val="0"/>
                <w:numId w:val="4"/>
              </w:numPr>
              <w:ind w:left="170" w:hanging="218"/>
              <w:jc w:val="both"/>
              <w:rPr>
                <w:b w:val="0"/>
                <w:bCs/>
                <w:lang w:val="id-ID"/>
              </w:rPr>
            </w:pPr>
            <w:r w:rsidRPr="000034CC">
              <w:rPr>
                <w:b w:val="0"/>
                <w:bCs/>
                <w:lang w:val="id-ID"/>
              </w:rPr>
              <w:t>Imposing sanctions in accordance with the applicable treatment.</w:t>
            </w:r>
          </w:p>
        </w:tc>
        <w:tc>
          <w:tcPr>
            <w:tcW w:w="725" w:type="dxa"/>
            <w:tcBorders>
              <w:top w:val="single" w:sz="4" w:space="0" w:color="auto"/>
              <w:bottom w:val="single" w:sz="4" w:space="0" w:color="auto"/>
            </w:tcBorders>
            <w:shd w:val="clear" w:color="auto" w:fill="auto"/>
          </w:tcPr>
          <w:p w14:paraId="472E23D7" w14:textId="77777777" w:rsidR="00563580" w:rsidRPr="000034CC" w:rsidRDefault="00563580" w:rsidP="00F0642B">
            <w:pPr>
              <w:pStyle w:val="Caption"/>
              <w:jc w:val="both"/>
              <w:rPr>
                <w:b w:val="0"/>
                <w:bCs/>
                <w:i/>
                <w:iCs w:val="0"/>
                <w:lang w:val="id-ID"/>
              </w:rPr>
            </w:pPr>
            <w:r w:rsidRPr="000034CC">
              <w:rPr>
                <w:b w:val="0"/>
                <w:bCs/>
                <w:i/>
                <w:iCs w:val="0"/>
                <w:lang w:val="id-ID"/>
              </w:rPr>
              <w:t>Likert</w:t>
            </w:r>
          </w:p>
        </w:tc>
      </w:tr>
      <w:tr w:rsidR="00563580" w:rsidRPr="000034CC" w14:paraId="7EC00FBA" w14:textId="77777777" w:rsidTr="00F0642B">
        <w:tc>
          <w:tcPr>
            <w:tcW w:w="2061" w:type="dxa"/>
            <w:tcBorders>
              <w:top w:val="single" w:sz="4" w:space="0" w:color="auto"/>
              <w:bottom w:val="single" w:sz="4" w:space="0" w:color="auto"/>
            </w:tcBorders>
            <w:shd w:val="clear" w:color="auto" w:fill="auto"/>
          </w:tcPr>
          <w:p w14:paraId="3E207B51" w14:textId="77777777" w:rsidR="00563580" w:rsidRPr="000034CC" w:rsidRDefault="00563580" w:rsidP="00F0642B">
            <w:pPr>
              <w:pStyle w:val="Caption"/>
              <w:jc w:val="both"/>
              <w:rPr>
                <w:b w:val="0"/>
                <w:bCs/>
                <w:lang w:val="id-ID"/>
              </w:rPr>
            </w:pPr>
            <w:r w:rsidRPr="000034CC">
              <w:rPr>
                <w:b w:val="0"/>
                <w:bCs/>
                <w:lang w:val="id-ID"/>
              </w:rPr>
              <w:t>Young Entrepreneurs' Intention to Commit Tax Fraud</w:t>
            </w:r>
          </w:p>
        </w:tc>
        <w:tc>
          <w:tcPr>
            <w:tcW w:w="3587" w:type="dxa"/>
            <w:tcBorders>
              <w:top w:val="single" w:sz="4" w:space="0" w:color="auto"/>
              <w:bottom w:val="single" w:sz="4" w:space="0" w:color="auto"/>
            </w:tcBorders>
            <w:shd w:val="clear" w:color="auto" w:fill="auto"/>
          </w:tcPr>
          <w:p w14:paraId="7F2799E7" w14:textId="77777777" w:rsidR="00563580" w:rsidRPr="000034CC" w:rsidRDefault="00563580" w:rsidP="00F0642B">
            <w:pPr>
              <w:pStyle w:val="Caption"/>
              <w:jc w:val="both"/>
              <w:rPr>
                <w:b w:val="0"/>
                <w:bCs/>
                <w:lang w:val="id-ID"/>
              </w:rPr>
            </w:pPr>
            <w:r w:rsidRPr="000034CC">
              <w:rPr>
                <w:b w:val="0"/>
                <w:bCs/>
                <w:lang w:val="id-ID"/>
              </w:rPr>
              <w:t>A young entrepreneur to commit dishonest or illegal acts related to paying taxes, which may include concealing income or violating laws related to taxation</w:t>
            </w:r>
            <w:r>
              <w:rPr>
                <w:b w:val="0"/>
                <w:bCs/>
                <w:lang w:val="id-ID"/>
              </w:rPr>
              <w:t xml:space="preserve"> </w:t>
            </w:r>
            <w:r>
              <w:rPr>
                <w:b w:val="0"/>
                <w:bCs/>
                <w:lang w:val="id-ID"/>
              </w:rPr>
              <w:fldChar w:fldCharType="begin" w:fldLock="1"/>
            </w:r>
            <w:r>
              <w:rPr>
                <w:b w:val="0"/>
                <w:bCs/>
                <w:lang w:val="id-ID"/>
              </w:rPr>
              <w:instrText>ADDIN CSL_CITATION {"citationItems":[{"id":"ITEM-1","itemData":{"abstract":"Penelitian ini bertujuan untuk menganalisa pengaruh Keadilan Pajak, Tarif Pajak, dan Sistem Perpajakan terhadap Penggelapan Pajak Wajib Pajak Orang Pribadi yang terdaftar di Kantor Pelayanan Pajak Pratama Cikupa. Penelitian ini menggunakan metode kuantitatif. Jumlah sampel yang digunakan dalam penelitian ini sebanyak 100 responden. Teknik sampling yang digunakan adalah metode purposive sampling menggunakan rumus Slovin. Pengumpulan data menggunakan metode kuisioner dan diolah menggunakan SPSS statistic versi 25. Teknik analisis data yang digunakan adalah regresi linear berganda. Hasil penelitian ini menunjukkan bahwa Keadilan Pajak, Tarif Pajak dan Sistem Perpajakan berpengaruh secara simultan terhadap Penggelapan Pajak. Secara parsial, Tarif Pajak tidak berpengaruh terhadap Penggelapan Pajak orang pribadi sedangkan Keadilan Pajak dan Sistem Perpajakan berpengaruh terhadap Penggelapan Pajak orang pribadi.","author":[{"dropping-particle":"","family":"Yulia","given":"Yona","non-dropping-particle":"","parse-names":false,"suffix":""},{"dropping-particle":"","family":"Muanifah","given":"Suciati","non-dropping-particle":"","parse-names":false,"suffix":""}],"container-title":"Prosiding Sarjana akuntansi Tugas Akhir Secara Berkala","id":"ITEM-1","issue":"1","issued":{"date-parts":[["2021"]]},"page":"252-267","title":"Pengaruh Keadilan Pajak, Tarif Pajak, Dan Sistem Perpajakan Terhadap Penggelapan Pajak","type":"article-journal","volume":"1"},"uris":["http://www.mendeley.com/documents/?uuid=e68d376c-8376-48a0-aa65-9258a6eb3978"]}],"mendeley":{"formattedCitation":"(Yulia &amp; Muanifah, 2021)","plainTextFormattedCitation":"(Yulia &amp; Muanifah, 2021)","previouslyFormattedCitation":"(Yulia &amp; Muanifah, 2021)"},"properties":{"noteIndex":0},"schema":"https://github.com/citation-style-language/schema/raw/master/csl-citation.json"}</w:instrText>
            </w:r>
            <w:r>
              <w:rPr>
                <w:b w:val="0"/>
                <w:bCs/>
                <w:lang w:val="id-ID"/>
              </w:rPr>
              <w:fldChar w:fldCharType="separate"/>
            </w:r>
            <w:r w:rsidRPr="00D6636F">
              <w:rPr>
                <w:b w:val="0"/>
                <w:bCs/>
                <w:noProof/>
                <w:lang w:val="id-ID"/>
              </w:rPr>
              <w:t>(Yulia &amp; Muanifah, 2021)</w:t>
            </w:r>
            <w:r>
              <w:rPr>
                <w:b w:val="0"/>
                <w:bCs/>
                <w:lang w:val="id-ID"/>
              </w:rPr>
              <w:fldChar w:fldCharType="end"/>
            </w:r>
            <w:r>
              <w:rPr>
                <w:b w:val="0"/>
                <w:bCs/>
                <w:lang w:val="id-ID"/>
              </w:rPr>
              <w:t>.</w:t>
            </w:r>
          </w:p>
        </w:tc>
        <w:tc>
          <w:tcPr>
            <w:tcW w:w="3153" w:type="dxa"/>
            <w:tcBorders>
              <w:top w:val="single" w:sz="4" w:space="0" w:color="auto"/>
              <w:bottom w:val="single" w:sz="4" w:space="0" w:color="auto"/>
            </w:tcBorders>
            <w:shd w:val="clear" w:color="auto" w:fill="auto"/>
          </w:tcPr>
          <w:p w14:paraId="2D483E10" w14:textId="77777777" w:rsidR="00563580" w:rsidRPr="000034CC" w:rsidRDefault="00563580" w:rsidP="00F0642B">
            <w:pPr>
              <w:pStyle w:val="Caption"/>
              <w:numPr>
                <w:ilvl w:val="0"/>
                <w:numId w:val="1"/>
              </w:numPr>
              <w:ind w:left="170" w:hanging="218"/>
              <w:jc w:val="both"/>
              <w:rPr>
                <w:b w:val="0"/>
                <w:bCs/>
                <w:lang w:val="id-ID"/>
              </w:rPr>
            </w:pPr>
            <w:r w:rsidRPr="000034CC">
              <w:rPr>
                <w:b w:val="0"/>
                <w:bCs/>
                <w:lang w:val="id-ID"/>
              </w:rPr>
              <w:t>Not submitting SPT on time.</w:t>
            </w:r>
          </w:p>
          <w:p w14:paraId="4781AB20" w14:textId="77777777" w:rsidR="00563580" w:rsidRPr="000034CC" w:rsidRDefault="00563580" w:rsidP="00F0642B">
            <w:pPr>
              <w:pStyle w:val="Caption"/>
              <w:numPr>
                <w:ilvl w:val="0"/>
                <w:numId w:val="1"/>
              </w:numPr>
              <w:ind w:left="170" w:hanging="218"/>
              <w:jc w:val="both"/>
              <w:rPr>
                <w:b w:val="0"/>
                <w:bCs/>
                <w:lang w:val="id-ID"/>
              </w:rPr>
            </w:pPr>
            <w:r w:rsidRPr="000034CC">
              <w:rPr>
                <w:b w:val="0"/>
                <w:bCs/>
                <w:lang w:val="id-ID"/>
              </w:rPr>
              <w:t>Submitting SPT incorrectly</w:t>
            </w:r>
          </w:p>
          <w:p w14:paraId="548ED71F" w14:textId="77777777" w:rsidR="00563580" w:rsidRPr="000034CC" w:rsidRDefault="00563580" w:rsidP="00F0642B">
            <w:pPr>
              <w:pStyle w:val="Caption"/>
              <w:numPr>
                <w:ilvl w:val="0"/>
                <w:numId w:val="1"/>
              </w:numPr>
              <w:ind w:left="170" w:hanging="218"/>
              <w:jc w:val="both"/>
              <w:rPr>
                <w:b w:val="0"/>
                <w:bCs/>
                <w:lang w:val="id-ID"/>
              </w:rPr>
            </w:pPr>
            <w:r w:rsidRPr="000034CC">
              <w:rPr>
                <w:b w:val="0"/>
                <w:bCs/>
                <w:lang w:val="id-ID"/>
              </w:rPr>
              <w:t>Do not register or misuse your NPWP.</w:t>
            </w:r>
          </w:p>
          <w:p w14:paraId="06DF9AB4" w14:textId="77777777" w:rsidR="00563580" w:rsidRPr="000034CC" w:rsidRDefault="00563580" w:rsidP="00F0642B">
            <w:pPr>
              <w:pStyle w:val="Caption"/>
              <w:numPr>
                <w:ilvl w:val="0"/>
                <w:numId w:val="1"/>
              </w:numPr>
              <w:ind w:left="170" w:hanging="218"/>
              <w:jc w:val="both"/>
              <w:rPr>
                <w:b w:val="0"/>
                <w:bCs/>
                <w:lang w:val="id-ID"/>
              </w:rPr>
            </w:pPr>
            <w:r w:rsidRPr="000034CC">
              <w:rPr>
                <w:b w:val="0"/>
                <w:bCs/>
                <w:lang w:val="id-ID"/>
              </w:rPr>
              <w:t>Do not deposit taxes that have been collected or withheld.</w:t>
            </w:r>
          </w:p>
          <w:p w14:paraId="4B3EA815" w14:textId="77777777" w:rsidR="00563580" w:rsidRPr="000034CC" w:rsidRDefault="00563580" w:rsidP="00F0642B">
            <w:pPr>
              <w:pStyle w:val="Caption"/>
              <w:numPr>
                <w:ilvl w:val="0"/>
                <w:numId w:val="1"/>
              </w:numPr>
              <w:ind w:left="170" w:hanging="218"/>
              <w:jc w:val="both"/>
              <w:rPr>
                <w:b w:val="0"/>
                <w:bCs/>
                <w:lang w:val="id-ID"/>
              </w:rPr>
            </w:pPr>
            <w:r w:rsidRPr="000034CC">
              <w:rPr>
                <w:b w:val="0"/>
                <w:bCs/>
                <w:lang w:val="id-ID"/>
              </w:rPr>
              <w:t>Reporting less income than you should.</w:t>
            </w:r>
          </w:p>
        </w:tc>
        <w:tc>
          <w:tcPr>
            <w:tcW w:w="725" w:type="dxa"/>
            <w:tcBorders>
              <w:top w:val="single" w:sz="4" w:space="0" w:color="auto"/>
              <w:bottom w:val="single" w:sz="4" w:space="0" w:color="auto"/>
            </w:tcBorders>
            <w:shd w:val="clear" w:color="auto" w:fill="auto"/>
          </w:tcPr>
          <w:p w14:paraId="3DC30C6A" w14:textId="77777777" w:rsidR="00563580" w:rsidRPr="000034CC" w:rsidRDefault="00563580" w:rsidP="00F0642B">
            <w:pPr>
              <w:pStyle w:val="Caption"/>
              <w:jc w:val="both"/>
              <w:rPr>
                <w:b w:val="0"/>
                <w:bCs/>
                <w:i/>
                <w:iCs w:val="0"/>
                <w:lang w:val="id-ID"/>
              </w:rPr>
            </w:pPr>
            <w:r w:rsidRPr="000034CC">
              <w:rPr>
                <w:b w:val="0"/>
                <w:bCs/>
                <w:i/>
                <w:iCs w:val="0"/>
                <w:lang w:val="id-ID"/>
              </w:rPr>
              <w:t>Likert</w:t>
            </w:r>
          </w:p>
        </w:tc>
      </w:tr>
    </w:tbl>
    <w:p w14:paraId="29284EE1" w14:textId="77777777" w:rsidR="00563580" w:rsidRPr="00FF6A0A" w:rsidRDefault="00563580" w:rsidP="00563580">
      <w:pPr>
        <w:pStyle w:val="Caption"/>
        <w:jc w:val="both"/>
        <w:rPr>
          <w:b w:val="0"/>
          <w:bCs/>
          <w:lang w:val="id-ID"/>
        </w:rPr>
      </w:pPr>
    </w:p>
    <w:p w14:paraId="0A66CE68" w14:textId="77777777" w:rsidR="00563580" w:rsidRDefault="00563580" w:rsidP="00563580">
      <w:pPr>
        <w:pStyle w:val="JAPSub-Judul"/>
      </w:pPr>
      <w:r w:rsidRPr="00743AA4">
        <w:t>RESULTS</w:t>
      </w:r>
    </w:p>
    <w:p w14:paraId="250915E5" w14:textId="77777777" w:rsidR="00563580" w:rsidRPr="00743AA4" w:rsidRDefault="00563580" w:rsidP="00563580">
      <w:pPr>
        <w:pStyle w:val="JAPSub-Judul"/>
      </w:pPr>
    </w:p>
    <w:p w14:paraId="6899A8D0" w14:textId="77777777" w:rsidR="00563580" w:rsidRPr="0095130A" w:rsidRDefault="00563580" w:rsidP="00563580">
      <w:pPr>
        <w:pStyle w:val="JAPBODYTEXT"/>
        <w:rPr>
          <w:rStyle w:val="JAPBODYTEXTChar"/>
          <w:b w:val="0"/>
          <w:bCs w:val="0"/>
          <w:lang w:val="id-ID"/>
        </w:rPr>
      </w:pPr>
      <w:r w:rsidRPr="0095130A">
        <w:rPr>
          <w:rStyle w:val="JAPBODYTEXTChar"/>
          <w:b w:val="0"/>
          <w:bCs w:val="0"/>
          <w:lang w:val="id-ID"/>
        </w:rPr>
        <w:t>The objects used in this research are young entrepreneurs aged 25 – 45 years and have established a business at least 1 year old who have become taxpayers:</w:t>
      </w:r>
    </w:p>
    <w:p w14:paraId="69EE1D5C" w14:textId="77777777" w:rsidR="00563580" w:rsidRPr="0095130A" w:rsidRDefault="00563580" w:rsidP="00563580">
      <w:pPr>
        <w:pStyle w:val="JAPBODYTEXT"/>
        <w:rPr>
          <w:rStyle w:val="JAPBODYTEXTChar"/>
          <w:b w:val="0"/>
          <w:bCs w:val="0"/>
          <w:lang w:val="id-ID"/>
        </w:rPr>
      </w:pPr>
      <w:r w:rsidRPr="0095130A">
        <w:rPr>
          <w:rStyle w:val="JAPBODYTEXTChar"/>
          <w:b w:val="0"/>
          <w:bCs w:val="0"/>
          <w:lang w:val="id-ID"/>
        </w:rPr>
        <w:t xml:space="preserve"> </w:t>
      </w:r>
    </w:p>
    <w:p w14:paraId="6EE93E8A" w14:textId="42135AF1" w:rsidR="00563580" w:rsidRDefault="00563580" w:rsidP="00563580">
      <w:pPr>
        <w:pStyle w:val="Caption"/>
        <w:jc w:val="both"/>
        <w:rPr>
          <w:rStyle w:val="JAPBODYTEXTChar"/>
          <w:b/>
          <w:bCs w:val="0"/>
          <w:lang w:val="id-ID"/>
        </w:rPr>
      </w:pPr>
      <w:r>
        <w:t xml:space="preserve">Tabel </w:t>
      </w:r>
      <w:r>
        <w:fldChar w:fldCharType="begin"/>
      </w:r>
      <w:r>
        <w:instrText xml:space="preserve"> SEQ Tabel \* ARABIC </w:instrText>
      </w:r>
      <w:r>
        <w:fldChar w:fldCharType="separate"/>
      </w:r>
      <w:r>
        <w:rPr>
          <w:noProof/>
        </w:rPr>
        <w:t>3</w:t>
      </w:r>
      <w:r>
        <w:fldChar w:fldCharType="end"/>
      </w:r>
      <w:r>
        <w:t xml:space="preserve"> </w:t>
      </w:r>
      <w:r w:rsidRPr="00B80370">
        <w:t xml:space="preserve">Description of Research </w:t>
      </w:r>
      <w:r w:rsidR="002813DB">
        <w:t>Respondents Distribution</w:t>
      </w:r>
    </w:p>
    <w:tbl>
      <w:tblPr>
        <w:tblStyle w:val="TableGrid1"/>
        <w:tblW w:w="0" w:type="auto"/>
        <w:tblLook w:val="04A0" w:firstRow="1" w:lastRow="0" w:firstColumn="1" w:lastColumn="0" w:noHBand="0" w:noVBand="1"/>
      </w:tblPr>
      <w:tblGrid>
        <w:gridCol w:w="1282"/>
        <w:gridCol w:w="1020"/>
        <w:gridCol w:w="1020"/>
        <w:gridCol w:w="1043"/>
        <w:gridCol w:w="1043"/>
        <w:gridCol w:w="1221"/>
        <w:gridCol w:w="966"/>
        <w:gridCol w:w="966"/>
        <w:gridCol w:w="955"/>
      </w:tblGrid>
      <w:tr w:rsidR="00563580" w:rsidRPr="00A979BD" w14:paraId="1A3C38F9" w14:textId="77777777" w:rsidTr="00F0642B">
        <w:trPr>
          <w:trHeight w:val="565"/>
        </w:trPr>
        <w:tc>
          <w:tcPr>
            <w:tcW w:w="1282" w:type="dxa"/>
            <w:vMerge w:val="restart"/>
            <w:tcBorders>
              <w:left w:val="nil"/>
              <w:right w:val="nil"/>
            </w:tcBorders>
          </w:tcPr>
          <w:p w14:paraId="05113876"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sv-SE"/>
              </w:rPr>
              <w:t>Information</w:t>
            </w:r>
          </w:p>
        </w:tc>
        <w:tc>
          <w:tcPr>
            <w:tcW w:w="1020" w:type="dxa"/>
            <w:vMerge w:val="restart"/>
            <w:tcBorders>
              <w:left w:val="nil"/>
              <w:right w:val="nil"/>
            </w:tcBorders>
          </w:tcPr>
          <w:p w14:paraId="00AFB1F5"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sv-SE"/>
              </w:rPr>
              <w:t>Has NPWP</w:t>
            </w:r>
          </w:p>
        </w:tc>
        <w:tc>
          <w:tcPr>
            <w:tcW w:w="1020" w:type="dxa"/>
            <w:vMerge w:val="restart"/>
            <w:tcBorders>
              <w:left w:val="nil"/>
              <w:right w:val="nil"/>
            </w:tcBorders>
          </w:tcPr>
          <w:p w14:paraId="6F4AA21F"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sv-SE"/>
              </w:rPr>
              <w:t>Does not have NPWP</w:t>
            </w:r>
          </w:p>
          <w:p w14:paraId="1D3A8038" w14:textId="77777777" w:rsidR="00563580" w:rsidRPr="00A979BD" w:rsidRDefault="00563580" w:rsidP="00F0642B">
            <w:pPr>
              <w:jc w:val="center"/>
              <w:rPr>
                <w:lang w:val="id-ID"/>
              </w:rPr>
            </w:pPr>
          </w:p>
        </w:tc>
        <w:tc>
          <w:tcPr>
            <w:tcW w:w="1043" w:type="dxa"/>
            <w:vMerge w:val="restart"/>
            <w:tcBorders>
              <w:left w:val="nil"/>
              <w:right w:val="nil"/>
            </w:tcBorders>
          </w:tcPr>
          <w:p w14:paraId="68559439"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sv-SE"/>
              </w:rPr>
              <w:t>Year of starting business &gt; 1 year</w:t>
            </w:r>
          </w:p>
        </w:tc>
        <w:tc>
          <w:tcPr>
            <w:tcW w:w="1043" w:type="dxa"/>
            <w:vMerge w:val="restart"/>
            <w:tcBorders>
              <w:left w:val="nil"/>
              <w:right w:val="nil"/>
            </w:tcBorders>
          </w:tcPr>
          <w:p w14:paraId="36242B2B"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sv-SE"/>
              </w:rPr>
              <w:t>Year of starting business &lt; 1 year</w:t>
            </w:r>
          </w:p>
        </w:tc>
        <w:tc>
          <w:tcPr>
            <w:tcW w:w="4108" w:type="dxa"/>
            <w:gridSpan w:val="4"/>
            <w:tcBorders>
              <w:left w:val="nil"/>
              <w:right w:val="nil"/>
            </w:tcBorders>
          </w:tcPr>
          <w:p w14:paraId="2498F002"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sv-SE"/>
              </w:rPr>
              <w:t>Age of respondent</w:t>
            </w:r>
          </w:p>
        </w:tc>
      </w:tr>
      <w:tr w:rsidR="00563580" w:rsidRPr="00A979BD" w14:paraId="766C19E1" w14:textId="77777777" w:rsidTr="00F0642B">
        <w:tc>
          <w:tcPr>
            <w:tcW w:w="1282" w:type="dxa"/>
            <w:vMerge/>
            <w:tcBorders>
              <w:left w:val="nil"/>
              <w:bottom w:val="single" w:sz="4" w:space="0" w:color="auto"/>
              <w:right w:val="nil"/>
            </w:tcBorders>
          </w:tcPr>
          <w:p w14:paraId="13625D6F" w14:textId="77777777" w:rsidR="00563580" w:rsidRPr="00A979BD" w:rsidRDefault="00563580" w:rsidP="00F0642B">
            <w:pPr>
              <w:tabs>
                <w:tab w:val="left" w:pos="454"/>
              </w:tabs>
              <w:jc w:val="center"/>
              <w:rPr>
                <w:rFonts w:ascii="Book Antiqua" w:hAnsi="Book Antiqua"/>
                <w:lang w:val="id-ID"/>
              </w:rPr>
            </w:pPr>
          </w:p>
        </w:tc>
        <w:tc>
          <w:tcPr>
            <w:tcW w:w="1020" w:type="dxa"/>
            <w:vMerge/>
            <w:tcBorders>
              <w:left w:val="nil"/>
              <w:bottom w:val="single" w:sz="4" w:space="0" w:color="auto"/>
              <w:right w:val="nil"/>
            </w:tcBorders>
          </w:tcPr>
          <w:p w14:paraId="3FA72EE9" w14:textId="77777777" w:rsidR="00563580" w:rsidRPr="00A979BD" w:rsidRDefault="00563580" w:rsidP="00F0642B">
            <w:pPr>
              <w:tabs>
                <w:tab w:val="left" w:pos="454"/>
              </w:tabs>
              <w:jc w:val="center"/>
              <w:rPr>
                <w:rFonts w:ascii="Book Antiqua" w:hAnsi="Book Antiqua"/>
                <w:lang w:val="id-ID"/>
              </w:rPr>
            </w:pPr>
          </w:p>
        </w:tc>
        <w:tc>
          <w:tcPr>
            <w:tcW w:w="1020" w:type="dxa"/>
            <w:vMerge/>
            <w:tcBorders>
              <w:left w:val="nil"/>
              <w:bottom w:val="single" w:sz="4" w:space="0" w:color="auto"/>
              <w:right w:val="nil"/>
            </w:tcBorders>
          </w:tcPr>
          <w:p w14:paraId="0BBF7458" w14:textId="77777777" w:rsidR="00563580" w:rsidRPr="00A979BD" w:rsidRDefault="00563580" w:rsidP="00F0642B">
            <w:pPr>
              <w:tabs>
                <w:tab w:val="left" w:pos="454"/>
              </w:tabs>
              <w:jc w:val="center"/>
              <w:rPr>
                <w:rFonts w:ascii="Book Antiqua" w:hAnsi="Book Antiqua"/>
                <w:lang w:val="id-ID"/>
              </w:rPr>
            </w:pPr>
          </w:p>
        </w:tc>
        <w:tc>
          <w:tcPr>
            <w:tcW w:w="1043" w:type="dxa"/>
            <w:vMerge/>
            <w:tcBorders>
              <w:left w:val="nil"/>
              <w:bottom w:val="single" w:sz="4" w:space="0" w:color="auto"/>
              <w:right w:val="nil"/>
            </w:tcBorders>
          </w:tcPr>
          <w:p w14:paraId="4ADF0353" w14:textId="77777777" w:rsidR="00563580" w:rsidRPr="00A979BD" w:rsidRDefault="00563580" w:rsidP="00F0642B">
            <w:pPr>
              <w:tabs>
                <w:tab w:val="left" w:pos="454"/>
              </w:tabs>
              <w:jc w:val="center"/>
              <w:rPr>
                <w:rFonts w:ascii="Book Antiqua" w:hAnsi="Book Antiqua"/>
                <w:lang w:val="id-ID"/>
              </w:rPr>
            </w:pPr>
          </w:p>
        </w:tc>
        <w:tc>
          <w:tcPr>
            <w:tcW w:w="1043" w:type="dxa"/>
            <w:vMerge/>
            <w:tcBorders>
              <w:left w:val="nil"/>
              <w:bottom w:val="single" w:sz="4" w:space="0" w:color="auto"/>
              <w:right w:val="nil"/>
            </w:tcBorders>
          </w:tcPr>
          <w:p w14:paraId="688F5932" w14:textId="77777777" w:rsidR="00563580" w:rsidRPr="00A979BD" w:rsidRDefault="00563580" w:rsidP="00F0642B">
            <w:pPr>
              <w:tabs>
                <w:tab w:val="left" w:pos="454"/>
              </w:tabs>
              <w:jc w:val="center"/>
              <w:rPr>
                <w:rFonts w:ascii="Book Antiqua" w:hAnsi="Book Antiqua"/>
                <w:lang w:val="id-ID"/>
              </w:rPr>
            </w:pPr>
          </w:p>
        </w:tc>
        <w:tc>
          <w:tcPr>
            <w:tcW w:w="1221" w:type="dxa"/>
            <w:tcBorders>
              <w:left w:val="nil"/>
              <w:bottom w:val="single" w:sz="4" w:space="0" w:color="auto"/>
              <w:right w:val="nil"/>
            </w:tcBorders>
          </w:tcPr>
          <w:p w14:paraId="5E5DCF65"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id-ID"/>
              </w:rPr>
              <w:t>&lt; 25</w:t>
            </w:r>
          </w:p>
        </w:tc>
        <w:tc>
          <w:tcPr>
            <w:tcW w:w="966" w:type="dxa"/>
            <w:tcBorders>
              <w:left w:val="nil"/>
              <w:bottom w:val="single" w:sz="4" w:space="0" w:color="auto"/>
              <w:right w:val="nil"/>
            </w:tcBorders>
          </w:tcPr>
          <w:p w14:paraId="4FEA35AD"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id-ID"/>
              </w:rPr>
              <w:t>25-30</w:t>
            </w:r>
          </w:p>
        </w:tc>
        <w:tc>
          <w:tcPr>
            <w:tcW w:w="966" w:type="dxa"/>
            <w:tcBorders>
              <w:left w:val="nil"/>
              <w:bottom w:val="single" w:sz="4" w:space="0" w:color="auto"/>
              <w:right w:val="nil"/>
            </w:tcBorders>
          </w:tcPr>
          <w:p w14:paraId="6719FB79"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id-ID"/>
              </w:rPr>
              <w:t>30-40</w:t>
            </w:r>
          </w:p>
        </w:tc>
        <w:tc>
          <w:tcPr>
            <w:tcW w:w="955" w:type="dxa"/>
            <w:tcBorders>
              <w:left w:val="nil"/>
              <w:bottom w:val="single" w:sz="4" w:space="0" w:color="auto"/>
              <w:right w:val="nil"/>
            </w:tcBorders>
          </w:tcPr>
          <w:p w14:paraId="6AD131B0"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id-ID"/>
              </w:rPr>
              <w:t>40 &gt;</w:t>
            </w:r>
          </w:p>
        </w:tc>
      </w:tr>
      <w:tr w:rsidR="00563580" w:rsidRPr="00A979BD" w14:paraId="2CC31EC6" w14:textId="77777777" w:rsidTr="00F0642B">
        <w:tc>
          <w:tcPr>
            <w:tcW w:w="1282" w:type="dxa"/>
            <w:tcBorders>
              <w:top w:val="single" w:sz="4" w:space="0" w:color="auto"/>
              <w:left w:val="nil"/>
              <w:right w:val="nil"/>
            </w:tcBorders>
          </w:tcPr>
          <w:p w14:paraId="2C29D123" w14:textId="77777777" w:rsidR="00563580" w:rsidRPr="00A979BD" w:rsidRDefault="00563580" w:rsidP="00F0642B">
            <w:pPr>
              <w:tabs>
                <w:tab w:val="left" w:pos="454"/>
              </w:tabs>
              <w:rPr>
                <w:rFonts w:ascii="Book Antiqua" w:hAnsi="Book Antiqua"/>
                <w:lang w:val="id-ID"/>
              </w:rPr>
            </w:pPr>
            <w:r w:rsidRPr="00A979BD">
              <w:rPr>
                <w:rFonts w:ascii="Book Antiqua" w:hAnsi="Book Antiqua"/>
                <w:lang w:val="id-ID"/>
              </w:rPr>
              <w:t>Amount</w:t>
            </w:r>
          </w:p>
        </w:tc>
        <w:tc>
          <w:tcPr>
            <w:tcW w:w="1020" w:type="dxa"/>
            <w:tcBorders>
              <w:top w:val="single" w:sz="4" w:space="0" w:color="auto"/>
              <w:left w:val="nil"/>
              <w:right w:val="nil"/>
            </w:tcBorders>
          </w:tcPr>
          <w:p w14:paraId="5B49040E"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id-ID"/>
              </w:rPr>
              <w:t>150</w:t>
            </w:r>
          </w:p>
        </w:tc>
        <w:tc>
          <w:tcPr>
            <w:tcW w:w="1020" w:type="dxa"/>
            <w:tcBorders>
              <w:top w:val="single" w:sz="4" w:space="0" w:color="auto"/>
              <w:left w:val="nil"/>
              <w:right w:val="nil"/>
            </w:tcBorders>
          </w:tcPr>
          <w:p w14:paraId="1B2D6CD9"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id-ID"/>
              </w:rPr>
              <w:t>28</w:t>
            </w:r>
          </w:p>
        </w:tc>
        <w:tc>
          <w:tcPr>
            <w:tcW w:w="1043" w:type="dxa"/>
            <w:tcBorders>
              <w:top w:val="single" w:sz="4" w:space="0" w:color="auto"/>
              <w:left w:val="nil"/>
              <w:right w:val="nil"/>
            </w:tcBorders>
          </w:tcPr>
          <w:p w14:paraId="38B5798E"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id-ID"/>
              </w:rPr>
              <w:t>150</w:t>
            </w:r>
          </w:p>
        </w:tc>
        <w:tc>
          <w:tcPr>
            <w:tcW w:w="1043" w:type="dxa"/>
            <w:tcBorders>
              <w:top w:val="single" w:sz="4" w:space="0" w:color="auto"/>
              <w:left w:val="nil"/>
              <w:right w:val="nil"/>
            </w:tcBorders>
          </w:tcPr>
          <w:p w14:paraId="25050352"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id-ID"/>
              </w:rPr>
              <w:t>28</w:t>
            </w:r>
          </w:p>
        </w:tc>
        <w:tc>
          <w:tcPr>
            <w:tcW w:w="1221" w:type="dxa"/>
            <w:tcBorders>
              <w:top w:val="single" w:sz="4" w:space="0" w:color="auto"/>
              <w:left w:val="nil"/>
              <w:right w:val="nil"/>
            </w:tcBorders>
          </w:tcPr>
          <w:p w14:paraId="4C5D263F"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id-ID"/>
              </w:rPr>
              <w:t>31</w:t>
            </w:r>
          </w:p>
        </w:tc>
        <w:tc>
          <w:tcPr>
            <w:tcW w:w="966" w:type="dxa"/>
            <w:tcBorders>
              <w:top w:val="single" w:sz="4" w:space="0" w:color="auto"/>
              <w:left w:val="nil"/>
              <w:right w:val="nil"/>
            </w:tcBorders>
          </w:tcPr>
          <w:p w14:paraId="2C912757"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id-ID"/>
              </w:rPr>
              <w:t>39</w:t>
            </w:r>
          </w:p>
        </w:tc>
        <w:tc>
          <w:tcPr>
            <w:tcW w:w="966" w:type="dxa"/>
            <w:tcBorders>
              <w:top w:val="single" w:sz="4" w:space="0" w:color="auto"/>
              <w:left w:val="nil"/>
              <w:right w:val="nil"/>
            </w:tcBorders>
          </w:tcPr>
          <w:p w14:paraId="579EF006"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id-ID"/>
              </w:rPr>
              <w:t>68</w:t>
            </w:r>
          </w:p>
        </w:tc>
        <w:tc>
          <w:tcPr>
            <w:tcW w:w="955" w:type="dxa"/>
            <w:tcBorders>
              <w:top w:val="single" w:sz="4" w:space="0" w:color="auto"/>
              <w:left w:val="nil"/>
              <w:right w:val="nil"/>
            </w:tcBorders>
          </w:tcPr>
          <w:p w14:paraId="076AF199" w14:textId="77777777" w:rsidR="00563580" w:rsidRPr="00A979BD" w:rsidRDefault="00563580" w:rsidP="00F0642B">
            <w:pPr>
              <w:tabs>
                <w:tab w:val="left" w:pos="454"/>
              </w:tabs>
              <w:jc w:val="center"/>
              <w:rPr>
                <w:rFonts w:ascii="Book Antiqua" w:hAnsi="Book Antiqua"/>
                <w:lang w:val="id-ID"/>
              </w:rPr>
            </w:pPr>
            <w:r w:rsidRPr="00A979BD">
              <w:rPr>
                <w:rFonts w:ascii="Book Antiqua" w:hAnsi="Book Antiqua"/>
                <w:lang w:val="id-ID"/>
              </w:rPr>
              <w:t>13</w:t>
            </w:r>
          </w:p>
        </w:tc>
      </w:tr>
    </w:tbl>
    <w:p w14:paraId="54806181" w14:textId="77777777" w:rsidR="00563580" w:rsidRPr="005C7B73" w:rsidRDefault="00563580" w:rsidP="00563580">
      <w:pPr>
        <w:pStyle w:val="JAPBODYTEXT"/>
        <w:rPr>
          <w:rStyle w:val="JAPBODYTEXTChar"/>
          <w:b w:val="0"/>
          <w:bCs w:val="0"/>
          <w:lang w:val="id-ID"/>
        </w:rPr>
      </w:pPr>
      <w:r w:rsidRPr="005C7B73">
        <w:rPr>
          <w:rStyle w:val="JAPBODYTEXTChar"/>
          <w:b w:val="0"/>
          <w:bCs w:val="0"/>
          <w:lang w:val="id-ID"/>
        </w:rPr>
        <w:t>Source: Primary Data, processed (2023)</w:t>
      </w:r>
    </w:p>
    <w:p w14:paraId="5C2967F4" w14:textId="77777777" w:rsidR="00563580" w:rsidRPr="005C7B73" w:rsidRDefault="00563580" w:rsidP="00563580">
      <w:pPr>
        <w:pStyle w:val="JAPBODYTEXT"/>
        <w:rPr>
          <w:rStyle w:val="JAPBODYTEXTChar"/>
          <w:b w:val="0"/>
          <w:bCs w:val="0"/>
          <w:lang w:val="id-ID"/>
        </w:rPr>
      </w:pPr>
    </w:p>
    <w:p w14:paraId="3B85F088" w14:textId="77777777" w:rsidR="00563580" w:rsidRDefault="00563580" w:rsidP="00563580">
      <w:pPr>
        <w:pStyle w:val="JAPBODYTEXT"/>
        <w:ind w:firstLine="0"/>
        <w:rPr>
          <w:rStyle w:val="JAPBODYTEXTChar"/>
          <w:b w:val="0"/>
          <w:bCs w:val="0"/>
          <w:lang w:val="id-ID"/>
        </w:rPr>
      </w:pPr>
      <w:r w:rsidRPr="005C7B73">
        <w:rPr>
          <w:rStyle w:val="JAPBODYTEXTChar"/>
          <w:b w:val="0"/>
          <w:bCs w:val="0"/>
          <w:lang w:val="id-ID"/>
        </w:rPr>
        <w:tab/>
        <w:t>Based on table 3, it can be seen that the number of respondents in this study who have NPWP is 150 out of a total of 178 respondents and the remaining 28 respondents do not have NPWP because the age of the business is less than 1 year.  The average age of young entrepreneurs in Yogyakarta City who have an age range of 30-40 years is 68 respondents, Respondents with an age range of 25-30 years are 39 respondents, while ages &lt; 25 years are 31 respondents, and ages &gt; 40 years are 13 respondents.</w:t>
      </w:r>
    </w:p>
    <w:p w14:paraId="1C6952AC" w14:textId="77777777" w:rsidR="00563580" w:rsidRDefault="00563580" w:rsidP="00563580">
      <w:pPr>
        <w:pStyle w:val="JAPBODYTEXT"/>
        <w:rPr>
          <w:rStyle w:val="JAPBODYTEXTChar"/>
          <w:b w:val="0"/>
          <w:bCs w:val="0"/>
          <w:lang w:val="id-ID"/>
        </w:rPr>
      </w:pPr>
    </w:p>
    <w:p w14:paraId="0F954BFB" w14:textId="77777777" w:rsidR="00563580" w:rsidRPr="00D6636F" w:rsidRDefault="00563580" w:rsidP="00563580">
      <w:pPr>
        <w:pStyle w:val="JAPBODYTEXT"/>
        <w:rPr>
          <w:rStyle w:val="JAPBODYTEXTChar"/>
          <w:b w:val="0"/>
          <w:bCs w:val="0"/>
          <w:lang w:val="id-ID"/>
        </w:rPr>
      </w:pPr>
      <w:r w:rsidRPr="00D6636F">
        <w:rPr>
          <w:rStyle w:val="JAPBODYTEXTChar"/>
          <w:b w:val="0"/>
          <w:bCs w:val="0"/>
          <w:lang w:val="id-ID"/>
        </w:rPr>
        <w:t>Descriptive statistics aims to describe the results of the answers filled in by respondents to the research variables. The results of descriptive tests on research variables can be seen in the following table:</w:t>
      </w:r>
    </w:p>
    <w:p w14:paraId="6D909833" w14:textId="77777777" w:rsidR="00563580" w:rsidRPr="00D6636F" w:rsidRDefault="00563580" w:rsidP="00563580">
      <w:pPr>
        <w:pStyle w:val="JAPBODYTEXT"/>
        <w:ind w:firstLine="0"/>
        <w:rPr>
          <w:rStyle w:val="JAPBODYTEXTChar"/>
          <w:b w:val="0"/>
          <w:bCs w:val="0"/>
          <w:lang w:val="id-ID"/>
        </w:rPr>
      </w:pPr>
      <w:r w:rsidRPr="00DF6B1D">
        <w:rPr>
          <w:b/>
          <w:bCs/>
        </w:rPr>
        <w:t xml:space="preserve">Table </w:t>
      </w:r>
      <w:r w:rsidRPr="00DF6B1D">
        <w:rPr>
          <w:b/>
          <w:bCs/>
        </w:rPr>
        <w:fldChar w:fldCharType="begin"/>
      </w:r>
      <w:r w:rsidRPr="00DF6B1D">
        <w:rPr>
          <w:b/>
          <w:bCs/>
        </w:rPr>
        <w:instrText xml:space="preserve"> SEQ Tabel \* ARABIC </w:instrText>
      </w:r>
      <w:r w:rsidRPr="00DF6B1D">
        <w:rPr>
          <w:b/>
          <w:bCs/>
        </w:rPr>
        <w:fldChar w:fldCharType="separate"/>
      </w:r>
      <w:r>
        <w:rPr>
          <w:b/>
          <w:bCs/>
          <w:noProof/>
        </w:rPr>
        <w:t>4</w:t>
      </w:r>
      <w:r w:rsidRPr="00DF6B1D">
        <w:rPr>
          <w:b/>
          <w:bCs/>
          <w:noProof/>
        </w:rPr>
        <w:fldChar w:fldCharType="end"/>
      </w:r>
      <w:r w:rsidRPr="00DF6B1D">
        <w:rPr>
          <w:b/>
          <w:bCs/>
          <w:noProof/>
        </w:rPr>
        <w:t xml:space="preserve"> </w:t>
      </w:r>
      <w:r w:rsidRPr="00DF6B1D">
        <w:rPr>
          <w:b/>
          <w:bCs/>
        </w:rPr>
        <w:t>Results of descriptive statistical analysis</w:t>
      </w:r>
      <w:r w:rsidRPr="00D6636F">
        <w:t>:</w:t>
      </w:r>
    </w:p>
    <w:tbl>
      <w:tblPr>
        <w:tblW w:w="9747" w:type="dxa"/>
        <w:tblBorders>
          <w:top w:val="single" w:sz="4" w:space="0" w:color="auto"/>
          <w:bottom w:val="single" w:sz="4" w:space="0" w:color="auto"/>
        </w:tblBorders>
        <w:tblLayout w:type="fixed"/>
        <w:tblLook w:val="04A0" w:firstRow="1" w:lastRow="0" w:firstColumn="1" w:lastColumn="0" w:noHBand="0" w:noVBand="1"/>
      </w:tblPr>
      <w:tblGrid>
        <w:gridCol w:w="3227"/>
        <w:gridCol w:w="709"/>
        <w:gridCol w:w="1559"/>
        <w:gridCol w:w="1559"/>
        <w:gridCol w:w="992"/>
        <w:gridCol w:w="1701"/>
      </w:tblGrid>
      <w:tr w:rsidR="00563580" w:rsidRPr="000034CC" w14:paraId="459C1E81" w14:textId="77777777" w:rsidTr="00F0642B">
        <w:tc>
          <w:tcPr>
            <w:tcW w:w="3227" w:type="dxa"/>
            <w:tcBorders>
              <w:top w:val="single" w:sz="4" w:space="0" w:color="auto"/>
              <w:bottom w:val="single" w:sz="4" w:space="0" w:color="auto"/>
            </w:tcBorders>
            <w:shd w:val="clear" w:color="auto" w:fill="auto"/>
          </w:tcPr>
          <w:p w14:paraId="5F2BC952" w14:textId="77777777" w:rsidR="00563580" w:rsidRPr="00656600" w:rsidRDefault="00563580" w:rsidP="00F0642B">
            <w:pPr>
              <w:widowControl/>
              <w:jc w:val="left"/>
              <w:rPr>
                <w:rFonts w:ascii="Book Antiqua" w:eastAsia="Calibri" w:hAnsi="Book Antiqua" w:cs="Cordia New"/>
                <w:kern w:val="2"/>
                <w:szCs w:val="20"/>
              </w:rPr>
            </w:pPr>
          </w:p>
        </w:tc>
        <w:tc>
          <w:tcPr>
            <w:tcW w:w="709" w:type="dxa"/>
            <w:tcBorders>
              <w:top w:val="single" w:sz="4" w:space="0" w:color="auto"/>
              <w:bottom w:val="single" w:sz="4" w:space="0" w:color="auto"/>
            </w:tcBorders>
            <w:shd w:val="clear" w:color="auto" w:fill="auto"/>
          </w:tcPr>
          <w:p w14:paraId="2DD7451A"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N</w:t>
            </w:r>
          </w:p>
        </w:tc>
        <w:tc>
          <w:tcPr>
            <w:tcW w:w="1559" w:type="dxa"/>
            <w:tcBorders>
              <w:top w:val="single" w:sz="4" w:space="0" w:color="auto"/>
              <w:bottom w:val="single" w:sz="4" w:space="0" w:color="auto"/>
            </w:tcBorders>
            <w:shd w:val="clear" w:color="auto" w:fill="auto"/>
          </w:tcPr>
          <w:p w14:paraId="3682C904"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Minimum</w:t>
            </w:r>
          </w:p>
        </w:tc>
        <w:tc>
          <w:tcPr>
            <w:tcW w:w="1559" w:type="dxa"/>
            <w:tcBorders>
              <w:top w:val="single" w:sz="4" w:space="0" w:color="auto"/>
              <w:bottom w:val="single" w:sz="4" w:space="0" w:color="auto"/>
            </w:tcBorders>
            <w:shd w:val="clear" w:color="auto" w:fill="auto"/>
          </w:tcPr>
          <w:p w14:paraId="52667EBC"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Maximum</w:t>
            </w:r>
          </w:p>
        </w:tc>
        <w:tc>
          <w:tcPr>
            <w:tcW w:w="992" w:type="dxa"/>
            <w:tcBorders>
              <w:top w:val="single" w:sz="4" w:space="0" w:color="auto"/>
              <w:bottom w:val="single" w:sz="4" w:space="0" w:color="auto"/>
            </w:tcBorders>
            <w:shd w:val="clear" w:color="auto" w:fill="auto"/>
          </w:tcPr>
          <w:p w14:paraId="4118DBCC"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Mean</w:t>
            </w:r>
          </w:p>
        </w:tc>
        <w:tc>
          <w:tcPr>
            <w:tcW w:w="1701" w:type="dxa"/>
            <w:tcBorders>
              <w:top w:val="single" w:sz="4" w:space="0" w:color="auto"/>
              <w:bottom w:val="single" w:sz="4" w:space="0" w:color="auto"/>
            </w:tcBorders>
            <w:shd w:val="clear" w:color="auto" w:fill="auto"/>
          </w:tcPr>
          <w:p w14:paraId="71B4F15B"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Std. Deviation</w:t>
            </w:r>
          </w:p>
        </w:tc>
      </w:tr>
      <w:tr w:rsidR="00563580" w:rsidRPr="000034CC" w14:paraId="17CB3970" w14:textId="77777777" w:rsidTr="00F0642B">
        <w:tc>
          <w:tcPr>
            <w:tcW w:w="3227" w:type="dxa"/>
            <w:tcBorders>
              <w:top w:val="single" w:sz="4" w:space="0" w:color="auto"/>
            </w:tcBorders>
            <w:shd w:val="clear" w:color="auto" w:fill="auto"/>
          </w:tcPr>
          <w:p w14:paraId="114B0AD1" w14:textId="77777777" w:rsidR="00563580" w:rsidRPr="00656600" w:rsidRDefault="00563580" w:rsidP="00F0642B">
            <w:pPr>
              <w:widowControl/>
              <w:jc w:val="left"/>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Tax Awareness</w:t>
            </w:r>
          </w:p>
        </w:tc>
        <w:tc>
          <w:tcPr>
            <w:tcW w:w="709" w:type="dxa"/>
            <w:tcBorders>
              <w:top w:val="single" w:sz="4" w:space="0" w:color="auto"/>
            </w:tcBorders>
            <w:shd w:val="clear" w:color="auto" w:fill="auto"/>
          </w:tcPr>
          <w:p w14:paraId="06EAA023"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150</w:t>
            </w:r>
          </w:p>
        </w:tc>
        <w:tc>
          <w:tcPr>
            <w:tcW w:w="1559" w:type="dxa"/>
            <w:tcBorders>
              <w:top w:val="single" w:sz="4" w:space="0" w:color="auto"/>
            </w:tcBorders>
            <w:shd w:val="clear" w:color="auto" w:fill="auto"/>
          </w:tcPr>
          <w:p w14:paraId="720E18A2"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1</w:t>
            </w:r>
          </w:p>
        </w:tc>
        <w:tc>
          <w:tcPr>
            <w:tcW w:w="1559" w:type="dxa"/>
            <w:tcBorders>
              <w:top w:val="single" w:sz="4" w:space="0" w:color="auto"/>
            </w:tcBorders>
            <w:shd w:val="clear" w:color="auto" w:fill="auto"/>
          </w:tcPr>
          <w:p w14:paraId="21D3E85A"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4</w:t>
            </w:r>
          </w:p>
        </w:tc>
        <w:tc>
          <w:tcPr>
            <w:tcW w:w="992" w:type="dxa"/>
            <w:tcBorders>
              <w:top w:val="single" w:sz="4" w:space="0" w:color="auto"/>
            </w:tcBorders>
            <w:shd w:val="clear" w:color="auto" w:fill="auto"/>
          </w:tcPr>
          <w:p w14:paraId="598594F1"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3.52</w:t>
            </w:r>
          </w:p>
        </w:tc>
        <w:tc>
          <w:tcPr>
            <w:tcW w:w="1701" w:type="dxa"/>
            <w:tcBorders>
              <w:top w:val="single" w:sz="4" w:space="0" w:color="auto"/>
            </w:tcBorders>
            <w:shd w:val="clear" w:color="auto" w:fill="auto"/>
          </w:tcPr>
          <w:p w14:paraId="74AFCFFE"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,547</w:t>
            </w:r>
          </w:p>
        </w:tc>
      </w:tr>
      <w:tr w:rsidR="00563580" w:rsidRPr="000034CC" w14:paraId="7F5278BD" w14:textId="77777777" w:rsidTr="00F0642B">
        <w:tc>
          <w:tcPr>
            <w:tcW w:w="3227" w:type="dxa"/>
            <w:shd w:val="clear" w:color="auto" w:fill="auto"/>
          </w:tcPr>
          <w:p w14:paraId="6A674265" w14:textId="77777777" w:rsidR="00563580" w:rsidRPr="00656600" w:rsidRDefault="00563580" w:rsidP="00F0642B">
            <w:pPr>
              <w:widowControl/>
              <w:jc w:val="left"/>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Taxation System</w:t>
            </w:r>
          </w:p>
        </w:tc>
        <w:tc>
          <w:tcPr>
            <w:tcW w:w="709" w:type="dxa"/>
            <w:shd w:val="clear" w:color="auto" w:fill="auto"/>
          </w:tcPr>
          <w:p w14:paraId="166B0C30"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150</w:t>
            </w:r>
          </w:p>
        </w:tc>
        <w:tc>
          <w:tcPr>
            <w:tcW w:w="1559" w:type="dxa"/>
            <w:shd w:val="clear" w:color="auto" w:fill="auto"/>
          </w:tcPr>
          <w:p w14:paraId="23BF4BB4"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1</w:t>
            </w:r>
          </w:p>
        </w:tc>
        <w:tc>
          <w:tcPr>
            <w:tcW w:w="1559" w:type="dxa"/>
            <w:shd w:val="clear" w:color="auto" w:fill="auto"/>
          </w:tcPr>
          <w:p w14:paraId="7CC8100E"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4</w:t>
            </w:r>
          </w:p>
        </w:tc>
        <w:tc>
          <w:tcPr>
            <w:tcW w:w="992" w:type="dxa"/>
            <w:shd w:val="clear" w:color="auto" w:fill="auto"/>
          </w:tcPr>
          <w:p w14:paraId="221CD6DC"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3.50</w:t>
            </w:r>
          </w:p>
        </w:tc>
        <w:tc>
          <w:tcPr>
            <w:tcW w:w="1701" w:type="dxa"/>
            <w:shd w:val="clear" w:color="auto" w:fill="auto"/>
          </w:tcPr>
          <w:p w14:paraId="476B6D72"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,524</w:t>
            </w:r>
          </w:p>
        </w:tc>
      </w:tr>
      <w:tr w:rsidR="00563580" w:rsidRPr="000034CC" w14:paraId="58D9E402" w14:textId="77777777" w:rsidTr="00F0642B">
        <w:tc>
          <w:tcPr>
            <w:tcW w:w="3227" w:type="dxa"/>
            <w:shd w:val="clear" w:color="auto" w:fill="auto"/>
          </w:tcPr>
          <w:p w14:paraId="19EEF20F" w14:textId="77777777" w:rsidR="00563580" w:rsidRPr="00656600" w:rsidRDefault="00563580" w:rsidP="00F0642B">
            <w:pPr>
              <w:widowControl/>
              <w:jc w:val="left"/>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Tax Sanctions</w:t>
            </w:r>
          </w:p>
        </w:tc>
        <w:tc>
          <w:tcPr>
            <w:tcW w:w="709" w:type="dxa"/>
            <w:shd w:val="clear" w:color="auto" w:fill="auto"/>
          </w:tcPr>
          <w:p w14:paraId="7EC8E59D"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150</w:t>
            </w:r>
          </w:p>
        </w:tc>
        <w:tc>
          <w:tcPr>
            <w:tcW w:w="1559" w:type="dxa"/>
            <w:shd w:val="clear" w:color="auto" w:fill="auto"/>
          </w:tcPr>
          <w:p w14:paraId="7C1DB2C4"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1</w:t>
            </w:r>
          </w:p>
        </w:tc>
        <w:tc>
          <w:tcPr>
            <w:tcW w:w="1559" w:type="dxa"/>
            <w:shd w:val="clear" w:color="auto" w:fill="auto"/>
          </w:tcPr>
          <w:p w14:paraId="1A5FF76D"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4</w:t>
            </w:r>
          </w:p>
        </w:tc>
        <w:tc>
          <w:tcPr>
            <w:tcW w:w="992" w:type="dxa"/>
            <w:shd w:val="clear" w:color="auto" w:fill="auto"/>
          </w:tcPr>
          <w:p w14:paraId="6EA3CB90"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3.59</w:t>
            </w:r>
          </w:p>
        </w:tc>
        <w:tc>
          <w:tcPr>
            <w:tcW w:w="1701" w:type="dxa"/>
            <w:shd w:val="clear" w:color="auto" w:fill="auto"/>
          </w:tcPr>
          <w:p w14:paraId="1CC551A5"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,512</w:t>
            </w:r>
          </w:p>
        </w:tc>
      </w:tr>
      <w:tr w:rsidR="00563580" w:rsidRPr="000034CC" w14:paraId="2CD2FD62" w14:textId="77777777" w:rsidTr="00F0642B">
        <w:tc>
          <w:tcPr>
            <w:tcW w:w="3227" w:type="dxa"/>
            <w:shd w:val="clear" w:color="auto" w:fill="auto"/>
          </w:tcPr>
          <w:p w14:paraId="3A0CFBFD" w14:textId="77777777" w:rsidR="00563580" w:rsidRPr="00656600" w:rsidRDefault="00563580" w:rsidP="00F0642B">
            <w:pPr>
              <w:widowControl/>
              <w:jc w:val="left"/>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Young Entrepreneurs' Intention to Commit Tax Fraud</w:t>
            </w:r>
          </w:p>
        </w:tc>
        <w:tc>
          <w:tcPr>
            <w:tcW w:w="709" w:type="dxa"/>
            <w:shd w:val="clear" w:color="auto" w:fill="auto"/>
          </w:tcPr>
          <w:p w14:paraId="1F2BFBE5"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150</w:t>
            </w:r>
          </w:p>
        </w:tc>
        <w:tc>
          <w:tcPr>
            <w:tcW w:w="1559" w:type="dxa"/>
            <w:shd w:val="clear" w:color="auto" w:fill="auto"/>
          </w:tcPr>
          <w:p w14:paraId="756B31A4"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1</w:t>
            </w:r>
          </w:p>
        </w:tc>
        <w:tc>
          <w:tcPr>
            <w:tcW w:w="1559" w:type="dxa"/>
            <w:shd w:val="clear" w:color="auto" w:fill="auto"/>
          </w:tcPr>
          <w:p w14:paraId="2C5C5C49"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4</w:t>
            </w:r>
          </w:p>
        </w:tc>
        <w:tc>
          <w:tcPr>
            <w:tcW w:w="992" w:type="dxa"/>
            <w:shd w:val="clear" w:color="auto" w:fill="auto"/>
          </w:tcPr>
          <w:p w14:paraId="6E4D3229"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3.58</w:t>
            </w:r>
          </w:p>
        </w:tc>
        <w:tc>
          <w:tcPr>
            <w:tcW w:w="1701" w:type="dxa"/>
            <w:shd w:val="clear" w:color="auto" w:fill="auto"/>
          </w:tcPr>
          <w:p w14:paraId="228A4057"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,517</w:t>
            </w:r>
          </w:p>
        </w:tc>
      </w:tr>
      <w:tr w:rsidR="00563580" w:rsidRPr="000034CC" w14:paraId="37171ED2" w14:textId="77777777" w:rsidTr="00F0642B">
        <w:tc>
          <w:tcPr>
            <w:tcW w:w="3227" w:type="dxa"/>
            <w:shd w:val="clear" w:color="auto" w:fill="auto"/>
          </w:tcPr>
          <w:p w14:paraId="354F5FC9" w14:textId="77777777" w:rsidR="00563580" w:rsidRPr="00656600" w:rsidRDefault="00563580" w:rsidP="00F0642B">
            <w:pPr>
              <w:widowControl/>
              <w:jc w:val="left"/>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Valid N (listwise)</w:t>
            </w:r>
          </w:p>
        </w:tc>
        <w:tc>
          <w:tcPr>
            <w:tcW w:w="709" w:type="dxa"/>
            <w:shd w:val="clear" w:color="auto" w:fill="auto"/>
          </w:tcPr>
          <w:p w14:paraId="411A6AED" w14:textId="77777777" w:rsidR="00563580" w:rsidRPr="00656600" w:rsidRDefault="00563580" w:rsidP="00F0642B">
            <w:pPr>
              <w:widowControl/>
              <w:jc w:val="center"/>
              <w:rPr>
                <w:rFonts w:ascii="Book Antiqua" w:eastAsia="Calibri" w:hAnsi="Book Antiqua" w:cs="Cordia New"/>
                <w:kern w:val="2"/>
                <w:szCs w:val="20"/>
                <w:lang w:val="id-ID"/>
              </w:rPr>
            </w:pPr>
            <w:r w:rsidRPr="00656600">
              <w:rPr>
                <w:rFonts w:ascii="Book Antiqua" w:eastAsia="Calibri" w:hAnsi="Book Antiqua" w:cs="Cordia New"/>
                <w:kern w:val="2"/>
                <w:szCs w:val="20"/>
                <w:lang w:val="id-ID"/>
              </w:rPr>
              <w:t>150</w:t>
            </w:r>
          </w:p>
        </w:tc>
        <w:tc>
          <w:tcPr>
            <w:tcW w:w="1559" w:type="dxa"/>
            <w:shd w:val="clear" w:color="auto" w:fill="auto"/>
          </w:tcPr>
          <w:p w14:paraId="2D84D5D3" w14:textId="77777777" w:rsidR="00563580" w:rsidRPr="00656600" w:rsidRDefault="00563580" w:rsidP="00F0642B">
            <w:pPr>
              <w:widowControl/>
              <w:jc w:val="center"/>
              <w:rPr>
                <w:rFonts w:ascii="Book Antiqua" w:eastAsia="Calibri" w:hAnsi="Book Antiqua" w:cs="Cordia New"/>
                <w:kern w:val="2"/>
                <w:szCs w:val="20"/>
              </w:rPr>
            </w:pPr>
          </w:p>
        </w:tc>
        <w:tc>
          <w:tcPr>
            <w:tcW w:w="1559" w:type="dxa"/>
            <w:shd w:val="clear" w:color="auto" w:fill="auto"/>
          </w:tcPr>
          <w:p w14:paraId="5C0BBD51" w14:textId="77777777" w:rsidR="00563580" w:rsidRPr="00656600" w:rsidRDefault="00563580" w:rsidP="00F0642B">
            <w:pPr>
              <w:widowControl/>
              <w:jc w:val="center"/>
              <w:rPr>
                <w:rFonts w:ascii="Book Antiqua" w:eastAsia="Calibri" w:hAnsi="Book Antiqua" w:cs="Cordia New"/>
                <w:kern w:val="2"/>
                <w:szCs w:val="20"/>
              </w:rPr>
            </w:pPr>
          </w:p>
        </w:tc>
        <w:tc>
          <w:tcPr>
            <w:tcW w:w="992" w:type="dxa"/>
            <w:shd w:val="clear" w:color="auto" w:fill="auto"/>
          </w:tcPr>
          <w:p w14:paraId="496AB912" w14:textId="77777777" w:rsidR="00563580" w:rsidRPr="00656600" w:rsidRDefault="00563580" w:rsidP="00F0642B">
            <w:pPr>
              <w:widowControl/>
              <w:jc w:val="center"/>
              <w:rPr>
                <w:rFonts w:ascii="Book Antiqua" w:eastAsia="Calibri" w:hAnsi="Book Antiqua" w:cs="Cordia New"/>
                <w:kern w:val="2"/>
                <w:szCs w:val="20"/>
              </w:rPr>
            </w:pPr>
          </w:p>
        </w:tc>
        <w:tc>
          <w:tcPr>
            <w:tcW w:w="1701" w:type="dxa"/>
            <w:shd w:val="clear" w:color="auto" w:fill="auto"/>
          </w:tcPr>
          <w:p w14:paraId="1E4ACFEB" w14:textId="77777777" w:rsidR="00563580" w:rsidRPr="00656600" w:rsidRDefault="00563580" w:rsidP="00F0642B">
            <w:pPr>
              <w:widowControl/>
              <w:jc w:val="center"/>
              <w:rPr>
                <w:rFonts w:ascii="Book Antiqua" w:eastAsia="Calibri" w:hAnsi="Book Antiqua" w:cs="Cordia New"/>
                <w:kern w:val="2"/>
                <w:szCs w:val="20"/>
              </w:rPr>
            </w:pPr>
          </w:p>
        </w:tc>
      </w:tr>
    </w:tbl>
    <w:p w14:paraId="0D063DD3" w14:textId="77777777" w:rsidR="00563580" w:rsidRPr="00D6636F" w:rsidRDefault="00563580" w:rsidP="00563580">
      <w:pPr>
        <w:pStyle w:val="Ventura-Content"/>
        <w:ind w:firstLine="0"/>
        <w:rPr>
          <w:rStyle w:val="JAPBODYTEXTChar"/>
          <w:b w:val="0"/>
          <w:bCs w:val="0"/>
          <w:lang w:val="id-ID"/>
        </w:rPr>
      </w:pPr>
      <w:r w:rsidRPr="00D6636F">
        <w:rPr>
          <w:rStyle w:val="JAPBODYTEXTChar"/>
          <w:b w:val="0"/>
          <w:bCs w:val="0"/>
          <w:lang w:val="id-ID"/>
        </w:rPr>
        <w:t>Source: SPSS output results</w:t>
      </w:r>
    </w:p>
    <w:p w14:paraId="437E91D5" w14:textId="77777777" w:rsidR="00563580" w:rsidRPr="00D6636F" w:rsidRDefault="00563580" w:rsidP="00563580">
      <w:pPr>
        <w:pStyle w:val="Ventura-Content"/>
        <w:rPr>
          <w:rStyle w:val="JAPBODYTEXTChar"/>
          <w:b w:val="0"/>
          <w:bCs w:val="0"/>
        </w:rPr>
      </w:pPr>
    </w:p>
    <w:p w14:paraId="69AD6B79" w14:textId="77777777" w:rsidR="00563580" w:rsidRPr="00D6636F" w:rsidRDefault="00563580" w:rsidP="00563580">
      <w:pPr>
        <w:pStyle w:val="Ventura-Content"/>
        <w:rPr>
          <w:rStyle w:val="JAPBODYTEXTChar"/>
          <w:b w:val="0"/>
          <w:bCs w:val="0"/>
        </w:rPr>
      </w:pPr>
      <w:r w:rsidRPr="00D6636F">
        <w:rPr>
          <w:rStyle w:val="JAPBODYTEXTChar"/>
          <w:b w:val="0"/>
          <w:bCs w:val="0"/>
        </w:rPr>
        <w:t xml:space="preserve">In table </w:t>
      </w:r>
      <w:r>
        <w:rPr>
          <w:rStyle w:val="JAPBODYTEXTChar"/>
          <w:b w:val="0"/>
          <w:bCs w:val="0"/>
        </w:rPr>
        <w:t>4</w:t>
      </w:r>
      <w:r w:rsidRPr="00D6636F">
        <w:rPr>
          <w:rStyle w:val="JAPBODYTEXTChar"/>
          <w:b w:val="0"/>
          <w:bCs w:val="0"/>
        </w:rPr>
        <w:t xml:space="preserve"> it is known that N is 150, which means the number of respondents in this study was 150 respondents. Tax awareness in this study has a minimum value of 1 and a maximum value of 4. The average value is 3.52, which means that of the 150 respondents regarding tax awareness, the average gave a rating of 3.52 from 1-4. Meanwhile, the standard deviation is 0.547, which means that the maximum increase and minimum decrease in the tax awareness variable is 0.547.</w:t>
      </w:r>
    </w:p>
    <w:p w14:paraId="3D00EBA8" w14:textId="77777777" w:rsidR="00563580" w:rsidRPr="00D6636F" w:rsidRDefault="00563580" w:rsidP="00563580">
      <w:pPr>
        <w:pStyle w:val="Ventura-Content"/>
        <w:rPr>
          <w:rStyle w:val="JAPBODYTEXTChar"/>
          <w:b w:val="0"/>
          <w:bCs w:val="0"/>
        </w:rPr>
      </w:pPr>
      <w:r w:rsidRPr="00D6636F">
        <w:rPr>
          <w:rStyle w:val="JAPBODYTEXTChar"/>
          <w:b w:val="0"/>
          <w:bCs w:val="0"/>
        </w:rPr>
        <w:t>The tax system variable in this study has a minimum value of 1 and a maximum value of 4. The average value is 3.50, which means that out of 150 respondents regarding the tax system, the average gave a rating of 3.50 from 1-4. Meanwhile, the standard deviation is 0.525, which means that the maximum increase and minimum decrease in the tax system variable is 0.525.</w:t>
      </w:r>
    </w:p>
    <w:p w14:paraId="675D58AE" w14:textId="77777777" w:rsidR="00563580" w:rsidRPr="00D6636F" w:rsidRDefault="00563580" w:rsidP="00563580">
      <w:pPr>
        <w:pStyle w:val="Ventura-Content"/>
        <w:rPr>
          <w:rStyle w:val="JAPBODYTEXTChar"/>
          <w:b w:val="0"/>
          <w:bCs w:val="0"/>
        </w:rPr>
      </w:pPr>
      <w:r w:rsidRPr="00D6636F">
        <w:rPr>
          <w:rStyle w:val="JAPBODYTEXTChar"/>
          <w:b w:val="0"/>
          <w:bCs w:val="0"/>
        </w:rPr>
        <w:t>The tax sanctions variable in this study has a minimum value of 1 and a maximum value of 4. The average value is 3.59, which means that of the 150 respondents regarding tax sanctions, the average gave an assessment of 3.59 from 1-4. Meanwhile, the standard deviation is 0.512, which means that the maximum increase and minimum decrease in the tax sanction variable is 0.512.</w:t>
      </w:r>
    </w:p>
    <w:p w14:paraId="03200473" w14:textId="77777777" w:rsidR="00563580" w:rsidRDefault="00563580" w:rsidP="00563580">
      <w:pPr>
        <w:pStyle w:val="Ventura-Content"/>
        <w:rPr>
          <w:rStyle w:val="JAPBODYTEXTChar"/>
          <w:b w:val="0"/>
          <w:bCs w:val="0"/>
        </w:rPr>
      </w:pPr>
      <w:r w:rsidRPr="00D6636F">
        <w:rPr>
          <w:rStyle w:val="JAPBODYTEXTChar"/>
          <w:b w:val="0"/>
          <w:bCs w:val="0"/>
        </w:rPr>
        <w:t>The variable entrepreneur's intention to commit tax fraud in this study has a minimum value of 1 and a maximum value of 4. The average value is 3.58, which means that from 150 respondents the entrepreneur's intention to commit tax fraud is 3.58 from 1-4. Meanwhile, the standard deviation is 0.517, which means that the maximum increase and minimum decrease in the variable of young entrepreneurs' intention to commit tax fraud is 0.517.</w:t>
      </w:r>
    </w:p>
    <w:p w14:paraId="7E575F34" w14:textId="77777777" w:rsidR="00563580" w:rsidRPr="00F304D4" w:rsidRDefault="00563580" w:rsidP="00563580">
      <w:pPr>
        <w:pStyle w:val="Ventura-Content"/>
        <w:rPr>
          <w:b/>
          <w:bCs/>
          <w:lang w:val="sv-SE"/>
        </w:rPr>
      </w:pPr>
    </w:p>
    <w:p w14:paraId="78EC4D45" w14:textId="77777777" w:rsidR="00563580" w:rsidRDefault="00563580" w:rsidP="00563580">
      <w:pPr>
        <w:pStyle w:val="JAPSub-Judul"/>
        <w:rPr>
          <w:lang w:val="id-ID"/>
        </w:rPr>
      </w:pPr>
      <w:r>
        <w:rPr>
          <w:lang w:val="id-ID"/>
        </w:rPr>
        <w:t>Classic assumption test</w:t>
      </w:r>
    </w:p>
    <w:p w14:paraId="1C5D38E5" w14:textId="77777777" w:rsidR="00563580" w:rsidRDefault="00563580" w:rsidP="00563580">
      <w:pPr>
        <w:pStyle w:val="JAPBODYTEXT"/>
        <w:rPr>
          <w:lang w:val="id-ID"/>
        </w:rPr>
      </w:pPr>
      <w:r w:rsidRPr="00081370">
        <w:t>Based on the results of the normality test using One-Sample Kolmogorov-Smirnov, the Sig value was then obtained. Amounting to 0.086. These results show a value of 0.086 &gt; 0.05, so it can be concluded that the data distribution in this study is normal. Furthermore, based on the results of the multicollinearity test, it shows that the VIF value of all independent variables has a value of &lt;10 and the tolerance value of all independent variables has a value of &gt;0.01. So it can be concluded that this research has no symptoms of multicollinearity in the regression model. Next, carrying out heteroscedasticity testing shows that the significance value of the tax awareness variable is 0.906 &gt; 0.05, tax system 0.190 &gt; 0.05, tax sanctions 0.187 &gt; 0.05. With these results it can be concluded that in this study there were no symptoms of heteroscedasticity.</w:t>
      </w:r>
    </w:p>
    <w:p w14:paraId="3F5C612A" w14:textId="77777777" w:rsidR="00563580" w:rsidRDefault="00563580" w:rsidP="00563580">
      <w:pPr>
        <w:pStyle w:val="JAPBODYTEXT"/>
        <w:rPr>
          <w:lang w:val="id-ID"/>
        </w:rPr>
      </w:pPr>
    </w:p>
    <w:p w14:paraId="56085608" w14:textId="77777777" w:rsidR="00563580" w:rsidRPr="00D23964" w:rsidRDefault="00563580" w:rsidP="00563580">
      <w:pPr>
        <w:pStyle w:val="JAPSub-Judul"/>
        <w:spacing w:line="360" w:lineRule="auto"/>
        <w:rPr>
          <w:lang w:val="id-ID"/>
        </w:rPr>
      </w:pPr>
      <w:r>
        <w:rPr>
          <w:lang w:val="id-ID"/>
        </w:rPr>
        <w:t>hypothesis testing</w:t>
      </w:r>
    </w:p>
    <w:p w14:paraId="18D95F94" w14:textId="77777777" w:rsidR="00563580" w:rsidRDefault="00563580" w:rsidP="00563580">
      <w:pPr>
        <w:pStyle w:val="JAPSub-Judul"/>
        <w:rPr>
          <w:lang w:val="id-ID"/>
        </w:rPr>
      </w:pPr>
      <w:r>
        <w:rPr>
          <w:lang w:val="id-ID"/>
        </w:rPr>
        <w:t>multiple linear regression analysis</w:t>
      </w:r>
    </w:p>
    <w:p w14:paraId="66346F1B" w14:textId="77777777" w:rsidR="00563580" w:rsidRDefault="00563580" w:rsidP="00563580">
      <w:pPr>
        <w:pStyle w:val="JAPSub-Judul"/>
        <w:rPr>
          <w:lang w:val="id-ID"/>
        </w:rPr>
      </w:pPr>
    </w:p>
    <w:p w14:paraId="04973D72" w14:textId="77777777" w:rsidR="00563580" w:rsidRDefault="00563580" w:rsidP="00563580">
      <w:pPr>
        <w:pStyle w:val="JAPBODYTEXT"/>
      </w:pPr>
      <w:r w:rsidRPr="0071462C">
        <w:t>This multiple linear regression analysis aims to determine the influence of understanding tax awareness, the tax system, and tax sanctions on the intention of young entrepreneurs to commit tax fraud. Based on testing using SPSS 23, the following results were obtained:</w:t>
      </w:r>
    </w:p>
    <w:p w14:paraId="391D01B3" w14:textId="77777777" w:rsidR="00563580" w:rsidRDefault="00563580" w:rsidP="00563580">
      <w:pPr>
        <w:pStyle w:val="JAPBODYTEXT"/>
      </w:pPr>
    </w:p>
    <w:p w14:paraId="28D70E37" w14:textId="77777777" w:rsidR="00563580" w:rsidRDefault="00563580" w:rsidP="00563580">
      <w:pPr>
        <w:pStyle w:val="Caption"/>
        <w:jc w:val="both"/>
        <w:rPr>
          <w:b w:val="0"/>
          <w:bCs/>
          <w:lang w:val="id-ID"/>
        </w:rPr>
      </w:pPr>
      <w:r>
        <w:t>Table</w:t>
      </w:r>
      <w:r>
        <w:rPr>
          <w:lang w:val="id-ID"/>
        </w:rPr>
        <w:t xml:space="preserve"> </w:t>
      </w:r>
      <w:r>
        <w:fldChar w:fldCharType="begin"/>
      </w:r>
      <w:r>
        <w:instrText xml:space="preserve"> SEQ Tabel \* ARABIC </w:instrText>
      </w:r>
      <w:r>
        <w:fldChar w:fldCharType="separate"/>
      </w:r>
      <w:r>
        <w:rPr>
          <w:noProof/>
        </w:rPr>
        <w:t>5</w:t>
      </w:r>
      <w:r>
        <w:rPr>
          <w:noProof/>
        </w:rPr>
        <w:fldChar w:fldCharType="end"/>
      </w:r>
      <w:r>
        <w:rPr>
          <w:noProof/>
          <w:lang w:val="id-ID"/>
        </w:rPr>
        <w:t xml:space="preserve"> </w:t>
      </w:r>
      <w:r>
        <w:rPr>
          <w:lang w:val="id-ID"/>
        </w:rPr>
        <w:t>Regression Analysis Results</w:t>
      </w:r>
    </w:p>
    <w:tbl>
      <w:tblPr>
        <w:tblW w:w="0" w:type="auto"/>
        <w:tblInd w:w="-5" w:type="dxa"/>
        <w:tblLook w:val="04A0" w:firstRow="1" w:lastRow="0" w:firstColumn="1" w:lastColumn="0" w:noHBand="0" w:noVBand="1"/>
      </w:tblPr>
      <w:tblGrid>
        <w:gridCol w:w="816"/>
        <w:gridCol w:w="1791"/>
        <w:gridCol w:w="1134"/>
        <w:gridCol w:w="1276"/>
        <w:gridCol w:w="1438"/>
        <w:gridCol w:w="851"/>
        <w:gridCol w:w="566"/>
      </w:tblGrid>
      <w:tr w:rsidR="00563580" w:rsidRPr="000034CC" w14:paraId="7C75F5EA" w14:textId="77777777" w:rsidTr="00F0642B">
        <w:tc>
          <w:tcPr>
            <w:tcW w:w="761" w:type="dxa"/>
            <w:vMerge w:val="restart"/>
            <w:tcBorders>
              <w:top w:val="single" w:sz="4" w:space="0" w:color="auto"/>
              <w:bottom w:val="single" w:sz="4" w:space="0" w:color="auto"/>
            </w:tcBorders>
            <w:shd w:val="clear" w:color="auto" w:fill="auto"/>
            <w:vAlign w:val="center"/>
          </w:tcPr>
          <w:p w14:paraId="5D4913D1"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Model</w:t>
            </w:r>
          </w:p>
        </w:tc>
        <w:tc>
          <w:tcPr>
            <w:tcW w:w="1791" w:type="dxa"/>
            <w:vMerge w:val="restart"/>
            <w:tcBorders>
              <w:top w:val="single" w:sz="4" w:space="0" w:color="auto"/>
              <w:bottom w:val="single" w:sz="4" w:space="0" w:color="auto"/>
            </w:tcBorders>
            <w:shd w:val="clear" w:color="auto" w:fill="auto"/>
          </w:tcPr>
          <w:p w14:paraId="578A2FD6" w14:textId="77777777" w:rsidR="00563580" w:rsidRPr="000034CC" w:rsidRDefault="00563580" w:rsidP="00F0642B">
            <w:pPr>
              <w:widowControl/>
              <w:jc w:val="center"/>
              <w:rPr>
                <w:rFonts w:ascii="Book Antiqua" w:eastAsia="Calibri" w:hAnsi="Book Antiqua" w:cs="Cordia New"/>
                <w:b/>
                <w:bCs/>
                <w:szCs w:val="18"/>
                <w:lang w:val="id-ID"/>
              </w:rPr>
            </w:pPr>
          </w:p>
        </w:tc>
        <w:tc>
          <w:tcPr>
            <w:tcW w:w="2410" w:type="dxa"/>
            <w:gridSpan w:val="2"/>
            <w:tcBorders>
              <w:top w:val="single" w:sz="4" w:space="0" w:color="auto"/>
              <w:bottom w:val="single" w:sz="4" w:space="0" w:color="auto"/>
            </w:tcBorders>
            <w:shd w:val="clear" w:color="auto" w:fill="auto"/>
          </w:tcPr>
          <w:p w14:paraId="6B5A08B2"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Unstandardized Coefficients</w:t>
            </w:r>
          </w:p>
        </w:tc>
        <w:tc>
          <w:tcPr>
            <w:tcW w:w="1417" w:type="dxa"/>
            <w:tcBorders>
              <w:top w:val="single" w:sz="4" w:space="0" w:color="auto"/>
              <w:bottom w:val="single" w:sz="4" w:space="0" w:color="auto"/>
            </w:tcBorders>
            <w:shd w:val="clear" w:color="auto" w:fill="auto"/>
          </w:tcPr>
          <w:p w14:paraId="780C7A57"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Standardized Coefficients</w:t>
            </w:r>
          </w:p>
        </w:tc>
        <w:tc>
          <w:tcPr>
            <w:tcW w:w="851" w:type="dxa"/>
            <w:vMerge w:val="restart"/>
            <w:tcBorders>
              <w:top w:val="single" w:sz="4" w:space="0" w:color="auto"/>
              <w:bottom w:val="single" w:sz="4" w:space="0" w:color="auto"/>
            </w:tcBorders>
            <w:shd w:val="clear" w:color="auto" w:fill="auto"/>
            <w:vAlign w:val="center"/>
          </w:tcPr>
          <w:p w14:paraId="11BE482E"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t</w:t>
            </w:r>
          </w:p>
        </w:tc>
        <w:tc>
          <w:tcPr>
            <w:tcW w:w="566" w:type="dxa"/>
            <w:vMerge w:val="restart"/>
            <w:tcBorders>
              <w:top w:val="single" w:sz="4" w:space="0" w:color="auto"/>
              <w:bottom w:val="single" w:sz="4" w:space="0" w:color="auto"/>
            </w:tcBorders>
            <w:shd w:val="clear" w:color="auto" w:fill="auto"/>
            <w:vAlign w:val="center"/>
          </w:tcPr>
          <w:p w14:paraId="4BE3C7D4"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Sig.</w:t>
            </w:r>
          </w:p>
        </w:tc>
      </w:tr>
      <w:tr w:rsidR="00563580" w:rsidRPr="000034CC" w14:paraId="42BA9EDA" w14:textId="77777777" w:rsidTr="00F0642B">
        <w:tc>
          <w:tcPr>
            <w:tcW w:w="761" w:type="dxa"/>
            <w:vMerge/>
            <w:tcBorders>
              <w:bottom w:val="single" w:sz="4" w:space="0" w:color="auto"/>
            </w:tcBorders>
            <w:shd w:val="clear" w:color="auto" w:fill="auto"/>
          </w:tcPr>
          <w:p w14:paraId="54681368" w14:textId="77777777" w:rsidR="00563580" w:rsidRPr="000034CC" w:rsidRDefault="00563580" w:rsidP="00F0642B">
            <w:pPr>
              <w:widowControl/>
              <w:jc w:val="center"/>
              <w:rPr>
                <w:rFonts w:ascii="Book Antiqua" w:eastAsia="Calibri" w:hAnsi="Book Antiqua" w:cs="Cordia New"/>
                <w:b/>
                <w:bCs/>
                <w:szCs w:val="18"/>
                <w:lang w:val="id-ID"/>
              </w:rPr>
            </w:pPr>
          </w:p>
        </w:tc>
        <w:tc>
          <w:tcPr>
            <w:tcW w:w="1791" w:type="dxa"/>
            <w:vMerge/>
            <w:tcBorders>
              <w:bottom w:val="single" w:sz="4" w:space="0" w:color="auto"/>
            </w:tcBorders>
            <w:shd w:val="clear" w:color="auto" w:fill="auto"/>
          </w:tcPr>
          <w:p w14:paraId="37BD714C" w14:textId="77777777" w:rsidR="00563580" w:rsidRPr="000034CC" w:rsidRDefault="00563580" w:rsidP="00F0642B">
            <w:pPr>
              <w:widowControl/>
              <w:jc w:val="center"/>
              <w:rPr>
                <w:rFonts w:ascii="Book Antiqua" w:eastAsia="Calibri" w:hAnsi="Book Antiqua" w:cs="Cordia New"/>
                <w:b/>
                <w:bCs/>
                <w:szCs w:val="18"/>
                <w:lang w:val="id-ID"/>
              </w:rPr>
            </w:pPr>
          </w:p>
        </w:tc>
        <w:tc>
          <w:tcPr>
            <w:tcW w:w="1134" w:type="dxa"/>
            <w:tcBorders>
              <w:top w:val="single" w:sz="4" w:space="0" w:color="auto"/>
              <w:bottom w:val="single" w:sz="4" w:space="0" w:color="auto"/>
            </w:tcBorders>
            <w:shd w:val="clear" w:color="auto" w:fill="auto"/>
          </w:tcPr>
          <w:p w14:paraId="79B03564"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B</w:t>
            </w:r>
          </w:p>
        </w:tc>
        <w:tc>
          <w:tcPr>
            <w:tcW w:w="1276" w:type="dxa"/>
            <w:tcBorders>
              <w:top w:val="single" w:sz="4" w:space="0" w:color="auto"/>
              <w:bottom w:val="single" w:sz="4" w:space="0" w:color="auto"/>
            </w:tcBorders>
            <w:shd w:val="clear" w:color="auto" w:fill="auto"/>
          </w:tcPr>
          <w:p w14:paraId="77FD33C9"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Std. Error</w:t>
            </w:r>
          </w:p>
        </w:tc>
        <w:tc>
          <w:tcPr>
            <w:tcW w:w="1417" w:type="dxa"/>
            <w:tcBorders>
              <w:top w:val="single" w:sz="4" w:space="0" w:color="auto"/>
              <w:bottom w:val="single" w:sz="4" w:space="0" w:color="auto"/>
            </w:tcBorders>
            <w:shd w:val="clear" w:color="auto" w:fill="auto"/>
          </w:tcPr>
          <w:p w14:paraId="47B8ACF7"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Beta</w:t>
            </w:r>
          </w:p>
        </w:tc>
        <w:tc>
          <w:tcPr>
            <w:tcW w:w="851" w:type="dxa"/>
            <w:vMerge/>
            <w:tcBorders>
              <w:top w:val="single" w:sz="4" w:space="0" w:color="auto"/>
              <w:bottom w:val="single" w:sz="4" w:space="0" w:color="auto"/>
            </w:tcBorders>
            <w:shd w:val="clear" w:color="auto" w:fill="auto"/>
          </w:tcPr>
          <w:p w14:paraId="12D05ED1" w14:textId="77777777" w:rsidR="00563580" w:rsidRPr="000034CC" w:rsidRDefault="00563580" w:rsidP="00F0642B">
            <w:pPr>
              <w:widowControl/>
              <w:jc w:val="center"/>
              <w:rPr>
                <w:rFonts w:ascii="Book Antiqua" w:eastAsia="Calibri" w:hAnsi="Book Antiqua" w:cs="Cordia New"/>
                <w:b/>
                <w:bCs/>
                <w:szCs w:val="18"/>
                <w:lang w:val="id-ID"/>
              </w:rPr>
            </w:pPr>
          </w:p>
        </w:tc>
        <w:tc>
          <w:tcPr>
            <w:tcW w:w="566" w:type="dxa"/>
            <w:vMerge/>
            <w:tcBorders>
              <w:top w:val="single" w:sz="4" w:space="0" w:color="auto"/>
              <w:bottom w:val="single" w:sz="4" w:space="0" w:color="auto"/>
            </w:tcBorders>
            <w:shd w:val="clear" w:color="auto" w:fill="auto"/>
            <w:vAlign w:val="center"/>
          </w:tcPr>
          <w:p w14:paraId="5ED23EA8" w14:textId="77777777" w:rsidR="00563580" w:rsidRPr="000034CC" w:rsidRDefault="00563580" w:rsidP="00F0642B">
            <w:pPr>
              <w:widowControl/>
              <w:jc w:val="center"/>
              <w:rPr>
                <w:rFonts w:ascii="Book Antiqua" w:eastAsia="Calibri" w:hAnsi="Book Antiqua" w:cs="Cordia New"/>
                <w:b/>
                <w:bCs/>
                <w:szCs w:val="18"/>
                <w:lang w:val="id-ID"/>
              </w:rPr>
            </w:pPr>
          </w:p>
        </w:tc>
      </w:tr>
      <w:tr w:rsidR="00563580" w:rsidRPr="000034CC" w14:paraId="1DD7F427" w14:textId="77777777" w:rsidTr="00F0642B">
        <w:tc>
          <w:tcPr>
            <w:tcW w:w="761" w:type="dxa"/>
            <w:tcBorders>
              <w:top w:val="single" w:sz="4" w:space="0" w:color="auto"/>
            </w:tcBorders>
            <w:shd w:val="clear" w:color="auto" w:fill="auto"/>
          </w:tcPr>
          <w:p w14:paraId="0C6CF9A6" w14:textId="77777777" w:rsidR="00563580" w:rsidRPr="000034CC" w:rsidRDefault="00563580" w:rsidP="00F0642B">
            <w:pPr>
              <w:widowControl/>
              <w:jc w:val="left"/>
              <w:rPr>
                <w:rFonts w:ascii="Book Antiqua" w:eastAsia="Calibri" w:hAnsi="Book Antiqua" w:cs="Cordia New"/>
                <w:szCs w:val="18"/>
                <w:lang w:val="id-ID"/>
              </w:rPr>
            </w:pPr>
            <w:r w:rsidRPr="000034CC">
              <w:rPr>
                <w:rFonts w:ascii="Book Antiqua" w:eastAsia="Calibri" w:hAnsi="Book Antiqua" w:cs="Cordia New"/>
                <w:szCs w:val="18"/>
                <w:lang w:val="id-ID"/>
              </w:rPr>
              <w:t>1</w:t>
            </w:r>
          </w:p>
        </w:tc>
        <w:tc>
          <w:tcPr>
            <w:tcW w:w="1791" w:type="dxa"/>
            <w:tcBorders>
              <w:top w:val="single" w:sz="4" w:space="0" w:color="auto"/>
            </w:tcBorders>
            <w:shd w:val="clear" w:color="auto" w:fill="auto"/>
          </w:tcPr>
          <w:p w14:paraId="4BB210B9" w14:textId="77777777" w:rsidR="00563580" w:rsidRPr="000034CC" w:rsidRDefault="00563580" w:rsidP="00F0642B">
            <w:pPr>
              <w:widowControl/>
              <w:jc w:val="left"/>
              <w:rPr>
                <w:rFonts w:ascii="Book Antiqua" w:eastAsia="Calibri" w:hAnsi="Book Antiqua" w:cs="Cordia New"/>
                <w:szCs w:val="18"/>
                <w:lang w:val="id-ID"/>
              </w:rPr>
            </w:pPr>
            <w:r w:rsidRPr="000034CC">
              <w:rPr>
                <w:rFonts w:ascii="Book Antiqua" w:eastAsia="Calibri" w:hAnsi="Book Antiqua" w:cs="Cordia New"/>
                <w:szCs w:val="18"/>
                <w:lang w:val="id-ID"/>
              </w:rPr>
              <w:t>(Constant)</w:t>
            </w:r>
          </w:p>
        </w:tc>
        <w:tc>
          <w:tcPr>
            <w:tcW w:w="1134" w:type="dxa"/>
            <w:tcBorders>
              <w:top w:val="single" w:sz="4" w:space="0" w:color="auto"/>
            </w:tcBorders>
            <w:shd w:val="clear" w:color="auto" w:fill="auto"/>
          </w:tcPr>
          <w:p w14:paraId="093864A0"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,140</w:t>
            </w:r>
          </w:p>
        </w:tc>
        <w:tc>
          <w:tcPr>
            <w:tcW w:w="1276" w:type="dxa"/>
            <w:tcBorders>
              <w:top w:val="single" w:sz="4" w:space="0" w:color="auto"/>
            </w:tcBorders>
            <w:shd w:val="clear" w:color="auto" w:fill="auto"/>
          </w:tcPr>
          <w:p w14:paraId="5378F251"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1,685</w:t>
            </w:r>
          </w:p>
        </w:tc>
        <w:tc>
          <w:tcPr>
            <w:tcW w:w="1417" w:type="dxa"/>
            <w:tcBorders>
              <w:top w:val="single" w:sz="4" w:space="0" w:color="auto"/>
            </w:tcBorders>
            <w:shd w:val="clear" w:color="auto" w:fill="auto"/>
          </w:tcPr>
          <w:p w14:paraId="61F4DCFF" w14:textId="77777777" w:rsidR="00563580" w:rsidRPr="000034CC" w:rsidRDefault="00563580" w:rsidP="00F0642B">
            <w:pPr>
              <w:widowControl/>
              <w:jc w:val="right"/>
              <w:rPr>
                <w:rFonts w:ascii="Book Antiqua" w:eastAsia="Calibri" w:hAnsi="Book Antiqua" w:cs="Cordia New"/>
                <w:szCs w:val="18"/>
                <w:lang w:val="id-ID"/>
              </w:rPr>
            </w:pPr>
          </w:p>
        </w:tc>
        <w:tc>
          <w:tcPr>
            <w:tcW w:w="851" w:type="dxa"/>
            <w:tcBorders>
              <w:top w:val="single" w:sz="4" w:space="0" w:color="auto"/>
            </w:tcBorders>
            <w:shd w:val="clear" w:color="auto" w:fill="auto"/>
          </w:tcPr>
          <w:p w14:paraId="09CF1F19"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,083</w:t>
            </w:r>
          </w:p>
        </w:tc>
        <w:tc>
          <w:tcPr>
            <w:tcW w:w="566" w:type="dxa"/>
            <w:tcBorders>
              <w:top w:val="single" w:sz="4" w:space="0" w:color="auto"/>
            </w:tcBorders>
            <w:shd w:val="clear" w:color="auto" w:fill="auto"/>
          </w:tcPr>
          <w:p w14:paraId="69E8AA3E"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,934</w:t>
            </w:r>
          </w:p>
        </w:tc>
      </w:tr>
      <w:tr w:rsidR="00563580" w:rsidRPr="000034CC" w14:paraId="7B9935E8" w14:textId="77777777" w:rsidTr="00F0642B">
        <w:tc>
          <w:tcPr>
            <w:tcW w:w="761" w:type="dxa"/>
            <w:shd w:val="clear" w:color="auto" w:fill="auto"/>
          </w:tcPr>
          <w:p w14:paraId="00BE37AA" w14:textId="77777777" w:rsidR="00563580" w:rsidRPr="000034CC" w:rsidRDefault="00563580" w:rsidP="00F0642B">
            <w:pPr>
              <w:widowControl/>
              <w:jc w:val="left"/>
              <w:rPr>
                <w:rFonts w:ascii="Book Antiqua" w:eastAsia="Calibri" w:hAnsi="Book Antiqua" w:cs="Cordia New"/>
                <w:szCs w:val="18"/>
                <w:lang w:val="id-ID"/>
              </w:rPr>
            </w:pPr>
          </w:p>
        </w:tc>
        <w:tc>
          <w:tcPr>
            <w:tcW w:w="1791" w:type="dxa"/>
            <w:shd w:val="clear" w:color="auto" w:fill="auto"/>
          </w:tcPr>
          <w:p w14:paraId="1C6A30C7" w14:textId="77777777" w:rsidR="00563580" w:rsidRPr="000034CC" w:rsidRDefault="00563580" w:rsidP="00F0642B">
            <w:pPr>
              <w:widowControl/>
              <w:jc w:val="left"/>
              <w:rPr>
                <w:rFonts w:ascii="Book Antiqua" w:eastAsia="Calibri" w:hAnsi="Book Antiqua" w:cs="Cordia New"/>
                <w:szCs w:val="18"/>
                <w:lang w:val="id-ID"/>
              </w:rPr>
            </w:pPr>
            <w:r w:rsidRPr="000034CC">
              <w:rPr>
                <w:rFonts w:ascii="Book Antiqua" w:eastAsia="Calibri" w:hAnsi="Book Antiqua" w:cs="Cordia New"/>
                <w:szCs w:val="18"/>
                <w:lang w:val="id-ID"/>
              </w:rPr>
              <w:t>Tax Awareness</w:t>
            </w:r>
          </w:p>
        </w:tc>
        <w:tc>
          <w:tcPr>
            <w:tcW w:w="1134" w:type="dxa"/>
            <w:shd w:val="clear" w:color="auto" w:fill="auto"/>
          </w:tcPr>
          <w:p w14:paraId="30DE08BA"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,346</w:t>
            </w:r>
          </w:p>
        </w:tc>
        <w:tc>
          <w:tcPr>
            <w:tcW w:w="1276" w:type="dxa"/>
            <w:shd w:val="clear" w:color="auto" w:fill="auto"/>
          </w:tcPr>
          <w:p w14:paraId="5101A305"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,054</w:t>
            </w:r>
          </w:p>
        </w:tc>
        <w:tc>
          <w:tcPr>
            <w:tcW w:w="1417" w:type="dxa"/>
            <w:shd w:val="clear" w:color="auto" w:fill="auto"/>
          </w:tcPr>
          <w:p w14:paraId="46D7D809"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,417</w:t>
            </w:r>
          </w:p>
        </w:tc>
        <w:tc>
          <w:tcPr>
            <w:tcW w:w="851" w:type="dxa"/>
            <w:shd w:val="clear" w:color="auto" w:fill="auto"/>
          </w:tcPr>
          <w:p w14:paraId="6187B1ED"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6,381</w:t>
            </w:r>
          </w:p>
        </w:tc>
        <w:tc>
          <w:tcPr>
            <w:tcW w:w="566" w:type="dxa"/>
            <w:shd w:val="clear" w:color="auto" w:fill="auto"/>
          </w:tcPr>
          <w:p w14:paraId="2DC1B714"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,000</w:t>
            </w:r>
          </w:p>
        </w:tc>
      </w:tr>
      <w:tr w:rsidR="00563580" w:rsidRPr="000034CC" w14:paraId="2EF5C13D" w14:textId="77777777" w:rsidTr="00F0642B">
        <w:tc>
          <w:tcPr>
            <w:tcW w:w="761" w:type="dxa"/>
            <w:shd w:val="clear" w:color="auto" w:fill="auto"/>
          </w:tcPr>
          <w:p w14:paraId="3FB5F599" w14:textId="77777777" w:rsidR="00563580" w:rsidRPr="000034CC" w:rsidRDefault="00563580" w:rsidP="00F0642B">
            <w:pPr>
              <w:widowControl/>
              <w:jc w:val="left"/>
              <w:rPr>
                <w:rFonts w:ascii="Book Antiqua" w:eastAsia="Calibri" w:hAnsi="Book Antiqua" w:cs="Cordia New"/>
                <w:szCs w:val="18"/>
                <w:lang w:val="id-ID"/>
              </w:rPr>
            </w:pPr>
          </w:p>
        </w:tc>
        <w:tc>
          <w:tcPr>
            <w:tcW w:w="1791" w:type="dxa"/>
            <w:shd w:val="clear" w:color="auto" w:fill="auto"/>
          </w:tcPr>
          <w:p w14:paraId="429BD336" w14:textId="77777777" w:rsidR="00563580" w:rsidRPr="000034CC" w:rsidRDefault="00563580" w:rsidP="00F0642B">
            <w:pPr>
              <w:widowControl/>
              <w:jc w:val="left"/>
              <w:rPr>
                <w:rFonts w:ascii="Book Antiqua" w:eastAsia="Calibri" w:hAnsi="Book Antiqua" w:cs="Cordia New"/>
                <w:szCs w:val="18"/>
                <w:lang w:val="id-ID"/>
              </w:rPr>
            </w:pPr>
            <w:r w:rsidRPr="000034CC">
              <w:rPr>
                <w:rFonts w:ascii="Book Antiqua" w:eastAsia="Calibri" w:hAnsi="Book Antiqua" w:cs="Cordia New"/>
                <w:szCs w:val="18"/>
                <w:lang w:val="id-ID"/>
              </w:rPr>
              <w:t>Taxation System</w:t>
            </w:r>
          </w:p>
        </w:tc>
        <w:tc>
          <w:tcPr>
            <w:tcW w:w="1134" w:type="dxa"/>
            <w:shd w:val="clear" w:color="auto" w:fill="auto"/>
          </w:tcPr>
          <w:p w14:paraId="6F029648"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,289</w:t>
            </w:r>
          </w:p>
        </w:tc>
        <w:tc>
          <w:tcPr>
            <w:tcW w:w="1276" w:type="dxa"/>
            <w:shd w:val="clear" w:color="auto" w:fill="auto"/>
          </w:tcPr>
          <w:p w14:paraId="514C35ED"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,083</w:t>
            </w:r>
          </w:p>
        </w:tc>
        <w:tc>
          <w:tcPr>
            <w:tcW w:w="1417" w:type="dxa"/>
            <w:shd w:val="clear" w:color="auto" w:fill="auto"/>
          </w:tcPr>
          <w:p w14:paraId="73BDA2FB"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,219</w:t>
            </w:r>
          </w:p>
        </w:tc>
        <w:tc>
          <w:tcPr>
            <w:tcW w:w="851" w:type="dxa"/>
            <w:shd w:val="clear" w:color="auto" w:fill="auto"/>
          </w:tcPr>
          <w:p w14:paraId="4D2267E0"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3,479</w:t>
            </w:r>
          </w:p>
        </w:tc>
        <w:tc>
          <w:tcPr>
            <w:tcW w:w="566" w:type="dxa"/>
            <w:shd w:val="clear" w:color="auto" w:fill="auto"/>
          </w:tcPr>
          <w:p w14:paraId="3BF7DD68"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,001</w:t>
            </w:r>
          </w:p>
        </w:tc>
      </w:tr>
      <w:tr w:rsidR="00563580" w:rsidRPr="000034CC" w14:paraId="24F83232" w14:textId="77777777" w:rsidTr="00F0642B">
        <w:tc>
          <w:tcPr>
            <w:tcW w:w="761" w:type="dxa"/>
            <w:tcBorders>
              <w:bottom w:val="single" w:sz="4" w:space="0" w:color="auto"/>
            </w:tcBorders>
            <w:shd w:val="clear" w:color="auto" w:fill="auto"/>
          </w:tcPr>
          <w:p w14:paraId="25030E90" w14:textId="77777777" w:rsidR="00563580" w:rsidRPr="000034CC" w:rsidRDefault="00563580" w:rsidP="00F0642B">
            <w:pPr>
              <w:widowControl/>
              <w:jc w:val="left"/>
              <w:rPr>
                <w:rFonts w:ascii="Book Antiqua" w:eastAsia="Calibri" w:hAnsi="Book Antiqua" w:cs="Cordia New"/>
                <w:szCs w:val="18"/>
                <w:lang w:val="id-ID"/>
              </w:rPr>
            </w:pPr>
          </w:p>
        </w:tc>
        <w:tc>
          <w:tcPr>
            <w:tcW w:w="1791" w:type="dxa"/>
            <w:tcBorders>
              <w:bottom w:val="single" w:sz="4" w:space="0" w:color="auto"/>
            </w:tcBorders>
            <w:shd w:val="clear" w:color="auto" w:fill="auto"/>
          </w:tcPr>
          <w:p w14:paraId="01527625" w14:textId="77777777" w:rsidR="00563580" w:rsidRPr="000034CC" w:rsidRDefault="00563580" w:rsidP="00F0642B">
            <w:pPr>
              <w:widowControl/>
              <w:jc w:val="left"/>
              <w:rPr>
                <w:rFonts w:ascii="Book Antiqua" w:eastAsia="Calibri" w:hAnsi="Book Antiqua" w:cs="Cordia New"/>
                <w:szCs w:val="18"/>
                <w:lang w:val="id-ID"/>
              </w:rPr>
            </w:pPr>
            <w:r w:rsidRPr="000034CC">
              <w:rPr>
                <w:rFonts w:ascii="Book Antiqua" w:eastAsia="Calibri" w:hAnsi="Book Antiqua" w:cs="Cordia New"/>
                <w:szCs w:val="18"/>
                <w:lang w:val="id-ID"/>
              </w:rPr>
              <w:t>Tax Sanctions</w:t>
            </w:r>
          </w:p>
        </w:tc>
        <w:tc>
          <w:tcPr>
            <w:tcW w:w="1134" w:type="dxa"/>
            <w:tcBorders>
              <w:bottom w:val="single" w:sz="4" w:space="0" w:color="auto"/>
            </w:tcBorders>
            <w:shd w:val="clear" w:color="auto" w:fill="auto"/>
          </w:tcPr>
          <w:p w14:paraId="538B1606"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,265</w:t>
            </w:r>
          </w:p>
        </w:tc>
        <w:tc>
          <w:tcPr>
            <w:tcW w:w="1276" w:type="dxa"/>
            <w:tcBorders>
              <w:bottom w:val="single" w:sz="4" w:space="0" w:color="auto"/>
            </w:tcBorders>
            <w:shd w:val="clear" w:color="auto" w:fill="auto"/>
          </w:tcPr>
          <w:p w14:paraId="19D8C0F2"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,052</w:t>
            </w:r>
          </w:p>
        </w:tc>
        <w:tc>
          <w:tcPr>
            <w:tcW w:w="1417" w:type="dxa"/>
            <w:tcBorders>
              <w:bottom w:val="single" w:sz="4" w:space="0" w:color="auto"/>
            </w:tcBorders>
            <w:shd w:val="clear" w:color="auto" w:fill="auto"/>
          </w:tcPr>
          <w:p w14:paraId="2B6EBDE9"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,315</w:t>
            </w:r>
          </w:p>
        </w:tc>
        <w:tc>
          <w:tcPr>
            <w:tcW w:w="851" w:type="dxa"/>
            <w:tcBorders>
              <w:bottom w:val="single" w:sz="4" w:space="0" w:color="auto"/>
            </w:tcBorders>
            <w:shd w:val="clear" w:color="auto" w:fill="auto"/>
          </w:tcPr>
          <w:p w14:paraId="52785DBF"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5,128</w:t>
            </w:r>
          </w:p>
        </w:tc>
        <w:tc>
          <w:tcPr>
            <w:tcW w:w="566" w:type="dxa"/>
            <w:tcBorders>
              <w:bottom w:val="single" w:sz="4" w:space="0" w:color="auto"/>
            </w:tcBorders>
            <w:shd w:val="clear" w:color="auto" w:fill="auto"/>
          </w:tcPr>
          <w:p w14:paraId="6EB15AE0"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,000</w:t>
            </w:r>
          </w:p>
        </w:tc>
      </w:tr>
    </w:tbl>
    <w:p w14:paraId="60AA7484" w14:textId="77777777" w:rsidR="00563580" w:rsidRDefault="00563580" w:rsidP="00563580">
      <w:pPr>
        <w:pStyle w:val="Caption"/>
        <w:jc w:val="both"/>
        <w:rPr>
          <w:b w:val="0"/>
          <w:bCs/>
          <w:lang w:val="id-ID"/>
        </w:rPr>
      </w:pPr>
      <w:r>
        <w:rPr>
          <w:b w:val="0"/>
          <w:bCs/>
          <w:lang w:val="id-ID"/>
        </w:rPr>
        <w:t>Source: Primary Data, processed (2023)</w:t>
      </w:r>
    </w:p>
    <w:p w14:paraId="0644C951" w14:textId="77777777" w:rsidR="00563580" w:rsidRDefault="00563580" w:rsidP="00563580">
      <w:pPr>
        <w:pStyle w:val="Caption"/>
        <w:jc w:val="both"/>
        <w:rPr>
          <w:b w:val="0"/>
          <w:bCs/>
          <w:lang w:val="id-ID"/>
        </w:rPr>
      </w:pPr>
    </w:p>
    <w:p w14:paraId="17EBE858" w14:textId="77777777" w:rsidR="00563580" w:rsidRDefault="00563580" w:rsidP="00563580">
      <w:pPr>
        <w:pStyle w:val="JAPSub-Judul"/>
        <w:rPr>
          <w:rFonts w:cs="Tahoma"/>
          <w:b w:val="0"/>
          <w:bCs/>
          <w:caps w:val="0"/>
          <w:szCs w:val="24"/>
          <w:lang w:val="id-ID" w:eastAsia="ar-SA"/>
        </w:rPr>
      </w:pPr>
      <w:r w:rsidRPr="006A147B">
        <w:rPr>
          <w:rFonts w:cs="Tahoma"/>
          <w:b w:val="0"/>
          <w:bCs/>
          <w:caps w:val="0"/>
          <w:szCs w:val="24"/>
          <w:lang w:val="id-ID" w:eastAsia="ar-SA"/>
        </w:rPr>
        <w:t xml:space="preserve">The results from table </w:t>
      </w:r>
      <w:r>
        <w:rPr>
          <w:rFonts w:cs="Tahoma"/>
          <w:b w:val="0"/>
          <w:bCs/>
          <w:caps w:val="0"/>
          <w:szCs w:val="24"/>
          <w:lang w:val="id-ID" w:eastAsia="ar-SA"/>
        </w:rPr>
        <w:t>5</w:t>
      </w:r>
      <w:r w:rsidRPr="006A147B">
        <w:rPr>
          <w:rFonts w:cs="Tahoma"/>
          <w:b w:val="0"/>
          <w:bCs/>
          <w:caps w:val="0"/>
          <w:szCs w:val="24"/>
          <w:lang w:val="id-ID" w:eastAsia="ar-SA"/>
        </w:rPr>
        <w:t xml:space="preserve"> above show the results of multiple linear regression testing from which a regression equation can be created, namely as follows:</w:t>
      </w:r>
    </w:p>
    <w:p w14:paraId="503D291F" w14:textId="77777777" w:rsidR="00563580" w:rsidRDefault="00563580" w:rsidP="00563580">
      <w:pPr>
        <w:pStyle w:val="JAPSub-Judul"/>
        <w:jc w:val="center"/>
        <w:rPr>
          <w:rFonts w:cs="Tahoma"/>
          <w:b w:val="0"/>
          <w:bCs/>
          <w:caps w:val="0"/>
          <w:szCs w:val="24"/>
          <w:lang w:val="id-ID" w:eastAsia="ar-SA"/>
        </w:rPr>
      </w:pPr>
      <w:r>
        <w:rPr>
          <w:rFonts w:cs="Tahoma"/>
          <w:b w:val="0"/>
          <w:bCs/>
          <w:caps w:val="0"/>
          <w:szCs w:val="24"/>
          <w:lang w:val="id-ID" w:eastAsia="ar-SA"/>
        </w:rPr>
        <w:t>Y =  + β</w:t>
      </w:r>
      <w:r>
        <w:rPr>
          <w:rFonts w:cs="Tahoma"/>
          <w:b w:val="0"/>
          <w:bCs/>
          <w:caps w:val="0"/>
          <w:szCs w:val="24"/>
          <w:vertAlign w:val="subscript"/>
          <w:lang w:val="id-ID" w:eastAsia="ar-SA"/>
        </w:rPr>
        <w:t>1</w:t>
      </w:r>
      <w:r>
        <w:rPr>
          <w:rFonts w:cs="Tahoma"/>
          <w:b w:val="0"/>
          <w:bCs/>
          <w:caps w:val="0"/>
          <w:szCs w:val="24"/>
          <w:lang w:val="id-ID" w:eastAsia="ar-SA"/>
        </w:rPr>
        <w:t xml:space="preserve"> X</w:t>
      </w:r>
      <w:r>
        <w:rPr>
          <w:rFonts w:cs="Tahoma"/>
          <w:b w:val="0"/>
          <w:bCs/>
          <w:caps w:val="0"/>
          <w:szCs w:val="24"/>
          <w:vertAlign w:val="subscript"/>
          <w:lang w:val="id-ID" w:eastAsia="ar-SA"/>
        </w:rPr>
        <w:t>1</w:t>
      </w:r>
      <w:r>
        <w:rPr>
          <w:rFonts w:cs="Tahoma"/>
          <w:b w:val="0"/>
          <w:bCs/>
          <w:caps w:val="0"/>
          <w:szCs w:val="24"/>
          <w:lang w:val="id-ID" w:eastAsia="ar-SA"/>
        </w:rPr>
        <w:t xml:space="preserve"> + β</w:t>
      </w:r>
      <w:r>
        <w:rPr>
          <w:rFonts w:cs="Tahoma"/>
          <w:b w:val="0"/>
          <w:bCs/>
          <w:caps w:val="0"/>
          <w:szCs w:val="24"/>
          <w:vertAlign w:val="subscript"/>
          <w:lang w:val="id-ID" w:eastAsia="ar-SA"/>
        </w:rPr>
        <w:t>2</w:t>
      </w:r>
      <w:r>
        <w:rPr>
          <w:rFonts w:cs="Tahoma"/>
          <w:b w:val="0"/>
          <w:bCs/>
          <w:caps w:val="0"/>
          <w:szCs w:val="24"/>
          <w:lang w:val="id-ID" w:eastAsia="ar-SA"/>
        </w:rPr>
        <w:t xml:space="preserve"> X</w:t>
      </w:r>
      <w:r>
        <w:rPr>
          <w:rFonts w:cs="Tahoma"/>
          <w:b w:val="0"/>
          <w:bCs/>
          <w:caps w:val="0"/>
          <w:szCs w:val="24"/>
          <w:vertAlign w:val="subscript"/>
          <w:lang w:val="id-ID" w:eastAsia="ar-SA"/>
        </w:rPr>
        <w:t>2</w:t>
      </w:r>
      <w:r>
        <w:rPr>
          <w:rFonts w:cs="Tahoma"/>
          <w:b w:val="0"/>
          <w:bCs/>
          <w:caps w:val="0"/>
          <w:szCs w:val="24"/>
          <w:lang w:val="id-ID" w:eastAsia="ar-SA"/>
        </w:rPr>
        <w:t xml:space="preserve"> + β</w:t>
      </w:r>
      <w:r>
        <w:rPr>
          <w:rFonts w:cs="Tahoma"/>
          <w:b w:val="0"/>
          <w:bCs/>
          <w:caps w:val="0"/>
          <w:szCs w:val="24"/>
          <w:vertAlign w:val="subscript"/>
          <w:lang w:val="id-ID" w:eastAsia="ar-SA"/>
        </w:rPr>
        <w:t>3</w:t>
      </w:r>
      <w:r>
        <w:rPr>
          <w:rFonts w:cs="Tahoma"/>
          <w:b w:val="0"/>
          <w:bCs/>
          <w:caps w:val="0"/>
          <w:szCs w:val="24"/>
          <w:lang w:val="id-ID" w:eastAsia="ar-SA"/>
        </w:rPr>
        <w:t xml:space="preserve"> X</w:t>
      </w:r>
      <w:r>
        <w:rPr>
          <w:rFonts w:cs="Tahoma"/>
          <w:b w:val="0"/>
          <w:bCs/>
          <w:caps w:val="0"/>
          <w:szCs w:val="24"/>
          <w:vertAlign w:val="subscript"/>
          <w:lang w:val="id-ID" w:eastAsia="ar-SA"/>
        </w:rPr>
        <w:t>3</w:t>
      </w:r>
      <w:r>
        <w:rPr>
          <w:rFonts w:cs="Tahoma"/>
          <w:b w:val="0"/>
          <w:bCs/>
          <w:caps w:val="0"/>
          <w:szCs w:val="24"/>
          <w:lang w:val="id-ID" w:eastAsia="ar-SA"/>
        </w:rPr>
        <w:t xml:space="preserve"> + e</w:t>
      </w:r>
    </w:p>
    <w:p w14:paraId="555F6A18" w14:textId="77777777" w:rsidR="00563580" w:rsidRDefault="00563580" w:rsidP="00563580">
      <w:pPr>
        <w:pStyle w:val="JAPSub-Judul"/>
        <w:jc w:val="center"/>
        <w:rPr>
          <w:rFonts w:cs="Tahoma"/>
          <w:b w:val="0"/>
          <w:bCs/>
          <w:caps w:val="0"/>
          <w:szCs w:val="24"/>
          <w:lang w:val="id-ID" w:eastAsia="ar-SA"/>
        </w:rPr>
      </w:pPr>
      <w:r>
        <w:rPr>
          <w:rFonts w:cs="Tahoma"/>
          <w:b w:val="0"/>
          <w:bCs/>
          <w:caps w:val="0"/>
          <w:szCs w:val="24"/>
          <w:lang w:val="id-ID" w:eastAsia="ar-SA"/>
        </w:rPr>
        <w:t>Y = 0.140 + 0.346 KP + 0.289 SP + 0.265 SP + e</w:t>
      </w:r>
    </w:p>
    <w:p w14:paraId="487600C5" w14:textId="77777777" w:rsidR="00563580" w:rsidRPr="002966D1" w:rsidRDefault="00563580" w:rsidP="00563580">
      <w:pPr>
        <w:pStyle w:val="JAPSub-Judul"/>
        <w:rPr>
          <w:rFonts w:cs="Tahoma"/>
          <w:b w:val="0"/>
          <w:bCs/>
          <w:caps w:val="0"/>
          <w:szCs w:val="24"/>
          <w:lang w:val="id-ID" w:eastAsia="ar-SA"/>
        </w:rPr>
      </w:pPr>
      <w:r w:rsidRPr="002966D1">
        <w:rPr>
          <w:rFonts w:cs="Tahoma"/>
          <w:b w:val="0"/>
          <w:bCs/>
          <w:caps w:val="0"/>
          <w:szCs w:val="24"/>
          <w:lang w:val="id-ID" w:eastAsia="ar-SA"/>
        </w:rPr>
        <w:t>Analysis based on multiple regression equations allows us to conclude that:</w:t>
      </w:r>
    </w:p>
    <w:p w14:paraId="72086E8A" w14:textId="77777777" w:rsidR="00563580" w:rsidRPr="00C97198" w:rsidRDefault="00563580" w:rsidP="00563580">
      <w:pPr>
        <w:pStyle w:val="JAPSub-Judul"/>
        <w:rPr>
          <w:rFonts w:cs="Tahoma"/>
          <w:b w:val="0"/>
          <w:bCs/>
          <w:caps w:val="0"/>
          <w:szCs w:val="24"/>
          <w:lang w:val="id-ID" w:eastAsia="ar-SA"/>
        </w:rPr>
      </w:pPr>
      <w:r w:rsidRPr="002966D1">
        <w:rPr>
          <w:rFonts w:cs="Tahoma"/>
          <w:b w:val="0"/>
          <w:bCs/>
          <w:caps w:val="0"/>
          <w:szCs w:val="24"/>
          <w:lang w:val="id-ID" w:eastAsia="ar-SA"/>
        </w:rPr>
        <w:t>A constant value of 0.140 means that if the constant or condition when the variable is the intention of young entrepreneurs to commit tax fraud in the city of Yogyakarta is 0.140 when tax awareness, the tax system, and tax sanctions have not been included. The regression coefficient for the tax awareness variable is 0.346, meaning that the tax awareness variable has a positive influence on the dependent variable, which means that every unit increase in the tax awareness variable will affect the dependent variable by 0.346, assuming that other variables are not examined in this research. The regression coefficient for the taxation system variable is 0.289, meaning that the tax awareness variable has a positive influence on the dependent variable, which means that every unit increase in the taxation system variable will affect the dependent variable by 0.289, assuming that other variables are not examined in this research. The regression coefficient for the tax sanctions variable is 0.265, meaning that the tax sanctions variable has a positive influence on the dependent variable, which means that every unit increase in the tax sanctions variable will affect the dependent variable by 0.265, assuming that other variables are not examined in this research.</w:t>
      </w:r>
    </w:p>
    <w:p w14:paraId="48859054" w14:textId="77777777" w:rsidR="00563580" w:rsidRDefault="00563580" w:rsidP="00563580">
      <w:pPr>
        <w:pStyle w:val="JAPSub-Judul"/>
        <w:rPr>
          <w:lang w:val="id-ID"/>
        </w:rPr>
      </w:pPr>
      <w:r>
        <w:rPr>
          <w:lang w:val="id-ID"/>
        </w:rPr>
        <w:t>coefficient of determination test (R2)</w:t>
      </w:r>
    </w:p>
    <w:p w14:paraId="46FECB72" w14:textId="77777777" w:rsidR="00563580" w:rsidRDefault="00563580" w:rsidP="00563580">
      <w:pPr>
        <w:pStyle w:val="JAPSub-Judul"/>
        <w:rPr>
          <w:lang w:val="id-ID"/>
        </w:rPr>
      </w:pPr>
    </w:p>
    <w:p w14:paraId="37CFA197" w14:textId="77777777" w:rsidR="00563580" w:rsidRDefault="00563580" w:rsidP="00563580">
      <w:pPr>
        <w:pStyle w:val="Caption"/>
        <w:jc w:val="both"/>
        <w:rPr>
          <w:b w:val="0"/>
          <w:bCs/>
          <w:lang w:val="id-ID"/>
        </w:rPr>
      </w:pPr>
      <w:r>
        <w:t>Table</w:t>
      </w:r>
      <w:r>
        <w:rPr>
          <w:lang w:val="id-ID"/>
        </w:rPr>
        <w:t xml:space="preserve"> </w:t>
      </w:r>
      <w:r>
        <w:fldChar w:fldCharType="begin"/>
      </w:r>
      <w:r>
        <w:instrText xml:space="preserve"> SEQ Tabel \* ARABIC </w:instrText>
      </w:r>
      <w:r>
        <w:fldChar w:fldCharType="separate"/>
      </w:r>
      <w:r>
        <w:rPr>
          <w:noProof/>
        </w:rPr>
        <w:t>6</w:t>
      </w:r>
      <w:r>
        <w:rPr>
          <w:noProof/>
        </w:rPr>
        <w:fldChar w:fldCharType="end"/>
      </w:r>
      <w:r>
        <w:rPr>
          <w:noProof/>
          <w:lang w:val="id-ID"/>
        </w:rPr>
        <w:t xml:space="preserve"> </w:t>
      </w:r>
      <w:r>
        <w:rPr>
          <w:lang w:val="id-ID"/>
        </w:rPr>
        <w:t>Determination Test Results</w:t>
      </w:r>
    </w:p>
    <w:tbl>
      <w:tblPr>
        <w:tblW w:w="9747" w:type="dxa"/>
        <w:tblBorders>
          <w:top w:val="single" w:sz="4" w:space="0" w:color="auto"/>
          <w:bottom w:val="single" w:sz="4" w:space="0" w:color="auto"/>
        </w:tblBorders>
        <w:tblLook w:val="04A0" w:firstRow="1" w:lastRow="0" w:firstColumn="1" w:lastColumn="0" w:noHBand="0" w:noVBand="1"/>
      </w:tblPr>
      <w:tblGrid>
        <w:gridCol w:w="2660"/>
        <w:gridCol w:w="1134"/>
        <w:gridCol w:w="1417"/>
        <w:gridCol w:w="1843"/>
        <w:gridCol w:w="2693"/>
      </w:tblGrid>
      <w:tr w:rsidR="00563580" w:rsidRPr="000034CC" w14:paraId="5E086C61" w14:textId="77777777" w:rsidTr="00F0642B">
        <w:tc>
          <w:tcPr>
            <w:tcW w:w="2660" w:type="dxa"/>
            <w:tcBorders>
              <w:top w:val="single" w:sz="4" w:space="0" w:color="auto"/>
              <w:bottom w:val="single" w:sz="4" w:space="0" w:color="auto"/>
            </w:tcBorders>
            <w:shd w:val="clear" w:color="auto" w:fill="auto"/>
          </w:tcPr>
          <w:p w14:paraId="3376FB24" w14:textId="77777777" w:rsidR="00563580" w:rsidRPr="000034CC" w:rsidRDefault="00563580" w:rsidP="00F0642B">
            <w:pPr>
              <w:rPr>
                <w:rFonts w:ascii="Book Antiqua" w:hAnsi="Book Antiqua"/>
                <w:b/>
                <w:bCs/>
                <w:szCs w:val="20"/>
                <w:lang w:val="id-ID"/>
              </w:rPr>
            </w:pPr>
            <w:r w:rsidRPr="000034CC">
              <w:rPr>
                <w:rFonts w:ascii="Book Antiqua" w:hAnsi="Book Antiqua"/>
                <w:b/>
                <w:bCs/>
                <w:szCs w:val="20"/>
                <w:lang w:val="id-ID"/>
              </w:rPr>
              <w:t>Model</w:t>
            </w:r>
          </w:p>
        </w:tc>
        <w:tc>
          <w:tcPr>
            <w:tcW w:w="1134" w:type="dxa"/>
            <w:tcBorders>
              <w:top w:val="single" w:sz="4" w:space="0" w:color="auto"/>
              <w:bottom w:val="single" w:sz="4" w:space="0" w:color="auto"/>
            </w:tcBorders>
            <w:shd w:val="clear" w:color="auto" w:fill="auto"/>
          </w:tcPr>
          <w:p w14:paraId="768D7362" w14:textId="77777777" w:rsidR="00563580" w:rsidRPr="000034CC" w:rsidRDefault="00563580" w:rsidP="00F0642B">
            <w:pPr>
              <w:jc w:val="center"/>
              <w:rPr>
                <w:rFonts w:ascii="Book Antiqua" w:hAnsi="Book Antiqua"/>
                <w:b/>
                <w:bCs/>
                <w:szCs w:val="20"/>
                <w:lang w:val="id-ID"/>
              </w:rPr>
            </w:pPr>
            <w:r w:rsidRPr="000034CC">
              <w:rPr>
                <w:rFonts w:ascii="Book Antiqua" w:hAnsi="Book Antiqua"/>
                <w:b/>
                <w:bCs/>
                <w:szCs w:val="20"/>
                <w:lang w:val="id-ID"/>
              </w:rPr>
              <w:t>R</w:t>
            </w:r>
          </w:p>
        </w:tc>
        <w:tc>
          <w:tcPr>
            <w:tcW w:w="1417" w:type="dxa"/>
            <w:tcBorders>
              <w:top w:val="single" w:sz="4" w:space="0" w:color="auto"/>
              <w:bottom w:val="single" w:sz="4" w:space="0" w:color="auto"/>
            </w:tcBorders>
            <w:shd w:val="clear" w:color="auto" w:fill="auto"/>
          </w:tcPr>
          <w:p w14:paraId="2B90789B" w14:textId="77777777" w:rsidR="00563580" w:rsidRPr="000034CC" w:rsidRDefault="00563580" w:rsidP="00F0642B">
            <w:pPr>
              <w:jc w:val="center"/>
              <w:rPr>
                <w:rFonts w:ascii="Book Antiqua" w:hAnsi="Book Antiqua"/>
                <w:b/>
                <w:bCs/>
                <w:szCs w:val="20"/>
                <w:lang w:val="id-ID"/>
              </w:rPr>
            </w:pPr>
            <w:r w:rsidRPr="000034CC">
              <w:rPr>
                <w:rFonts w:ascii="Book Antiqua" w:hAnsi="Book Antiqua"/>
                <w:b/>
                <w:bCs/>
                <w:szCs w:val="20"/>
                <w:lang w:val="id-ID"/>
              </w:rPr>
              <w:t>R Square</w:t>
            </w:r>
          </w:p>
        </w:tc>
        <w:tc>
          <w:tcPr>
            <w:tcW w:w="1843" w:type="dxa"/>
            <w:tcBorders>
              <w:top w:val="single" w:sz="4" w:space="0" w:color="auto"/>
              <w:bottom w:val="single" w:sz="4" w:space="0" w:color="auto"/>
            </w:tcBorders>
            <w:shd w:val="clear" w:color="auto" w:fill="auto"/>
          </w:tcPr>
          <w:p w14:paraId="606F8B7A" w14:textId="77777777" w:rsidR="00563580" w:rsidRPr="000034CC" w:rsidRDefault="00563580" w:rsidP="00F0642B">
            <w:pPr>
              <w:jc w:val="center"/>
              <w:rPr>
                <w:rFonts w:ascii="Book Antiqua" w:hAnsi="Book Antiqua"/>
                <w:b/>
                <w:bCs/>
                <w:szCs w:val="20"/>
                <w:lang w:val="id-ID"/>
              </w:rPr>
            </w:pPr>
            <w:r w:rsidRPr="000034CC">
              <w:rPr>
                <w:rFonts w:ascii="Book Antiqua" w:hAnsi="Book Antiqua"/>
                <w:b/>
                <w:bCs/>
                <w:szCs w:val="20"/>
                <w:lang w:val="id-ID"/>
              </w:rPr>
              <w:t>Adjusted R Square</w:t>
            </w:r>
          </w:p>
        </w:tc>
        <w:tc>
          <w:tcPr>
            <w:tcW w:w="2693" w:type="dxa"/>
            <w:tcBorders>
              <w:top w:val="single" w:sz="4" w:space="0" w:color="auto"/>
              <w:bottom w:val="single" w:sz="4" w:space="0" w:color="auto"/>
            </w:tcBorders>
            <w:shd w:val="clear" w:color="auto" w:fill="auto"/>
          </w:tcPr>
          <w:p w14:paraId="3246B7DD" w14:textId="77777777" w:rsidR="00563580" w:rsidRPr="000034CC" w:rsidRDefault="00563580" w:rsidP="00F0642B">
            <w:pPr>
              <w:jc w:val="center"/>
              <w:rPr>
                <w:rFonts w:ascii="Book Antiqua" w:hAnsi="Book Antiqua"/>
                <w:b/>
                <w:bCs/>
                <w:szCs w:val="20"/>
                <w:lang w:val="id-ID"/>
              </w:rPr>
            </w:pPr>
            <w:r w:rsidRPr="000034CC">
              <w:rPr>
                <w:rFonts w:ascii="Book Antiqua" w:hAnsi="Book Antiqua"/>
                <w:b/>
                <w:bCs/>
                <w:szCs w:val="20"/>
                <w:lang w:val="id-ID"/>
              </w:rPr>
              <w:t>Sed. Error of the Estimate</w:t>
            </w:r>
          </w:p>
        </w:tc>
      </w:tr>
      <w:tr w:rsidR="00563580" w:rsidRPr="000034CC" w14:paraId="4284C402" w14:textId="77777777" w:rsidTr="00F0642B">
        <w:tc>
          <w:tcPr>
            <w:tcW w:w="2660" w:type="dxa"/>
            <w:tcBorders>
              <w:top w:val="single" w:sz="4" w:space="0" w:color="auto"/>
            </w:tcBorders>
            <w:shd w:val="clear" w:color="auto" w:fill="auto"/>
          </w:tcPr>
          <w:p w14:paraId="0432AFF1" w14:textId="77777777" w:rsidR="00563580" w:rsidRPr="000034CC" w:rsidRDefault="00563580" w:rsidP="00F0642B">
            <w:pPr>
              <w:rPr>
                <w:rFonts w:ascii="Book Antiqua" w:hAnsi="Book Antiqua"/>
                <w:szCs w:val="20"/>
                <w:lang w:val="id-ID"/>
              </w:rPr>
            </w:pPr>
            <w:r w:rsidRPr="000034CC">
              <w:rPr>
                <w:rFonts w:ascii="Book Antiqua" w:hAnsi="Book Antiqua"/>
                <w:szCs w:val="20"/>
                <w:lang w:val="id-ID"/>
              </w:rPr>
              <w:t>1</w:t>
            </w:r>
          </w:p>
        </w:tc>
        <w:tc>
          <w:tcPr>
            <w:tcW w:w="1134" w:type="dxa"/>
            <w:tcBorders>
              <w:top w:val="single" w:sz="4" w:space="0" w:color="auto"/>
            </w:tcBorders>
            <w:shd w:val="clear" w:color="auto" w:fill="auto"/>
          </w:tcPr>
          <w:p w14:paraId="279456D7" w14:textId="77777777" w:rsidR="00563580" w:rsidRPr="000034CC" w:rsidRDefault="00563580" w:rsidP="00F0642B">
            <w:pPr>
              <w:jc w:val="right"/>
              <w:rPr>
                <w:rFonts w:ascii="Book Antiqua" w:hAnsi="Book Antiqua"/>
                <w:szCs w:val="20"/>
                <w:lang w:val="id-ID"/>
              </w:rPr>
            </w:pPr>
            <w:r w:rsidRPr="000034CC">
              <w:rPr>
                <w:rFonts w:ascii="Book Antiqua" w:hAnsi="Book Antiqua"/>
                <w:szCs w:val="20"/>
                <w:lang w:val="id-ID"/>
              </w:rPr>
              <w:t>,784a</w:t>
            </w:r>
          </w:p>
        </w:tc>
        <w:tc>
          <w:tcPr>
            <w:tcW w:w="1417" w:type="dxa"/>
            <w:tcBorders>
              <w:top w:val="single" w:sz="4" w:space="0" w:color="auto"/>
            </w:tcBorders>
            <w:shd w:val="clear" w:color="auto" w:fill="auto"/>
          </w:tcPr>
          <w:p w14:paraId="00D448FB" w14:textId="77777777" w:rsidR="00563580" w:rsidRPr="000034CC" w:rsidRDefault="00563580" w:rsidP="00F0642B">
            <w:pPr>
              <w:jc w:val="right"/>
              <w:rPr>
                <w:rFonts w:ascii="Book Antiqua" w:hAnsi="Book Antiqua"/>
                <w:szCs w:val="20"/>
                <w:lang w:val="id-ID"/>
              </w:rPr>
            </w:pPr>
            <w:r w:rsidRPr="000034CC">
              <w:rPr>
                <w:rFonts w:ascii="Book Antiqua" w:hAnsi="Book Antiqua"/>
                <w:szCs w:val="20"/>
                <w:lang w:val="id-ID"/>
              </w:rPr>
              <w:t>,615</w:t>
            </w:r>
          </w:p>
        </w:tc>
        <w:tc>
          <w:tcPr>
            <w:tcW w:w="1843" w:type="dxa"/>
            <w:tcBorders>
              <w:top w:val="single" w:sz="4" w:space="0" w:color="auto"/>
            </w:tcBorders>
            <w:shd w:val="clear" w:color="auto" w:fill="auto"/>
          </w:tcPr>
          <w:p w14:paraId="6B00749C" w14:textId="77777777" w:rsidR="00563580" w:rsidRPr="000034CC" w:rsidRDefault="00563580" w:rsidP="00F0642B">
            <w:pPr>
              <w:jc w:val="right"/>
              <w:rPr>
                <w:rFonts w:ascii="Book Antiqua" w:hAnsi="Book Antiqua"/>
                <w:szCs w:val="20"/>
                <w:lang w:val="id-ID"/>
              </w:rPr>
            </w:pPr>
            <w:r w:rsidRPr="000034CC">
              <w:rPr>
                <w:rFonts w:ascii="Book Antiqua" w:hAnsi="Book Antiqua"/>
                <w:szCs w:val="20"/>
                <w:lang w:val="id-ID"/>
              </w:rPr>
              <w:t>,607</w:t>
            </w:r>
          </w:p>
        </w:tc>
        <w:tc>
          <w:tcPr>
            <w:tcW w:w="2693" w:type="dxa"/>
            <w:tcBorders>
              <w:top w:val="single" w:sz="4" w:space="0" w:color="auto"/>
            </w:tcBorders>
            <w:shd w:val="clear" w:color="auto" w:fill="auto"/>
          </w:tcPr>
          <w:p w14:paraId="0B86840E" w14:textId="77777777" w:rsidR="00563580" w:rsidRPr="000034CC" w:rsidRDefault="00563580" w:rsidP="00F0642B">
            <w:pPr>
              <w:jc w:val="right"/>
              <w:rPr>
                <w:rFonts w:ascii="Book Antiqua" w:hAnsi="Book Antiqua"/>
                <w:szCs w:val="20"/>
                <w:lang w:val="id-ID"/>
              </w:rPr>
            </w:pPr>
            <w:r w:rsidRPr="000034CC">
              <w:rPr>
                <w:rFonts w:ascii="Book Antiqua" w:hAnsi="Book Antiqua"/>
                <w:szCs w:val="20"/>
                <w:lang w:val="id-ID"/>
              </w:rPr>
              <w:t>1.57786</w:t>
            </w:r>
          </w:p>
        </w:tc>
      </w:tr>
    </w:tbl>
    <w:p w14:paraId="7A606008" w14:textId="77777777" w:rsidR="00563580" w:rsidRDefault="00563580" w:rsidP="00563580">
      <w:pPr>
        <w:pStyle w:val="Caption"/>
        <w:jc w:val="both"/>
        <w:rPr>
          <w:b w:val="0"/>
          <w:lang w:val="id-ID"/>
        </w:rPr>
      </w:pPr>
      <w:r>
        <w:rPr>
          <w:b w:val="0"/>
          <w:lang w:val="id-ID"/>
        </w:rPr>
        <w:t>Source: Primary Data, processed (2023)</w:t>
      </w:r>
    </w:p>
    <w:p w14:paraId="5E5114E8" w14:textId="77777777" w:rsidR="00563580" w:rsidRDefault="00563580" w:rsidP="00563580">
      <w:pPr>
        <w:pStyle w:val="Caption"/>
        <w:jc w:val="both"/>
        <w:rPr>
          <w:b w:val="0"/>
          <w:lang w:val="id-ID"/>
        </w:rPr>
      </w:pPr>
    </w:p>
    <w:p w14:paraId="679BE7D0" w14:textId="77777777" w:rsidR="00563580" w:rsidRDefault="00563580" w:rsidP="00563580">
      <w:pPr>
        <w:pStyle w:val="Caption"/>
        <w:jc w:val="both"/>
        <w:rPr>
          <w:b w:val="0"/>
          <w:lang w:val="id-ID"/>
        </w:rPr>
      </w:pPr>
      <w:r w:rsidRPr="00D23964">
        <w:rPr>
          <w:b w:val="0"/>
          <w:lang w:val="id-ID"/>
        </w:rPr>
        <w:t xml:space="preserve">Based on table </w:t>
      </w:r>
      <w:r>
        <w:rPr>
          <w:b w:val="0"/>
          <w:lang w:val="id-ID"/>
        </w:rPr>
        <w:t>6</w:t>
      </w:r>
      <w:r w:rsidRPr="00D23964">
        <w:rPr>
          <w:b w:val="0"/>
          <w:lang w:val="id-ID"/>
        </w:rPr>
        <w:t>, the coefficient of multiple determination R Square (R2) is 0.615 or 61.5%. This value shows the influence of the independent variables tax awareness, tax system, and tax sanctions on the dependent variable of young entrepreneurs' intention to commit tax fraud of 61.5% and the remaining 38.5% is influenced by other variables outside the research.</w:t>
      </w:r>
    </w:p>
    <w:p w14:paraId="6319071A" w14:textId="77777777" w:rsidR="00563580" w:rsidRDefault="00563580" w:rsidP="00563580">
      <w:pPr>
        <w:pStyle w:val="Caption"/>
        <w:jc w:val="both"/>
        <w:rPr>
          <w:b w:val="0"/>
          <w:lang w:val="id-ID"/>
        </w:rPr>
      </w:pPr>
    </w:p>
    <w:p w14:paraId="523269E7" w14:textId="77777777" w:rsidR="00563580" w:rsidRDefault="00563580" w:rsidP="00563580">
      <w:pPr>
        <w:pStyle w:val="JAPSub-Judul"/>
        <w:rPr>
          <w:lang w:val="id-ID"/>
        </w:rPr>
      </w:pPr>
      <w:r>
        <w:rPr>
          <w:lang w:val="id-ID"/>
        </w:rPr>
        <w:t>simultaneous significance test (F)</w:t>
      </w:r>
    </w:p>
    <w:p w14:paraId="7315AD9D" w14:textId="77777777" w:rsidR="00563580" w:rsidRDefault="00563580" w:rsidP="00563580">
      <w:pPr>
        <w:pStyle w:val="JAPBODYTEXT"/>
        <w:rPr>
          <w:lang w:val="id-ID"/>
        </w:rPr>
      </w:pPr>
      <w:r>
        <w:rPr>
          <w:lang w:val="id-ID"/>
        </w:rPr>
        <w:t>The f test aims to show how simultaneous influence is on a variable. You can see the results of the F test below:</w:t>
      </w:r>
    </w:p>
    <w:p w14:paraId="21B2530D" w14:textId="77777777" w:rsidR="00563580" w:rsidRDefault="00563580" w:rsidP="00563580">
      <w:pPr>
        <w:pStyle w:val="JAPBODYTEXT"/>
        <w:rPr>
          <w:lang w:val="id-ID"/>
        </w:rPr>
      </w:pPr>
    </w:p>
    <w:p w14:paraId="5128ECAB" w14:textId="77777777" w:rsidR="00563580" w:rsidRDefault="00563580" w:rsidP="00563580">
      <w:pPr>
        <w:pStyle w:val="Caption"/>
        <w:jc w:val="both"/>
        <w:rPr>
          <w:b w:val="0"/>
          <w:bCs/>
          <w:lang w:val="id-ID"/>
        </w:rPr>
      </w:pPr>
      <w:r>
        <w:t>Table</w:t>
      </w:r>
      <w:r>
        <w:rPr>
          <w:lang w:val="id-ID"/>
        </w:rPr>
        <w:t xml:space="preserve"> </w:t>
      </w:r>
      <w:r>
        <w:fldChar w:fldCharType="begin"/>
      </w:r>
      <w:r>
        <w:instrText xml:space="preserve"> SEQ Tabel \* ARABIC </w:instrText>
      </w:r>
      <w:r>
        <w:fldChar w:fldCharType="separate"/>
      </w:r>
      <w:r>
        <w:rPr>
          <w:noProof/>
        </w:rPr>
        <w:t>7</w:t>
      </w:r>
      <w:r>
        <w:rPr>
          <w:noProof/>
        </w:rPr>
        <w:fldChar w:fldCharType="end"/>
      </w:r>
      <w:r>
        <w:rPr>
          <w:noProof/>
          <w:lang w:val="id-ID"/>
        </w:rPr>
        <w:t xml:space="preserve"> </w:t>
      </w:r>
      <w:r>
        <w:rPr>
          <w:lang w:val="id-ID"/>
        </w:rPr>
        <w:t>F Test Results</w:t>
      </w:r>
    </w:p>
    <w:tbl>
      <w:tblPr>
        <w:tblW w:w="0" w:type="auto"/>
        <w:tblInd w:w="108" w:type="dxa"/>
        <w:tblLook w:val="04A0" w:firstRow="1" w:lastRow="0" w:firstColumn="1" w:lastColumn="0" w:noHBand="0" w:noVBand="1"/>
      </w:tblPr>
      <w:tblGrid>
        <w:gridCol w:w="1049"/>
        <w:gridCol w:w="1185"/>
        <w:gridCol w:w="1222"/>
        <w:gridCol w:w="853"/>
        <w:gridCol w:w="1465"/>
        <w:gridCol w:w="766"/>
        <w:gridCol w:w="1020"/>
      </w:tblGrid>
      <w:tr w:rsidR="00563580" w:rsidRPr="000034CC" w14:paraId="61FADC96" w14:textId="77777777" w:rsidTr="00F0642B">
        <w:tc>
          <w:tcPr>
            <w:tcW w:w="1049" w:type="dxa"/>
            <w:tcBorders>
              <w:top w:val="single" w:sz="4" w:space="0" w:color="auto"/>
              <w:bottom w:val="single" w:sz="4" w:space="0" w:color="auto"/>
            </w:tcBorders>
            <w:shd w:val="clear" w:color="auto" w:fill="auto"/>
            <w:vAlign w:val="center"/>
          </w:tcPr>
          <w:p w14:paraId="2A0C38E2"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Model</w:t>
            </w:r>
          </w:p>
        </w:tc>
        <w:tc>
          <w:tcPr>
            <w:tcW w:w="1185" w:type="dxa"/>
            <w:tcBorders>
              <w:top w:val="single" w:sz="4" w:space="0" w:color="auto"/>
              <w:bottom w:val="single" w:sz="4" w:space="0" w:color="auto"/>
            </w:tcBorders>
            <w:shd w:val="clear" w:color="auto" w:fill="auto"/>
          </w:tcPr>
          <w:p w14:paraId="31EF0AFF" w14:textId="77777777" w:rsidR="00563580" w:rsidRPr="000034CC" w:rsidRDefault="00563580" w:rsidP="00F0642B">
            <w:pPr>
              <w:widowControl/>
              <w:jc w:val="center"/>
              <w:rPr>
                <w:rFonts w:ascii="Book Antiqua" w:eastAsia="Calibri" w:hAnsi="Book Antiqua" w:cs="Cordia New"/>
                <w:b/>
                <w:bCs/>
                <w:szCs w:val="18"/>
                <w:lang w:val="id-ID"/>
              </w:rPr>
            </w:pPr>
          </w:p>
        </w:tc>
        <w:tc>
          <w:tcPr>
            <w:tcW w:w="1222" w:type="dxa"/>
            <w:tcBorders>
              <w:top w:val="single" w:sz="4" w:space="0" w:color="auto"/>
              <w:bottom w:val="single" w:sz="4" w:space="0" w:color="auto"/>
            </w:tcBorders>
            <w:shd w:val="clear" w:color="auto" w:fill="auto"/>
          </w:tcPr>
          <w:p w14:paraId="3A85AAC2"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Sum of Squares</w:t>
            </w:r>
          </w:p>
        </w:tc>
        <w:tc>
          <w:tcPr>
            <w:tcW w:w="853" w:type="dxa"/>
            <w:tcBorders>
              <w:top w:val="single" w:sz="4" w:space="0" w:color="auto"/>
              <w:bottom w:val="single" w:sz="4" w:space="0" w:color="auto"/>
            </w:tcBorders>
            <w:shd w:val="clear" w:color="auto" w:fill="auto"/>
            <w:vAlign w:val="center"/>
          </w:tcPr>
          <w:p w14:paraId="34F4B150"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df</w:t>
            </w:r>
          </w:p>
        </w:tc>
        <w:tc>
          <w:tcPr>
            <w:tcW w:w="1465" w:type="dxa"/>
            <w:tcBorders>
              <w:top w:val="single" w:sz="4" w:space="0" w:color="auto"/>
              <w:bottom w:val="single" w:sz="4" w:space="0" w:color="auto"/>
            </w:tcBorders>
            <w:shd w:val="clear" w:color="auto" w:fill="auto"/>
            <w:vAlign w:val="center"/>
          </w:tcPr>
          <w:p w14:paraId="2A4325ED"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Mean Square</w:t>
            </w:r>
          </w:p>
        </w:tc>
        <w:tc>
          <w:tcPr>
            <w:tcW w:w="766" w:type="dxa"/>
            <w:tcBorders>
              <w:top w:val="single" w:sz="4" w:space="0" w:color="auto"/>
              <w:bottom w:val="single" w:sz="4" w:space="0" w:color="auto"/>
            </w:tcBorders>
            <w:shd w:val="clear" w:color="auto" w:fill="auto"/>
            <w:vAlign w:val="center"/>
          </w:tcPr>
          <w:p w14:paraId="6D12C318"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F</w:t>
            </w:r>
          </w:p>
        </w:tc>
        <w:tc>
          <w:tcPr>
            <w:tcW w:w="1020" w:type="dxa"/>
            <w:tcBorders>
              <w:top w:val="single" w:sz="4" w:space="0" w:color="auto"/>
              <w:bottom w:val="single" w:sz="4" w:space="0" w:color="auto"/>
            </w:tcBorders>
            <w:shd w:val="clear" w:color="auto" w:fill="auto"/>
            <w:vAlign w:val="center"/>
          </w:tcPr>
          <w:p w14:paraId="03D3734C"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Sig.</w:t>
            </w:r>
          </w:p>
        </w:tc>
      </w:tr>
      <w:tr w:rsidR="00563580" w:rsidRPr="000034CC" w14:paraId="7F9E2693" w14:textId="77777777" w:rsidTr="00F0642B">
        <w:tc>
          <w:tcPr>
            <w:tcW w:w="1049" w:type="dxa"/>
            <w:tcBorders>
              <w:top w:val="single" w:sz="4" w:space="0" w:color="auto"/>
            </w:tcBorders>
            <w:shd w:val="clear" w:color="auto" w:fill="auto"/>
          </w:tcPr>
          <w:p w14:paraId="6FED463F" w14:textId="77777777" w:rsidR="00563580" w:rsidRPr="000034CC" w:rsidRDefault="00563580" w:rsidP="00F0642B">
            <w:pPr>
              <w:widowControl/>
              <w:jc w:val="left"/>
              <w:rPr>
                <w:rFonts w:ascii="Book Antiqua" w:eastAsia="Calibri" w:hAnsi="Book Antiqua" w:cs="Cordia New"/>
                <w:szCs w:val="18"/>
                <w:lang w:val="id-ID"/>
              </w:rPr>
            </w:pPr>
            <w:r w:rsidRPr="000034CC">
              <w:rPr>
                <w:rFonts w:ascii="Book Antiqua" w:eastAsia="Calibri" w:hAnsi="Book Antiqua" w:cs="Cordia New"/>
                <w:szCs w:val="18"/>
                <w:lang w:val="id-ID"/>
              </w:rPr>
              <w:t>1</w:t>
            </w:r>
          </w:p>
        </w:tc>
        <w:tc>
          <w:tcPr>
            <w:tcW w:w="1185" w:type="dxa"/>
            <w:tcBorders>
              <w:top w:val="single" w:sz="4" w:space="0" w:color="auto"/>
            </w:tcBorders>
            <w:shd w:val="clear" w:color="auto" w:fill="auto"/>
          </w:tcPr>
          <w:p w14:paraId="7CACE455" w14:textId="77777777" w:rsidR="00563580" w:rsidRPr="000034CC" w:rsidRDefault="00563580" w:rsidP="00F0642B">
            <w:pPr>
              <w:widowControl/>
              <w:jc w:val="left"/>
              <w:rPr>
                <w:rFonts w:ascii="Book Antiqua" w:eastAsia="Calibri" w:hAnsi="Book Antiqua" w:cs="Cordia New"/>
                <w:szCs w:val="18"/>
                <w:lang w:val="id-ID"/>
              </w:rPr>
            </w:pPr>
            <w:r w:rsidRPr="000034CC">
              <w:rPr>
                <w:rFonts w:ascii="Book Antiqua" w:eastAsia="Calibri" w:hAnsi="Book Antiqua" w:cs="Cordia New"/>
                <w:szCs w:val="18"/>
                <w:lang w:val="id-ID"/>
              </w:rPr>
              <w:t>Regression</w:t>
            </w:r>
          </w:p>
        </w:tc>
        <w:tc>
          <w:tcPr>
            <w:tcW w:w="1222" w:type="dxa"/>
            <w:tcBorders>
              <w:top w:val="single" w:sz="4" w:space="0" w:color="auto"/>
            </w:tcBorders>
            <w:shd w:val="clear" w:color="auto" w:fill="auto"/>
          </w:tcPr>
          <w:p w14:paraId="0FC07E0D"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580,088</w:t>
            </w:r>
          </w:p>
        </w:tc>
        <w:tc>
          <w:tcPr>
            <w:tcW w:w="853" w:type="dxa"/>
            <w:tcBorders>
              <w:top w:val="single" w:sz="4" w:space="0" w:color="auto"/>
            </w:tcBorders>
            <w:shd w:val="clear" w:color="auto" w:fill="auto"/>
          </w:tcPr>
          <w:p w14:paraId="66B08539"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3</w:t>
            </w:r>
          </w:p>
        </w:tc>
        <w:tc>
          <w:tcPr>
            <w:tcW w:w="1465" w:type="dxa"/>
            <w:tcBorders>
              <w:top w:val="single" w:sz="4" w:space="0" w:color="auto"/>
            </w:tcBorders>
            <w:shd w:val="clear" w:color="auto" w:fill="auto"/>
          </w:tcPr>
          <w:p w14:paraId="1CF3C702"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193,363</w:t>
            </w:r>
          </w:p>
        </w:tc>
        <w:tc>
          <w:tcPr>
            <w:tcW w:w="766" w:type="dxa"/>
            <w:tcBorders>
              <w:top w:val="single" w:sz="4" w:space="0" w:color="auto"/>
            </w:tcBorders>
            <w:shd w:val="clear" w:color="auto" w:fill="auto"/>
          </w:tcPr>
          <w:p w14:paraId="4F264F66"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77,667</w:t>
            </w:r>
          </w:p>
        </w:tc>
        <w:tc>
          <w:tcPr>
            <w:tcW w:w="1020" w:type="dxa"/>
            <w:tcBorders>
              <w:top w:val="single" w:sz="4" w:space="0" w:color="auto"/>
            </w:tcBorders>
            <w:shd w:val="clear" w:color="auto" w:fill="auto"/>
          </w:tcPr>
          <w:p w14:paraId="0BC0D453"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,000b</w:t>
            </w:r>
          </w:p>
        </w:tc>
      </w:tr>
      <w:tr w:rsidR="00563580" w:rsidRPr="000034CC" w14:paraId="3E6CC570" w14:textId="77777777" w:rsidTr="00F0642B">
        <w:tc>
          <w:tcPr>
            <w:tcW w:w="1049" w:type="dxa"/>
            <w:shd w:val="clear" w:color="auto" w:fill="auto"/>
          </w:tcPr>
          <w:p w14:paraId="713ADEF8" w14:textId="77777777" w:rsidR="00563580" w:rsidRPr="000034CC" w:rsidRDefault="00563580" w:rsidP="00F0642B">
            <w:pPr>
              <w:widowControl/>
              <w:jc w:val="left"/>
              <w:rPr>
                <w:rFonts w:ascii="Book Antiqua" w:eastAsia="Calibri" w:hAnsi="Book Antiqua" w:cs="Cordia New"/>
                <w:szCs w:val="18"/>
                <w:lang w:val="id-ID"/>
              </w:rPr>
            </w:pPr>
          </w:p>
        </w:tc>
        <w:tc>
          <w:tcPr>
            <w:tcW w:w="1185" w:type="dxa"/>
            <w:shd w:val="clear" w:color="auto" w:fill="auto"/>
          </w:tcPr>
          <w:p w14:paraId="7A88BCD0" w14:textId="77777777" w:rsidR="00563580" w:rsidRPr="000034CC" w:rsidRDefault="00563580" w:rsidP="00F0642B">
            <w:pPr>
              <w:widowControl/>
              <w:jc w:val="left"/>
              <w:rPr>
                <w:rFonts w:ascii="Book Antiqua" w:eastAsia="Calibri" w:hAnsi="Book Antiqua" w:cs="Cordia New"/>
                <w:szCs w:val="18"/>
                <w:lang w:val="id-ID"/>
              </w:rPr>
            </w:pPr>
            <w:r w:rsidRPr="000034CC">
              <w:rPr>
                <w:rFonts w:ascii="Book Antiqua" w:eastAsia="Calibri" w:hAnsi="Book Antiqua" w:cs="Cordia New"/>
                <w:szCs w:val="18"/>
                <w:lang w:val="id-ID"/>
              </w:rPr>
              <w:t>Residual</w:t>
            </w:r>
          </w:p>
        </w:tc>
        <w:tc>
          <w:tcPr>
            <w:tcW w:w="1222" w:type="dxa"/>
            <w:shd w:val="clear" w:color="auto" w:fill="auto"/>
          </w:tcPr>
          <w:p w14:paraId="6AC066FB"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363,486</w:t>
            </w:r>
          </w:p>
        </w:tc>
        <w:tc>
          <w:tcPr>
            <w:tcW w:w="853" w:type="dxa"/>
            <w:shd w:val="clear" w:color="auto" w:fill="auto"/>
          </w:tcPr>
          <w:p w14:paraId="723B88EB"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146</w:t>
            </w:r>
          </w:p>
        </w:tc>
        <w:tc>
          <w:tcPr>
            <w:tcW w:w="1465" w:type="dxa"/>
            <w:shd w:val="clear" w:color="auto" w:fill="auto"/>
          </w:tcPr>
          <w:p w14:paraId="71008220"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2,490</w:t>
            </w:r>
          </w:p>
        </w:tc>
        <w:tc>
          <w:tcPr>
            <w:tcW w:w="766" w:type="dxa"/>
            <w:shd w:val="clear" w:color="auto" w:fill="auto"/>
          </w:tcPr>
          <w:p w14:paraId="3B8CEF0D" w14:textId="77777777" w:rsidR="00563580" w:rsidRPr="000034CC" w:rsidRDefault="00563580" w:rsidP="00F0642B">
            <w:pPr>
              <w:widowControl/>
              <w:jc w:val="right"/>
              <w:rPr>
                <w:rFonts w:ascii="Book Antiqua" w:eastAsia="Calibri" w:hAnsi="Book Antiqua" w:cs="Cordia New"/>
                <w:szCs w:val="18"/>
                <w:lang w:val="id-ID"/>
              </w:rPr>
            </w:pPr>
          </w:p>
        </w:tc>
        <w:tc>
          <w:tcPr>
            <w:tcW w:w="1020" w:type="dxa"/>
            <w:shd w:val="clear" w:color="auto" w:fill="auto"/>
          </w:tcPr>
          <w:p w14:paraId="28BB8F14" w14:textId="77777777" w:rsidR="00563580" w:rsidRPr="000034CC" w:rsidRDefault="00563580" w:rsidP="00F0642B">
            <w:pPr>
              <w:widowControl/>
              <w:jc w:val="right"/>
              <w:rPr>
                <w:rFonts w:ascii="Book Antiqua" w:eastAsia="Calibri" w:hAnsi="Book Antiqua" w:cs="Cordia New"/>
                <w:szCs w:val="18"/>
                <w:lang w:val="id-ID"/>
              </w:rPr>
            </w:pPr>
          </w:p>
        </w:tc>
      </w:tr>
      <w:tr w:rsidR="00563580" w:rsidRPr="000034CC" w14:paraId="3EC50579" w14:textId="77777777" w:rsidTr="00F0642B">
        <w:tc>
          <w:tcPr>
            <w:tcW w:w="1049" w:type="dxa"/>
            <w:tcBorders>
              <w:bottom w:val="single" w:sz="4" w:space="0" w:color="auto"/>
            </w:tcBorders>
            <w:shd w:val="clear" w:color="auto" w:fill="auto"/>
          </w:tcPr>
          <w:p w14:paraId="6DDF24FD" w14:textId="77777777" w:rsidR="00563580" w:rsidRPr="000034CC" w:rsidRDefault="00563580" w:rsidP="00F0642B">
            <w:pPr>
              <w:widowControl/>
              <w:jc w:val="left"/>
              <w:rPr>
                <w:rFonts w:ascii="Book Antiqua" w:eastAsia="Calibri" w:hAnsi="Book Antiqua" w:cs="Cordia New"/>
                <w:szCs w:val="18"/>
                <w:lang w:val="id-ID"/>
              </w:rPr>
            </w:pPr>
          </w:p>
        </w:tc>
        <w:tc>
          <w:tcPr>
            <w:tcW w:w="1185" w:type="dxa"/>
            <w:tcBorders>
              <w:bottom w:val="single" w:sz="4" w:space="0" w:color="auto"/>
            </w:tcBorders>
            <w:shd w:val="clear" w:color="auto" w:fill="auto"/>
          </w:tcPr>
          <w:p w14:paraId="249AECCE" w14:textId="77777777" w:rsidR="00563580" w:rsidRPr="000034CC" w:rsidRDefault="00563580" w:rsidP="00F0642B">
            <w:pPr>
              <w:widowControl/>
              <w:jc w:val="left"/>
              <w:rPr>
                <w:rFonts w:ascii="Book Antiqua" w:eastAsia="Calibri" w:hAnsi="Book Antiqua" w:cs="Cordia New"/>
                <w:szCs w:val="18"/>
                <w:lang w:val="id-ID"/>
              </w:rPr>
            </w:pPr>
            <w:r w:rsidRPr="000034CC">
              <w:rPr>
                <w:rFonts w:ascii="Book Antiqua" w:eastAsia="Calibri" w:hAnsi="Book Antiqua" w:cs="Cordia New"/>
                <w:szCs w:val="18"/>
                <w:lang w:val="id-ID"/>
              </w:rPr>
              <w:t>Total</w:t>
            </w:r>
          </w:p>
        </w:tc>
        <w:tc>
          <w:tcPr>
            <w:tcW w:w="1222" w:type="dxa"/>
            <w:tcBorders>
              <w:bottom w:val="single" w:sz="4" w:space="0" w:color="auto"/>
            </w:tcBorders>
            <w:shd w:val="clear" w:color="auto" w:fill="auto"/>
          </w:tcPr>
          <w:p w14:paraId="667B6E14"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943,573</w:t>
            </w:r>
          </w:p>
        </w:tc>
        <w:tc>
          <w:tcPr>
            <w:tcW w:w="853" w:type="dxa"/>
            <w:tcBorders>
              <w:bottom w:val="single" w:sz="4" w:space="0" w:color="auto"/>
            </w:tcBorders>
            <w:shd w:val="clear" w:color="auto" w:fill="auto"/>
          </w:tcPr>
          <w:p w14:paraId="283AEDE7"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149</w:t>
            </w:r>
          </w:p>
        </w:tc>
        <w:tc>
          <w:tcPr>
            <w:tcW w:w="1465" w:type="dxa"/>
            <w:tcBorders>
              <w:bottom w:val="single" w:sz="4" w:space="0" w:color="auto"/>
            </w:tcBorders>
            <w:shd w:val="clear" w:color="auto" w:fill="auto"/>
          </w:tcPr>
          <w:p w14:paraId="77C57B53" w14:textId="77777777" w:rsidR="00563580" w:rsidRPr="000034CC" w:rsidRDefault="00563580" w:rsidP="00F0642B">
            <w:pPr>
              <w:widowControl/>
              <w:jc w:val="right"/>
              <w:rPr>
                <w:rFonts w:ascii="Book Antiqua" w:eastAsia="Calibri" w:hAnsi="Book Antiqua" w:cs="Cordia New"/>
                <w:szCs w:val="18"/>
                <w:lang w:val="id-ID"/>
              </w:rPr>
            </w:pPr>
          </w:p>
        </w:tc>
        <w:tc>
          <w:tcPr>
            <w:tcW w:w="766" w:type="dxa"/>
            <w:tcBorders>
              <w:bottom w:val="single" w:sz="4" w:space="0" w:color="auto"/>
            </w:tcBorders>
            <w:shd w:val="clear" w:color="auto" w:fill="auto"/>
          </w:tcPr>
          <w:p w14:paraId="6E191922" w14:textId="77777777" w:rsidR="00563580" w:rsidRPr="000034CC" w:rsidRDefault="00563580" w:rsidP="00F0642B">
            <w:pPr>
              <w:widowControl/>
              <w:jc w:val="right"/>
              <w:rPr>
                <w:rFonts w:ascii="Book Antiqua" w:eastAsia="Calibri" w:hAnsi="Book Antiqua" w:cs="Cordia New"/>
                <w:szCs w:val="18"/>
                <w:lang w:val="id-ID"/>
              </w:rPr>
            </w:pPr>
          </w:p>
        </w:tc>
        <w:tc>
          <w:tcPr>
            <w:tcW w:w="1020" w:type="dxa"/>
            <w:tcBorders>
              <w:bottom w:val="single" w:sz="4" w:space="0" w:color="auto"/>
            </w:tcBorders>
            <w:shd w:val="clear" w:color="auto" w:fill="auto"/>
          </w:tcPr>
          <w:p w14:paraId="53E62277" w14:textId="77777777" w:rsidR="00563580" w:rsidRPr="000034CC" w:rsidRDefault="00563580" w:rsidP="00F0642B">
            <w:pPr>
              <w:widowControl/>
              <w:jc w:val="right"/>
              <w:rPr>
                <w:rFonts w:ascii="Book Antiqua" w:eastAsia="Calibri" w:hAnsi="Book Antiqua" w:cs="Cordia New"/>
                <w:szCs w:val="18"/>
                <w:lang w:val="id-ID"/>
              </w:rPr>
            </w:pPr>
          </w:p>
        </w:tc>
      </w:tr>
    </w:tbl>
    <w:p w14:paraId="276FCF6C" w14:textId="77777777" w:rsidR="00563580" w:rsidRDefault="00563580" w:rsidP="00563580">
      <w:pPr>
        <w:pStyle w:val="Caption"/>
        <w:jc w:val="both"/>
        <w:rPr>
          <w:b w:val="0"/>
          <w:bCs/>
          <w:lang w:val="id-ID"/>
        </w:rPr>
      </w:pPr>
      <w:r>
        <w:rPr>
          <w:b w:val="0"/>
          <w:bCs/>
          <w:lang w:val="id-ID"/>
        </w:rPr>
        <w:t>Source: Primary Data, processed (2023)</w:t>
      </w:r>
    </w:p>
    <w:p w14:paraId="07751B42" w14:textId="77777777" w:rsidR="00563580" w:rsidRDefault="00563580" w:rsidP="00563580">
      <w:pPr>
        <w:pStyle w:val="Caption"/>
        <w:jc w:val="both"/>
        <w:rPr>
          <w:b w:val="0"/>
          <w:bCs/>
          <w:lang w:val="id-ID"/>
        </w:rPr>
      </w:pPr>
    </w:p>
    <w:p w14:paraId="32A36F38" w14:textId="77777777" w:rsidR="00563580" w:rsidRDefault="00563580" w:rsidP="00563580">
      <w:pPr>
        <w:pStyle w:val="Caption"/>
        <w:jc w:val="both"/>
        <w:rPr>
          <w:b w:val="0"/>
          <w:bCs/>
          <w:lang w:val="id-ID"/>
        </w:rPr>
      </w:pPr>
      <w:r w:rsidRPr="00F84EA6">
        <w:rPr>
          <w:b w:val="0"/>
          <w:bCs/>
          <w:lang w:val="id-ID"/>
        </w:rPr>
        <w:t xml:space="preserve">Based on table </w:t>
      </w:r>
      <w:r>
        <w:rPr>
          <w:b w:val="0"/>
          <w:bCs/>
          <w:lang w:val="id-ID"/>
        </w:rPr>
        <w:t>7</w:t>
      </w:r>
      <w:r w:rsidRPr="00F84EA6">
        <w:rPr>
          <w:b w:val="0"/>
          <w:bCs/>
          <w:lang w:val="id-ID"/>
        </w:rPr>
        <w:t xml:space="preserve"> above, it shows that from the results of the F test, the calculated F value is 77.667 &gt; F table of 2.666 with a significance level of 0.000 &lt; 0.05. Because the significance level is smaller than 0.05, it can be said that tax awareness, the tax system, and tax sanctions have a simultaneous influence on the intention of young entrepreneurs to commit tax fraud.</w:t>
      </w:r>
    </w:p>
    <w:p w14:paraId="42EE92AE" w14:textId="77777777" w:rsidR="00563580" w:rsidRDefault="00563580" w:rsidP="00563580">
      <w:pPr>
        <w:pStyle w:val="Caption"/>
        <w:jc w:val="both"/>
        <w:rPr>
          <w:b w:val="0"/>
          <w:bCs/>
          <w:lang w:val="id-ID"/>
        </w:rPr>
      </w:pPr>
    </w:p>
    <w:p w14:paraId="557E0729" w14:textId="77777777" w:rsidR="00563580" w:rsidRDefault="00563580" w:rsidP="00563580">
      <w:pPr>
        <w:pStyle w:val="JAPSub-Judul"/>
        <w:rPr>
          <w:lang w:val="id-ID"/>
        </w:rPr>
      </w:pPr>
      <w:r>
        <w:rPr>
          <w:lang w:val="id-ID"/>
        </w:rPr>
        <w:t>partial significance test (T test)</w:t>
      </w:r>
    </w:p>
    <w:p w14:paraId="5EE58396" w14:textId="77777777" w:rsidR="00563580" w:rsidRPr="00F3193F" w:rsidRDefault="00563580" w:rsidP="00563580">
      <w:pPr>
        <w:pStyle w:val="JAPBODYTEXT"/>
        <w:rPr>
          <w:lang w:val="id-ID"/>
        </w:rPr>
      </w:pPr>
      <w:r w:rsidRPr="00F84EA6">
        <w:t>The t statistical test is useful for testing the influence of each independent variable partially on the dependent variable. To determine whether there is an influence of each independent variable on the dependent variable, it can be seen at a significance level of less than an alpha value of 0.05, and vice versa. The t test results are shown in the table as follows:</w:t>
      </w:r>
    </w:p>
    <w:p w14:paraId="25F60D93" w14:textId="77777777" w:rsidR="00563580" w:rsidRPr="00F84EA6" w:rsidRDefault="00563580" w:rsidP="00563580">
      <w:pPr>
        <w:pStyle w:val="Caption"/>
        <w:jc w:val="both"/>
        <w:rPr>
          <w:lang w:val="id-ID"/>
        </w:rPr>
      </w:pPr>
      <w:r>
        <w:t>Table</w:t>
      </w:r>
      <w:r>
        <w:rPr>
          <w:lang w:val="id-ID"/>
        </w:rPr>
        <w:t xml:space="preserve"> </w:t>
      </w:r>
      <w:r>
        <w:fldChar w:fldCharType="begin"/>
      </w:r>
      <w:r>
        <w:instrText xml:space="preserve"> SEQ Tabel \* ARABIC </w:instrText>
      </w:r>
      <w:r>
        <w:fldChar w:fldCharType="separate"/>
      </w:r>
      <w:r>
        <w:rPr>
          <w:noProof/>
        </w:rPr>
        <w:t>8</w:t>
      </w:r>
      <w:r>
        <w:rPr>
          <w:noProof/>
        </w:rPr>
        <w:fldChar w:fldCharType="end"/>
      </w:r>
      <w:r>
        <w:rPr>
          <w:noProof/>
          <w:lang w:val="id-ID"/>
        </w:rPr>
        <w:t xml:space="preserve"> </w:t>
      </w:r>
      <w:r>
        <w:rPr>
          <w:lang w:val="id-ID"/>
        </w:rPr>
        <w:t>t Test Results</w:t>
      </w:r>
    </w:p>
    <w:tbl>
      <w:tblPr>
        <w:tblW w:w="0" w:type="auto"/>
        <w:tblInd w:w="-5" w:type="dxa"/>
        <w:tblLook w:val="04A0" w:firstRow="1" w:lastRow="0" w:firstColumn="1" w:lastColumn="0" w:noHBand="0" w:noVBand="1"/>
      </w:tblPr>
      <w:tblGrid>
        <w:gridCol w:w="816"/>
        <w:gridCol w:w="2132"/>
        <w:gridCol w:w="793"/>
        <w:gridCol w:w="1276"/>
        <w:gridCol w:w="1438"/>
        <w:gridCol w:w="851"/>
        <w:gridCol w:w="566"/>
      </w:tblGrid>
      <w:tr w:rsidR="00563580" w:rsidRPr="000034CC" w14:paraId="2E7BF6D9" w14:textId="77777777" w:rsidTr="00F0642B">
        <w:tc>
          <w:tcPr>
            <w:tcW w:w="816" w:type="dxa"/>
            <w:vMerge w:val="restart"/>
            <w:tcBorders>
              <w:top w:val="single" w:sz="4" w:space="0" w:color="auto"/>
              <w:bottom w:val="single" w:sz="4" w:space="0" w:color="auto"/>
            </w:tcBorders>
            <w:shd w:val="clear" w:color="auto" w:fill="auto"/>
            <w:vAlign w:val="center"/>
          </w:tcPr>
          <w:p w14:paraId="6B739272"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Model</w:t>
            </w:r>
          </w:p>
        </w:tc>
        <w:tc>
          <w:tcPr>
            <w:tcW w:w="2132" w:type="dxa"/>
            <w:vMerge w:val="restart"/>
            <w:tcBorders>
              <w:top w:val="single" w:sz="4" w:space="0" w:color="auto"/>
              <w:bottom w:val="single" w:sz="4" w:space="0" w:color="auto"/>
            </w:tcBorders>
            <w:shd w:val="clear" w:color="auto" w:fill="auto"/>
          </w:tcPr>
          <w:p w14:paraId="4BC61BA5" w14:textId="77777777" w:rsidR="00563580" w:rsidRPr="000034CC" w:rsidRDefault="00563580" w:rsidP="00F0642B">
            <w:pPr>
              <w:widowControl/>
              <w:jc w:val="center"/>
              <w:rPr>
                <w:rFonts w:ascii="Book Antiqua" w:eastAsia="Calibri" w:hAnsi="Book Antiqua" w:cs="Cordia New"/>
                <w:b/>
                <w:bCs/>
                <w:szCs w:val="18"/>
                <w:lang w:val="id-ID"/>
              </w:rPr>
            </w:pPr>
          </w:p>
        </w:tc>
        <w:tc>
          <w:tcPr>
            <w:tcW w:w="2069" w:type="dxa"/>
            <w:gridSpan w:val="2"/>
            <w:tcBorders>
              <w:top w:val="single" w:sz="4" w:space="0" w:color="auto"/>
              <w:bottom w:val="single" w:sz="4" w:space="0" w:color="auto"/>
            </w:tcBorders>
            <w:shd w:val="clear" w:color="auto" w:fill="auto"/>
          </w:tcPr>
          <w:p w14:paraId="0A1F6914"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Unstandardized Coefficients</w:t>
            </w:r>
          </w:p>
        </w:tc>
        <w:tc>
          <w:tcPr>
            <w:tcW w:w="1438" w:type="dxa"/>
            <w:tcBorders>
              <w:top w:val="single" w:sz="4" w:space="0" w:color="auto"/>
              <w:bottom w:val="single" w:sz="4" w:space="0" w:color="auto"/>
            </w:tcBorders>
            <w:shd w:val="clear" w:color="auto" w:fill="auto"/>
          </w:tcPr>
          <w:p w14:paraId="720ED976"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Standardized Coefficients</w:t>
            </w:r>
          </w:p>
        </w:tc>
        <w:tc>
          <w:tcPr>
            <w:tcW w:w="851" w:type="dxa"/>
            <w:vMerge w:val="restart"/>
            <w:tcBorders>
              <w:top w:val="single" w:sz="4" w:space="0" w:color="auto"/>
              <w:bottom w:val="single" w:sz="4" w:space="0" w:color="auto"/>
            </w:tcBorders>
            <w:shd w:val="clear" w:color="auto" w:fill="auto"/>
            <w:vAlign w:val="center"/>
          </w:tcPr>
          <w:p w14:paraId="3EB982B9"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t</w:t>
            </w:r>
          </w:p>
        </w:tc>
        <w:tc>
          <w:tcPr>
            <w:tcW w:w="566" w:type="dxa"/>
            <w:vMerge w:val="restart"/>
            <w:tcBorders>
              <w:top w:val="single" w:sz="4" w:space="0" w:color="auto"/>
              <w:bottom w:val="single" w:sz="4" w:space="0" w:color="auto"/>
            </w:tcBorders>
            <w:shd w:val="clear" w:color="auto" w:fill="auto"/>
            <w:vAlign w:val="center"/>
          </w:tcPr>
          <w:p w14:paraId="6DD8BA9C"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Sig.</w:t>
            </w:r>
          </w:p>
        </w:tc>
      </w:tr>
      <w:tr w:rsidR="00563580" w:rsidRPr="000034CC" w14:paraId="5A071695" w14:textId="77777777" w:rsidTr="00F0642B">
        <w:tc>
          <w:tcPr>
            <w:tcW w:w="816" w:type="dxa"/>
            <w:vMerge/>
            <w:tcBorders>
              <w:bottom w:val="single" w:sz="4" w:space="0" w:color="auto"/>
            </w:tcBorders>
            <w:shd w:val="clear" w:color="auto" w:fill="auto"/>
          </w:tcPr>
          <w:p w14:paraId="64B9A631" w14:textId="77777777" w:rsidR="00563580" w:rsidRPr="000034CC" w:rsidRDefault="00563580" w:rsidP="00F0642B">
            <w:pPr>
              <w:widowControl/>
              <w:jc w:val="center"/>
              <w:rPr>
                <w:rFonts w:ascii="Book Antiqua" w:eastAsia="Calibri" w:hAnsi="Book Antiqua" w:cs="Cordia New"/>
                <w:b/>
                <w:bCs/>
                <w:szCs w:val="18"/>
                <w:lang w:val="id-ID"/>
              </w:rPr>
            </w:pPr>
          </w:p>
        </w:tc>
        <w:tc>
          <w:tcPr>
            <w:tcW w:w="2132" w:type="dxa"/>
            <w:vMerge/>
            <w:tcBorders>
              <w:bottom w:val="single" w:sz="4" w:space="0" w:color="auto"/>
            </w:tcBorders>
            <w:shd w:val="clear" w:color="auto" w:fill="auto"/>
          </w:tcPr>
          <w:p w14:paraId="41298AF4" w14:textId="77777777" w:rsidR="00563580" w:rsidRPr="000034CC" w:rsidRDefault="00563580" w:rsidP="00F0642B">
            <w:pPr>
              <w:widowControl/>
              <w:jc w:val="center"/>
              <w:rPr>
                <w:rFonts w:ascii="Book Antiqua" w:eastAsia="Calibri" w:hAnsi="Book Antiqua" w:cs="Cordia New"/>
                <w:b/>
                <w:bCs/>
                <w:szCs w:val="18"/>
                <w:lang w:val="id-ID"/>
              </w:rPr>
            </w:pPr>
          </w:p>
        </w:tc>
        <w:tc>
          <w:tcPr>
            <w:tcW w:w="793" w:type="dxa"/>
            <w:tcBorders>
              <w:top w:val="single" w:sz="4" w:space="0" w:color="auto"/>
              <w:bottom w:val="single" w:sz="4" w:space="0" w:color="auto"/>
            </w:tcBorders>
            <w:shd w:val="clear" w:color="auto" w:fill="auto"/>
          </w:tcPr>
          <w:p w14:paraId="71C494B8"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B</w:t>
            </w:r>
          </w:p>
        </w:tc>
        <w:tc>
          <w:tcPr>
            <w:tcW w:w="1276" w:type="dxa"/>
            <w:tcBorders>
              <w:top w:val="single" w:sz="4" w:space="0" w:color="auto"/>
              <w:bottom w:val="single" w:sz="4" w:space="0" w:color="auto"/>
            </w:tcBorders>
            <w:shd w:val="clear" w:color="auto" w:fill="auto"/>
          </w:tcPr>
          <w:p w14:paraId="1D8A4E22"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Std. Error</w:t>
            </w:r>
          </w:p>
        </w:tc>
        <w:tc>
          <w:tcPr>
            <w:tcW w:w="1438" w:type="dxa"/>
            <w:tcBorders>
              <w:top w:val="single" w:sz="4" w:space="0" w:color="auto"/>
              <w:bottom w:val="single" w:sz="4" w:space="0" w:color="auto"/>
            </w:tcBorders>
            <w:shd w:val="clear" w:color="auto" w:fill="auto"/>
          </w:tcPr>
          <w:p w14:paraId="5DE4286B" w14:textId="77777777" w:rsidR="00563580" w:rsidRPr="000034CC" w:rsidRDefault="00563580" w:rsidP="00F0642B">
            <w:pPr>
              <w:widowControl/>
              <w:jc w:val="center"/>
              <w:rPr>
                <w:rFonts w:ascii="Book Antiqua" w:eastAsia="Calibri" w:hAnsi="Book Antiqua" w:cs="Cordia New"/>
                <w:b/>
                <w:bCs/>
                <w:szCs w:val="18"/>
                <w:lang w:val="id-ID"/>
              </w:rPr>
            </w:pPr>
            <w:r w:rsidRPr="000034CC">
              <w:rPr>
                <w:rFonts w:ascii="Book Antiqua" w:eastAsia="Calibri" w:hAnsi="Book Antiqua" w:cs="Cordia New"/>
                <w:b/>
                <w:bCs/>
                <w:szCs w:val="18"/>
                <w:lang w:val="id-ID"/>
              </w:rPr>
              <w:t>Beta</w:t>
            </w:r>
          </w:p>
        </w:tc>
        <w:tc>
          <w:tcPr>
            <w:tcW w:w="851" w:type="dxa"/>
            <w:vMerge/>
            <w:tcBorders>
              <w:top w:val="single" w:sz="4" w:space="0" w:color="auto"/>
              <w:bottom w:val="single" w:sz="4" w:space="0" w:color="auto"/>
            </w:tcBorders>
            <w:shd w:val="clear" w:color="auto" w:fill="auto"/>
          </w:tcPr>
          <w:p w14:paraId="14EF884F" w14:textId="77777777" w:rsidR="00563580" w:rsidRPr="000034CC" w:rsidRDefault="00563580" w:rsidP="00F0642B">
            <w:pPr>
              <w:widowControl/>
              <w:jc w:val="center"/>
              <w:rPr>
                <w:rFonts w:ascii="Book Antiqua" w:eastAsia="Calibri" w:hAnsi="Book Antiqua" w:cs="Cordia New"/>
                <w:b/>
                <w:bCs/>
                <w:szCs w:val="18"/>
                <w:lang w:val="id-ID"/>
              </w:rPr>
            </w:pPr>
          </w:p>
        </w:tc>
        <w:tc>
          <w:tcPr>
            <w:tcW w:w="566" w:type="dxa"/>
            <w:vMerge/>
            <w:tcBorders>
              <w:top w:val="single" w:sz="4" w:space="0" w:color="auto"/>
              <w:bottom w:val="single" w:sz="4" w:space="0" w:color="auto"/>
            </w:tcBorders>
            <w:shd w:val="clear" w:color="auto" w:fill="auto"/>
            <w:vAlign w:val="center"/>
          </w:tcPr>
          <w:p w14:paraId="444D06B5" w14:textId="77777777" w:rsidR="00563580" w:rsidRPr="000034CC" w:rsidRDefault="00563580" w:rsidP="00F0642B">
            <w:pPr>
              <w:widowControl/>
              <w:jc w:val="center"/>
              <w:rPr>
                <w:rFonts w:ascii="Book Antiqua" w:eastAsia="Calibri" w:hAnsi="Book Antiqua" w:cs="Cordia New"/>
                <w:b/>
                <w:bCs/>
                <w:szCs w:val="18"/>
                <w:lang w:val="id-ID"/>
              </w:rPr>
            </w:pPr>
          </w:p>
        </w:tc>
      </w:tr>
      <w:tr w:rsidR="00563580" w:rsidRPr="000034CC" w14:paraId="276B26EA" w14:textId="77777777" w:rsidTr="00F0642B">
        <w:tc>
          <w:tcPr>
            <w:tcW w:w="816" w:type="dxa"/>
            <w:tcBorders>
              <w:top w:val="single" w:sz="4" w:space="0" w:color="auto"/>
            </w:tcBorders>
            <w:shd w:val="clear" w:color="auto" w:fill="auto"/>
          </w:tcPr>
          <w:p w14:paraId="5CFA413F" w14:textId="77777777" w:rsidR="00563580" w:rsidRPr="000034CC" w:rsidRDefault="00563580" w:rsidP="00F0642B">
            <w:pPr>
              <w:widowControl/>
              <w:jc w:val="left"/>
              <w:rPr>
                <w:rFonts w:ascii="Book Antiqua" w:eastAsia="Calibri" w:hAnsi="Book Antiqua" w:cs="Cordia New"/>
                <w:szCs w:val="18"/>
                <w:lang w:val="id-ID"/>
              </w:rPr>
            </w:pPr>
            <w:r w:rsidRPr="000034CC">
              <w:rPr>
                <w:rFonts w:ascii="Book Antiqua" w:eastAsia="Calibri" w:hAnsi="Book Antiqua" w:cs="Cordia New"/>
                <w:szCs w:val="18"/>
                <w:lang w:val="id-ID"/>
              </w:rPr>
              <w:t>1</w:t>
            </w:r>
          </w:p>
        </w:tc>
        <w:tc>
          <w:tcPr>
            <w:tcW w:w="2132" w:type="dxa"/>
            <w:tcBorders>
              <w:top w:val="single" w:sz="4" w:space="0" w:color="auto"/>
            </w:tcBorders>
            <w:shd w:val="clear" w:color="auto" w:fill="auto"/>
          </w:tcPr>
          <w:p w14:paraId="07A5F60A" w14:textId="77777777" w:rsidR="00563580" w:rsidRPr="000034CC" w:rsidRDefault="00563580" w:rsidP="00F0642B">
            <w:pPr>
              <w:widowControl/>
              <w:jc w:val="left"/>
              <w:rPr>
                <w:rFonts w:ascii="Book Antiqua" w:eastAsia="Calibri" w:hAnsi="Book Antiqua" w:cs="Cordia New"/>
                <w:szCs w:val="18"/>
                <w:lang w:val="id-ID"/>
              </w:rPr>
            </w:pPr>
            <w:r w:rsidRPr="000034CC">
              <w:rPr>
                <w:rFonts w:ascii="Book Antiqua" w:eastAsia="Calibri" w:hAnsi="Book Antiqua" w:cs="Cordia New"/>
                <w:szCs w:val="18"/>
                <w:lang w:val="id-ID"/>
              </w:rPr>
              <w:t>(Constant)</w:t>
            </w:r>
          </w:p>
        </w:tc>
        <w:tc>
          <w:tcPr>
            <w:tcW w:w="793" w:type="dxa"/>
            <w:tcBorders>
              <w:top w:val="single" w:sz="4" w:space="0" w:color="auto"/>
            </w:tcBorders>
            <w:shd w:val="clear" w:color="auto" w:fill="auto"/>
          </w:tcPr>
          <w:p w14:paraId="04DCA38B"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,140</w:t>
            </w:r>
          </w:p>
        </w:tc>
        <w:tc>
          <w:tcPr>
            <w:tcW w:w="1276" w:type="dxa"/>
            <w:tcBorders>
              <w:top w:val="single" w:sz="4" w:space="0" w:color="auto"/>
            </w:tcBorders>
            <w:shd w:val="clear" w:color="auto" w:fill="auto"/>
          </w:tcPr>
          <w:p w14:paraId="1F7AD108"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1,685</w:t>
            </w:r>
          </w:p>
        </w:tc>
        <w:tc>
          <w:tcPr>
            <w:tcW w:w="1438" w:type="dxa"/>
            <w:tcBorders>
              <w:top w:val="single" w:sz="4" w:space="0" w:color="auto"/>
            </w:tcBorders>
            <w:shd w:val="clear" w:color="auto" w:fill="auto"/>
          </w:tcPr>
          <w:p w14:paraId="45B1E8F6" w14:textId="77777777" w:rsidR="00563580" w:rsidRPr="000034CC" w:rsidRDefault="00563580" w:rsidP="00F0642B">
            <w:pPr>
              <w:widowControl/>
              <w:jc w:val="right"/>
              <w:rPr>
                <w:rFonts w:ascii="Book Antiqua" w:eastAsia="Calibri" w:hAnsi="Book Antiqua" w:cs="Cordia New"/>
                <w:szCs w:val="18"/>
                <w:lang w:val="id-ID"/>
              </w:rPr>
            </w:pPr>
          </w:p>
        </w:tc>
        <w:tc>
          <w:tcPr>
            <w:tcW w:w="851" w:type="dxa"/>
            <w:tcBorders>
              <w:top w:val="single" w:sz="4" w:space="0" w:color="auto"/>
            </w:tcBorders>
            <w:shd w:val="clear" w:color="auto" w:fill="auto"/>
          </w:tcPr>
          <w:p w14:paraId="55430307"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,083</w:t>
            </w:r>
          </w:p>
        </w:tc>
        <w:tc>
          <w:tcPr>
            <w:tcW w:w="566" w:type="dxa"/>
            <w:tcBorders>
              <w:top w:val="single" w:sz="4" w:space="0" w:color="auto"/>
            </w:tcBorders>
            <w:shd w:val="clear" w:color="auto" w:fill="auto"/>
          </w:tcPr>
          <w:p w14:paraId="06D7FF55"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,934</w:t>
            </w:r>
          </w:p>
        </w:tc>
      </w:tr>
      <w:tr w:rsidR="00563580" w:rsidRPr="000034CC" w14:paraId="2DB0D943" w14:textId="77777777" w:rsidTr="00F0642B">
        <w:tc>
          <w:tcPr>
            <w:tcW w:w="816" w:type="dxa"/>
            <w:shd w:val="clear" w:color="auto" w:fill="auto"/>
          </w:tcPr>
          <w:p w14:paraId="54C099FA" w14:textId="77777777" w:rsidR="00563580" w:rsidRPr="000034CC" w:rsidRDefault="00563580" w:rsidP="00F0642B">
            <w:pPr>
              <w:widowControl/>
              <w:jc w:val="left"/>
              <w:rPr>
                <w:rFonts w:ascii="Book Antiqua" w:eastAsia="Calibri" w:hAnsi="Book Antiqua" w:cs="Cordia New"/>
                <w:szCs w:val="18"/>
                <w:lang w:val="id-ID"/>
              </w:rPr>
            </w:pPr>
          </w:p>
        </w:tc>
        <w:tc>
          <w:tcPr>
            <w:tcW w:w="2132" w:type="dxa"/>
            <w:shd w:val="clear" w:color="auto" w:fill="auto"/>
          </w:tcPr>
          <w:p w14:paraId="7BDFE3C8" w14:textId="77777777" w:rsidR="00563580" w:rsidRPr="000034CC" w:rsidRDefault="00563580" w:rsidP="00F0642B">
            <w:pPr>
              <w:widowControl/>
              <w:jc w:val="left"/>
              <w:rPr>
                <w:rFonts w:ascii="Book Antiqua" w:eastAsia="Calibri" w:hAnsi="Book Antiqua" w:cs="Cordia New"/>
                <w:szCs w:val="18"/>
                <w:lang w:val="id-ID"/>
              </w:rPr>
            </w:pPr>
            <w:r w:rsidRPr="000034CC">
              <w:rPr>
                <w:rFonts w:ascii="Book Antiqua" w:eastAsia="Calibri" w:hAnsi="Book Antiqua" w:cs="Cordia New"/>
                <w:szCs w:val="18"/>
                <w:lang w:val="id-ID"/>
              </w:rPr>
              <w:t>Tax Awareness</w:t>
            </w:r>
          </w:p>
        </w:tc>
        <w:tc>
          <w:tcPr>
            <w:tcW w:w="793" w:type="dxa"/>
            <w:shd w:val="clear" w:color="auto" w:fill="auto"/>
          </w:tcPr>
          <w:p w14:paraId="5732794C"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,346</w:t>
            </w:r>
          </w:p>
        </w:tc>
        <w:tc>
          <w:tcPr>
            <w:tcW w:w="1276" w:type="dxa"/>
            <w:shd w:val="clear" w:color="auto" w:fill="auto"/>
          </w:tcPr>
          <w:p w14:paraId="46644C60"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,054</w:t>
            </w:r>
          </w:p>
        </w:tc>
        <w:tc>
          <w:tcPr>
            <w:tcW w:w="1438" w:type="dxa"/>
            <w:shd w:val="clear" w:color="auto" w:fill="auto"/>
          </w:tcPr>
          <w:p w14:paraId="10D2CAB5"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,417</w:t>
            </w:r>
          </w:p>
        </w:tc>
        <w:tc>
          <w:tcPr>
            <w:tcW w:w="851" w:type="dxa"/>
            <w:shd w:val="clear" w:color="auto" w:fill="auto"/>
          </w:tcPr>
          <w:p w14:paraId="01B72E57"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6,381</w:t>
            </w:r>
          </w:p>
        </w:tc>
        <w:tc>
          <w:tcPr>
            <w:tcW w:w="566" w:type="dxa"/>
            <w:shd w:val="clear" w:color="auto" w:fill="auto"/>
          </w:tcPr>
          <w:p w14:paraId="6B797600"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,000</w:t>
            </w:r>
          </w:p>
        </w:tc>
      </w:tr>
      <w:tr w:rsidR="00563580" w:rsidRPr="000034CC" w14:paraId="3E7C09AD" w14:textId="77777777" w:rsidTr="00F0642B">
        <w:tc>
          <w:tcPr>
            <w:tcW w:w="816" w:type="dxa"/>
            <w:shd w:val="clear" w:color="auto" w:fill="auto"/>
          </w:tcPr>
          <w:p w14:paraId="748BA219" w14:textId="77777777" w:rsidR="00563580" w:rsidRPr="000034CC" w:rsidRDefault="00563580" w:rsidP="00F0642B">
            <w:pPr>
              <w:widowControl/>
              <w:jc w:val="left"/>
              <w:rPr>
                <w:rFonts w:ascii="Book Antiqua" w:eastAsia="Calibri" w:hAnsi="Book Antiqua" w:cs="Cordia New"/>
                <w:szCs w:val="18"/>
                <w:lang w:val="id-ID"/>
              </w:rPr>
            </w:pPr>
          </w:p>
        </w:tc>
        <w:tc>
          <w:tcPr>
            <w:tcW w:w="2132" w:type="dxa"/>
            <w:shd w:val="clear" w:color="auto" w:fill="auto"/>
          </w:tcPr>
          <w:p w14:paraId="2BD69337" w14:textId="77777777" w:rsidR="00563580" w:rsidRPr="000034CC" w:rsidRDefault="00563580" w:rsidP="00F0642B">
            <w:pPr>
              <w:widowControl/>
              <w:jc w:val="left"/>
              <w:rPr>
                <w:rFonts w:ascii="Book Antiqua" w:eastAsia="Calibri" w:hAnsi="Book Antiqua" w:cs="Cordia New"/>
                <w:szCs w:val="18"/>
                <w:lang w:val="id-ID"/>
              </w:rPr>
            </w:pPr>
            <w:r w:rsidRPr="000034CC">
              <w:rPr>
                <w:rFonts w:ascii="Book Antiqua" w:eastAsia="Calibri" w:hAnsi="Book Antiqua" w:cs="Cordia New"/>
                <w:szCs w:val="18"/>
                <w:lang w:val="id-ID"/>
              </w:rPr>
              <w:t>Taxation System</w:t>
            </w:r>
          </w:p>
        </w:tc>
        <w:tc>
          <w:tcPr>
            <w:tcW w:w="793" w:type="dxa"/>
            <w:shd w:val="clear" w:color="auto" w:fill="auto"/>
          </w:tcPr>
          <w:p w14:paraId="61DA81D1"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,289</w:t>
            </w:r>
          </w:p>
        </w:tc>
        <w:tc>
          <w:tcPr>
            <w:tcW w:w="1276" w:type="dxa"/>
            <w:shd w:val="clear" w:color="auto" w:fill="auto"/>
          </w:tcPr>
          <w:p w14:paraId="16B30ACA"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,083</w:t>
            </w:r>
          </w:p>
        </w:tc>
        <w:tc>
          <w:tcPr>
            <w:tcW w:w="1438" w:type="dxa"/>
            <w:shd w:val="clear" w:color="auto" w:fill="auto"/>
          </w:tcPr>
          <w:p w14:paraId="6DB1B561"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,219</w:t>
            </w:r>
          </w:p>
        </w:tc>
        <w:tc>
          <w:tcPr>
            <w:tcW w:w="851" w:type="dxa"/>
            <w:shd w:val="clear" w:color="auto" w:fill="auto"/>
          </w:tcPr>
          <w:p w14:paraId="55884DD0"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3,479</w:t>
            </w:r>
          </w:p>
        </w:tc>
        <w:tc>
          <w:tcPr>
            <w:tcW w:w="566" w:type="dxa"/>
            <w:shd w:val="clear" w:color="auto" w:fill="auto"/>
          </w:tcPr>
          <w:p w14:paraId="691DFCE7"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,001</w:t>
            </w:r>
          </w:p>
        </w:tc>
      </w:tr>
      <w:tr w:rsidR="00563580" w:rsidRPr="000034CC" w14:paraId="2E51BB76" w14:textId="77777777" w:rsidTr="00F0642B">
        <w:tc>
          <w:tcPr>
            <w:tcW w:w="816" w:type="dxa"/>
            <w:tcBorders>
              <w:bottom w:val="single" w:sz="4" w:space="0" w:color="auto"/>
            </w:tcBorders>
            <w:shd w:val="clear" w:color="auto" w:fill="auto"/>
          </w:tcPr>
          <w:p w14:paraId="378C10EF" w14:textId="77777777" w:rsidR="00563580" w:rsidRPr="000034CC" w:rsidRDefault="00563580" w:rsidP="00F0642B">
            <w:pPr>
              <w:widowControl/>
              <w:jc w:val="left"/>
              <w:rPr>
                <w:rFonts w:ascii="Book Antiqua" w:eastAsia="Calibri" w:hAnsi="Book Antiqua" w:cs="Cordia New"/>
                <w:szCs w:val="18"/>
                <w:lang w:val="id-ID"/>
              </w:rPr>
            </w:pPr>
          </w:p>
        </w:tc>
        <w:tc>
          <w:tcPr>
            <w:tcW w:w="2132" w:type="dxa"/>
            <w:tcBorders>
              <w:bottom w:val="single" w:sz="4" w:space="0" w:color="auto"/>
            </w:tcBorders>
            <w:shd w:val="clear" w:color="auto" w:fill="auto"/>
          </w:tcPr>
          <w:p w14:paraId="1372678F" w14:textId="77777777" w:rsidR="00563580" w:rsidRPr="000034CC" w:rsidRDefault="00563580" w:rsidP="00F0642B">
            <w:pPr>
              <w:widowControl/>
              <w:jc w:val="left"/>
              <w:rPr>
                <w:rFonts w:ascii="Book Antiqua" w:eastAsia="Calibri" w:hAnsi="Book Antiqua" w:cs="Cordia New"/>
                <w:szCs w:val="18"/>
                <w:lang w:val="id-ID"/>
              </w:rPr>
            </w:pPr>
            <w:r w:rsidRPr="000034CC">
              <w:rPr>
                <w:rFonts w:ascii="Book Antiqua" w:eastAsia="Calibri" w:hAnsi="Book Antiqua" w:cs="Cordia New"/>
                <w:szCs w:val="18"/>
                <w:lang w:val="id-ID"/>
              </w:rPr>
              <w:t>Tax Sanctions</w:t>
            </w:r>
          </w:p>
        </w:tc>
        <w:tc>
          <w:tcPr>
            <w:tcW w:w="793" w:type="dxa"/>
            <w:tcBorders>
              <w:bottom w:val="single" w:sz="4" w:space="0" w:color="auto"/>
            </w:tcBorders>
            <w:shd w:val="clear" w:color="auto" w:fill="auto"/>
          </w:tcPr>
          <w:p w14:paraId="26FB9E69"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,265</w:t>
            </w:r>
          </w:p>
        </w:tc>
        <w:tc>
          <w:tcPr>
            <w:tcW w:w="1276" w:type="dxa"/>
            <w:tcBorders>
              <w:bottom w:val="single" w:sz="4" w:space="0" w:color="auto"/>
            </w:tcBorders>
            <w:shd w:val="clear" w:color="auto" w:fill="auto"/>
          </w:tcPr>
          <w:p w14:paraId="1DF8E43C"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,052</w:t>
            </w:r>
          </w:p>
        </w:tc>
        <w:tc>
          <w:tcPr>
            <w:tcW w:w="1438" w:type="dxa"/>
            <w:tcBorders>
              <w:bottom w:val="single" w:sz="4" w:space="0" w:color="auto"/>
            </w:tcBorders>
            <w:shd w:val="clear" w:color="auto" w:fill="auto"/>
          </w:tcPr>
          <w:p w14:paraId="70588D36"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,315</w:t>
            </w:r>
          </w:p>
        </w:tc>
        <w:tc>
          <w:tcPr>
            <w:tcW w:w="851" w:type="dxa"/>
            <w:tcBorders>
              <w:bottom w:val="single" w:sz="4" w:space="0" w:color="auto"/>
            </w:tcBorders>
            <w:shd w:val="clear" w:color="auto" w:fill="auto"/>
          </w:tcPr>
          <w:p w14:paraId="102E5265"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5,128</w:t>
            </w:r>
          </w:p>
        </w:tc>
        <w:tc>
          <w:tcPr>
            <w:tcW w:w="566" w:type="dxa"/>
            <w:tcBorders>
              <w:bottom w:val="single" w:sz="4" w:space="0" w:color="auto"/>
            </w:tcBorders>
            <w:shd w:val="clear" w:color="auto" w:fill="auto"/>
          </w:tcPr>
          <w:p w14:paraId="5C1BB73E" w14:textId="77777777" w:rsidR="00563580" w:rsidRPr="000034CC" w:rsidRDefault="00563580" w:rsidP="00F0642B">
            <w:pPr>
              <w:widowControl/>
              <w:jc w:val="right"/>
              <w:rPr>
                <w:rFonts w:ascii="Book Antiqua" w:eastAsia="Calibri" w:hAnsi="Book Antiqua" w:cs="Cordia New"/>
                <w:szCs w:val="18"/>
                <w:lang w:val="id-ID"/>
              </w:rPr>
            </w:pPr>
            <w:r w:rsidRPr="000034CC">
              <w:rPr>
                <w:rFonts w:ascii="Book Antiqua" w:eastAsia="Calibri" w:hAnsi="Book Antiqua" w:cs="Cordia New"/>
                <w:szCs w:val="18"/>
                <w:lang w:val="id-ID"/>
              </w:rPr>
              <w:t>,000</w:t>
            </w:r>
          </w:p>
        </w:tc>
      </w:tr>
    </w:tbl>
    <w:p w14:paraId="371A72E5" w14:textId="01538302" w:rsidR="00563580" w:rsidRPr="00563580" w:rsidRDefault="00563580" w:rsidP="00563580">
      <w:pPr>
        <w:pStyle w:val="Caption"/>
        <w:jc w:val="both"/>
        <w:rPr>
          <w:b w:val="0"/>
          <w:bCs/>
          <w:lang w:val="id-ID"/>
        </w:rPr>
      </w:pPr>
      <w:r>
        <w:rPr>
          <w:b w:val="0"/>
          <w:bCs/>
          <w:lang w:val="id-ID"/>
        </w:rPr>
        <w:t>Source: Primary data, processed (2023)</w:t>
      </w:r>
    </w:p>
    <w:p w14:paraId="0CB67C75" w14:textId="77777777" w:rsidR="00563580" w:rsidRPr="00D23964" w:rsidRDefault="00563580" w:rsidP="00563580">
      <w:pPr>
        <w:pStyle w:val="JAPSub-Judul"/>
        <w:spacing w:line="360" w:lineRule="auto"/>
        <w:rPr>
          <w:lang w:val="id-ID"/>
        </w:rPr>
      </w:pPr>
      <w:r w:rsidRPr="00743AA4">
        <w:t>DISCUSSION</w:t>
      </w:r>
    </w:p>
    <w:p w14:paraId="4FD14FFF" w14:textId="77777777" w:rsidR="00563580" w:rsidRPr="002E7DCF" w:rsidRDefault="00563580" w:rsidP="00563580">
      <w:pPr>
        <w:pStyle w:val="JAPSub-Judul"/>
      </w:pPr>
      <w:r w:rsidRPr="002E7DCF">
        <w:t>The Influence of Tax Awareness on Entrepreneurs' Intention Not to Commit Tax Fraud</w:t>
      </w:r>
    </w:p>
    <w:p w14:paraId="2BF6CC05" w14:textId="77777777" w:rsidR="00563580" w:rsidRPr="002E7DCF" w:rsidRDefault="00563580" w:rsidP="00563580">
      <w:pPr>
        <w:pStyle w:val="Ventura-Content"/>
        <w:rPr>
          <w:lang w:val="sv-SE"/>
        </w:rPr>
      </w:pPr>
      <w:r w:rsidRPr="002E7DCF">
        <w:rPr>
          <w:lang w:val="sv-SE"/>
        </w:rPr>
        <w:t>The research results show that tax awareness has a significant positive influence on young entrepreneurs' intention not to commit tax fraud. Proven by the results of SPSS 23 data processing, the t-count value produced by the tax awareness variable is 6.381 &gt; 1.976 t table with a significance level of 0.000 &lt;0.05. This means that H0 is rejected and H1 is accepted, so that the first hypothesis in this research with the statement that higher tax awareness has a positive effect on the intention of young entrepreneurs not to commit tax fraud is accepted.</w:t>
      </w:r>
    </w:p>
    <w:p w14:paraId="35FDA240" w14:textId="77777777" w:rsidR="00563580" w:rsidRPr="00D36AEA" w:rsidRDefault="00563580" w:rsidP="00563580">
      <w:pPr>
        <w:pStyle w:val="Ventura-Content"/>
        <w:rPr>
          <w:lang w:val="sv-SE"/>
        </w:rPr>
      </w:pPr>
      <w:r w:rsidRPr="002E7DCF">
        <w:rPr>
          <w:lang w:val="sv-SE"/>
        </w:rPr>
        <w:t>Research results from</w:t>
      </w:r>
      <w:r>
        <w:rPr>
          <w:lang w:val="id-ID"/>
        </w:rPr>
        <w:t xml:space="preserve"> </w:t>
      </w:r>
      <w:r>
        <w:rPr>
          <w:lang w:val="id-ID"/>
        </w:rPr>
        <w:fldChar w:fldCharType="begin" w:fldLock="1"/>
      </w:r>
      <w:r>
        <w:rPr>
          <w:lang w:val="id-ID"/>
        </w:rPr>
        <w:instrText>ADDIN CSL_CITATION {"citationItems":[{"id":"ITEM-1","itemData":{"DOI":"10.31258/jc.2.2.205-216","ISSN":"2721-2416","abstract":"This study aims to test the influence of E-Filling implementation, tax awareness, and tax sanctions on the compliance of private taxpayers. The population of this research is a private taxpayer who lives in dki Jakarta area who has an NPWP and has used E-Filling. Data in the form of questionnaires disseminated through Google Form and obtained samples used by as many as 100 respondents and processed with Smart PLS 3. The results showed the application of E-Filling system and tax awareness had an effect on the compliance of private taxpayers. While tax sanctions have no effect on the compliance of private taxpayers.","author":[{"dropping-particle":"","family":"Natalia","given":"Cindy","non-dropping-particle":"","parse-names":false,"suffix":""},{"dropping-particle":"","family":"Riswandari","given":"Ernie","non-dropping-particle":"","parse-names":false,"suffix":""}],"container-title":"CURRENT: Jurnal Kajian Akuntansi dan Bisnis Terkini","id":"ITEM-1","issue":"2","issued":{"date-parts":[["2021"]]},"page":"205-216","title":"Penerapan Sistem E-Filling, Kesadaran Perpajakan, Dan Sanksi Perpajakan Pada Kepatuhan Wajib Pajak Orang Pribadi","type":"article-journal","volume":"2"},"uris":["http://www.mendeley.com/documents/?uuid=6ce91b09-d801-4dbf-9611-3fd65d6b1ce1"]},{"id":"ITEM-2","itemData":{"ISBN":"9788578110796","ISSN":"1098-6596","PMID":"25246403","abstract":"Predicting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approach.","author":[{"dropping-particle":"","family":"Santi","given":"Anisa Nirmala","non-dropping-particle":"","parse-names":false,"suffix":""}],"container-title":"Journal of Chemical Information and Modeling","id":"ITEM-2","issue":"9","issued":{"date-parts":[["2012"]]},"page":"1689-1699","title":"Analisis Pengaruh Kesadaran Perpajakan, Sikap Rasional, Lingkungan, Sanksi Denda Dan Sikap Fiskus Terhadap Kepatuhan Wajib Pajak (Studi Pada Wilayah Kpp Kota Malang)","type":"article-journal","volume":"53"},"uris":["http://www.mendeley.com/documents/?uuid=a9a6d34f-05d2-46a6-9402-26b7a630751c"]},{"id":"ITEM-3","itemData":{"DOI":"10.24964/ja.v5i1.253","ISSN":"2088-768X","abstract":"This study aimed to examine the effect of knowledge of the taxpayer, the taxpayer awareness, motor vehicle tax penalties, and the system of samsat drive thru on tax compliance in the motor vehicle in samsat Bantul. The data that is used in this study are primary data from the results of questionnaires. Respondents in this study are the taxpayer automobiles that make tax payments in the system samsat drive-thru. The questionnaire was distributed to 110 respondents and data that can be processed are 100 questionnaires. The sampling method used accidental sampling. The data analysis techniques in this study used multiple linear regression techniques. Results of regression analysis showed that the awareness of taxpayers and system of samsat drive-thru has positive effect on tax compliance motor vehicle while knowledge of taxpayers and tax penalties vehicle had no significant effect on tax compliance vehicle.\r  \r Keywords:\r Knowledge taxpayer, taxpayer awareness, tax penalties motor vehicles, and drive-thru samsat systems, motor vehicle tax compliance.","author":[{"dropping-particle":"","family":"Wardani","given":"Dewi Kusuma","non-dropping-particle":"","parse-names":false,"suffix":""},{"dropping-particle":"","family":"Rumiyatun","given":"Rumiyatun","non-dropping-particle":"","parse-names":false,"suffix":""}],"container-title":"Jurnal Akuntansi","id":"ITEM-3","issue":"1","issued":{"date-parts":[["2017"]]},"page":"15","title":"Pengaruh Pengetahuan Wajib Pajak, Kesadaran Wajib Pajak, Sanksi Pajak Kendaraan Bermotor, Dan Sistem Samsat Drive Thru Terhadap Kepatuhan Wajib Pajak Kendaraan Bermotor","type":"article-journal","volume":"5"},"uris":["http://www.mendeley.com/documents/?uuid=8dd0edcc-e400-47fb-b900-a0bc34fb9803"]}],"mendeley":{"formattedCitation":"(Natalia &amp; Riswandari, 2021; Santi, 2012; Wardani &amp; Rumiyatun, 2017)","manualFormatting":"Natalia &amp; Riswandari, (2021); Santi, (2012); Wardani &amp; Rumiyatun, (2017)","plainTextFormattedCitation":"(Natalia &amp; Riswandari, 2021; Santi, 2012; Wardani &amp; Rumiyatun, 2017)","previouslyFormattedCitation":"(Natalia &amp; Riswandari, 2021; Santi, 2012; Wardani &amp; Rumiyatun, 2017)"},"properties":{"noteIndex":0},"schema":"https://github.com/citation-style-language/schema/raw/master/csl-citation.json"}</w:instrText>
      </w:r>
      <w:r>
        <w:rPr>
          <w:lang w:val="id-ID"/>
        </w:rPr>
        <w:fldChar w:fldCharType="separate"/>
      </w:r>
      <w:r w:rsidRPr="00D6636F">
        <w:rPr>
          <w:noProof/>
          <w:lang w:val="id-ID"/>
        </w:rPr>
        <w:t xml:space="preserve">Natalia &amp; Riswandari, </w:t>
      </w:r>
      <w:r>
        <w:rPr>
          <w:noProof/>
          <w:lang w:val="id-ID"/>
        </w:rPr>
        <w:t>(</w:t>
      </w:r>
      <w:r w:rsidRPr="00D6636F">
        <w:rPr>
          <w:noProof/>
          <w:lang w:val="id-ID"/>
        </w:rPr>
        <w:t>2021</w:t>
      </w:r>
      <w:r>
        <w:rPr>
          <w:noProof/>
          <w:lang w:val="id-ID"/>
        </w:rPr>
        <w:t>)</w:t>
      </w:r>
      <w:r w:rsidRPr="00D6636F">
        <w:rPr>
          <w:noProof/>
          <w:lang w:val="id-ID"/>
        </w:rPr>
        <w:t xml:space="preserve">; Santi, </w:t>
      </w:r>
      <w:r>
        <w:rPr>
          <w:noProof/>
          <w:lang w:val="id-ID"/>
        </w:rPr>
        <w:t>(</w:t>
      </w:r>
      <w:r w:rsidRPr="00D6636F">
        <w:rPr>
          <w:noProof/>
          <w:lang w:val="id-ID"/>
        </w:rPr>
        <w:t>2012</w:t>
      </w:r>
      <w:r>
        <w:rPr>
          <w:noProof/>
          <w:lang w:val="id-ID"/>
        </w:rPr>
        <w:t>)</w:t>
      </w:r>
      <w:r w:rsidRPr="00D6636F">
        <w:rPr>
          <w:noProof/>
          <w:lang w:val="id-ID"/>
        </w:rPr>
        <w:t xml:space="preserve">; Wardani &amp; Rumiyatun, </w:t>
      </w:r>
      <w:r>
        <w:rPr>
          <w:noProof/>
          <w:lang w:val="id-ID"/>
        </w:rPr>
        <w:t>(</w:t>
      </w:r>
      <w:r w:rsidRPr="00D6636F">
        <w:rPr>
          <w:noProof/>
          <w:lang w:val="id-ID"/>
        </w:rPr>
        <w:t>2017)</w:t>
      </w:r>
      <w:r>
        <w:rPr>
          <w:lang w:val="id-ID"/>
        </w:rPr>
        <w:fldChar w:fldCharType="end"/>
      </w:r>
      <w:r w:rsidRPr="002E7DCF">
        <w:rPr>
          <w:lang w:val="sv-SE"/>
        </w:rPr>
        <w:t xml:space="preserve"> consistently and in line with research conducted, stated that tax awareness has a positive effect on taxpayer compliance. The higher the awareness of taxpayers, the lower the incidence of tax fraud.</w:t>
      </w:r>
    </w:p>
    <w:p w14:paraId="5E464132" w14:textId="77777777" w:rsidR="00563580" w:rsidRDefault="00563580" w:rsidP="00563580">
      <w:pPr>
        <w:pStyle w:val="JAPSub-Judul"/>
      </w:pPr>
    </w:p>
    <w:p w14:paraId="48401419" w14:textId="77777777" w:rsidR="00563580" w:rsidRPr="002E7DCF" w:rsidRDefault="00563580" w:rsidP="00563580">
      <w:pPr>
        <w:pStyle w:val="JAPSub-Judul"/>
      </w:pPr>
      <w:r w:rsidRPr="002E7DCF">
        <w:t>The Influence of the Taxation System on Young Entrepreneurs' Intentions Not to Commit Tax Fraud</w:t>
      </w:r>
    </w:p>
    <w:p w14:paraId="5D4FE35D" w14:textId="77777777" w:rsidR="00563580" w:rsidRPr="002E7DCF" w:rsidRDefault="00563580" w:rsidP="00563580">
      <w:pPr>
        <w:pStyle w:val="Ventura-Content"/>
        <w:rPr>
          <w:lang w:val="sv-SE"/>
        </w:rPr>
      </w:pPr>
      <w:r w:rsidRPr="002E7DCF">
        <w:rPr>
          <w:lang w:val="sv-SE"/>
        </w:rPr>
        <w:t>The research results show that the tax system has a significant positive influence on the intention of young entrepreneurs not to commit tax fraud. Proven by the results of SPSS 23 data processing, the t-count value produced by the tax system variable is 3.479&gt;1.976 t table with a significance level of 0.001&lt;0.05. This means that H0 is rejected and H1 is accepted, so that the second hypothesis in this research with the statement that a transparent and fair tax system has a positive effect on the intention of young entrepreneurs not to commit tax fraud is accepted.</w:t>
      </w:r>
    </w:p>
    <w:p w14:paraId="5CD25048" w14:textId="77777777" w:rsidR="00563580" w:rsidRDefault="00563580" w:rsidP="00563580">
      <w:pPr>
        <w:pStyle w:val="Ventura-Content"/>
        <w:rPr>
          <w:lang w:val="sv-SE"/>
        </w:rPr>
      </w:pPr>
      <w:r w:rsidRPr="002E7DCF">
        <w:rPr>
          <w:lang w:val="sv-SE"/>
        </w:rPr>
        <w:t>Research results from</w:t>
      </w:r>
      <w:r>
        <w:rPr>
          <w:lang w:val="id-ID"/>
        </w:rPr>
        <w:t xml:space="preserve"> </w:t>
      </w:r>
      <w:r>
        <w:rPr>
          <w:lang w:val="id-ID"/>
        </w:rPr>
        <w:fldChar w:fldCharType="begin" w:fldLock="1"/>
      </w:r>
      <w:r>
        <w:rPr>
          <w:lang w:val="id-ID"/>
        </w:rPr>
        <w:instrText>ADDIN CSL_CITATION {"citationItems":[{"id":"ITEM-1","itemData":{"abstract":"This study examines the influence of fairness, tax system, and discrimination on ethical perceptions of taxpayer about tax evasion in Indonesia specially in Daerah Istimewa Yogyakarta. This study use survey method, with personal income taxpayer in Daerah Istimewa Yogyakarta as respondents. The results of this study indicate that the tax system has positive associated with perceptions of ethical taxpayer, and discrimination has negative associated with perceptions of ethical taxpayer. While fairness has positive associated with ethical perceptions of taxpayer can not be proved.","author":[{"dropping-particle":"","family":"Suminarsasi","given":"Wahyu; Supriyadi","non-dropping-particle":"","parse-names":false,"suffix":""}],"container-title":"SNA 15 Banjarmasin","id":"ITEM-1","issue":"2 (oktober)","issued":{"date-parts":[["2012"]]},"number-of-pages":"0-29","title":"Pengaruh Keadilan, Sistem Perpajakan, Dan Diskriminasi Terhadapterhadap Persepsi Wajib Pajak Mengenai Etika Penggelapan Pajak ( Tax Evasion ) Wahyu Suminarsasi Universitas Gadjah Mada Supriyadi Universitas Gadjah Mada Fairness , Tax System , Discriminatio","type":"report","volume":"1"},"uris":["http://www.mendeley.com/documents/?uuid=cdb32abd-19a9-30cd-9fb5-484ebdbc63a6"]},{"id":"ITEM-2","itemData":{"DOI":"10.9744/jmk.17.2.135","ISBN":"978-0-615-18550-7","ISSN":"1907-235X","abstract":"Basically, service can be said as act of serving others to fullfill their needs and wants. Level of satisfaction achieved from service that can be measured through what the consumer feel after receiving the service, comparing with their expectation of service quality. This study intended to observe the lack of expected and actual service received by consumers of Tunjungan Plaza Surabaya. Factors to be observed are availability and how easy to find the product, responsibility of quality and pricing, responsibility of product safety, and consumers security.\\r\\n\\r\\n\\r\\nAbstract in Bahasa Indonesia :\\r\\n\\r\\nPelayanan pada dasarnya dapat dikatakan sebagai suatu tindakan dan perlakuan atau cara melayani orang lain untuk memenuhi apa yang menjadi kebutuhan dan keinginannya. Tingkat kepuasan konsumen atas suatu pelayanan dapat diukur dengan membandingkan antara harapan konsumen terhadap kualitas pelayanan yang diinginkannya dengan kenyataan yang diterimanya atau dirasakannya. Studi ini untuk melihat kesenjangan antara jasa yang diharapakan dengan jasa yang dirasakan oleh pengunjung Plaza Tunjungan Surabaya. Kemudahan dan kelengkapan penyediaan berbagai produk, tanggung jawab atas kualitas dan penetapan harga, serta tanggung jawab atas keamanan barang dan keselamatan pengunjung maupun pembeli merupakan faktor-faktor paling sesuai antara apa yang diharapkan dengan apa yang dirasakan konsumen pengunjung Plaza Tunjungan Surabaya.\\r\\n\\r\\nKata kunci: kualitas pelayanan, kepuasan konsumen.","author":[{"dropping-particle":"","family":"Suwono","given":"Diah Indriani","non-dropping-particle":"","parse-names":false,"suffix":""},{"dropping-particle":"","family":"Sutanto","given":"Eddy Madiono","non-dropping-particle":"","parse-names":false,"suffix":""}],"container-title":"Jurnal Manajemen dan Kewirausahaan","id":"ITEM-2","issue":"2","issued":{"date-parts":[["2015"]]},"page":"41-59","title":"Hubungan Lingkungan Kerja, Disiplin Kerja, Dan Kinerja Karyawan","type":"article-journal","volume":"17"},"uris":["http://www.mendeley.com/documents/?uuid=fdb27e30-9238-4af8-b05a-16b1b4d9970c"]}],"mendeley":{"formattedCitation":"(Suminarsasi, 2012; Suwono &amp; Sutanto, 2015)","manualFormatting":"Suminarsasi, (2012); Suwono &amp; Sutanto, (2015)","plainTextFormattedCitation":"(Suminarsasi, 2012; Suwono &amp; Sutanto, 2015)","previouslyFormattedCitation":"(Suminarsasi, 2012; Suwono &amp; Sutanto, 2015)"},"properties":{"noteIndex":0},"schema":"https://github.com/citation-style-language/schema/raw/master/csl-citation.json"}</w:instrText>
      </w:r>
      <w:r>
        <w:rPr>
          <w:lang w:val="id-ID"/>
        </w:rPr>
        <w:fldChar w:fldCharType="separate"/>
      </w:r>
      <w:r w:rsidRPr="00D6636F">
        <w:rPr>
          <w:noProof/>
          <w:lang w:val="id-ID"/>
        </w:rPr>
        <w:t xml:space="preserve">Suminarsasi, </w:t>
      </w:r>
      <w:r>
        <w:rPr>
          <w:noProof/>
          <w:lang w:val="id-ID"/>
        </w:rPr>
        <w:t>(</w:t>
      </w:r>
      <w:r w:rsidRPr="00D6636F">
        <w:rPr>
          <w:noProof/>
          <w:lang w:val="id-ID"/>
        </w:rPr>
        <w:t>2012</w:t>
      </w:r>
      <w:r>
        <w:rPr>
          <w:noProof/>
          <w:lang w:val="id-ID"/>
        </w:rPr>
        <w:t>)</w:t>
      </w:r>
      <w:r w:rsidRPr="00D6636F">
        <w:rPr>
          <w:noProof/>
          <w:lang w:val="id-ID"/>
        </w:rPr>
        <w:t xml:space="preserve">; Suwono &amp; Sutanto, </w:t>
      </w:r>
      <w:r>
        <w:rPr>
          <w:noProof/>
          <w:lang w:val="id-ID"/>
        </w:rPr>
        <w:t>(</w:t>
      </w:r>
      <w:r w:rsidRPr="00D6636F">
        <w:rPr>
          <w:noProof/>
          <w:lang w:val="id-ID"/>
        </w:rPr>
        <w:t>2015)</w:t>
      </w:r>
      <w:r>
        <w:rPr>
          <w:lang w:val="id-ID"/>
        </w:rPr>
        <w:fldChar w:fldCharType="end"/>
      </w:r>
      <w:r w:rsidRPr="002E7DCF">
        <w:rPr>
          <w:lang w:val="sv-SE"/>
        </w:rPr>
        <w:t xml:space="preserve"> consistently and in line with research conducted, stated that the better the existing tax system, the more likely tax fraud behavior is to be considered unethical or unreasonable behavior, so the tax system has a positive effect on taxpayers' perceptions regarding the ethics of evasion. .</w:t>
      </w:r>
    </w:p>
    <w:p w14:paraId="0B5ED0C5" w14:textId="77777777" w:rsidR="00563580" w:rsidRPr="002E7DCF" w:rsidRDefault="00563580" w:rsidP="00563580">
      <w:pPr>
        <w:pStyle w:val="Ventura-Content"/>
        <w:rPr>
          <w:lang w:val="sv-SE"/>
        </w:rPr>
      </w:pPr>
    </w:p>
    <w:p w14:paraId="4F7BDDA6" w14:textId="77777777" w:rsidR="00563580" w:rsidRPr="002E7DCF" w:rsidRDefault="00563580" w:rsidP="00563580">
      <w:pPr>
        <w:pStyle w:val="JAPSub-Judul"/>
      </w:pPr>
      <w:r w:rsidRPr="002E7DCF">
        <w:t>The Influence of Tax Sanctions on Young Entrepreneurs' Intentions Not to Commit Tax Fraud</w:t>
      </w:r>
    </w:p>
    <w:p w14:paraId="5DF2F91A" w14:textId="77777777" w:rsidR="00563580" w:rsidRPr="002E7DCF" w:rsidRDefault="00563580" w:rsidP="00563580">
      <w:pPr>
        <w:pStyle w:val="Ventura-Content"/>
        <w:rPr>
          <w:lang w:val="sv-SE"/>
        </w:rPr>
      </w:pPr>
      <w:r w:rsidRPr="002E7DCF">
        <w:rPr>
          <w:lang w:val="sv-SE"/>
        </w:rPr>
        <w:t>The research results show that tax sanctions have a significant positive influence on the intention of young entrepreneurs not to commit tax fraud. Proven by the results of SPSS 23 data processing, the t-count value produced by the tax sanctions variable is 5.128 &gt; 1.976 t table with a significance level of 0.000 &lt; 0.05. This means that H0 is rejected and H1 is accepted, so that the third hypothesis in this research with a statement that tax sanctions are more firm and strict has a positive effect on the intention of young entrepreneurs not to commit tax fraud is accepted.</w:t>
      </w:r>
    </w:p>
    <w:p w14:paraId="4D4B4571" w14:textId="77777777" w:rsidR="00563580" w:rsidRPr="00B33009" w:rsidRDefault="00563580" w:rsidP="00563580">
      <w:pPr>
        <w:pStyle w:val="Ventura-Content"/>
        <w:rPr>
          <w:lang w:val="sv-SE"/>
        </w:rPr>
      </w:pPr>
      <w:r w:rsidRPr="002E7DCF">
        <w:rPr>
          <w:lang w:val="sv-SE"/>
        </w:rPr>
        <w:t>Research results from</w:t>
      </w:r>
      <w:r>
        <w:rPr>
          <w:lang w:val="id-ID"/>
        </w:rPr>
        <w:t xml:space="preserve"> </w:t>
      </w:r>
      <w:r>
        <w:rPr>
          <w:lang w:val="id-ID"/>
        </w:rPr>
        <w:fldChar w:fldCharType="begin" w:fldLock="1"/>
      </w:r>
      <w:r>
        <w:rPr>
          <w:lang w:val="id-ID"/>
        </w:rPr>
        <w:instrText>ADDIN CSL_CITATION {"citationItems":[{"id":"ITEM-1","itemData":{"DOI":"10.36778/jesya.v5i2.796","ISSN":"2614-3259","abstract":"Tujuan investigasi adalah untuk mengetahui pengaruh insentif pajak, sanksi pajak, dan pelayanan pajak terhadap kepatuhan wajib pajak UMKM. Sampel penelitian ini adalah wajib pajak UMKM di Pasar Rebo Jakarta Timur dengan responden sebanyak 100 responden. Metode purposive sampling digunakan terkait dengan pemilihan sampel. Jenis data kuantitatif digunakan pada penelitian ini. Hasil riset ini adalah terdapat pengaruh insentif pajak, saksi pajak, dan pelayanan pajak terhadap kepatuhan wajib pajak UMKM, yang artinya bahwa insentif pajak, sanksi pajak, dan pelayanan pajak dapat meningkatkan kepatuhan wajib pajak UMKM","author":[{"dropping-particle":"","family":"Andreansyah","given":"Fiqi","non-dropping-particle":"","parse-names":false,"suffix":""},{"dropping-particle":"","family":"Farina","given":"Khoirina","non-dropping-particle":"","parse-names":false,"suffix":""}],"container-title":"Jesya","id":"ITEM-1","issue":"2","issued":{"date-parts":[["2022"]]},"page":"2097-2104","title":"Analisis Pengaruh Insentif Pajak, Sanksi Pajak Dan Pelayanan Pajak Terhadap Kepatuhan Wajib Pajak UMKM","type":"article-journal","volume":"5"},"uris":["http://www.mendeley.com/documents/?uuid=5711f846-b57f-4ed9-adaa-13f26172e824"]},{"id":"ITEM-2","itemData":{"abstract":"more than one year and had a small and medium enterprise in the area of KPP Pratama Pati, and from that number 100 respondents were taken as respondents. Variables in this study were tax penalties (X1), taxpayer awareness (X2), and tax service quality (X3), taxpayer compliance (Y). Methods of data collection are questionnaires and observations. The analytical method is the classic assumption test which consists of normality test, multicollinearity test, autocorrelation test, heteroscedasticity test and multiple regression analysis that consist of F test, t test, and coefficient of determination (R2) test. The results showed that respondents' responses to tax penalties were very good, awareness of taxpayers and the quality of tax office services were also very good, and taxpayer compliance at KPP Pratama Pati was also very high. The results of the t test obtained a value of p &lt;0.05 for the three independent variables with a positive correlation coefficient value of 0.582; 0.293; and 0,980 for variable tax penalties, taxpayer awareness and service quality of the tax office. The explanatory power of the three variables towards taxpayer compliance is 61.9%. The conclusions in this study are: tax penalties, awareness of taxpayers and the quality of tax services have a positive and significant effect on taxpayer compliance. The dominant factor affecting personal taxpayer compliance is the service quality of the tax office.","author":[{"dropping-particle":"","family":"Nafiah","given":"Zumrotun","non-dropping-particle":"","parse-names":false,"suffix":""},{"dropping-particle":"","family":"Sopi","given":"","non-dropping-particle":"","parse-names":false,"suffix":""},{"dropping-particle":"","family":"Novadalina","given":"Arini","non-dropping-particle":"","parse-names":false,"suffix":""}],"container-title":"Jurnal STIE Semarang","id":"ITEM-2","issue":"2","issued":{"date-parts":[["2021"]]},"page":"1-12","title":"Pengaruh Sanksi Pajak, Kesadaran Wajib Pajak, dan Kualitas Pelayanan Pajak Terhadap Kepatuhan Wajib Pajak Orang Pribadi di KPP Pratama Pati","type":"article-journal","volume":"13"},"uris":["http://www.mendeley.com/documents/?uuid=696d5c0f-936e-4dc1-9eba-a66277188379"]},{"id":"ITEM-3","itemData":{"DOI":"10.31326/tabr.v3i2.1477","abstract":"Penelitian ini bertujuan untuk menganalisis kesadaran wajib pajak, pemahaman perajakan,\ndan sanksi pajak terhadap kepatuhan wajib pajak UMKM. Sampel yang digunakan dalam\npenelitian ini adalah wajib pajak UMKM di Pasar Tohaga Cibinong sebanyak 100 responden.\nTeknik pengambilan sampel yang digunakan pada penelitian ini yaitu purposive sampling.\nJenis data yang digunakan adalah data primer. Jenis penelitian ini adalah penelitian\nkuantitatif dengan teknik pengumpulan data yaitu metode penyebaran kuesioner melalui\ngoogle form menggunakan skala likert. Teknik analisis data pada penelitian ini dilakukan\nmenggunakan metode program perangkat lunak SmartPLS versi 3.2.9. Hasil penelitian ini\nmenunjukkan bahwa sanksi pajak berpengaruh positif dan signifikan terhadap kepatuhan\nwajib pajak UMKM. Sedangkan kesadaran wajib pajak dan pemahaman perpajakan tidak\nberpengaruh terhadap kepatuhan wajib pajak UMKM.","author":[{"dropping-particle":"","family":"Rizki","given":"Muhammad","non-dropping-particle":"","parse-names":false,"suffix":""},{"dropping-particle":"","family":"Farina","given":"Khoirina","non-dropping-particle":"","parse-names":false,"suffix":""}],"container-title":"Trilogi Accounting and Business Research","id":"ITEM-3","issue":"2","issued":{"date-parts":[["2022"]]},"title":"Pengaruh Kesadaran Wajib Pajak, Pemahaman Perpajakan Dan Sanksi Pajak Terhadap Kepatuhan Wajib Pajak Umkm Di Pasar Tohaga Cibinong","type":"article-journal","volume":"3"},"uris":["http://www.mendeley.com/documents/?uuid=8787dd8b-5dfb-4aba-baea-4295f22cc6c1"]}],"mendeley":{"formattedCitation":"(Andreansyah &amp; Farina, 2022; Nafiah et al., 2021; Rizki &amp; Farina, 2022)","manualFormatting":"Andreansyah &amp; Farina, (2022); Nafiah et al., (2021); Rizki &amp; Farina, (2022)","plainTextFormattedCitation":"(Andreansyah &amp; Farina, 2022; Nafiah et al., 2021; Rizki &amp; Farina, 2022)","previouslyFormattedCitation":"(Andreansyah &amp; Farina, 2022; Nafiah et al., 2021; Rizki &amp; Farina, 2022)"},"properties":{"noteIndex":0},"schema":"https://github.com/citation-style-language/schema/raw/master/csl-citation.json"}</w:instrText>
      </w:r>
      <w:r>
        <w:rPr>
          <w:lang w:val="id-ID"/>
        </w:rPr>
        <w:fldChar w:fldCharType="separate"/>
      </w:r>
      <w:r w:rsidRPr="00D6636F">
        <w:rPr>
          <w:noProof/>
          <w:lang w:val="id-ID"/>
        </w:rPr>
        <w:t xml:space="preserve">Andreansyah &amp; Farina, </w:t>
      </w:r>
      <w:r>
        <w:rPr>
          <w:noProof/>
          <w:lang w:val="id-ID"/>
        </w:rPr>
        <w:t>(</w:t>
      </w:r>
      <w:r w:rsidRPr="00D6636F">
        <w:rPr>
          <w:noProof/>
          <w:lang w:val="id-ID"/>
        </w:rPr>
        <w:t>2022</w:t>
      </w:r>
      <w:r>
        <w:rPr>
          <w:noProof/>
          <w:lang w:val="id-ID"/>
        </w:rPr>
        <w:t>)</w:t>
      </w:r>
      <w:r w:rsidRPr="00D6636F">
        <w:rPr>
          <w:noProof/>
          <w:lang w:val="id-ID"/>
        </w:rPr>
        <w:t xml:space="preserve">; Nafiah et al., </w:t>
      </w:r>
      <w:r>
        <w:rPr>
          <w:noProof/>
          <w:lang w:val="id-ID"/>
        </w:rPr>
        <w:t>(</w:t>
      </w:r>
      <w:r w:rsidRPr="00D6636F">
        <w:rPr>
          <w:noProof/>
          <w:lang w:val="id-ID"/>
        </w:rPr>
        <w:t>2021</w:t>
      </w:r>
      <w:r>
        <w:rPr>
          <w:noProof/>
          <w:lang w:val="id-ID"/>
        </w:rPr>
        <w:t>)</w:t>
      </w:r>
      <w:r w:rsidRPr="00D6636F">
        <w:rPr>
          <w:noProof/>
          <w:lang w:val="id-ID"/>
        </w:rPr>
        <w:t xml:space="preserve">; Rizki &amp; Farina, </w:t>
      </w:r>
      <w:r>
        <w:rPr>
          <w:noProof/>
          <w:lang w:val="id-ID"/>
        </w:rPr>
        <w:t>(</w:t>
      </w:r>
      <w:r w:rsidRPr="00D6636F">
        <w:rPr>
          <w:noProof/>
          <w:lang w:val="id-ID"/>
        </w:rPr>
        <w:t>2022)</w:t>
      </w:r>
      <w:r>
        <w:rPr>
          <w:lang w:val="id-ID"/>
        </w:rPr>
        <w:fldChar w:fldCharType="end"/>
      </w:r>
      <w:r w:rsidRPr="002E7DCF">
        <w:rPr>
          <w:lang w:val="sv-SE"/>
        </w:rPr>
        <w:t xml:space="preserve"> consistently and in line with research conducted, stated that sanctions have a significant and positive effect on taxpayer compliance with the provisions of tax laws and regulations that will be complied with, so that tax sanctions are a tool to prevent taxpayers from violating tax norms.</w:t>
      </w:r>
    </w:p>
    <w:p w14:paraId="5BB3E893" w14:textId="77777777" w:rsidR="00563580" w:rsidRDefault="00563580" w:rsidP="00563580">
      <w:pPr>
        <w:pStyle w:val="JAPSub-Judul"/>
      </w:pPr>
    </w:p>
    <w:p w14:paraId="1FEE3828" w14:textId="77777777" w:rsidR="00563580" w:rsidRDefault="00563580" w:rsidP="00563580">
      <w:pPr>
        <w:pStyle w:val="JAPSub-Judul"/>
      </w:pPr>
      <w:r w:rsidRPr="00743AA4">
        <w:t>conclusions and suggestions</w:t>
      </w:r>
    </w:p>
    <w:p w14:paraId="10ED0776" w14:textId="77777777" w:rsidR="00563580" w:rsidRPr="002E7DCF" w:rsidRDefault="00563580" w:rsidP="00563580">
      <w:pPr>
        <w:pStyle w:val="JAPSub-Judul"/>
        <w:rPr>
          <w:lang w:val="id-ID"/>
        </w:rPr>
      </w:pPr>
      <w:r>
        <w:rPr>
          <w:lang w:val="id-ID"/>
        </w:rPr>
        <w:t>conclusion</w:t>
      </w:r>
    </w:p>
    <w:p w14:paraId="704404CB" w14:textId="77777777" w:rsidR="00563580" w:rsidRDefault="00563580" w:rsidP="00563580">
      <w:pPr>
        <w:pStyle w:val="JAPBODYTEXT"/>
      </w:pPr>
      <w:r>
        <w:t>In conclusion, the influence of tax awareness has a positive impact on the intention of young entrepreneurs not to commit tax fraud. The higher the level of tax awareness, the lower the level of tax awareness for young entrepreneurs. Yogyakarta City for committing tax fraud. The conclusion is that the tax system has a positive effect on the intention of young entrepreneurs not to commit tax fraud, that the more transparent, fair, easy, good and controlled the tax system is, the more unethical or unreasonable it is to commit tax fraud. The conclusion is that tax sanctions have a positive effect on the intention of young entrepreneurs not to commit tax fraud, that the implementation of firm and heavy tax sanctions will influence lower levels of tax fraud.</w:t>
      </w:r>
    </w:p>
    <w:p w14:paraId="7C78D229" w14:textId="77777777" w:rsidR="00563580" w:rsidRPr="00743AA4" w:rsidRDefault="00563580" w:rsidP="00563580">
      <w:pPr>
        <w:pStyle w:val="JAPBODYTEXT"/>
      </w:pPr>
      <w:r>
        <w:t>The limitation of this research is that the questionnaire questions used in the research are not detailed enough so that some questions show questions with ambiguous information. Apart from that, this research also uses primary data in the form of a questionnaire, so there is a possibility that the respondents are not serious in filling out the research questionnaire. For further research, if you continue to use the variables tax awareness, tax system and tax sanctions, it would be better to make the questions more detailed and clear so that the information conveyed does not give rise to different understandings. It is hoped that future research can add other independent variables that can influence tax fraud, for example accuracy of allocation and different cultures.</w:t>
      </w:r>
    </w:p>
    <w:p w14:paraId="422356D2" w14:textId="77777777" w:rsidR="00563580" w:rsidRDefault="00563580" w:rsidP="00563580">
      <w:pPr>
        <w:pStyle w:val="Ventura-Formula"/>
        <w:ind w:firstLine="567"/>
        <w:rPr>
          <w:lang w:val="sv-SE"/>
        </w:rPr>
      </w:pPr>
    </w:p>
    <w:p w14:paraId="60C68DBB" w14:textId="77777777" w:rsidR="00563580" w:rsidRPr="00743AA4" w:rsidRDefault="00563580" w:rsidP="00563580">
      <w:pPr>
        <w:pStyle w:val="Ventura-Formula"/>
        <w:rPr>
          <w:lang w:val="sv-SE"/>
        </w:rPr>
      </w:pPr>
    </w:p>
    <w:p w14:paraId="3C3817CD" w14:textId="77777777" w:rsidR="00563580" w:rsidRDefault="00563580" w:rsidP="00563580">
      <w:pPr>
        <w:widowControl/>
        <w:spacing w:after="160" w:line="259" w:lineRule="auto"/>
        <w:jc w:val="left"/>
        <w:rPr>
          <w:rFonts w:ascii="Book Antiqua" w:hAnsi="Book Antiqua"/>
          <w:b/>
          <w:iCs/>
          <w:caps/>
          <w:szCs w:val="18"/>
          <w:lang w:val="id-ID"/>
        </w:rPr>
      </w:pPr>
    </w:p>
    <w:p w14:paraId="4EF5D748" w14:textId="77777777" w:rsidR="00563580" w:rsidRPr="0010253B" w:rsidRDefault="00563580" w:rsidP="00563580">
      <w:pPr>
        <w:pStyle w:val="JAPSub-Judul"/>
        <w:rPr>
          <w:lang w:val="id-ID"/>
        </w:rPr>
        <w:sectPr w:rsidR="00563580" w:rsidRPr="0010253B" w:rsidSect="00563580">
          <w:type w:val="continuous"/>
          <w:pgSz w:w="11907" w:h="16840"/>
          <w:pgMar w:top="1701" w:right="1247" w:bottom="1531" w:left="1134" w:header="1021" w:footer="1077" w:gutter="0"/>
          <w:cols w:space="720"/>
        </w:sectPr>
      </w:pPr>
      <w:r>
        <w:rPr>
          <w:lang w:val="id-ID"/>
        </w:rPr>
        <w:t>References</w:t>
      </w:r>
    </w:p>
    <w:p w14:paraId="4850CDC2" w14:textId="77777777" w:rsidR="00563580" w:rsidRPr="00743AA4" w:rsidRDefault="00563580" w:rsidP="00563580">
      <w:pPr>
        <w:pStyle w:val="JAPBODYTEXT"/>
        <w:ind w:firstLine="0"/>
        <w:sectPr w:rsidR="00563580" w:rsidRPr="00743AA4" w:rsidSect="00563580">
          <w:type w:val="continuous"/>
          <w:pgSz w:w="11907" w:h="16840" w:code="9"/>
          <w:pgMar w:top="1701" w:right="1247" w:bottom="1531" w:left="1134" w:header="1021" w:footer="1077" w:gutter="0"/>
          <w:cols w:space="340"/>
          <w:docGrid w:linePitch="360"/>
        </w:sectPr>
      </w:pPr>
    </w:p>
    <w:p w14:paraId="5EF254D4" w14:textId="77777777" w:rsidR="00563580" w:rsidRPr="00084C60" w:rsidRDefault="00563580" w:rsidP="00563580">
      <w:pPr>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Pr="00084C60">
        <w:rPr>
          <w:noProof/>
        </w:rPr>
        <w:t xml:space="preserve">Andreansyah, F., &amp; Farina, K. (2022). Analisis Pengaruh Insentif Pajak, Sanksi Pajak Dan Pelayanan Pajak Terhadap Kepatuhan Wajib Pajak UMKM. </w:t>
      </w:r>
      <w:r w:rsidRPr="00084C60">
        <w:rPr>
          <w:i/>
          <w:iCs/>
          <w:noProof/>
        </w:rPr>
        <w:t>Jesya</w:t>
      </w:r>
      <w:r w:rsidRPr="00084C60">
        <w:rPr>
          <w:noProof/>
        </w:rPr>
        <w:t xml:space="preserve">, </w:t>
      </w:r>
      <w:r w:rsidRPr="00084C60">
        <w:rPr>
          <w:i/>
          <w:iCs/>
          <w:noProof/>
        </w:rPr>
        <w:t>5</w:t>
      </w:r>
      <w:r w:rsidRPr="00084C60">
        <w:rPr>
          <w:noProof/>
        </w:rPr>
        <w:t>(2), 2097–2104. https://doi.org/10.36778/jesya.v5i2.796</w:t>
      </w:r>
    </w:p>
    <w:p w14:paraId="11AD428D" w14:textId="77777777" w:rsidR="00563580" w:rsidRPr="00084C60" w:rsidRDefault="00563580" w:rsidP="00563580">
      <w:pPr>
        <w:autoSpaceDE w:val="0"/>
        <w:autoSpaceDN w:val="0"/>
        <w:adjustRightInd w:val="0"/>
        <w:ind w:left="480" w:hanging="480"/>
        <w:rPr>
          <w:noProof/>
        </w:rPr>
      </w:pPr>
      <w:r w:rsidRPr="00084C60">
        <w:rPr>
          <w:noProof/>
        </w:rPr>
        <w:t xml:space="preserve">Associe.co.id. (2023). </w:t>
      </w:r>
      <w:r w:rsidRPr="00084C60">
        <w:rPr>
          <w:i/>
          <w:iCs/>
          <w:noProof/>
        </w:rPr>
        <w:t>Pengertian Tax Avoidance</w:t>
      </w:r>
      <w:r w:rsidRPr="00084C60">
        <w:rPr>
          <w:noProof/>
        </w:rPr>
        <w:t>. https://associe.co.id/. https://associe.co.id/tax-and-accounting/tax-avoidance-adalah/</w:t>
      </w:r>
    </w:p>
    <w:p w14:paraId="3EDEE687" w14:textId="77777777" w:rsidR="00563580" w:rsidRPr="00A46B04" w:rsidRDefault="00563580" w:rsidP="00563580">
      <w:pPr>
        <w:autoSpaceDE w:val="0"/>
        <w:autoSpaceDN w:val="0"/>
        <w:adjustRightInd w:val="0"/>
        <w:ind w:left="480" w:hanging="480"/>
        <w:rPr>
          <w:noProof/>
          <w:lang w:val="da-DK"/>
        </w:rPr>
      </w:pPr>
      <w:r w:rsidRPr="00084C60">
        <w:rPr>
          <w:noProof/>
        </w:rPr>
        <w:t xml:space="preserve">Basri, I. Y., Faiza, D., Nasir, M., &amp; Nasrun, N. (2019). Implementasi Pembelajaran Berbasis Produk Dalam Rangka Menyiapkan Lulusan SMK Menjadi Wirausahawan Muda. </w:t>
      </w:r>
      <w:r w:rsidRPr="00A46B04">
        <w:rPr>
          <w:i/>
          <w:iCs/>
          <w:noProof/>
          <w:lang w:val="da-DK"/>
        </w:rPr>
        <w:t>INVOTEK: Jurnal Inovasi Vokasional dan Teknologi</w:t>
      </w:r>
      <w:r w:rsidRPr="00A46B04">
        <w:rPr>
          <w:noProof/>
          <w:lang w:val="da-DK"/>
        </w:rPr>
        <w:t xml:space="preserve">, </w:t>
      </w:r>
      <w:r w:rsidRPr="00A46B04">
        <w:rPr>
          <w:i/>
          <w:iCs/>
          <w:noProof/>
          <w:lang w:val="da-DK"/>
        </w:rPr>
        <w:t>19</w:t>
      </w:r>
      <w:r w:rsidRPr="00A46B04">
        <w:rPr>
          <w:noProof/>
          <w:lang w:val="da-DK"/>
        </w:rPr>
        <w:t>(1), 43–52. https://doi.org/10.24036/invotek.v19i1.433</w:t>
      </w:r>
    </w:p>
    <w:p w14:paraId="083E9194" w14:textId="77777777" w:rsidR="00563580" w:rsidRPr="00A46B04" w:rsidRDefault="00563580" w:rsidP="00563580">
      <w:pPr>
        <w:autoSpaceDE w:val="0"/>
        <w:autoSpaceDN w:val="0"/>
        <w:adjustRightInd w:val="0"/>
        <w:ind w:left="480" w:hanging="480"/>
        <w:rPr>
          <w:noProof/>
          <w:lang w:val="da-DK"/>
        </w:rPr>
      </w:pPr>
      <w:r w:rsidRPr="00A46B04">
        <w:rPr>
          <w:noProof/>
          <w:lang w:val="da-DK"/>
        </w:rPr>
        <w:t xml:space="preserve">BPS. (2023). </w:t>
      </w:r>
      <w:r w:rsidRPr="00A46B04">
        <w:rPr>
          <w:i/>
          <w:iCs/>
          <w:noProof/>
          <w:lang w:val="da-DK"/>
        </w:rPr>
        <w:t>Ini Pertumbuhan Jumlah Wirausaha di Indonesia sampai 2023</w:t>
      </w:r>
      <w:r w:rsidRPr="00A46B04">
        <w:rPr>
          <w:noProof/>
          <w:lang w:val="da-DK"/>
        </w:rPr>
        <w:t>. databoks.katadata.co.id. https://databoks.katadata.co.id/datapublish/2023/12/15/ini-pertumbuhan-jumlah-wirausaha-di-indonesia-sampai-2023</w:t>
      </w:r>
    </w:p>
    <w:p w14:paraId="636387A5" w14:textId="77777777" w:rsidR="00563580" w:rsidRPr="00A46B04" w:rsidRDefault="00563580" w:rsidP="00563580">
      <w:pPr>
        <w:autoSpaceDE w:val="0"/>
        <w:autoSpaceDN w:val="0"/>
        <w:adjustRightInd w:val="0"/>
        <w:ind w:left="480" w:hanging="480"/>
        <w:rPr>
          <w:noProof/>
          <w:lang w:val="da-DK"/>
        </w:rPr>
      </w:pPr>
      <w:r w:rsidRPr="00A46B04">
        <w:rPr>
          <w:noProof/>
          <w:lang w:val="da-DK"/>
        </w:rPr>
        <w:t xml:space="preserve">Databoks. (2023). </w:t>
      </w:r>
      <w:r w:rsidRPr="00A46B04">
        <w:rPr>
          <w:i/>
          <w:iCs/>
          <w:noProof/>
          <w:lang w:val="da-DK"/>
        </w:rPr>
        <w:t>Ini Pertumbuhan Jumlah Wirausaha di Indonesia sampai 2023</w:t>
      </w:r>
      <w:r w:rsidRPr="00A46B04">
        <w:rPr>
          <w:noProof/>
          <w:lang w:val="da-DK"/>
        </w:rPr>
        <w:t>. databoks.katadata.co.id. https://databoks.katadata.co.id/datapublish/2023/12/15/ini-pertumbuhan-jumlah-wirausaha-di-indonesia-sampai-2023</w:t>
      </w:r>
    </w:p>
    <w:p w14:paraId="7C57BD93" w14:textId="77777777" w:rsidR="00563580" w:rsidRPr="00084C60" w:rsidRDefault="00563580" w:rsidP="00563580">
      <w:pPr>
        <w:autoSpaceDE w:val="0"/>
        <w:autoSpaceDN w:val="0"/>
        <w:adjustRightInd w:val="0"/>
        <w:ind w:left="480" w:hanging="480"/>
        <w:rPr>
          <w:noProof/>
        </w:rPr>
      </w:pPr>
      <w:r w:rsidRPr="00084C60">
        <w:rPr>
          <w:noProof/>
        </w:rPr>
        <w:t xml:space="preserve">Essel, B. K. C., Adams, F., &amp; Amankwah, K. (2019). Effect of entrepreneur, firm, and institutional characteristics on small-scale firm performance in Ghana. </w:t>
      </w:r>
      <w:r w:rsidRPr="00084C60">
        <w:rPr>
          <w:i/>
          <w:iCs/>
          <w:noProof/>
        </w:rPr>
        <w:t>Journal of Global Entrepreneurship Research</w:t>
      </w:r>
      <w:r w:rsidRPr="00084C60">
        <w:rPr>
          <w:noProof/>
        </w:rPr>
        <w:t xml:space="preserve">, </w:t>
      </w:r>
      <w:r w:rsidRPr="00084C60">
        <w:rPr>
          <w:i/>
          <w:iCs/>
          <w:noProof/>
        </w:rPr>
        <w:t>9</w:t>
      </w:r>
      <w:r w:rsidRPr="00084C60">
        <w:rPr>
          <w:noProof/>
        </w:rPr>
        <w:t>(1). https://doi.org/10.1186/s40497-019-0178-y</w:t>
      </w:r>
    </w:p>
    <w:p w14:paraId="4D109B2D" w14:textId="77777777" w:rsidR="00563580" w:rsidRPr="00084C60" w:rsidRDefault="00563580" w:rsidP="00563580">
      <w:pPr>
        <w:autoSpaceDE w:val="0"/>
        <w:autoSpaceDN w:val="0"/>
        <w:adjustRightInd w:val="0"/>
        <w:ind w:left="480" w:hanging="480"/>
        <w:rPr>
          <w:noProof/>
        </w:rPr>
      </w:pPr>
      <w:r w:rsidRPr="00084C60">
        <w:rPr>
          <w:noProof/>
        </w:rPr>
        <w:t xml:space="preserve">Faizi, L. (2022). </w:t>
      </w:r>
      <w:r w:rsidRPr="00084C60">
        <w:rPr>
          <w:i/>
          <w:iCs/>
          <w:noProof/>
        </w:rPr>
        <w:t>Tujuh Sektor Penyumbang Pajak Terbesar di Indonesia</w:t>
      </w:r>
      <w:r w:rsidRPr="00084C60">
        <w:rPr>
          <w:noProof/>
        </w:rPr>
        <w:t>. sindonews.com. https://ekbis.sindonews.com/read/779489/33/tujuh-sektor-penyumbang-pajak-terbesar-di-indonesia-1653473107</w:t>
      </w:r>
    </w:p>
    <w:p w14:paraId="111DE10C" w14:textId="77777777" w:rsidR="00563580" w:rsidRPr="00A46B04" w:rsidRDefault="00563580" w:rsidP="00563580">
      <w:pPr>
        <w:autoSpaceDE w:val="0"/>
        <w:autoSpaceDN w:val="0"/>
        <w:adjustRightInd w:val="0"/>
        <w:ind w:left="480" w:hanging="480"/>
        <w:rPr>
          <w:noProof/>
          <w:lang w:val="da-DK"/>
        </w:rPr>
      </w:pPr>
      <w:r w:rsidRPr="00A46B04">
        <w:rPr>
          <w:noProof/>
          <w:lang w:val="da-DK"/>
        </w:rPr>
        <w:t xml:space="preserve">Fhyel, V. G. (2018). Faktor Yang Mempengaruhi Penggelapan Pajak. </w:t>
      </w:r>
      <w:r w:rsidRPr="00A46B04">
        <w:rPr>
          <w:i/>
          <w:iCs/>
          <w:noProof/>
          <w:lang w:val="da-DK"/>
        </w:rPr>
        <w:t>Skripsi Fakultas Ekonomi Universitas Islam Indonesia Yogyakarta</w:t>
      </w:r>
      <w:r w:rsidRPr="00A46B04">
        <w:rPr>
          <w:noProof/>
          <w:lang w:val="da-DK"/>
        </w:rPr>
        <w:t>, 131.</w:t>
      </w:r>
    </w:p>
    <w:p w14:paraId="424F38B7" w14:textId="77777777" w:rsidR="00563580" w:rsidRPr="00A46B04" w:rsidRDefault="00563580" w:rsidP="00563580">
      <w:pPr>
        <w:autoSpaceDE w:val="0"/>
        <w:autoSpaceDN w:val="0"/>
        <w:adjustRightInd w:val="0"/>
        <w:ind w:left="480" w:hanging="480"/>
        <w:rPr>
          <w:noProof/>
          <w:lang w:val="da-DK"/>
        </w:rPr>
      </w:pPr>
      <w:r w:rsidRPr="00A46B04">
        <w:rPr>
          <w:noProof/>
          <w:lang w:val="da-DK"/>
        </w:rPr>
        <w:t xml:space="preserve">Harainjogja. (2021). </w:t>
      </w:r>
      <w:r w:rsidRPr="00A46B04">
        <w:rPr>
          <w:i/>
          <w:iCs/>
          <w:noProof/>
          <w:lang w:val="da-DK"/>
        </w:rPr>
        <w:t>Waduh, Jumlah UMKM Ber-NPWP Masih Rendah</w:t>
      </w:r>
      <w:r w:rsidRPr="00A46B04">
        <w:rPr>
          <w:noProof/>
          <w:lang w:val="da-DK"/>
        </w:rPr>
        <w:t>. harianjogja.com. https://ekbis.harianjogja.com/read/2017/10/23/502/862382/waduh-jumlah-umkm-ber-npwp-masih-rendah</w:t>
      </w:r>
    </w:p>
    <w:p w14:paraId="743F9686" w14:textId="77777777" w:rsidR="00563580" w:rsidRPr="00A46B04" w:rsidRDefault="00563580" w:rsidP="00563580">
      <w:pPr>
        <w:autoSpaceDE w:val="0"/>
        <w:autoSpaceDN w:val="0"/>
        <w:adjustRightInd w:val="0"/>
        <w:ind w:left="480" w:hanging="480"/>
        <w:rPr>
          <w:noProof/>
          <w:lang w:val="da-DK"/>
        </w:rPr>
      </w:pPr>
      <w:r w:rsidRPr="00A46B04">
        <w:rPr>
          <w:noProof/>
          <w:lang w:val="da-DK"/>
        </w:rPr>
        <w:t xml:space="preserve">JPNN.com. (2022). </w:t>
      </w:r>
      <w:r w:rsidRPr="00A46B04">
        <w:rPr>
          <w:i/>
          <w:iCs/>
          <w:noProof/>
          <w:lang w:val="da-DK"/>
        </w:rPr>
        <w:t>Waduh, Banyak Warga Yogyakarta yang Menunggak Pajak Bumi dan Bangunan</w:t>
      </w:r>
      <w:r w:rsidRPr="00A46B04">
        <w:rPr>
          <w:noProof/>
          <w:lang w:val="da-DK"/>
        </w:rPr>
        <w:t>. https://jogja.jpnn.com. https://jogja.jpnn.com/jogja-terkini/2827/waduh-banyak-warga-yogyakarta-yang-menunggak-pajak-bumi-dan-bangunan</w:t>
      </w:r>
    </w:p>
    <w:p w14:paraId="467E8EE9" w14:textId="77777777" w:rsidR="00563580" w:rsidRPr="00084C60" w:rsidRDefault="00563580" w:rsidP="00563580">
      <w:pPr>
        <w:autoSpaceDE w:val="0"/>
        <w:autoSpaceDN w:val="0"/>
        <w:adjustRightInd w:val="0"/>
        <w:ind w:left="480" w:hanging="480"/>
        <w:rPr>
          <w:noProof/>
        </w:rPr>
      </w:pPr>
      <w:r w:rsidRPr="00A46B04">
        <w:rPr>
          <w:noProof/>
          <w:lang w:val="da-DK"/>
        </w:rPr>
        <w:t xml:space="preserve">Julita, L. (2021). </w:t>
      </w:r>
      <w:r w:rsidRPr="00A46B04">
        <w:rPr>
          <w:i/>
          <w:iCs/>
          <w:noProof/>
          <w:lang w:val="da-DK"/>
        </w:rPr>
        <w:t>Kejahatan Pajak Orang RI: Palsukan NPWP Sampai Cuci Uang!</w:t>
      </w:r>
      <w:r w:rsidRPr="00A46B04">
        <w:rPr>
          <w:noProof/>
          <w:lang w:val="da-DK"/>
        </w:rPr>
        <w:t xml:space="preserve"> </w:t>
      </w:r>
      <w:r w:rsidRPr="00084C60">
        <w:rPr>
          <w:noProof/>
        </w:rPr>
        <w:t>CNBCIndonesia.com. https://www.cnbcindonesia.com/news/20211021123320-4-285440/kejahatan-pajak-orang-ri-palsukan-npwp-sampai-cuci-uang</w:t>
      </w:r>
    </w:p>
    <w:p w14:paraId="003D60C8" w14:textId="77777777" w:rsidR="00563580" w:rsidRPr="00084C60" w:rsidRDefault="00563580" w:rsidP="00563580">
      <w:pPr>
        <w:autoSpaceDE w:val="0"/>
        <w:autoSpaceDN w:val="0"/>
        <w:adjustRightInd w:val="0"/>
        <w:ind w:left="480" w:hanging="480"/>
        <w:rPr>
          <w:noProof/>
        </w:rPr>
      </w:pPr>
      <w:r w:rsidRPr="00084C60">
        <w:rPr>
          <w:noProof/>
        </w:rPr>
        <w:t xml:space="preserve">Kurnia, S. A., &amp; Faisal. (2022). Pengaruh Keadilan Pajak, Sistem Perpajakan, Diskriminasi Pajak Dan Etika Uang (Money Ethic) Terhadap Niat Wajib Pajak Mengenai Penggelapan Pajak (Studi Empiris Pada Wajib Pajak Orang Pribadi Terdaftar Di Kpp Pratama Semarang Candisari). </w:t>
      </w:r>
      <w:r w:rsidRPr="00084C60">
        <w:rPr>
          <w:i/>
          <w:iCs/>
          <w:noProof/>
        </w:rPr>
        <w:t>Diponegoro Journal of Accounting</w:t>
      </w:r>
      <w:r w:rsidRPr="00084C60">
        <w:rPr>
          <w:noProof/>
        </w:rPr>
        <w:t xml:space="preserve">, </w:t>
      </w:r>
      <w:r w:rsidRPr="00084C60">
        <w:rPr>
          <w:i/>
          <w:iCs/>
          <w:noProof/>
        </w:rPr>
        <w:t>11</w:t>
      </w:r>
      <w:r w:rsidRPr="00084C60">
        <w:rPr>
          <w:noProof/>
        </w:rPr>
        <w:t>(4), 1–14.</w:t>
      </w:r>
    </w:p>
    <w:p w14:paraId="4DB68DDB" w14:textId="77777777" w:rsidR="00563580" w:rsidRPr="00A46B04" w:rsidRDefault="00563580" w:rsidP="00563580">
      <w:pPr>
        <w:autoSpaceDE w:val="0"/>
        <w:autoSpaceDN w:val="0"/>
        <w:adjustRightInd w:val="0"/>
        <w:ind w:left="480" w:hanging="480"/>
        <w:rPr>
          <w:noProof/>
          <w:lang w:val="da-DK"/>
        </w:rPr>
      </w:pPr>
      <w:r w:rsidRPr="00084C60">
        <w:rPr>
          <w:noProof/>
        </w:rPr>
        <w:t xml:space="preserve">Maghfiroh, D., &amp; Fajarwati, D. (2016). Persepsi wajib pajak mengenai pengaruh keadilan sistem perpajakan dan sanksi perpajakan terhadap penggelapan pajak. </w:t>
      </w:r>
      <w:r w:rsidRPr="00A46B04">
        <w:rPr>
          <w:i/>
          <w:iCs/>
          <w:noProof/>
          <w:lang w:val="da-DK"/>
        </w:rPr>
        <w:t>Jurnal Riset Akuntansi &amp; Komputerisasi Akuntansi</w:t>
      </w:r>
      <w:r w:rsidRPr="00A46B04">
        <w:rPr>
          <w:noProof/>
          <w:lang w:val="da-DK"/>
        </w:rPr>
        <w:t xml:space="preserve">, </w:t>
      </w:r>
      <w:r w:rsidRPr="00A46B04">
        <w:rPr>
          <w:i/>
          <w:iCs/>
          <w:noProof/>
          <w:lang w:val="da-DK"/>
        </w:rPr>
        <w:t>7</w:t>
      </w:r>
      <w:r w:rsidRPr="00A46B04">
        <w:rPr>
          <w:noProof/>
          <w:lang w:val="da-DK"/>
        </w:rPr>
        <w:t>(1), 39–55.</w:t>
      </w:r>
    </w:p>
    <w:p w14:paraId="6F6CE30C" w14:textId="77777777" w:rsidR="00563580" w:rsidRPr="00084C60" w:rsidRDefault="00563580" w:rsidP="00563580">
      <w:pPr>
        <w:autoSpaceDE w:val="0"/>
        <w:autoSpaceDN w:val="0"/>
        <w:adjustRightInd w:val="0"/>
        <w:ind w:left="480" w:hanging="480"/>
        <w:rPr>
          <w:noProof/>
        </w:rPr>
      </w:pPr>
      <w:r w:rsidRPr="00A46B04">
        <w:rPr>
          <w:noProof/>
          <w:lang w:val="da-DK"/>
        </w:rPr>
        <w:t xml:space="preserve">Maharani, G. A. A. I., Endiana, I. D. M., &amp; Kumalasari, P. D. (2021). Pengaruh Moral Wajib Pajak, Sanksi Pajak, Sistem Pajak, Pemeriksaan Pajak Dan Tarif Pajak Terhadap Persepsi Wajib Pajak Mengenai Etika Atas Tax Evasion. </w:t>
      </w:r>
      <w:r w:rsidRPr="00084C60">
        <w:rPr>
          <w:i/>
          <w:iCs/>
          <w:noProof/>
        </w:rPr>
        <w:t>Jurnal Kharisma</w:t>
      </w:r>
      <w:r w:rsidRPr="00084C60">
        <w:rPr>
          <w:noProof/>
        </w:rPr>
        <w:t xml:space="preserve">, </w:t>
      </w:r>
      <w:r w:rsidRPr="00084C60">
        <w:rPr>
          <w:i/>
          <w:iCs/>
          <w:noProof/>
        </w:rPr>
        <w:t>3</w:t>
      </w:r>
      <w:r w:rsidRPr="00084C60">
        <w:rPr>
          <w:noProof/>
        </w:rPr>
        <w:t>(1), 63–72.</w:t>
      </w:r>
    </w:p>
    <w:p w14:paraId="3F4F3F71" w14:textId="77777777" w:rsidR="00563580" w:rsidRPr="00084C60" w:rsidRDefault="00563580" w:rsidP="00563580">
      <w:pPr>
        <w:autoSpaceDE w:val="0"/>
        <w:autoSpaceDN w:val="0"/>
        <w:adjustRightInd w:val="0"/>
        <w:ind w:left="480" w:hanging="480"/>
        <w:rPr>
          <w:noProof/>
        </w:rPr>
      </w:pPr>
      <w:r w:rsidRPr="00084C60">
        <w:rPr>
          <w:noProof/>
        </w:rPr>
        <w:t xml:space="preserve">Mangoting, Y., Aprilia, C., Melliani, F., &amp; Grace Evangelina, J. (2021). Tax Fraud Intentions with an Integrative Model Approach. </w:t>
      </w:r>
      <w:r w:rsidRPr="00084C60">
        <w:rPr>
          <w:i/>
          <w:iCs/>
          <w:noProof/>
        </w:rPr>
        <w:t>Jurnal ASET (Akuntansi Riset)</w:t>
      </w:r>
      <w:r w:rsidRPr="00084C60">
        <w:rPr>
          <w:noProof/>
        </w:rPr>
        <w:t xml:space="preserve">, </w:t>
      </w:r>
      <w:r w:rsidRPr="00084C60">
        <w:rPr>
          <w:i/>
          <w:iCs/>
          <w:noProof/>
        </w:rPr>
        <w:t>13</w:t>
      </w:r>
      <w:r w:rsidRPr="00084C60">
        <w:rPr>
          <w:noProof/>
        </w:rPr>
        <w:t>(2), 331–347.</w:t>
      </w:r>
    </w:p>
    <w:p w14:paraId="5E41A419" w14:textId="77777777" w:rsidR="00563580" w:rsidRPr="00A46B04" w:rsidRDefault="00563580" w:rsidP="00563580">
      <w:pPr>
        <w:autoSpaceDE w:val="0"/>
        <w:autoSpaceDN w:val="0"/>
        <w:adjustRightInd w:val="0"/>
        <w:ind w:left="480" w:hanging="480"/>
        <w:rPr>
          <w:noProof/>
          <w:lang w:val="da-DK"/>
        </w:rPr>
      </w:pPr>
      <w:r w:rsidRPr="00084C60">
        <w:rPr>
          <w:noProof/>
        </w:rPr>
        <w:t xml:space="preserve">Maxuel, A., &amp; Primastiwi, A. (2021). Pengaruh Sosialisasi Perpajakan Dan Sanksi Perpajakan Terhadap Kepatuhan Wajib Pajak Umkm E-Commerce. </w:t>
      </w:r>
      <w:r w:rsidRPr="00A46B04">
        <w:rPr>
          <w:i/>
          <w:iCs/>
          <w:noProof/>
          <w:lang w:val="da-DK"/>
        </w:rPr>
        <w:t>Jurnal Riset Manajemen dan Bisnis</w:t>
      </w:r>
      <w:r w:rsidRPr="00A46B04">
        <w:rPr>
          <w:noProof/>
          <w:lang w:val="da-DK"/>
        </w:rPr>
        <w:t>. https://doi.org/10.21460/jrmb.2021.161.369</w:t>
      </w:r>
    </w:p>
    <w:p w14:paraId="174128F4" w14:textId="77777777" w:rsidR="00563580" w:rsidRPr="00A46B04" w:rsidRDefault="00563580" w:rsidP="00563580">
      <w:pPr>
        <w:autoSpaceDE w:val="0"/>
        <w:autoSpaceDN w:val="0"/>
        <w:adjustRightInd w:val="0"/>
        <w:ind w:left="480" w:hanging="480"/>
        <w:rPr>
          <w:noProof/>
          <w:lang w:val="da-DK"/>
        </w:rPr>
      </w:pPr>
      <w:r w:rsidRPr="00A46B04">
        <w:rPr>
          <w:noProof/>
          <w:lang w:val="da-DK"/>
        </w:rPr>
        <w:t xml:space="preserve">MenKopUKM. (2021). </w:t>
      </w:r>
      <w:r w:rsidRPr="00A46B04">
        <w:rPr>
          <w:i/>
          <w:iCs/>
          <w:noProof/>
          <w:lang w:val="da-DK"/>
        </w:rPr>
        <w:t>Kewirausahaan UMKM dan Pertumbuhan Ekonomi</w:t>
      </w:r>
      <w:r w:rsidRPr="00A46B04">
        <w:rPr>
          <w:noProof/>
          <w:lang w:val="da-DK"/>
        </w:rPr>
        <w:t>. kementrian sekertaris negara republik indonesia. https://setneg.go.id/baca/index/kewirausahaan_umkm_dan_pertumbuhan_ekonomi</w:t>
      </w:r>
    </w:p>
    <w:p w14:paraId="39CCD243" w14:textId="77777777" w:rsidR="00563580" w:rsidRPr="00A46B04" w:rsidRDefault="00563580" w:rsidP="00563580">
      <w:pPr>
        <w:autoSpaceDE w:val="0"/>
        <w:autoSpaceDN w:val="0"/>
        <w:adjustRightInd w:val="0"/>
        <w:ind w:left="480" w:hanging="480"/>
        <w:rPr>
          <w:noProof/>
          <w:lang w:val="da-DK"/>
        </w:rPr>
      </w:pPr>
      <w:r w:rsidRPr="00A46B04">
        <w:rPr>
          <w:noProof/>
          <w:lang w:val="da-DK"/>
        </w:rPr>
        <w:t xml:space="preserve">Nafiah, Z., Sopi, &amp; Novadalina, A. (2021). Pengaruh Sanksi Pajak, Kesadaran Wajib Pajak, dan Kualitas Pelayanan Pajak Terhadap Kepatuhan Wajib Pajak Orang Pribadi di KPP Pratama Pati. </w:t>
      </w:r>
      <w:r w:rsidRPr="00A46B04">
        <w:rPr>
          <w:i/>
          <w:iCs/>
          <w:noProof/>
          <w:lang w:val="da-DK"/>
        </w:rPr>
        <w:t>Jurnal STIE Semarang</w:t>
      </w:r>
      <w:r w:rsidRPr="00A46B04">
        <w:rPr>
          <w:noProof/>
          <w:lang w:val="da-DK"/>
        </w:rPr>
        <w:t xml:space="preserve">, </w:t>
      </w:r>
      <w:r w:rsidRPr="00A46B04">
        <w:rPr>
          <w:i/>
          <w:iCs/>
          <w:noProof/>
          <w:lang w:val="da-DK"/>
        </w:rPr>
        <w:t>13</w:t>
      </w:r>
      <w:r w:rsidRPr="00A46B04">
        <w:rPr>
          <w:noProof/>
          <w:lang w:val="da-DK"/>
        </w:rPr>
        <w:t>(2), 1–12.</w:t>
      </w:r>
    </w:p>
    <w:p w14:paraId="01AB21F8" w14:textId="77777777" w:rsidR="00563580" w:rsidRPr="00A46B04" w:rsidRDefault="00563580" w:rsidP="00563580">
      <w:pPr>
        <w:autoSpaceDE w:val="0"/>
        <w:autoSpaceDN w:val="0"/>
        <w:adjustRightInd w:val="0"/>
        <w:ind w:left="480" w:hanging="480"/>
        <w:rPr>
          <w:noProof/>
          <w:lang w:val="da-DK"/>
        </w:rPr>
      </w:pPr>
      <w:r w:rsidRPr="00A46B04">
        <w:rPr>
          <w:noProof/>
          <w:lang w:val="da-DK"/>
        </w:rPr>
        <w:t xml:space="preserve">Natalia, C., &amp; Riswandari, E. (2021). Penerapan Sistem E-Filling, Kesadaran Perpajakan, Dan Sanksi Perpajakan Pada Kepatuhan Wajib Pajak Orang Pribadi. </w:t>
      </w:r>
      <w:r w:rsidRPr="00A46B04">
        <w:rPr>
          <w:i/>
          <w:iCs/>
          <w:noProof/>
          <w:lang w:val="da-DK"/>
        </w:rPr>
        <w:t>CURRENT: Jurnal Kajian Akuntansi dan Bisnis Terkini</w:t>
      </w:r>
      <w:r w:rsidRPr="00A46B04">
        <w:rPr>
          <w:noProof/>
          <w:lang w:val="da-DK"/>
        </w:rPr>
        <w:t xml:space="preserve">, </w:t>
      </w:r>
      <w:r w:rsidRPr="00A46B04">
        <w:rPr>
          <w:i/>
          <w:iCs/>
          <w:noProof/>
          <w:lang w:val="da-DK"/>
        </w:rPr>
        <w:t>2</w:t>
      </w:r>
      <w:r w:rsidRPr="00A46B04">
        <w:rPr>
          <w:noProof/>
          <w:lang w:val="da-DK"/>
        </w:rPr>
        <w:t>(2), 205–216. https://doi.org/10.31258/jc.2.2.205-216</w:t>
      </w:r>
    </w:p>
    <w:p w14:paraId="1D42E177" w14:textId="77777777" w:rsidR="00563580" w:rsidRPr="00A46B04" w:rsidRDefault="00563580" w:rsidP="00563580">
      <w:pPr>
        <w:autoSpaceDE w:val="0"/>
        <w:autoSpaceDN w:val="0"/>
        <w:adjustRightInd w:val="0"/>
        <w:ind w:left="480" w:hanging="480"/>
        <w:rPr>
          <w:noProof/>
          <w:lang w:val="da-DK"/>
        </w:rPr>
      </w:pPr>
      <w:r w:rsidRPr="00A46B04">
        <w:rPr>
          <w:noProof/>
          <w:lang w:val="da-DK"/>
        </w:rPr>
        <w:t xml:space="preserve">Pangesti, D. M., &amp; Yushita, A. N. (2019). Pengaruh Kesadaran Membayar Pajak, Persepsi Atas Efektivitas Sistem Perpajakan, Dan Pemahaman Peraturan Pemerintah Nomor 23 Tahun 2018 Terhadap Kemauan Membayar Pajak (Pada Umkm Sektor Perdagangan Di Kabupaten Klaten). </w:t>
      </w:r>
      <w:r w:rsidRPr="00A46B04">
        <w:rPr>
          <w:i/>
          <w:iCs/>
          <w:noProof/>
          <w:lang w:val="da-DK"/>
        </w:rPr>
        <w:t>Nominal: Barometer Riset Akuntansi dan Manajemen</w:t>
      </w:r>
      <w:r w:rsidRPr="00A46B04">
        <w:rPr>
          <w:noProof/>
          <w:lang w:val="da-DK"/>
        </w:rPr>
        <w:t xml:space="preserve">, </w:t>
      </w:r>
      <w:r w:rsidRPr="00A46B04">
        <w:rPr>
          <w:i/>
          <w:iCs/>
          <w:noProof/>
          <w:lang w:val="da-DK"/>
        </w:rPr>
        <w:t>8</w:t>
      </w:r>
      <w:r w:rsidRPr="00A46B04">
        <w:rPr>
          <w:noProof/>
          <w:lang w:val="da-DK"/>
        </w:rPr>
        <w:t>(2), 166–178. https://doi.org/10.21831/nominal.v8i2.26461</w:t>
      </w:r>
    </w:p>
    <w:p w14:paraId="29D058D1" w14:textId="77777777" w:rsidR="00563580" w:rsidRPr="00084C60" w:rsidRDefault="00563580" w:rsidP="00563580">
      <w:pPr>
        <w:autoSpaceDE w:val="0"/>
        <w:autoSpaceDN w:val="0"/>
        <w:adjustRightInd w:val="0"/>
        <w:ind w:left="480" w:hanging="480"/>
        <w:rPr>
          <w:noProof/>
        </w:rPr>
      </w:pPr>
      <w:r w:rsidRPr="00084C60">
        <w:rPr>
          <w:noProof/>
        </w:rPr>
        <w:t xml:space="preserve">Putra, A. F. (2020). MSME Taxpayer Compliance: Tax Knowledge, Tax Sanctions, and System Modernization. </w:t>
      </w:r>
      <w:r w:rsidRPr="00084C60">
        <w:rPr>
          <w:i/>
          <w:iCs/>
          <w:noProof/>
        </w:rPr>
        <w:t>Jurnal Riset Akuntansi dan Perpajakan</w:t>
      </w:r>
      <w:r w:rsidRPr="00084C60">
        <w:rPr>
          <w:noProof/>
        </w:rPr>
        <w:t xml:space="preserve">, </w:t>
      </w:r>
      <w:r w:rsidRPr="00084C60">
        <w:rPr>
          <w:i/>
          <w:iCs/>
          <w:noProof/>
        </w:rPr>
        <w:t>7</w:t>
      </w:r>
      <w:r w:rsidRPr="00084C60">
        <w:rPr>
          <w:noProof/>
        </w:rPr>
        <w:t>(1), 1–12.</w:t>
      </w:r>
    </w:p>
    <w:p w14:paraId="38EC1874" w14:textId="77777777" w:rsidR="00563580" w:rsidRPr="00084C60" w:rsidRDefault="00563580" w:rsidP="00563580">
      <w:pPr>
        <w:autoSpaceDE w:val="0"/>
        <w:autoSpaceDN w:val="0"/>
        <w:adjustRightInd w:val="0"/>
        <w:ind w:left="480" w:hanging="480"/>
        <w:rPr>
          <w:noProof/>
        </w:rPr>
      </w:pPr>
      <w:r w:rsidRPr="00084C60">
        <w:rPr>
          <w:noProof/>
        </w:rPr>
        <w:t xml:space="preserve">Putri, A. L. (2016). </w:t>
      </w:r>
      <w:r w:rsidRPr="00084C60">
        <w:rPr>
          <w:i/>
          <w:iCs/>
          <w:noProof/>
        </w:rPr>
        <w:t>Pengaruh Money Ethics terhadap Tax Evasion dengan Religiosity sebagai Variabel Moderating</w:t>
      </w:r>
      <w:r w:rsidRPr="00084C60">
        <w:rPr>
          <w:noProof/>
        </w:rPr>
        <w:t>. Skripsi tidak diterbitkan, Fakultas Ekonomi, Universitas Pasundan, Bandung.</w:t>
      </w:r>
    </w:p>
    <w:p w14:paraId="5472DB67" w14:textId="77777777" w:rsidR="00563580" w:rsidRPr="00A46B04" w:rsidRDefault="00563580" w:rsidP="00563580">
      <w:pPr>
        <w:autoSpaceDE w:val="0"/>
        <w:autoSpaceDN w:val="0"/>
        <w:adjustRightInd w:val="0"/>
        <w:ind w:left="480" w:hanging="480"/>
        <w:rPr>
          <w:noProof/>
          <w:lang w:val="da-DK"/>
        </w:rPr>
      </w:pPr>
      <w:r w:rsidRPr="00084C60">
        <w:rPr>
          <w:noProof/>
        </w:rPr>
        <w:t xml:space="preserve">Putri, S. F., Wicaksono, M. G. S., &amp; Cahayati, N. (2021). </w:t>
      </w:r>
      <w:r w:rsidRPr="00A46B04">
        <w:rPr>
          <w:noProof/>
          <w:lang w:val="da-DK"/>
        </w:rPr>
        <w:t xml:space="preserve">Analisis Kebutuhan Materi Literasi Keuangan Dasar untuk Meningkatkan Kompetensi Keuangan Dasar pada Wirausahawan Muda. </w:t>
      </w:r>
      <w:r w:rsidRPr="00A46B04">
        <w:rPr>
          <w:i/>
          <w:iCs/>
          <w:noProof/>
          <w:lang w:val="da-DK"/>
        </w:rPr>
        <w:t>Jurnal Pendidikan Akuntansi (JPAK)</w:t>
      </w:r>
      <w:r w:rsidRPr="00A46B04">
        <w:rPr>
          <w:noProof/>
          <w:lang w:val="da-DK"/>
        </w:rPr>
        <w:t xml:space="preserve">, </w:t>
      </w:r>
      <w:r w:rsidRPr="00A46B04">
        <w:rPr>
          <w:i/>
          <w:iCs/>
          <w:noProof/>
          <w:lang w:val="da-DK"/>
        </w:rPr>
        <w:t>9</w:t>
      </w:r>
      <w:r w:rsidRPr="00A46B04">
        <w:rPr>
          <w:noProof/>
          <w:lang w:val="da-DK"/>
        </w:rPr>
        <w:t>(3), 323–330. https://doi.org/10.26740/jpak.v9n3.p323-330</w:t>
      </w:r>
    </w:p>
    <w:p w14:paraId="5557E046" w14:textId="77777777" w:rsidR="00563580" w:rsidRPr="00084C60" w:rsidRDefault="00563580" w:rsidP="00563580">
      <w:pPr>
        <w:autoSpaceDE w:val="0"/>
        <w:autoSpaceDN w:val="0"/>
        <w:adjustRightInd w:val="0"/>
        <w:ind w:left="480" w:hanging="480"/>
        <w:rPr>
          <w:noProof/>
        </w:rPr>
      </w:pPr>
      <w:r w:rsidRPr="00A46B04">
        <w:rPr>
          <w:noProof/>
          <w:lang w:val="da-DK"/>
        </w:rPr>
        <w:t xml:space="preserve">Rizki, M., &amp; Farina, K. (2022). Pengaruh Kesadaran Wajib Pajak, Pemahaman Perpajakan Dan Sanksi Pajak Terhadap Kepatuhan Wajib Pajak Umkm Di Pasar Tohaga Cibinong. </w:t>
      </w:r>
      <w:r w:rsidRPr="00084C60">
        <w:rPr>
          <w:i/>
          <w:iCs/>
          <w:noProof/>
        </w:rPr>
        <w:t>Trilogi Accounting and Business Research</w:t>
      </w:r>
      <w:r w:rsidRPr="00084C60">
        <w:rPr>
          <w:noProof/>
        </w:rPr>
        <w:t xml:space="preserve">, </w:t>
      </w:r>
      <w:r w:rsidRPr="00084C60">
        <w:rPr>
          <w:i/>
          <w:iCs/>
          <w:noProof/>
        </w:rPr>
        <w:t>3</w:t>
      </w:r>
      <w:r w:rsidRPr="00084C60">
        <w:rPr>
          <w:noProof/>
        </w:rPr>
        <w:t>(2). https://doi.org/10.31326/tabr.v3i2.1477</w:t>
      </w:r>
    </w:p>
    <w:p w14:paraId="2743BFD0" w14:textId="77777777" w:rsidR="00563580" w:rsidRPr="00084C60" w:rsidRDefault="00563580" w:rsidP="00563580">
      <w:pPr>
        <w:autoSpaceDE w:val="0"/>
        <w:autoSpaceDN w:val="0"/>
        <w:adjustRightInd w:val="0"/>
        <w:ind w:left="480" w:hanging="480"/>
        <w:rPr>
          <w:noProof/>
        </w:rPr>
      </w:pPr>
      <w:r w:rsidRPr="00084C60">
        <w:rPr>
          <w:noProof/>
        </w:rPr>
        <w:t xml:space="preserve">Safitri, R. E. D. (2020). Pengaruh Pemahaman Pengetahuan Perpajakan, Kesadaran Wajib Pajak, Akuntabilitas Pelayanan Publik Dan Kualitas Pelayanan Terhadap Kepatuhan Wajib Pajak Kendaraan Bermotor (Studi Pada SAMSAT Kota Semarang). </w:t>
      </w:r>
      <w:r w:rsidRPr="00084C60">
        <w:rPr>
          <w:i/>
          <w:iCs/>
          <w:noProof/>
        </w:rPr>
        <w:t>Corporate Governance (Bingley)</w:t>
      </w:r>
      <w:r w:rsidRPr="00084C60">
        <w:rPr>
          <w:noProof/>
        </w:rPr>
        <w:t xml:space="preserve">, </w:t>
      </w:r>
      <w:r w:rsidRPr="00084C60">
        <w:rPr>
          <w:i/>
          <w:iCs/>
          <w:noProof/>
        </w:rPr>
        <w:t>10</w:t>
      </w:r>
      <w:r w:rsidRPr="00084C60">
        <w:rPr>
          <w:noProof/>
        </w:rPr>
        <w:t>(1), 54–75.</w:t>
      </w:r>
    </w:p>
    <w:p w14:paraId="6D2254FE" w14:textId="77777777" w:rsidR="00563580" w:rsidRPr="00084C60" w:rsidRDefault="00563580" w:rsidP="00563580">
      <w:pPr>
        <w:autoSpaceDE w:val="0"/>
        <w:autoSpaceDN w:val="0"/>
        <w:adjustRightInd w:val="0"/>
        <w:ind w:left="480" w:hanging="480"/>
        <w:rPr>
          <w:noProof/>
        </w:rPr>
      </w:pPr>
      <w:r w:rsidRPr="00084C60">
        <w:rPr>
          <w:noProof/>
        </w:rPr>
        <w:t xml:space="preserve">Santi, A. N. (2012). Analisis Pengaruh Kesadaran Perpajakan, Sikap Rasional, Lingkungan, Sanksi Denda Dan Sikap Fiskus Terhadap Kepatuhan Wajib Pajak (Studi Pada Wilayah Kpp Kota Malang). </w:t>
      </w:r>
      <w:r w:rsidRPr="00084C60">
        <w:rPr>
          <w:i/>
          <w:iCs/>
          <w:noProof/>
        </w:rPr>
        <w:t>Journal of Chemical Information and Modeling</w:t>
      </w:r>
      <w:r w:rsidRPr="00084C60">
        <w:rPr>
          <w:noProof/>
        </w:rPr>
        <w:t xml:space="preserve">, </w:t>
      </w:r>
      <w:r w:rsidRPr="00084C60">
        <w:rPr>
          <w:i/>
          <w:iCs/>
          <w:noProof/>
        </w:rPr>
        <w:t>53</w:t>
      </w:r>
      <w:r w:rsidRPr="00084C60">
        <w:rPr>
          <w:noProof/>
        </w:rPr>
        <w:t>(9), 1689–1699.</w:t>
      </w:r>
    </w:p>
    <w:p w14:paraId="59238A96" w14:textId="77777777" w:rsidR="00563580" w:rsidRPr="00084C60" w:rsidRDefault="00563580" w:rsidP="00563580">
      <w:pPr>
        <w:autoSpaceDE w:val="0"/>
        <w:autoSpaceDN w:val="0"/>
        <w:adjustRightInd w:val="0"/>
        <w:ind w:left="480" w:hanging="480"/>
        <w:rPr>
          <w:noProof/>
        </w:rPr>
      </w:pPr>
      <w:r w:rsidRPr="00084C60">
        <w:rPr>
          <w:noProof/>
        </w:rPr>
        <w:t xml:space="preserve">Setiya, D. R. K. A. (2018). Pengaruh Kesadaran Perpajakan, Sikap Rasional, Pelayanan Fiskus, Sanksi Pajak Dan Lingkungan Terhadap Kepatuhan Wajib Pajak Orang Pribadi Dalam Meningkatkan Penerimaan Pajak (Studi Empiris Pada Wajib Pajak Di Kota Blora). </w:t>
      </w:r>
      <w:r w:rsidRPr="00084C60">
        <w:rPr>
          <w:i/>
          <w:iCs/>
          <w:noProof/>
        </w:rPr>
        <w:t>Gastronomía ecuatoriana y turismo local.</w:t>
      </w:r>
      <w:r w:rsidRPr="00084C60">
        <w:rPr>
          <w:noProof/>
        </w:rPr>
        <w:t xml:space="preserve">, </w:t>
      </w:r>
      <w:r w:rsidRPr="00084C60">
        <w:rPr>
          <w:i/>
          <w:iCs/>
          <w:noProof/>
        </w:rPr>
        <w:t>1</w:t>
      </w:r>
      <w:r w:rsidRPr="00084C60">
        <w:rPr>
          <w:noProof/>
        </w:rPr>
        <w:t>(69), 5–24.</w:t>
      </w:r>
    </w:p>
    <w:p w14:paraId="43886F23" w14:textId="77777777" w:rsidR="00563580" w:rsidRPr="00084C60" w:rsidRDefault="00563580" w:rsidP="00563580">
      <w:pPr>
        <w:autoSpaceDE w:val="0"/>
        <w:autoSpaceDN w:val="0"/>
        <w:adjustRightInd w:val="0"/>
        <w:ind w:left="480" w:hanging="480"/>
        <w:rPr>
          <w:noProof/>
        </w:rPr>
      </w:pPr>
      <w:r w:rsidRPr="00084C60">
        <w:rPr>
          <w:noProof/>
        </w:rPr>
        <w:t xml:space="preserve">Suharti, L., &amp; Sirine, H. (2012). Faktor-Faktor yang Berpengaruh Terhadap Niat Kewirausahaan (Entrepreneurial Intention). </w:t>
      </w:r>
      <w:r w:rsidRPr="00084C60">
        <w:rPr>
          <w:i/>
          <w:iCs/>
          <w:noProof/>
        </w:rPr>
        <w:t>Jurnal Manajemen dan Kewirausahaan</w:t>
      </w:r>
      <w:r w:rsidRPr="00084C60">
        <w:rPr>
          <w:noProof/>
        </w:rPr>
        <w:t xml:space="preserve">, </w:t>
      </w:r>
      <w:r w:rsidRPr="00084C60">
        <w:rPr>
          <w:i/>
          <w:iCs/>
          <w:noProof/>
        </w:rPr>
        <w:t>13</w:t>
      </w:r>
      <w:r w:rsidRPr="00084C60">
        <w:rPr>
          <w:noProof/>
        </w:rPr>
        <w:t>(2). https://doi.org/10.9744/jmk.13.2.124-134</w:t>
      </w:r>
    </w:p>
    <w:p w14:paraId="641C78F7" w14:textId="77777777" w:rsidR="00563580" w:rsidRPr="00084C60" w:rsidRDefault="00563580" w:rsidP="00563580">
      <w:pPr>
        <w:autoSpaceDE w:val="0"/>
        <w:autoSpaceDN w:val="0"/>
        <w:adjustRightInd w:val="0"/>
        <w:ind w:left="480" w:hanging="480"/>
        <w:rPr>
          <w:noProof/>
        </w:rPr>
      </w:pPr>
      <w:r w:rsidRPr="00084C60">
        <w:rPr>
          <w:noProof/>
        </w:rPr>
        <w:t xml:space="preserve">Suminarsasi, W. S. (2012). Pengaruh Keadilan, Sistem Perpajakan, Dan Diskriminasi Terhadapterhadap Persepsi Wajib Pajak Mengenai Etika Penggelapan Pajak ( Tax Evasion ) Wahyu Suminarsasi Universitas Gadjah Mada Supriyadi Universitas Gadjah Mada Fairness , Tax System , Discriminatio. In </w:t>
      </w:r>
      <w:r w:rsidRPr="00084C60">
        <w:rPr>
          <w:i/>
          <w:iCs/>
          <w:noProof/>
        </w:rPr>
        <w:t>SNA 15 Banjarmasin</w:t>
      </w:r>
      <w:r w:rsidRPr="00084C60">
        <w:rPr>
          <w:noProof/>
        </w:rPr>
        <w:t xml:space="preserve"> (Vol. 1, Nomor 2 (oktober)).</w:t>
      </w:r>
    </w:p>
    <w:p w14:paraId="3359811C" w14:textId="77777777" w:rsidR="00563580" w:rsidRPr="00A46B04" w:rsidRDefault="00563580" w:rsidP="00563580">
      <w:pPr>
        <w:autoSpaceDE w:val="0"/>
        <w:autoSpaceDN w:val="0"/>
        <w:adjustRightInd w:val="0"/>
        <w:ind w:left="480" w:hanging="480"/>
        <w:rPr>
          <w:noProof/>
          <w:lang w:val="da-DK"/>
        </w:rPr>
      </w:pPr>
      <w:r w:rsidRPr="00084C60">
        <w:rPr>
          <w:noProof/>
        </w:rPr>
        <w:t xml:space="preserve">Susmiatun, &amp; Kusmuriyanto. (2014). </w:t>
      </w:r>
      <w:r w:rsidRPr="00084C60">
        <w:rPr>
          <w:i/>
          <w:iCs/>
          <w:noProof/>
        </w:rPr>
        <w:t>Pengaruh Pengetahuan Perpajakan, Ketegasan Sanksi Perpajakan dan Keadilan Perpajakan terhadap Kepatuhan Wajib Pajak UMKM di Kota Semarang</w:t>
      </w:r>
      <w:r w:rsidRPr="00084C60">
        <w:rPr>
          <w:noProof/>
        </w:rPr>
        <w:t xml:space="preserve">. </w:t>
      </w:r>
      <w:r w:rsidRPr="00A46B04">
        <w:rPr>
          <w:i/>
          <w:iCs/>
          <w:noProof/>
          <w:lang w:val="da-DK"/>
        </w:rPr>
        <w:t>3</w:t>
      </w:r>
      <w:r w:rsidRPr="00A46B04">
        <w:rPr>
          <w:noProof/>
          <w:lang w:val="da-DK"/>
        </w:rPr>
        <w:t>(3), 378–386.</w:t>
      </w:r>
    </w:p>
    <w:p w14:paraId="0BBADFCC" w14:textId="77777777" w:rsidR="00563580" w:rsidRPr="00A46B04" w:rsidRDefault="00563580" w:rsidP="00563580">
      <w:pPr>
        <w:autoSpaceDE w:val="0"/>
        <w:autoSpaceDN w:val="0"/>
        <w:adjustRightInd w:val="0"/>
        <w:ind w:left="480" w:hanging="480"/>
        <w:rPr>
          <w:noProof/>
          <w:lang w:val="da-DK"/>
        </w:rPr>
      </w:pPr>
      <w:r w:rsidRPr="00A46B04">
        <w:rPr>
          <w:noProof/>
          <w:lang w:val="da-DK"/>
        </w:rPr>
        <w:t xml:space="preserve">Suwono, D. I., &amp; Sutanto, E. M. (2015). Hubungan Lingkungan Kerja, Disiplin Kerja, Dan Kinerja Karyawan. </w:t>
      </w:r>
      <w:r w:rsidRPr="00A46B04">
        <w:rPr>
          <w:i/>
          <w:iCs/>
          <w:noProof/>
          <w:lang w:val="da-DK"/>
        </w:rPr>
        <w:t>Jurnal Manajemen dan Kewirausahaan</w:t>
      </w:r>
      <w:r w:rsidRPr="00A46B04">
        <w:rPr>
          <w:noProof/>
          <w:lang w:val="da-DK"/>
        </w:rPr>
        <w:t xml:space="preserve">, </w:t>
      </w:r>
      <w:r w:rsidRPr="00A46B04">
        <w:rPr>
          <w:i/>
          <w:iCs/>
          <w:noProof/>
          <w:lang w:val="da-DK"/>
        </w:rPr>
        <w:t>17</w:t>
      </w:r>
      <w:r w:rsidRPr="00A46B04">
        <w:rPr>
          <w:noProof/>
          <w:lang w:val="da-DK"/>
        </w:rPr>
        <w:t>(2), 41–59. https://doi.org/10.9744/jmk.17.2.135</w:t>
      </w:r>
    </w:p>
    <w:p w14:paraId="1B2859AC" w14:textId="77777777" w:rsidR="00563580" w:rsidRPr="00A46B04" w:rsidRDefault="00563580" w:rsidP="00563580">
      <w:pPr>
        <w:autoSpaceDE w:val="0"/>
        <w:autoSpaceDN w:val="0"/>
        <w:adjustRightInd w:val="0"/>
        <w:ind w:left="480" w:hanging="480"/>
        <w:rPr>
          <w:noProof/>
          <w:lang w:val="da-DK"/>
        </w:rPr>
      </w:pPr>
      <w:r w:rsidRPr="00A46B04">
        <w:rPr>
          <w:noProof/>
          <w:lang w:val="da-DK"/>
        </w:rPr>
        <w:t xml:space="preserve">Ulya, F. N. (2021). </w:t>
      </w:r>
      <w:r w:rsidRPr="00A46B04">
        <w:rPr>
          <w:i/>
          <w:iCs/>
          <w:noProof/>
          <w:lang w:val="da-DK"/>
        </w:rPr>
        <w:t>Tersangka Kasus Pidana Pajak Ini Rugikan Negara hingga Rp 10,2 Miliar</w:t>
      </w:r>
      <w:r w:rsidRPr="00A46B04">
        <w:rPr>
          <w:noProof/>
          <w:lang w:val="da-DK"/>
        </w:rPr>
        <w:t>. kompas.com. https://money.kompas.com/read/2021/11/23/124957026/tersangka-kasus-pidana-pajak-ini-rugikan-negara-hingga-rp-102-miliar</w:t>
      </w:r>
    </w:p>
    <w:p w14:paraId="7604D6AD" w14:textId="77777777" w:rsidR="00563580" w:rsidRPr="00A46B04" w:rsidRDefault="00563580" w:rsidP="00563580">
      <w:pPr>
        <w:autoSpaceDE w:val="0"/>
        <w:autoSpaceDN w:val="0"/>
        <w:adjustRightInd w:val="0"/>
        <w:ind w:left="480" w:hanging="480"/>
        <w:rPr>
          <w:noProof/>
          <w:lang w:val="da-DK"/>
        </w:rPr>
      </w:pPr>
      <w:r w:rsidRPr="00A46B04">
        <w:rPr>
          <w:noProof/>
          <w:lang w:val="da-DK"/>
        </w:rPr>
        <w:t xml:space="preserve">Utomo, S. (2021). </w:t>
      </w:r>
      <w:r w:rsidRPr="00A46B04">
        <w:rPr>
          <w:i/>
          <w:iCs/>
          <w:noProof/>
          <w:lang w:val="da-DK"/>
        </w:rPr>
        <w:t>Laporan Kinerja Tahun 2020</w:t>
      </w:r>
      <w:r w:rsidRPr="00A46B04">
        <w:rPr>
          <w:noProof/>
          <w:lang w:val="da-DK"/>
        </w:rPr>
        <w:t>. Direktorat Jendral Pajak. https://www.pajak.go.id/id/laporan-kinerja-tahun-2020</w:t>
      </w:r>
    </w:p>
    <w:p w14:paraId="32AC97B8" w14:textId="77777777" w:rsidR="00563580" w:rsidRPr="00A46B04" w:rsidRDefault="00563580" w:rsidP="00563580">
      <w:pPr>
        <w:autoSpaceDE w:val="0"/>
        <w:autoSpaceDN w:val="0"/>
        <w:adjustRightInd w:val="0"/>
        <w:ind w:left="480" w:hanging="480"/>
        <w:rPr>
          <w:noProof/>
          <w:lang w:val="da-DK"/>
        </w:rPr>
      </w:pPr>
      <w:r w:rsidRPr="00A46B04">
        <w:rPr>
          <w:noProof/>
          <w:lang w:val="da-DK"/>
        </w:rPr>
        <w:t xml:space="preserve">Wahyuni, M. S., Khairiyah, D., &amp; Yuniarti. Zs, N. (2022). Faktor-Faktor Yang Mempengaruhi Persepsi Wajib Pajak Mengenai Etika Atas Penggelapan Pajak (Tax Evasion). </w:t>
      </w:r>
      <w:r w:rsidRPr="00A46B04">
        <w:rPr>
          <w:i/>
          <w:iCs/>
          <w:noProof/>
          <w:lang w:val="da-DK"/>
        </w:rPr>
        <w:t>EKOMBIS REVIEW: Jurnal Ilmiah Ekonomi dan Bisnis</w:t>
      </w:r>
      <w:r w:rsidRPr="00A46B04">
        <w:rPr>
          <w:noProof/>
          <w:lang w:val="da-DK"/>
        </w:rPr>
        <w:t xml:space="preserve">, </w:t>
      </w:r>
      <w:r w:rsidRPr="00A46B04">
        <w:rPr>
          <w:i/>
          <w:iCs/>
          <w:noProof/>
          <w:lang w:val="da-DK"/>
        </w:rPr>
        <w:t>10</w:t>
      </w:r>
      <w:r w:rsidRPr="00A46B04">
        <w:rPr>
          <w:noProof/>
          <w:lang w:val="da-DK"/>
        </w:rPr>
        <w:t>(2). https://doi.org/10.37676/ekombis.v10i2.2397</w:t>
      </w:r>
    </w:p>
    <w:p w14:paraId="224544D6" w14:textId="77777777" w:rsidR="00563580" w:rsidRPr="00A46B04" w:rsidRDefault="00563580" w:rsidP="00563580">
      <w:pPr>
        <w:autoSpaceDE w:val="0"/>
        <w:autoSpaceDN w:val="0"/>
        <w:adjustRightInd w:val="0"/>
        <w:ind w:left="480" w:hanging="480"/>
        <w:rPr>
          <w:noProof/>
          <w:lang w:val="da-DK"/>
        </w:rPr>
      </w:pPr>
      <w:r w:rsidRPr="00084C60">
        <w:rPr>
          <w:noProof/>
        </w:rPr>
        <w:t xml:space="preserve">Wardani, D. K., &amp; Rahmawatiningsih, N. (2022). </w:t>
      </w:r>
      <w:r w:rsidRPr="00A46B04">
        <w:rPr>
          <w:noProof/>
          <w:lang w:val="da-DK"/>
        </w:rPr>
        <w:t xml:space="preserve">Pengaruh Tarif Dan Sistem Perpajakan Terhadap Niat Melakukan Penggelapan Pajak. </w:t>
      </w:r>
      <w:r w:rsidRPr="00A46B04">
        <w:rPr>
          <w:i/>
          <w:iCs/>
          <w:noProof/>
          <w:lang w:val="da-DK"/>
        </w:rPr>
        <w:t>Jurnal Bina Akuntansi</w:t>
      </w:r>
      <w:r w:rsidRPr="00A46B04">
        <w:rPr>
          <w:noProof/>
          <w:lang w:val="da-DK"/>
        </w:rPr>
        <w:t>. https://doi.org/10.52859/jba.v10i1.281</w:t>
      </w:r>
    </w:p>
    <w:p w14:paraId="566E9B29" w14:textId="77777777" w:rsidR="00563580" w:rsidRPr="00084C60" w:rsidRDefault="00563580" w:rsidP="00563580">
      <w:pPr>
        <w:autoSpaceDE w:val="0"/>
        <w:autoSpaceDN w:val="0"/>
        <w:adjustRightInd w:val="0"/>
        <w:ind w:left="480" w:hanging="480"/>
        <w:rPr>
          <w:noProof/>
        </w:rPr>
      </w:pPr>
      <w:r w:rsidRPr="00A46B04">
        <w:rPr>
          <w:noProof/>
          <w:lang w:val="da-DK"/>
        </w:rPr>
        <w:t xml:space="preserve">Wardani, D. K., &amp; Rumiyatun, R. (2017). Pengaruh Pengetahuan Wajib Pajak, Kesadaran Wajib Pajak, Sanksi Pajak Kendaraan Bermotor, Dan Sistem Samsat Drive Thru Terhadap Kepatuhan Wajib Pajak Kendaraan Bermotor. </w:t>
      </w:r>
      <w:r w:rsidRPr="00084C60">
        <w:rPr>
          <w:i/>
          <w:iCs/>
          <w:noProof/>
        </w:rPr>
        <w:t>Jurnal Akuntansi</w:t>
      </w:r>
      <w:r w:rsidRPr="00084C60">
        <w:rPr>
          <w:noProof/>
        </w:rPr>
        <w:t xml:space="preserve">, </w:t>
      </w:r>
      <w:r w:rsidRPr="00084C60">
        <w:rPr>
          <w:i/>
          <w:iCs/>
          <w:noProof/>
        </w:rPr>
        <w:t>5</w:t>
      </w:r>
      <w:r w:rsidRPr="00084C60">
        <w:rPr>
          <w:noProof/>
        </w:rPr>
        <w:t>(1), 15. https://doi.org/10.24964/ja.v5i1.253</w:t>
      </w:r>
    </w:p>
    <w:p w14:paraId="6C43506E" w14:textId="77777777" w:rsidR="00563580" w:rsidRPr="00084C60" w:rsidRDefault="00563580" w:rsidP="00563580">
      <w:pPr>
        <w:autoSpaceDE w:val="0"/>
        <w:autoSpaceDN w:val="0"/>
        <w:adjustRightInd w:val="0"/>
        <w:ind w:left="480" w:hanging="480"/>
        <w:rPr>
          <w:noProof/>
        </w:rPr>
      </w:pPr>
      <w:r w:rsidRPr="00084C60">
        <w:rPr>
          <w:noProof/>
        </w:rPr>
        <w:t xml:space="preserve">Widyaningsih, D., &amp; Fatah, A. R. (2021). </w:t>
      </w:r>
      <w:r w:rsidRPr="00084C60">
        <w:rPr>
          <w:i/>
          <w:iCs/>
          <w:noProof/>
        </w:rPr>
        <w:t>Ekosistem Kewirausahaan Pemuda di Indonesia</w:t>
      </w:r>
      <w:r w:rsidRPr="00084C60">
        <w:rPr>
          <w:noProof/>
        </w:rPr>
        <w:t>. SMERU Research Institute. https://smeru.or.id/id/research-id/ekosistem-kewirausahaan-pemuda-di-indonesia</w:t>
      </w:r>
    </w:p>
    <w:p w14:paraId="6D717250" w14:textId="77777777" w:rsidR="00563580" w:rsidRPr="00084C60" w:rsidRDefault="00563580" w:rsidP="00563580">
      <w:pPr>
        <w:autoSpaceDE w:val="0"/>
        <w:autoSpaceDN w:val="0"/>
        <w:adjustRightInd w:val="0"/>
        <w:ind w:left="480" w:hanging="480"/>
        <w:rPr>
          <w:noProof/>
        </w:rPr>
      </w:pPr>
      <w:r w:rsidRPr="00084C60">
        <w:rPr>
          <w:noProof/>
        </w:rPr>
        <w:t xml:space="preserve">Yulia, Y., &amp; Muanifah, S. (2021). Pengaruh Keadilan Pajak, Tarif Pajak, Dan Sistem Perpajakan Terhadap Penggelapan Pajak. </w:t>
      </w:r>
      <w:r w:rsidRPr="00084C60">
        <w:rPr>
          <w:i/>
          <w:iCs/>
          <w:noProof/>
        </w:rPr>
        <w:t>Prosiding Sarjana akuntansi Tugas Akhir Secara Berkala</w:t>
      </w:r>
      <w:r w:rsidRPr="00084C60">
        <w:rPr>
          <w:noProof/>
        </w:rPr>
        <w:t xml:space="preserve">, </w:t>
      </w:r>
      <w:r w:rsidRPr="00084C60">
        <w:rPr>
          <w:i/>
          <w:iCs/>
          <w:noProof/>
        </w:rPr>
        <w:t>1</w:t>
      </w:r>
      <w:r w:rsidRPr="00084C60">
        <w:rPr>
          <w:noProof/>
        </w:rPr>
        <w:t>(1), 252–267.</w:t>
      </w:r>
    </w:p>
    <w:p w14:paraId="343B45B3" w14:textId="77777777" w:rsidR="00563580" w:rsidRPr="00084C60" w:rsidRDefault="00563580" w:rsidP="00563580">
      <w:pPr>
        <w:autoSpaceDE w:val="0"/>
        <w:autoSpaceDN w:val="0"/>
        <w:adjustRightInd w:val="0"/>
        <w:ind w:left="480" w:hanging="480"/>
        <w:rPr>
          <w:noProof/>
        </w:rPr>
      </w:pPr>
      <w:r w:rsidRPr="00084C60">
        <w:rPr>
          <w:noProof/>
        </w:rPr>
        <w:t xml:space="preserve">Zulma, G. W. M. (2020). Pengaruh Pengetahuan Wajib Pajak, Administrasi Pajak, Tarif Pajak dan Sanksi Perpajakan terhadap Kepatuhan Pajak Pada Pelaku Usaha UMKM di Indonesia. </w:t>
      </w:r>
      <w:r w:rsidRPr="00084C60">
        <w:rPr>
          <w:i/>
          <w:iCs/>
          <w:noProof/>
        </w:rPr>
        <w:t>Ekonomis: Journal of Economics and Business</w:t>
      </w:r>
      <w:r w:rsidRPr="00084C60">
        <w:rPr>
          <w:noProof/>
        </w:rPr>
        <w:t xml:space="preserve">, </w:t>
      </w:r>
      <w:r w:rsidRPr="00084C60">
        <w:rPr>
          <w:i/>
          <w:iCs/>
          <w:noProof/>
        </w:rPr>
        <w:t>4</w:t>
      </w:r>
      <w:r w:rsidRPr="00084C60">
        <w:rPr>
          <w:noProof/>
        </w:rPr>
        <w:t>(2), 288. https://doi.org/10.33087/ekonomis.v4i2.170</w:t>
      </w:r>
    </w:p>
    <w:p w14:paraId="60EDA763" w14:textId="77777777" w:rsidR="00563580" w:rsidRDefault="00563580" w:rsidP="00563580">
      <w:r>
        <w:fldChar w:fldCharType="end"/>
      </w:r>
    </w:p>
    <w:p w14:paraId="4E64912B" w14:textId="77777777" w:rsidR="00A93CDD" w:rsidRDefault="00A93CDD"/>
    <w:sectPr w:rsidR="00A93CDD" w:rsidSect="00563580">
      <w:headerReference w:type="even" r:id="rId13"/>
      <w:type w:val="continuous"/>
      <w:pgSz w:w="11907" w:h="16840" w:code="9"/>
      <w:pgMar w:top="1701" w:right="1247" w:bottom="1531" w:left="1134" w:header="1021"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7E691" w14:textId="77777777" w:rsidR="00232D61" w:rsidRDefault="00232D61">
      <w:r>
        <w:separator/>
      </w:r>
    </w:p>
  </w:endnote>
  <w:endnote w:type="continuationSeparator" w:id="0">
    <w:p w14:paraId="36EDF3D0" w14:textId="77777777" w:rsidR="00232D61" w:rsidRDefault="0023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6A476" w14:textId="77777777" w:rsidR="00563580" w:rsidRPr="00D364F8" w:rsidRDefault="00563580" w:rsidP="00F155A9">
    <w:pPr>
      <w:pStyle w:val="Footer"/>
      <w:rPr>
        <w:rFonts w:ascii="Candara" w:hAnsi="Candara"/>
        <w:szCs w:val="20"/>
      </w:rPr>
    </w:pPr>
    <w:r w:rsidRPr="00D364F8">
      <w:rPr>
        <w:rStyle w:val="PageNumber"/>
        <w:rFonts w:ascii="Candara" w:hAnsi="Candara"/>
        <w:szCs w:val="20"/>
      </w:rPr>
      <w:fldChar w:fldCharType="begin"/>
    </w:r>
    <w:r w:rsidRPr="00D364F8">
      <w:rPr>
        <w:rStyle w:val="PageNumber"/>
        <w:rFonts w:ascii="Candara" w:hAnsi="Candara"/>
        <w:szCs w:val="20"/>
      </w:rPr>
      <w:instrText xml:space="preserve"> PAGE </w:instrText>
    </w:r>
    <w:r w:rsidRPr="00D364F8">
      <w:rPr>
        <w:rStyle w:val="PageNumber"/>
        <w:rFonts w:ascii="Candara" w:hAnsi="Candara"/>
        <w:szCs w:val="20"/>
      </w:rPr>
      <w:fldChar w:fldCharType="separate"/>
    </w:r>
    <w:r>
      <w:rPr>
        <w:rStyle w:val="PageNumber"/>
        <w:rFonts w:ascii="Candara" w:hAnsi="Candara"/>
        <w:noProof/>
        <w:szCs w:val="20"/>
      </w:rPr>
      <w:t>2</w:t>
    </w:r>
    <w:r w:rsidRPr="00D364F8">
      <w:rPr>
        <w:rStyle w:val="PageNumber"/>
        <w:rFonts w:ascii="Candara" w:hAnsi="Candara"/>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F81E5" w14:textId="77777777" w:rsidR="00563580" w:rsidRPr="00D364F8" w:rsidRDefault="00563580" w:rsidP="00F155A9">
    <w:pPr>
      <w:pStyle w:val="Footer"/>
      <w:rPr>
        <w:rFonts w:ascii="Candara" w:hAnsi="Candara"/>
        <w:sz w:val="22"/>
        <w:szCs w:val="20"/>
      </w:rPr>
    </w:pPr>
    <w:r w:rsidRPr="00D364F8">
      <w:rPr>
        <w:rStyle w:val="PageNumber"/>
        <w:rFonts w:ascii="Candara" w:hAnsi="Candara"/>
        <w:sz w:val="22"/>
        <w:szCs w:val="20"/>
      </w:rPr>
      <w:fldChar w:fldCharType="begin"/>
    </w:r>
    <w:r w:rsidRPr="00D364F8">
      <w:rPr>
        <w:rStyle w:val="PageNumber"/>
        <w:rFonts w:ascii="Candara" w:hAnsi="Candara"/>
        <w:sz w:val="22"/>
        <w:szCs w:val="20"/>
      </w:rPr>
      <w:instrText xml:space="preserve"> PAGE </w:instrText>
    </w:r>
    <w:r w:rsidRPr="00D364F8">
      <w:rPr>
        <w:rStyle w:val="PageNumber"/>
        <w:rFonts w:ascii="Candara" w:hAnsi="Candara"/>
        <w:sz w:val="22"/>
        <w:szCs w:val="20"/>
      </w:rPr>
      <w:fldChar w:fldCharType="separate"/>
    </w:r>
    <w:r>
      <w:rPr>
        <w:rStyle w:val="PageNumber"/>
        <w:rFonts w:ascii="Candara" w:hAnsi="Candara"/>
        <w:noProof/>
        <w:sz w:val="22"/>
        <w:szCs w:val="20"/>
      </w:rPr>
      <w:t>3</w:t>
    </w:r>
    <w:r w:rsidRPr="00D364F8">
      <w:rPr>
        <w:rStyle w:val="PageNumber"/>
        <w:rFonts w:ascii="Candara" w:hAnsi="Candara"/>
        <w:sz w:val="22"/>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9E704" w14:textId="77777777" w:rsidR="00563580" w:rsidRPr="00D364F8" w:rsidRDefault="00563580" w:rsidP="00F155A9">
    <w:pPr>
      <w:pStyle w:val="Footer"/>
      <w:rPr>
        <w:rFonts w:ascii="Candara" w:hAnsi="Candara"/>
      </w:rPr>
    </w:pPr>
    <w:r w:rsidRPr="00D364F8">
      <w:rPr>
        <w:rStyle w:val="PageNumber"/>
        <w:rFonts w:ascii="Candara" w:hAnsi="Candara"/>
        <w:szCs w:val="22"/>
      </w:rPr>
      <w:fldChar w:fldCharType="begin"/>
    </w:r>
    <w:r w:rsidRPr="00D364F8">
      <w:rPr>
        <w:rStyle w:val="PageNumber"/>
        <w:rFonts w:ascii="Candara" w:hAnsi="Candara"/>
        <w:szCs w:val="22"/>
      </w:rPr>
      <w:instrText xml:space="preserve"> PAGE </w:instrText>
    </w:r>
    <w:r w:rsidRPr="00D364F8">
      <w:rPr>
        <w:rStyle w:val="PageNumber"/>
        <w:rFonts w:ascii="Candara" w:hAnsi="Candara"/>
        <w:szCs w:val="22"/>
      </w:rPr>
      <w:fldChar w:fldCharType="separate"/>
    </w:r>
    <w:r>
      <w:rPr>
        <w:rStyle w:val="PageNumber"/>
        <w:rFonts w:ascii="Candara" w:hAnsi="Candara"/>
        <w:noProof/>
        <w:szCs w:val="22"/>
      </w:rPr>
      <w:t>1</w:t>
    </w:r>
    <w:r w:rsidRPr="00D364F8">
      <w:rPr>
        <w:rStyle w:val="PageNumber"/>
        <w:rFonts w:ascii="Candara" w:hAnsi="Candara"/>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10C92" w14:textId="77777777" w:rsidR="00232D61" w:rsidRDefault="00232D61">
      <w:r>
        <w:separator/>
      </w:r>
    </w:p>
  </w:footnote>
  <w:footnote w:type="continuationSeparator" w:id="0">
    <w:p w14:paraId="19A8FB75" w14:textId="77777777" w:rsidR="00232D61" w:rsidRDefault="00232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B661F" w14:textId="77777777" w:rsidR="00563580" w:rsidRPr="00C06469" w:rsidRDefault="00563580" w:rsidP="004B7447">
    <w:pPr>
      <w:pStyle w:val="Header"/>
      <w:tabs>
        <w:tab w:val="clear" w:pos="8789"/>
        <w:tab w:val="right" w:pos="9526"/>
      </w:tabs>
      <w:ind w:left="11520" w:hanging="11520"/>
      <w:jc w:val="center"/>
      <w:rPr>
        <w:sz w:val="18"/>
        <w:szCs w:val="18"/>
      </w:rPr>
    </w:pPr>
    <w:r>
      <w:rPr>
        <w:sz w:val="18"/>
        <w:szCs w:val="18"/>
      </w:rPr>
      <w:t>Writer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3641A" w14:textId="77777777" w:rsidR="00563580" w:rsidRPr="00815315" w:rsidRDefault="00563580" w:rsidP="00C06469">
    <w:pPr>
      <w:pStyle w:val="Header"/>
      <w:tabs>
        <w:tab w:val="clear" w:pos="8789"/>
        <w:tab w:val="right" w:pos="9526"/>
      </w:tabs>
      <w:ind w:left="11520" w:hanging="11520"/>
      <w:jc w:val="center"/>
      <w:rPr>
        <w:sz w:val="18"/>
        <w:szCs w:val="18"/>
        <w:lang w:val="id-ID"/>
      </w:rPr>
    </w:pPr>
    <w:r>
      <w:rPr>
        <w:sz w:val="18"/>
        <w:szCs w:val="18"/>
        <w:lang w:val="id-ID"/>
      </w:rPr>
      <w:t>Journal of Accounting &amp; Taxation</w:t>
    </w:r>
  </w:p>
  <w:p w14:paraId="2014403E" w14:textId="77777777" w:rsidR="00563580" w:rsidRPr="00C06469" w:rsidRDefault="00563580" w:rsidP="00C06469">
    <w:pPr>
      <w:pStyle w:val="Header"/>
      <w:tabs>
        <w:tab w:val="clear" w:pos="8789"/>
        <w:tab w:val="right" w:pos="9526"/>
      </w:tabs>
      <w:ind w:left="11520" w:hanging="11520"/>
      <w:jc w:val="center"/>
      <w:rPr>
        <w:sz w:val="18"/>
        <w:szCs w:val="18"/>
        <w:lang w:val="sv-SE"/>
      </w:rPr>
    </w:pPr>
    <w:r w:rsidRPr="00C06469">
      <w:rPr>
        <w:sz w:val="18"/>
        <w:szCs w:val="18"/>
        <w:lang w:val="sv-SE"/>
      </w:rPr>
      <w:t>Vol. 1 (1) 2018: 1-11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9D9F5" w14:textId="77777777" w:rsidR="00563580" w:rsidRDefault="00563580" w:rsidP="00815315">
    <w:pPr>
      <w:pStyle w:val="Header"/>
      <w:pBdr>
        <w:top w:val="single" w:sz="4" w:space="1" w:color="auto"/>
        <w:bottom w:val="single" w:sz="4" w:space="1" w:color="auto"/>
      </w:pBdr>
      <w:tabs>
        <w:tab w:val="clear" w:pos="8789"/>
        <w:tab w:val="right" w:pos="9526"/>
      </w:tabs>
      <w:spacing w:before="240"/>
      <w:jc w:val="center"/>
      <w:rPr>
        <w:b/>
        <w:iCs/>
        <w:sz w:val="18"/>
        <w:szCs w:val="18"/>
      </w:rPr>
    </w:pPr>
    <w:r>
      <w:rPr>
        <w:noProof/>
      </w:rPr>
      <w:drawing>
        <wp:anchor distT="0" distB="0" distL="114300" distR="114300" simplePos="0" relativeHeight="251660288" behindDoc="1" locked="0" layoutInCell="1" allowOverlap="1" wp14:anchorId="5618DCC0" wp14:editId="12D98E70">
          <wp:simplePos x="0" y="0"/>
          <wp:positionH relativeFrom="column">
            <wp:posOffset>4542790</wp:posOffset>
          </wp:positionH>
          <wp:positionV relativeFrom="paragraph">
            <wp:posOffset>205740</wp:posOffset>
          </wp:positionV>
          <wp:extent cx="1503680" cy="52832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68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F3A2C9D" wp14:editId="35CE5947">
          <wp:simplePos x="0" y="0"/>
          <wp:positionH relativeFrom="column">
            <wp:posOffset>82550</wp:posOffset>
          </wp:positionH>
          <wp:positionV relativeFrom="paragraph">
            <wp:posOffset>166370</wp:posOffset>
          </wp:positionV>
          <wp:extent cx="913765" cy="588010"/>
          <wp:effectExtent l="0" t="0" r="0" b="0"/>
          <wp:wrapNone/>
          <wp:docPr id="6" name="Picture 1" descr="jur akunt perpan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ur akunt perpanj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765" cy="58801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rPr>
      <w:t xml:space="preserve"> </w:t>
    </w:r>
  </w:p>
  <w:p w14:paraId="6ADB5369" w14:textId="77777777" w:rsidR="00563580" w:rsidRDefault="00563580" w:rsidP="00815315">
    <w:pPr>
      <w:pStyle w:val="Header"/>
      <w:pBdr>
        <w:top w:val="single" w:sz="4" w:space="1" w:color="auto"/>
        <w:bottom w:val="single" w:sz="4" w:space="1" w:color="auto"/>
      </w:pBdr>
      <w:tabs>
        <w:tab w:val="clear" w:pos="8789"/>
        <w:tab w:val="right" w:pos="9526"/>
      </w:tabs>
      <w:jc w:val="center"/>
      <w:rPr>
        <w:iCs/>
        <w:sz w:val="18"/>
        <w:szCs w:val="18"/>
      </w:rPr>
    </w:pPr>
    <w:r>
      <w:rPr>
        <w:b/>
        <w:iCs/>
        <w:sz w:val="18"/>
        <w:szCs w:val="18"/>
        <w:lang w:val="id-ID"/>
      </w:rPr>
      <w:t>Journal of Accounting and Taxation, 3(2): 1-09, 2017</w:t>
    </w:r>
    <w:r w:rsidRPr="007C2F4D">
      <w:rPr>
        <w:b/>
        <w:iCs/>
        <w:sz w:val="18"/>
        <w:szCs w:val="18"/>
      </w:rPr>
      <w:br/>
    </w:r>
    <w:hyperlink r:id="rId3" w:history="1">
      <w:r w:rsidRPr="00E324E1">
        <w:rPr>
          <w:rStyle w:val="Hyperlink"/>
          <w:iCs/>
          <w:sz w:val="18"/>
          <w:szCs w:val="18"/>
        </w:rPr>
        <w:t>http://jurnal.unmer.ac.id/index.php/ap</w:t>
      </w:r>
    </w:hyperlink>
  </w:p>
  <w:p w14:paraId="7B1BC0F4" w14:textId="77777777" w:rsidR="00563580" w:rsidRDefault="00563580" w:rsidP="00815315">
    <w:pPr>
      <w:pStyle w:val="Header"/>
      <w:pBdr>
        <w:top w:val="single" w:sz="4" w:space="1" w:color="auto"/>
        <w:bottom w:val="single" w:sz="4" w:space="1" w:color="auto"/>
      </w:pBdr>
      <w:tabs>
        <w:tab w:val="clear" w:pos="8789"/>
        <w:tab w:val="right" w:pos="9526"/>
      </w:tabs>
      <w:jc w:val="center"/>
      <w:rPr>
        <w:iCs/>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3D541" w14:textId="77777777" w:rsidR="00563580" w:rsidRDefault="00563580" w:rsidP="00F155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114E5"/>
    <w:multiLevelType w:val="hybridMultilevel"/>
    <w:tmpl w:val="060C5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E73699"/>
    <w:multiLevelType w:val="hybridMultilevel"/>
    <w:tmpl w:val="E8524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85F7E"/>
    <w:multiLevelType w:val="hybridMultilevel"/>
    <w:tmpl w:val="681C5A88"/>
    <w:lvl w:ilvl="0" w:tplc="A8B4890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705484"/>
    <w:multiLevelType w:val="hybridMultilevel"/>
    <w:tmpl w:val="2D2E9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979316">
    <w:abstractNumId w:val="3"/>
  </w:num>
  <w:num w:numId="2" w16cid:durableId="1540700885">
    <w:abstractNumId w:val="2"/>
  </w:num>
  <w:num w:numId="3" w16cid:durableId="164134332">
    <w:abstractNumId w:val="1"/>
  </w:num>
  <w:num w:numId="4" w16cid:durableId="9332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80"/>
    <w:rsid w:val="000338CF"/>
    <w:rsid w:val="001122F3"/>
    <w:rsid w:val="00232D61"/>
    <w:rsid w:val="002813DB"/>
    <w:rsid w:val="00394155"/>
    <w:rsid w:val="00410A6D"/>
    <w:rsid w:val="004E6444"/>
    <w:rsid w:val="00563580"/>
    <w:rsid w:val="006611AB"/>
    <w:rsid w:val="007D2C59"/>
    <w:rsid w:val="00971547"/>
    <w:rsid w:val="00A93CDD"/>
    <w:rsid w:val="00CE534D"/>
    <w:rsid w:val="00DB7D27"/>
    <w:rsid w:val="00EF538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AE05"/>
  <w15:chartTrackingRefBased/>
  <w15:docId w15:val="{E2F95132-4D10-4799-9742-F94022BC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b/>
        <w:bCs/>
        <w:kern w:val="2"/>
        <w:sz w:val="24"/>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563580"/>
    <w:pPr>
      <w:widowControl w:val="0"/>
      <w:spacing w:after="0" w:line="240" w:lineRule="auto"/>
      <w:jc w:val="both"/>
    </w:pPr>
    <w:rPr>
      <w:rFonts w:eastAsia="Times New Roman" w:cs="Times New Roman"/>
      <w:b w:val="0"/>
      <w:bCs w:val="0"/>
      <w:kern w:val="0"/>
      <w:sz w:val="20"/>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ntura-AuthorAddress">
    <w:name w:val="Ventura-AuthorAddress"/>
    <w:basedOn w:val="Normal"/>
    <w:link w:val="Ventura-AuthorAddressChar"/>
    <w:rsid w:val="00563580"/>
    <w:rPr>
      <w:i/>
    </w:rPr>
  </w:style>
  <w:style w:type="paragraph" w:customStyle="1" w:styleId="Ventura-Heading1">
    <w:name w:val="Ventura-Heading1"/>
    <w:basedOn w:val="Normal"/>
    <w:link w:val="Ventura-Heading1Char"/>
    <w:rsid w:val="00563580"/>
    <w:rPr>
      <w:rFonts w:ascii="Book Antiqua" w:hAnsi="Book Antiqua"/>
      <w:b/>
      <w:caps/>
    </w:rPr>
  </w:style>
  <w:style w:type="character" w:customStyle="1" w:styleId="Ventura-Heading1Char">
    <w:name w:val="Ventura-Heading1 Char"/>
    <w:link w:val="Ventura-Heading1"/>
    <w:rsid w:val="00563580"/>
    <w:rPr>
      <w:rFonts w:ascii="Book Antiqua" w:eastAsia="Times New Roman" w:hAnsi="Book Antiqua" w:cs="Times New Roman"/>
      <w:bCs w:val="0"/>
      <w:caps/>
      <w:kern w:val="0"/>
      <w:sz w:val="20"/>
      <w:szCs w:val="24"/>
      <w:lang w:bidi="ar-SA"/>
      <w14:ligatures w14:val="none"/>
    </w:rPr>
  </w:style>
  <w:style w:type="paragraph" w:customStyle="1" w:styleId="Ventura-Content">
    <w:name w:val="Ventura-Content"/>
    <w:basedOn w:val="Normal"/>
    <w:link w:val="Ventura-ContentChar"/>
    <w:rsid w:val="00563580"/>
    <w:pPr>
      <w:ind w:firstLine="397"/>
    </w:pPr>
    <w:rPr>
      <w:rFonts w:ascii="Book Antiqua" w:hAnsi="Book Antiqua"/>
    </w:rPr>
  </w:style>
  <w:style w:type="character" w:customStyle="1" w:styleId="Ventura-ContentChar">
    <w:name w:val="Ventura-Content Char"/>
    <w:link w:val="Ventura-Content"/>
    <w:rsid w:val="00563580"/>
    <w:rPr>
      <w:rFonts w:ascii="Book Antiqua" w:eastAsia="Times New Roman" w:hAnsi="Book Antiqua" w:cs="Times New Roman"/>
      <w:b w:val="0"/>
      <w:bCs w:val="0"/>
      <w:kern w:val="0"/>
      <w:sz w:val="20"/>
      <w:szCs w:val="24"/>
      <w:lang w:bidi="ar-SA"/>
      <w14:ligatures w14:val="none"/>
    </w:rPr>
  </w:style>
  <w:style w:type="paragraph" w:customStyle="1" w:styleId="Ventura-Formula">
    <w:name w:val="Ventura-Formula"/>
    <w:basedOn w:val="Ventura-Content"/>
    <w:link w:val="Ventura-FormulaChar"/>
    <w:rsid w:val="00563580"/>
    <w:pPr>
      <w:tabs>
        <w:tab w:val="right" w:pos="4621"/>
      </w:tabs>
      <w:ind w:firstLine="0"/>
    </w:pPr>
  </w:style>
  <w:style w:type="character" w:customStyle="1" w:styleId="Ventura-FormulaChar">
    <w:name w:val="Ventura-Formula Char"/>
    <w:link w:val="Ventura-Formula"/>
    <w:rsid w:val="00563580"/>
    <w:rPr>
      <w:rFonts w:ascii="Book Antiqua" w:eastAsia="Times New Roman" w:hAnsi="Book Antiqua" w:cs="Times New Roman"/>
      <w:b w:val="0"/>
      <w:bCs w:val="0"/>
      <w:kern w:val="0"/>
      <w:sz w:val="20"/>
      <w:szCs w:val="24"/>
      <w:lang w:bidi="ar-SA"/>
      <w14:ligatures w14:val="none"/>
    </w:rPr>
  </w:style>
  <w:style w:type="paragraph" w:styleId="Header">
    <w:name w:val="header"/>
    <w:aliases w:val="Ventura-Header,Persen"/>
    <w:basedOn w:val="Normal"/>
    <w:link w:val="HeaderChar"/>
    <w:uiPriority w:val="99"/>
    <w:rsid w:val="00563580"/>
    <w:pPr>
      <w:tabs>
        <w:tab w:val="right" w:pos="8789"/>
      </w:tabs>
    </w:pPr>
    <w:rPr>
      <w:rFonts w:ascii="Book Antiqua" w:hAnsi="Book Antiqua"/>
    </w:rPr>
  </w:style>
  <w:style w:type="character" w:customStyle="1" w:styleId="HeaderChar">
    <w:name w:val="Header Char"/>
    <w:aliases w:val="Ventura-Header Char,Persen Char"/>
    <w:basedOn w:val="DefaultParagraphFont"/>
    <w:link w:val="Header"/>
    <w:uiPriority w:val="99"/>
    <w:rsid w:val="00563580"/>
    <w:rPr>
      <w:rFonts w:ascii="Book Antiqua" w:eastAsia="Times New Roman" w:hAnsi="Book Antiqua" w:cs="Times New Roman"/>
      <w:b w:val="0"/>
      <w:bCs w:val="0"/>
      <w:kern w:val="0"/>
      <w:sz w:val="20"/>
      <w:szCs w:val="24"/>
      <w:lang w:bidi="ar-SA"/>
      <w14:ligatures w14:val="none"/>
    </w:rPr>
  </w:style>
  <w:style w:type="paragraph" w:styleId="Footer">
    <w:name w:val="footer"/>
    <w:aliases w:val="Footer Char Char Char,Footer Char Char Char Char"/>
    <w:basedOn w:val="Normal"/>
    <w:link w:val="FooterChar"/>
    <w:uiPriority w:val="99"/>
    <w:rsid w:val="00563580"/>
    <w:pPr>
      <w:jc w:val="center"/>
    </w:pPr>
    <w:rPr>
      <w:sz w:val="24"/>
    </w:rPr>
  </w:style>
  <w:style w:type="character" w:customStyle="1" w:styleId="FooterChar">
    <w:name w:val="Footer Char"/>
    <w:aliases w:val="Footer Char Char Char Char1,Footer Char Char Char Char Char"/>
    <w:basedOn w:val="DefaultParagraphFont"/>
    <w:link w:val="Footer"/>
    <w:uiPriority w:val="99"/>
    <w:rsid w:val="00563580"/>
    <w:rPr>
      <w:rFonts w:eastAsia="Times New Roman" w:cs="Times New Roman"/>
      <w:b w:val="0"/>
      <w:bCs w:val="0"/>
      <w:kern w:val="0"/>
      <w:szCs w:val="24"/>
      <w:lang w:bidi="ar-SA"/>
      <w14:ligatures w14:val="none"/>
    </w:rPr>
  </w:style>
  <w:style w:type="character" w:styleId="PageNumber">
    <w:name w:val="page number"/>
    <w:uiPriority w:val="99"/>
    <w:rsid w:val="00563580"/>
    <w:rPr>
      <w:sz w:val="24"/>
    </w:rPr>
  </w:style>
  <w:style w:type="character" w:styleId="Hyperlink">
    <w:name w:val="Hyperlink"/>
    <w:uiPriority w:val="99"/>
    <w:rsid w:val="00563580"/>
    <w:rPr>
      <w:color w:val="auto"/>
      <w:u w:val="none"/>
    </w:rPr>
  </w:style>
  <w:style w:type="character" w:customStyle="1" w:styleId="TitleChar">
    <w:name w:val="Title Char"/>
    <w:aliases w:val="JAP Judul Char"/>
    <w:link w:val="Title"/>
    <w:locked/>
    <w:rsid w:val="00563580"/>
    <w:rPr>
      <w:rFonts w:ascii="Book Antiqua" w:hAnsi="Book Antiqua"/>
      <w:b w:val="0"/>
      <w:bCs w:val="0"/>
      <w:szCs w:val="24"/>
      <w:lang w:val="x-none" w:eastAsia="x-none"/>
    </w:rPr>
  </w:style>
  <w:style w:type="paragraph" w:styleId="Title">
    <w:name w:val="Title"/>
    <w:aliases w:val="JAP Judul"/>
    <w:basedOn w:val="Normal"/>
    <w:link w:val="TitleChar"/>
    <w:qFormat/>
    <w:rsid w:val="00563580"/>
    <w:pPr>
      <w:widowControl/>
      <w:jc w:val="center"/>
    </w:pPr>
    <w:rPr>
      <w:rFonts w:ascii="Book Antiqua" w:eastAsiaTheme="minorHAnsi" w:hAnsi="Book Antiqua" w:cstheme="minorBidi"/>
      <w:kern w:val="2"/>
      <w:sz w:val="24"/>
      <w:lang w:val="x-none" w:eastAsia="x-none" w:bidi="th-TH"/>
      <w14:ligatures w14:val="standardContextual"/>
    </w:rPr>
  </w:style>
  <w:style w:type="character" w:customStyle="1" w:styleId="TitleChar1">
    <w:name w:val="Title Char1"/>
    <w:basedOn w:val="DefaultParagraphFont"/>
    <w:uiPriority w:val="10"/>
    <w:rsid w:val="00563580"/>
    <w:rPr>
      <w:rFonts w:asciiTheme="majorHAnsi" w:eastAsiaTheme="majorEastAsia" w:hAnsiTheme="majorHAnsi" w:cstheme="majorBidi"/>
      <w:b w:val="0"/>
      <w:bCs w:val="0"/>
      <w:spacing w:val="-10"/>
      <w:kern w:val="28"/>
      <w:sz w:val="56"/>
      <w:szCs w:val="56"/>
      <w:lang w:bidi="ar-SA"/>
      <w14:ligatures w14:val="none"/>
    </w:rPr>
  </w:style>
  <w:style w:type="paragraph" w:customStyle="1" w:styleId="VenturaCover1">
    <w:name w:val="Ventura Cover1"/>
    <w:basedOn w:val="Normal"/>
    <w:rsid w:val="00563580"/>
    <w:pPr>
      <w:spacing w:before="120"/>
      <w:contextualSpacing/>
      <w:jc w:val="center"/>
    </w:pPr>
  </w:style>
  <w:style w:type="paragraph" w:styleId="Caption">
    <w:name w:val="caption"/>
    <w:basedOn w:val="Normal"/>
    <w:qFormat/>
    <w:rsid w:val="00563580"/>
    <w:pPr>
      <w:widowControl/>
      <w:suppressLineNumbers/>
      <w:suppressAutoHyphens/>
      <w:jc w:val="center"/>
    </w:pPr>
    <w:rPr>
      <w:rFonts w:ascii="Book Antiqua" w:hAnsi="Book Antiqua" w:cs="Tahoma"/>
      <w:b/>
      <w:iCs/>
      <w:lang w:eastAsia="ar-SA"/>
    </w:rPr>
  </w:style>
  <w:style w:type="paragraph" w:customStyle="1" w:styleId="JAPBODYTEXT">
    <w:name w:val="JAP BODY TEXT"/>
    <w:basedOn w:val="Ventura-Content"/>
    <w:link w:val="JAPBODYTEXTChar"/>
    <w:autoRedefine/>
    <w:qFormat/>
    <w:rsid w:val="00563580"/>
    <w:pPr>
      <w:tabs>
        <w:tab w:val="left" w:pos="454"/>
      </w:tabs>
    </w:pPr>
    <w:rPr>
      <w:lang w:val="sv-SE"/>
    </w:rPr>
  </w:style>
  <w:style w:type="paragraph" w:customStyle="1" w:styleId="JAPPenulis">
    <w:name w:val="JAP Penulis"/>
    <w:basedOn w:val="Normal"/>
    <w:link w:val="JAPPenulisChar"/>
    <w:autoRedefine/>
    <w:qFormat/>
    <w:rsid w:val="00563580"/>
    <w:pPr>
      <w:jc w:val="center"/>
    </w:pPr>
    <w:rPr>
      <w:rFonts w:ascii="Book Antiqua" w:hAnsi="Book Antiqua"/>
      <w:b/>
      <w:bCs/>
      <w:sz w:val="24"/>
      <w:lang w:val="id-ID"/>
    </w:rPr>
  </w:style>
  <w:style w:type="character" w:customStyle="1" w:styleId="JAPBODYTEXTChar">
    <w:name w:val="JAP BODY TEXT Char"/>
    <w:link w:val="JAPBODYTEXT"/>
    <w:rsid w:val="00563580"/>
    <w:rPr>
      <w:rFonts w:ascii="Book Antiqua" w:eastAsia="Times New Roman" w:hAnsi="Book Antiqua" w:cs="Times New Roman"/>
      <w:b w:val="0"/>
      <w:bCs w:val="0"/>
      <w:kern w:val="0"/>
      <w:sz w:val="20"/>
      <w:szCs w:val="24"/>
      <w:lang w:val="sv-SE" w:bidi="ar-SA"/>
      <w14:ligatures w14:val="none"/>
    </w:rPr>
  </w:style>
  <w:style w:type="character" w:customStyle="1" w:styleId="JAPPenulisChar">
    <w:name w:val="JAP Penulis Char"/>
    <w:link w:val="JAPPenulis"/>
    <w:rsid w:val="00563580"/>
    <w:rPr>
      <w:rFonts w:ascii="Book Antiqua" w:eastAsia="Times New Roman" w:hAnsi="Book Antiqua" w:cs="Times New Roman"/>
      <w:kern w:val="0"/>
      <w:szCs w:val="24"/>
      <w:lang w:val="id-ID" w:bidi="ar-SA"/>
      <w14:ligatures w14:val="none"/>
    </w:rPr>
  </w:style>
  <w:style w:type="paragraph" w:customStyle="1" w:styleId="JAPSub-Judul">
    <w:name w:val="JAP Sub-Judul"/>
    <w:basedOn w:val="Ventura-Heading1"/>
    <w:link w:val="JAPSub-JudulChar"/>
    <w:autoRedefine/>
    <w:qFormat/>
    <w:rsid w:val="00563580"/>
    <w:rPr>
      <w:iCs/>
      <w:szCs w:val="18"/>
      <w:lang w:val="sv-SE"/>
    </w:rPr>
  </w:style>
  <w:style w:type="character" w:customStyle="1" w:styleId="Ventura-AuthorAddressChar">
    <w:name w:val="Ventura-AuthorAddress Char"/>
    <w:link w:val="Ventura-AuthorAddress"/>
    <w:rsid w:val="00563580"/>
    <w:rPr>
      <w:rFonts w:eastAsia="Times New Roman" w:cs="Times New Roman"/>
      <w:b w:val="0"/>
      <w:bCs w:val="0"/>
      <w:i/>
      <w:kern w:val="0"/>
      <w:sz w:val="20"/>
      <w:szCs w:val="24"/>
      <w:lang w:bidi="ar-SA"/>
      <w14:ligatures w14:val="none"/>
    </w:rPr>
  </w:style>
  <w:style w:type="character" w:customStyle="1" w:styleId="JAPSub-JudulChar">
    <w:name w:val="JAP Sub-Judul Char"/>
    <w:link w:val="JAPSub-Judul"/>
    <w:rsid w:val="00563580"/>
    <w:rPr>
      <w:rFonts w:ascii="Book Antiqua" w:eastAsia="Times New Roman" w:hAnsi="Book Antiqua" w:cs="Times New Roman"/>
      <w:bCs w:val="0"/>
      <w:iCs/>
      <w:caps/>
      <w:kern w:val="0"/>
      <w:sz w:val="20"/>
      <w:szCs w:val="18"/>
      <w:lang w:val="sv-SE" w:bidi="ar-SA"/>
      <w14:ligatures w14:val="none"/>
    </w:rPr>
  </w:style>
  <w:style w:type="paragraph" w:customStyle="1" w:styleId="JAP-KeywordsABSTRACT">
    <w:name w:val="JAP - Keywords ABSTRACT"/>
    <w:basedOn w:val="Ventura-AuthorAddress"/>
    <w:link w:val="JAP-KeywordsABSTRACTChar"/>
    <w:autoRedefine/>
    <w:qFormat/>
    <w:rsid w:val="00563580"/>
    <w:rPr>
      <w:rFonts w:ascii="Book Antiqua" w:hAnsi="Book Antiqua"/>
      <w:b/>
      <w:bCs/>
      <w:sz w:val="18"/>
      <w:szCs w:val="18"/>
      <w:lang w:val="sv-SE"/>
    </w:rPr>
  </w:style>
  <w:style w:type="paragraph" w:customStyle="1" w:styleId="JAP-KataKunciABSTRAK">
    <w:name w:val="JAP - Kata Kunci ABSTRAK"/>
    <w:basedOn w:val="Ventura-AuthorAddress"/>
    <w:link w:val="JAP-KataKunciABSTRAKChar"/>
    <w:autoRedefine/>
    <w:qFormat/>
    <w:rsid w:val="00563580"/>
    <w:rPr>
      <w:rFonts w:ascii="Book Antiqua" w:hAnsi="Book Antiqua"/>
      <w:b/>
      <w:i w:val="0"/>
      <w:sz w:val="18"/>
      <w:szCs w:val="18"/>
      <w:lang w:val="sv-SE"/>
    </w:rPr>
  </w:style>
  <w:style w:type="character" w:customStyle="1" w:styleId="JAP-KeywordsABSTRACTChar">
    <w:name w:val="JAP - Keywords ABSTRACT Char"/>
    <w:link w:val="JAP-KeywordsABSTRACT"/>
    <w:rsid w:val="00563580"/>
    <w:rPr>
      <w:rFonts w:ascii="Book Antiqua" w:eastAsia="Times New Roman" w:hAnsi="Book Antiqua" w:cs="Times New Roman"/>
      <w:i/>
      <w:kern w:val="0"/>
      <w:sz w:val="18"/>
      <w:szCs w:val="18"/>
      <w:lang w:val="sv-SE" w:bidi="ar-SA"/>
      <w14:ligatures w14:val="none"/>
    </w:rPr>
  </w:style>
  <w:style w:type="character" w:customStyle="1" w:styleId="JAP-KataKunciABSTRAKChar">
    <w:name w:val="JAP - Kata Kunci ABSTRAK Char"/>
    <w:link w:val="JAP-KataKunciABSTRAK"/>
    <w:rsid w:val="00563580"/>
    <w:rPr>
      <w:rFonts w:ascii="Book Antiqua" w:eastAsia="Times New Roman" w:hAnsi="Book Antiqua" w:cs="Times New Roman"/>
      <w:bCs w:val="0"/>
      <w:kern w:val="0"/>
      <w:sz w:val="18"/>
      <w:szCs w:val="18"/>
      <w:lang w:val="sv-SE" w:bidi="ar-SA"/>
      <w14:ligatures w14:val="none"/>
    </w:rPr>
  </w:style>
  <w:style w:type="table" w:customStyle="1" w:styleId="TableGrid1">
    <w:name w:val="Table Grid1"/>
    <w:basedOn w:val="TableNormal"/>
    <w:next w:val="TableGrid"/>
    <w:uiPriority w:val="39"/>
    <w:rsid w:val="00563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3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jurnal.unmer.ac.id/index.php/ap" TargetMode="External"/><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21726</Words>
  <Characters>123839</Characters>
  <Application>Microsoft Office Word</Application>
  <DocSecurity>0</DocSecurity>
  <Lines>1031</Lines>
  <Paragraphs>290</Paragraphs>
  <ScaleCrop>false</ScaleCrop>
  <Company/>
  <LinksUpToDate>false</LinksUpToDate>
  <CharactersWithSpaces>145275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Ferdian Nurhuda</dc:creator>
  <cp:keywords/>
  <dc:description/>
  <cp:lastModifiedBy>Kirana Putri</cp:lastModifiedBy>
  <cp:revision>4</cp:revision>
  <dcterms:created xsi:type="dcterms:W3CDTF">2024-05-22T13:57:00Z</dcterms:created>
  <dcterms:modified xsi:type="dcterms:W3CDTF">2024-05-22T14:09:00Z</dcterms:modified>
</cp:coreProperties>
</file>