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5388B" w14:textId="65FA6A25" w:rsidR="00B819D4" w:rsidRDefault="00B819D4"/>
    <w:p w14:paraId="76C6FAF1" w14:textId="6082D93D" w:rsidR="00E63070" w:rsidRPr="00E63070" w:rsidRDefault="00F74E7B" w:rsidP="00FC1CCD">
      <w:pPr>
        <w:pStyle w:val="Normal-noindent"/>
        <w:jc w:val="center"/>
        <w:rPr>
          <w:rFonts w:ascii="Arial Narrow" w:hAnsi="Arial Narrow"/>
          <w:b/>
          <w:bCs/>
          <w:color w:val="0070C0"/>
          <w:sz w:val="28"/>
          <w:szCs w:val="28"/>
          <w:lang w:val="en-US"/>
        </w:rPr>
      </w:pPr>
      <w:r w:rsidRPr="00F74E7B">
        <w:rPr>
          <w:rFonts w:ascii="Arial Narrow" w:hAnsi="Arial Narrow"/>
          <w:b/>
          <w:bCs/>
          <w:color w:val="0070C0"/>
          <w:sz w:val="28"/>
          <w:szCs w:val="28"/>
        </w:rPr>
        <w:t xml:space="preserve">The Effect of </w:t>
      </w:r>
      <w:r w:rsidR="00956F10">
        <w:rPr>
          <w:rFonts w:ascii="Arial Narrow" w:hAnsi="Arial Narrow"/>
          <w:b/>
          <w:bCs/>
          <w:color w:val="0070C0"/>
          <w:sz w:val="28"/>
          <w:szCs w:val="28"/>
        </w:rPr>
        <w:t>Carbon Emission Disclosure</w:t>
      </w:r>
      <w:r w:rsidRPr="00F74E7B">
        <w:rPr>
          <w:rFonts w:ascii="Arial Narrow" w:hAnsi="Arial Narrow"/>
          <w:b/>
          <w:bCs/>
          <w:color w:val="0070C0"/>
          <w:sz w:val="28"/>
          <w:szCs w:val="28"/>
        </w:rPr>
        <w:t>, Profitability, and Firm Size on Capital Market Reaction: A Moderation Study of Media Coverage</w:t>
      </w:r>
    </w:p>
    <w:p w14:paraId="4A95F692" w14:textId="77777777" w:rsidR="00E63070" w:rsidRDefault="00E63070">
      <w:pPr>
        <w:pStyle w:val="Normal-noindent"/>
        <w:jc w:val="right"/>
        <w:rPr>
          <w:rFonts w:ascii="Arial Narrow" w:hAnsi="Arial Narrow"/>
          <w:b/>
          <w:bCs/>
          <w:sz w:val="22"/>
          <w:szCs w:val="22"/>
        </w:rPr>
      </w:pPr>
    </w:p>
    <w:p w14:paraId="7621252A" w14:textId="77777777" w:rsidR="00F74E7B" w:rsidRPr="00F74E7B" w:rsidRDefault="00F74E7B" w:rsidP="00F74E7B">
      <w:pPr>
        <w:pStyle w:val="NormalIndent"/>
      </w:pPr>
    </w:p>
    <w:p w14:paraId="709BAC33" w14:textId="77777777" w:rsidR="000D76CA" w:rsidRDefault="000C2284">
      <w:pPr>
        <w:pStyle w:val="abstract"/>
        <w:spacing w:before="120" w:after="120"/>
        <w:ind w:left="851" w:right="561" w:hanging="851"/>
        <w:rPr>
          <w:rFonts w:ascii="Arial Narrow" w:hAnsi="Arial Narrow"/>
          <w:i w:val="0"/>
          <w:lang w:val="en-US"/>
        </w:rPr>
      </w:pPr>
      <w:r>
        <w:rPr>
          <w:rFonts w:ascii="Arial Narrow" w:hAnsi="Arial Narrow"/>
          <w:b/>
          <w:bCs/>
          <w:i w:val="0"/>
          <w:color w:val="0070C0"/>
          <w:lang w:val="en-US" w:eastAsia="ar-SA"/>
        </w:rPr>
        <w:t>Abstract:</w:t>
      </w:r>
      <w:r>
        <w:rPr>
          <w:rFonts w:ascii="Arial Narrow" w:hAnsi="Arial Narrow"/>
          <w:i w:val="0"/>
          <w:lang w:val="en-US"/>
        </w:rPr>
        <w:t xml:space="preserve"> </w:t>
      </w:r>
    </w:p>
    <w:p w14:paraId="2A9EA111" w14:textId="4FB9C420" w:rsidR="00805BB0" w:rsidRPr="00A10457" w:rsidRDefault="00A63B88" w:rsidP="00A10457">
      <w:pPr>
        <w:pStyle w:val="abstract"/>
        <w:spacing w:before="0" w:after="0"/>
        <w:ind w:left="0" w:right="27"/>
        <w:rPr>
          <w:rFonts w:ascii="Arial Narrow" w:hAnsi="Arial Narrow"/>
          <w:b/>
          <w:bCs/>
          <w:i w:val="0"/>
          <w:color w:val="0070C0"/>
          <w:lang w:val="en-US" w:eastAsia="ar-SA"/>
        </w:rPr>
      </w:pPr>
      <w:r w:rsidRPr="00A63B88">
        <w:rPr>
          <w:rFonts w:ascii="Arial Narrow" w:hAnsi="Arial Narrow"/>
          <w:i w:val="0"/>
          <w:sz w:val="22"/>
          <w:szCs w:val="22"/>
        </w:rPr>
        <w:t xml:space="preserve">A critical component of national economic infrastructure is the capital market system. </w:t>
      </w:r>
      <w:r w:rsidR="00522E3E">
        <w:rPr>
          <w:rFonts w:ascii="Arial Narrow" w:hAnsi="Arial Narrow"/>
          <w:i w:val="0"/>
          <w:sz w:val="22"/>
          <w:szCs w:val="22"/>
        </w:rPr>
        <w:t xml:space="preserve">Meanwhile the </w:t>
      </w:r>
      <w:r w:rsidRPr="00A63B88">
        <w:rPr>
          <w:rFonts w:ascii="Arial Narrow" w:hAnsi="Arial Narrow"/>
          <w:i w:val="0"/>
          <w:sz w:val="22"/>
          <w:szCs w:val="22"/>
        </w:rPr>
        <w:t xml:space="preserve">Efficient Market Hypothesis (EMH) suggests Indonesia's capital market exhibits semi-strong efficiency, corporations must </w:t>
      </w:r>
      <w:r w:rsidR="00522E3E" w:rsidRPr="00A63B88">
        <w:rPr>
          <w:rFonts w:ascii="Arial Narrow" w:hAnsi="Arial Narrow"/>
          <w:i w:val="0"/>
          <w:sz w:val="22"/>
          <w:szCs w:val="22"/>
        </w:rPr>
        <w:t>fulfil</w:t>
      </w:r>
      <w:r w:rsidRPr="00A63B88">
        <w:rPr>
          <w:rFonts w:ascii="Arial Narrow" w:hAnsi="Arial Narrow"/>
          <w:i w:val="0"/>
          <w:sz w:val="22"/>
          <w:szCs w:val="22"/>
        </w:rPr>
        <w:t xml:space="preserve"> environmental and social responsibilities to maintain community legitimacy. Market participants evaluate various financial metrics, including profitability ratios and organizational scale, which significantly influence equity valuations. This research examined 42 entities within the transportation and logistics sector listed on the Indonesia Stock Exchange (IDX) during the 2021-2023 period. </w:t>
      </w:r>
      <w:r w:rsidR="00522E3E">
        <w:rPr>
          <w:rFonts w:ascii="Arial Narrow" w:hAnsi="Arial Narrow"/>
          <w:i w:val="0"/>
          <w:sz w:val="22"/>
          <w:szCs w:val="22"/>
        </w:rPr>
        <w:t xml:space="preserve">The finding </w:t>
      </w:r>
      <w:r w:rsidRPr="00A63B88">
        <w:rPr>
          <w:rFonts w:ascii="Arial Narrow" w:hAnsi="Arial Narrow"/>
          <w:i w:val="0"/>
          <w:sz w:val="22"/>
          <w:szCs w:val="22"/>
        </w:rPr>
        <w:t>indicate</w:t>
      </w:r>
      <w:r w:rsidR="00522E3E">
        <w:rPr>
          <w:rFonts w:ascii="Arial Narrow" w:hAnsi="Arial Narrow"/>
          <w:i w:val="0"/>
          <w:sz w:val="22"/>
          <w:szCs w:val="22"/>
        </w:rPr>
        <w:t>s</w:t>
      </w:r>
      <w:r w:rsidRPr="00A63B88">
        <w:rPr>
          <w:rFonts w:ascii="Arial Narrow" w:hAnsi="Arial Narrow"/>
          <w:i w:val="0"/>
          <w:sz w:val="22"/>
          <w:szCs w:val="22"/>
        </w:rPr>
        <w:t xml:space="preserve"> that the market has not achieved semi-strong efficiency, as investment decisions frequently demonstrate </w:t>
      </w:r>
      <w:r w:rsidR="00A33013" w:rsidRPr="00A63B88">
        <w:rPr>
          <w:rFonts w:ascii="Arial Narrow" w:hAnsi="Arial Narrow"/>
          <w:i w:val="0"/>
          <w:sz w:val="22"/>
          <w:szCs w:val="22"/>
        </w:rPr>
        <w:t>behavioural</w:t>
      </w:r>
      <w:r w:rsidRPr="00A63B88">
        <w:rPr>
          <w:rFonts w:ascii="Arial Narrow" w:hAnsi="Arial Narrow"/>
          <w:i w:val="0"/>
          <w:sz w:val="22"/>
          <w:szCs w:val="22"/>
        </w:rPr>
        <w:t xml:space="preserve"> biases influenced by psychological factors rather than rational analysis. A methodological limitation of this investigation is its focus on a single sector within transportation and logistics firms.</w:t>
      </w:r>
    </w:p>
    <w:p w14:paraId="2295D18F" w14:textId="7F1F681D" w:rsidR="000D76CA" w:rsidRPr="00A33013" w:rsidRDefault="000C2284" w:rsidP="00A10457">
      <w:pPr>
        <w:pStyle w:val="abstract"/>
        <w:spacing w:before="0" w:after="0"/>
        <w:ind w:left="0" w:right="27"/>
        <w:rPr>
          <w:rFonts w:ascii="Arial Narrow" w:hAnsi="Arial Narrow"/>
          <w:b/>
          <w:bCs/>
          <w:i w:val="0"/>
          <w:iCs/>
          <w:color w:val="300349"/>
          <w:lang w:val="en-ID" w:eastAsia="ar-SA"/>
        </w:rPr>
      </w:pPr>
      <w:r w:rsidRPr="00A33013">
        <w:rPr>
          <w:rFonts w:ascii="Arial Narrow" w:hAnsi="Arial Narrow"/>
          <w:b/>
          <w:bCs/>
          <w:i w:val="0"/>
          <w:iCs/>
          <w:color w:val="0070C0"/>
          <w:lang w:val="en-US" w:eastAsia="ar-SA"/>
        </w:rPr>
        <w:t>Keywords</w:t>
      </w:r>
      <w:r w:rsidR="00A33013" w:rsidRPr="00A33013">
        <w:rPr>
          <w:rFonts w:ascii="Arial Narrow" w:hAnsi="Arial Narrow"/>
          <w:b/>
          <w:bCs/>
          <w:i w:val="0"/>
          <w:iCs/>
          <w:color w:val="300349"/>
          <w:lang w:val="en-US" w:eastAsia="ar-SA"/>
        </w:rPr>
        <w:t xml:space="preserve">: </w:t>
      </w:r>
      <w:r w:rsidR="00A33013" w:rsidRPr="00A33013">
        <w:rPr>
          <w:rFonts w:ascii="Arial Narrow" w:hAnsi="Arial Narrow"/>
          <w:i w:val="0"/>
          <w:iCs/>
          <w:sz w:val="22"/>
          <w:szCs w:val="22"/>
          <w:lang w:val="en-US"/>
        </w:rPr>
        <w:t xml:space="preserve">company size; </w:t>
      </w:r>
      <w:r w:rsidR="00F74E7B" w:rsidRPr="00A33013">
        <w:rPr>
          <w:rFonts w:ascii="Arial Narrow" w:hAnsi="Arial Narrow"/>
          <w:i w:val="0"/>
          <w:iCs/>
          <w:sz w:val="22"/>
          <w:szCs w:val="22"/>
          <w:lang w:val="en-US"/>
        </w:rPr>
        <w:t xml:space="preserve">capital market; </w:t>
      </w:r>
      <w:r w:rsidR="00956F10">
        <w:rPr>
          <w:rFonts w:ascii="Arial Narrow" w:hAnsi="Arial Narrow"/>
          <w:i w:val="0"/>
          <w:iCs/>
          <w:sz w:val="22"/>
          <w:szCs w:val="22"/>
          <w:lang w:val="en-US"/>
        </w:rPr>
        <w:t>Carbon Emission Disclosure</w:t>
      </w:r>
      <w:r w:rsidR="00F74E7B" w:rsidRPr="00A33013">
        <w:rPr>
          <w:rFonts w:ascii="Arial Narrow" w:hAnsi="Arial Narrow"/>
          <w:i w:val="0"/>
          <w:iCs/>
          <w:sz w:val="22"/>
          <w:szCs w:val="22"/>
          <w:lang w:val="en-US"/>
        </w:rPr>
        <w:t xml:space="preserve"> (ced); media coverage; profitability</w:t>
      </w:r>
      <w:r w:rsidR="00A33013">
        <w:rPr>
          <w:rFonts w:ascii="Arial Narrow" w:hAnsi="Arial Narrow"/>
          <w:i w:val="0"/>
          <w:iCs/>
          <w:sz w:val="22"/>
          <w:szCs w:val="22"/>
          <w:lang w:val="en-US"/>
        </w:rPr>
        <w:t>.</w:t>
      </w:r>
    </w:p>
    <w:p w14:paraId="68952041" w14:textId="77777777" w:rsidR="000D76CA" w:rsidRDefault="00370232">
      <w:pPr>
        <w:pStyle w:val="Heading1"/>
        <w:numPr>
          <w:ilvl w:val="0"/>
          <w:numId w:val="0"/>
        </w:numPr>
        <w:spacing w:before="120" w:after="120"/>
        <w:rPr>
          <w:rFonts w:ascii="Arial Narrow" w:hAnsi="Arial Narrow"/>
          <w:b w:val="0"/>
          <w:color w:val="000000"/>
          <w:sz w:val="22"/>
          <w:szCs w:val="22"/>
        </w:rPr>
      </w:pPr>
      <w:r>
        <w:rPr>
          <w:rFonts w:ascii="Arial Narrow" w:hAnsi="Arial Narrow"/>
          <w:color w:val="0070C0"/>
          <w:sz w:val="22"/>
          <w:szCs w:val="22"/>
        </w:rPr>
        <w:t>Introduction</w:t>
      </w:r>
      <w:r>
        <w:rPr>
          <w:rFonts w:ascii="Arial Narrow" w:hAnsi="Arial Narrow"/>
          <w:sz w:val="22"/>
          <w:szCs w:val="22"/>
        </w:rPr>
        <w:t xml:space="preserve"> </w:t>
      </w:r>
    </w:p>
    <w:p w14:paraId="20B6D0D0" w14:textId="56C209CA" w:rsidR="001D6ED6" w:rsidRPr="001D6ED6" w:rsidRDefault="001D6ED6" w:rsidP="001D6ED6">
      <w:pPr>
        <w:pStyle w:val="NormalIndent"/>
        <w:rPr>
          <w:rFonts w:ascii="Arial Narrow" w:hAnsi="Arial Narrow"/>
          <w:sz w:val="22"/>
          <w:szCs w:val="22"/>
          <w:lang w:val="en-ID"/>
        </w:rPr>
      </w:pPr>
      <w:r w:rsidRPr="001D6ED6">
        <w:rPr>
          <w:rFonts w:ascii="Arial Narrow" w:hAnsi="Arial Narrow"/>
          <w:sz w:val="22"/>
          <w:szCs w:val="22"/>
          <w:lang w:val="en-ID"/>
        </w:rPr>
        <w:t>The capital market plays a crucial role in a country's economic activities. Through the Indonesia Stock Exchange (IDX), companies can acquire funds to support their business operations and expansion plans. Simultaneously, investors can utilize this platform for temporary investments aimed at maximizing returns. The market responds to corporate actions as these decisions directly influence investor returns. Capital market efficiency is generally classified into three forms: weak, semi-strong, and strong.</w:t>
      </w:r>
      <w:r>
        <w:rPr>
          <w:rFonts w:ascii="Arial Narrow" w:hAnsi="Arial Narrow"/>
          <w:sz w:val="22"/>
          <w:szCs w:val="22"/>
          <w:lang w:val="en-ID"/>
        </w:rPr>
        <w:t xml:space="preserve"> </w:t>
      </w:r>
      <w:r w:rsidRPr="001D6ED6">
        <w:rPr>
          <w:rFonts w:ascii="Arial Narrow" w:hAnsi="Arial Narrow"/>
          <w:sz w:val="22"/>
          <w:szCs w:val="22"/>
          <w:lang w:val="en-ID"/>
        </w:rPr>
        <w:t xml:space="preserve">Recent empirical evidence suggests that the Indonesian capital market exhibits semi-strong form efficiency, indicating that security prices reflect all publicly available corporate information (Chen et al., 2019). Companies disseminate both financial and non-financial information, with </w:t>
      </w:r>
      <w:r w:rsidR="00956F10">
        <w:rPr>
          <w:rFonts w:ascii="Arial Narrow" w:hAnsi="Arial Narrow"/>
          <w:sz w:val="22"/>
          <w:szCs w:val="22"/>
          <w:lang w:val="en-ID"/>
        </w:rPr>
        <w:t>Carbon Emission Disclosure</w:t>
      </w:r>
      <w:r w:rsidRPr="001D6ED6">
        <w:rPr>
          <w:rFonts w:ascii="Arial Narrow" w:hAnsi="Arial Narrow"/>
          <w:sz w:val="22"/>
          <w:szCs w:val="22"/>
          <w:lang w:val="en-ID"/>
        </w:rPr>
        <w:t xml:space="preserve"> (CED) emerging as a significant component of financial reporting. The prominence of CED has increased considerably due to its intrinsic connection with corporate social responsibility (CSR) and environmental impact assessment. Investors tend to view </w:t>
      </w:r>
      <w:r w:rsidR="00956F10">
        <w:rPr>
          <w:rFonts w:ascii="Arial Narrow" w:hAnsi="Arial Narrow"/>
          <w:sz w:val="22"/>
          <w:szCs w:val="22"/>
          <w:lang w:val="en-ID"/>
        </w:rPr>
        <w:t xml:space="preserve">in favour </w:t>
      </w:r>
      <w:r w:rsidRPr="001D6ED6">
        <w:rPr>
          <w:rFonts w:ascii="Arial Narrow" w:hAnsi="Arial Narrow"/>
          <w:sz w:val="22"/>
          <w:szCs w:val="22"/>
          <w:lang w:val="en-ID"/>
        </w:rPr>
        <w:t xml:space="preserve">companies that incorporate CED in their </w:t>
      </w:r>
      <w:r w:rsidR="00956F10">
        <w:rPr>
          <w:rFonts w:ascii="Arial Narrow" w:hAnsi="Arial Narrow"/>
          <w:sz w:val="22"/>
          <w:szCs w:val="22"/>
          <w:lang w:val="en-ID"/>
        </w:rPr>
        <w:t>S</w:t>
      </w:r>
      <w:r w:rsidRPr="001D6ED6">
        <w:rPr>
          <w:rFonts w:ascii="Arial Narrow" w:hAnsi="Arial Narrow"/>
          <w:sz w:val="22"/>
          <w:szCs w:val="22"/>
          <w:lang w:val="en-ID"/>
        </w:rPr>
        <w:t xml:space="preserve">ustainability </w:t>
      </w:r>
      <w:r w:rsidR="00956F10">
        <w:rPr>
          <w:rFonts w:ascii="Arial Narrow" w:hAnsi="Arial Narrow"/>
          <w:sz w:val="22"/>
          <w:szCs w:val="22"/>
          <w:lang w:val="en-ID"/>
        </w:rPr>
        <w:t>R</w:t>
      </w:r>
      <w:r w:rsidRPr="001D6ED6">
        <w:rPr>
          <w:rFonts w:ascii="Arial Narrow" w:hAnsi="Arial Narrow"/>
          <w:sz w:val="22"/>
          <w:szCs w:val="22"/>
          <w:lang w:val="en-ID"/>
        </w:rPr>
        <w:t>eports (SR).</w:t>
      </w:r>
      <w:r>
        <w:rPr>
          <w:rFonts w:ascii="Arial Narrow" w:hAnsi="Arial Narrow"/>
          <w:sz w:val="22"/>
          <w:szCs w:val="22"/>
          <w:lang w:val="en-ID"/>
        </w:rPr>
        <w:t xml:space="preserve"> </w:t>
      </w:r>
      <w:r w:rsidR="00956F10">
        <w:rPr>
          <w:rFonts w:ascii="Arial Narrow" w:hAnsi="Arial Narrow"/>
          <w:sz w:val="22"/>
          <w:szCs w:val="22"/>
          <w:lang w:val="en-ID"/>
        </w:rPr>
        <w:t>I</w:t>
      </w:r>
      <w:r w:rsidRPr="001D6ED6">
        <w:rPr>
          <w:rFonts w:ascii="Arial Narrow" w:hAnsi="Arial Narrow"/>
          <w:sz w:val="22"/>
          <w:szCs w:val="22"/>
          <w:lang w:val="en-ID"/>
        </w:rPr>
        <w:t>nstitutional theory</w:t>
      </w:r>
      <w:r w:rsidR="00956F10">
        <w:rPr>
          <w:rFonts w:ascii="Arial Narrow" w:hAnsi="Arial Narrow"/>
          <w:sz w:val="22"/>
          <w:szCs w:val="22"/>
          <w:lang w:val="en-ID"/>
        </w:rPr>
        <w:t xml:space="preserve"> exhibits </w:t>
      </w:r>
      <w:r w:rsidRPr="001D6ED6">
        <w:rPr>
          <w:rFonts w:ascii="Arial Narrow" w:hAnsi="Arial Narrow"/>
          <w:sz w:val="22"/>
          <w:szCs w:val="22"/>
          <w:lang w:val="en-ID"/>
        </w:rPr>
        <w:t xml:space="preserve">organizations seek legitimacy for social acceptance and operational continuity, companies voluntarily disclose their environmental impact, despite the non-mandatory nature of such reporting (Wang &amp; Zhang, 2022). The primary objective of </w:t>
      </w:r>
      <w:r w:rsidR="00956F10">
        <w:rPr>
          <w:rFonts w:ascii="Arial Narrow" w:hAnsi="Arial Narrow"/>
          <w:sz w:val="22"/>
          <w:szCs w:val="22"/>
          <w:lang w:val="en-ID"/>
        </w:rPr>
        <w:t>Carbon Emission Disclosure</w:t>
      </w:r>
      <w:r w:rsidRPr="001D6ED6">
        <w:rPr>
          <w:rFonts w:ascii="Arial Narrow" w:hAnsi="Arial Narrow"/>
          <w:sz w:val="22"/>
          <w:szCs w:val="22"/>
          <w:lang w:val="en-ID"/>
        </w:rPr>
        <w:t xml:space="preserve"> is to enhance public awareness regarding operational environmental impacts, thereby facilitating the development of environmentally conscious regulations. </w:t>
      </w:r>
      <w:r w:rsidR="00956F10">
        <w:rPr>
          <w:rFonts w:ascii="Arial Narrow" w:hAnsi="Arial Narrow"/>
          <w:sz w:val="22"/>
          <w:szCs w:val="22"/>
          <w:lang w:val="en-ID"/>
        </w:rPr>
        <w:t xml:space="preserve">This disclosure practice </w:t>
      </w:r>
      <w:r w:rsidRPr="001D6ED6">
        <w:rPr>
          <w:rFonts w:ascii="Arial Narrow" w:hAnsi="Arial Narrow"/>
          <w:sz w:val="22"/>
          <w:szCs w:val="22"/>
          <w:lang w:val="en-ID"/>
        </w:rPr>
        <w:t>aligns with long-term investors' growing emphasis on environmental considerations in their investment decisions. Empirical research has demonstrated that carbon emission announcements significantly influence capital market responses (Bimha &amp; Nhamo, 2017).</w:t>
      </w:r>
    </w:p>
    <w:p w14:paraId="65253BFC" w14:textId="78461A22" w:rsidR="00BC6907" w:rsidRDefault="001D6ED6" w:rsidP="001D6ED6">
      <w:pPr>
        <w:pStyle w:val="NormalIndent"/>
        <w:rPr>
          <w:rFonts w:ascii="Arial Narrow" w:hAnsi="Arial Narrow"/>
          <w:sz w:val="22"/>
          <w:szCs w:val="22"/>
          <w:lang w:val="en-US"/>
        </w:rPr>
      </w:pPr>
      <w:r w:rsidRPr="001D6ED6">
        <w:rPr>
          <w:rFonts w:ascii="Arial Narrow" w:hAnsi="Arial Narrow"/>
          <w:sz w:val="22"/>
          <w:szCs w:val="22"/>
          <w:lang w:val="en-US"/>
        </w:rPr>
        <w:t xml:space="preserve">Environmental considerations significantly influence capital market responses and investment decision-making processes. Given that the Indonesian capital market exhibits semi-strong form efficiency, investors respond to both mandatory and voluntary information disclosures. Furthermore, investors incorporate media-disseminated information alongside corporate disclosures into their decision-making framework. The media serves as an independent intermediary, facilitating information flow between corporations and investors. Wang et al. (2013) emphasize that media, as a primary information source for stakeholders, can substantially influence organizational decision-making. This information dissemination helps reduce information asymmetry among stakeholders, while media coverage enhances public access to critical disclosure information (Wirawan &amp; Setijaningsih, 2022). Consequently, media coverage can either </w:t>
      </w:r>
      <w:r w:rsidR="00956F10" w:rsidRPr="001D6ED6">
        <w:rPr>
          <w:rFonts w:ascii="Arial Narrow" w:hAnsi="Arial Narrow"/>
          <w:sz w:val="22"/>
          <w:szCs w:val="22"/>
          <w:lang w:val="en-US"/>
        </w:rPr>
        <w:t>intensify</w:t>
      </w:r>
      <w:r w:rsidRPr="001D6ED6">
        <w:rPr>
          <w:rFonts w:ascii="Arial Narrow" w:hAnsi="Arial Narrow"/>
          <w:sz w:val="22"/>
          <w:szCs w:val="22"/>
          <w:lang w:val="en-US"/>
        </w:rPr>
        <w:t xml:space="preserve"> or </w:t>
      </w:r>
      <w:r w:rsidR="00956F10" w:rsidRPr="001D6ED6">
        <w:rPr>
          <w:rFonts w:ascii="Arial Narrow" w:hAnsi="Arial Narrow"/>
          <w:sz w:val="22"/>
          <w:szCs w:val="22"/>
          <w:lang w:val="en-US"/>
        </w:rPr>
        <w:t>diminish</w:t>
      </w:r>
      <w:r w:rsidRPr="001D6ED6">
        <w:rPr>
          <w:rFonts w:ascii="Arial Narrow" w:hAnsi="Arial Narrow"/>
          <w:sz w:val="22"/>
          <w:szCs w:val="22"/>
          <w:lang w:val="en-US"/>
        </w:rPr>
        <w:t xml:space="preserve"> the impact of </w:t>
      </w:r>
      <w:r w:rsidR="00956F10">
        <w:rPr>
          <w:rFonts w:ascii="Arial Narrow" w:hAnsi="Arial Narrow"/>
          <w:sz w:val="22"/>
          <w:szCs w:val="22"/>
          <w:lang w:val="en-US"/>
        </w:rPr>
        <w:t>Carbon Emission Disclosure</w:t>
      </w:r>
      <w:r w:rsidRPr="001D6ED6">
        <w:rPr>
          <w:rFonts w:ascii="Arial Narrow" w:hAnsi="Arial Narrow"/>
          <w:sz w:val="22"/>
          <w:szCs w:val="22"/>
          <w:lang w:val="en-US"/>
        </w:rPr>
        <w:t>s on financial market responses.</w:t>
      </w:r>
      <w:r w:rsidR="00956F10">
        <w:rPr>
          <w:rFonts w:ascii="Arial Narrow" w:hAnsi="Arial Narrow"/>
          <w:sz w:val="22"/>
          <w:szCs w:val="22"/>
          <w:lang w:val="en-US"/>
        </w:rPr>
        <w:t xml:space="preserve"> </w:t>
      </w:r>
      <w:r w:rsidRPr="001D6ED6">
        <w:rPr>
          <w:rFonts w:ascii="Arial Narrow" w:hAnsi="Arial Narrow"/>
          <w:sz w:val="22"/>
          <w:szCs w:val="22"/>
          <w:lang w:val="en-US"/>
        </w:rPr>
        <w:t xml:space="preserve">In their investment decisions, investors also consider corporate profitability metrics. High profitability levels enhance investor confidence by signaling robust financial health. Moreover, larger corporations are typically perceived as having greater financial stability and stronger market reputations, making them more attractive to potential investors.The transportation and logistics sector holds particular significance in the capital market, demonstrating notable growth in 2023. According to national statistics, the air transportation sector experienced 13.4% growth, while maritime and rail transportation sectors grew by 2.06% and 0.99%, </w:t>
      </w:r>
      <w:r w:rsidRPr="001D6ED6">
        <w:rPr>
          <w:rFonts w:ascii="Arial Narrow" w:hAnsi="Arial Narrow"/>
          <w:sz w:val="22"/>
          <w:szCs w:val="22"/>
          <w:lang w:val="en-US"/>
        </w:rPr>
        <w:lastRenderedPageBreak/>
        <w:t>respectively. However, this sector represents a significant environmental concern, contributing 23% of total carbon emissions, ranking it as the second-largest emissions contributor across industries (Anderson &amp; Smith, 2023).</w:t>
      </w:r>
    </w:p>
    <w:p w14:paraId="607B2A81" w14:textId="77777777" w:rsidR="002B184E" w:rsidRPr="002B184E" w:rsidRDefault="000C2284" w:rsidP="002B184E">
      <w:pPr>
        <w:pStyle w:val="ListParagraph"/>
        <w:numPr>
          <w:ilvl w:val="0"/>
          <w:numId w:val="21"/>
        </w:numPr>
        <w:spacing w:before="120" w:after="120"/>
        <w:ind w:left="284" w:hanging="284"/>
        <w:rPr>
          <w:rFonts w:ascii="Arial Narrow" w:hAnsi="Arial Narrow"/>
          <w:color w:val="015728"/>
          <w:sz w:val="22"/>
          <w:szCs w:val="22"/>
          <w:lang w:val="en-US"/>
        </w:rPr>
      </w:pPr>
      <w:r w:rsidRPr="002719A9">
        <w:rPr>
          <w:rFonts w:ascii="Arial Narrow" w:hAnsi="Arial Narrow"/>
          <w:b/>
          <w:bCs/>
          <w:color w:val="0070C0"/>
          <w:sz w:val="22"/>
          <w:szCs w:val="22"/>
          <w:lang w:val="en-US" w:eastAsia="ar-SA"/>
        </w:rPr>
        <w:t>Literature Review</w:t>
      </w:r>
    </w:p>
    <w:p w14:paraId="455D74E9" w14:textId="77777777" w:rsidR="00956F10" w:rsidRDefault="001D6ED6" w:rsidP="00956F10">
      <w:pPr>
        <w:spacing w:before="120" w:after="120"/>
        <w:ind w:firstLine="284"/>
        <w:rPr>
          <w:rFonts w:ascii="Arial Narrow" w:hAnsi="Arial Narrow"/>
          <w:kern w:val="28"/>
          <w:sz w:val="22"/>
          <w:szCs w:val="22"/>
          <w:lang w:val="en-ID"/>
        </w:rPr>
      </w:pPr>
      <w:r w:rsidRPr="001D6ED6">
        <w:rPr>
          <w:rFonts w:ascii="Arial Narrow" w:hAnsi="Arial Narrow"/>
          <w:kern w:val="28"/>
          <w:sz w:val="22"/>
          <w:szCs w:val="22"/>
        </w:rPr>
        <w:t xml:space="preserve">Institutional theory posits that organizations pursue legitimacy—defined as social acceptance—to facilitate effective operational functioning. Powell and DiMaggio (1991) argue that institutions emerge from taken-for-granted values, norms, and behavioral patterns. Organizations that deviate from established institutional norms are perceived as irrational or anomalous. The concept of institutional isomorphism, introduced by DiMaggio and Powell (1983), suggests that organizations within similar institutional contexts tend toward homogeneity due to various internal and external pressures. This phenomenon is evident in the transportation and logistics sector, where </w:t>
      </w:r>
      <w:r w:rsidR="00956F10">
        <w:rPr>
          <w:rFonts w:ascii="Arial Narrow" w:hAnsi="Arial Narrow"/>
          <w:kern w:val="28"/>
          <w:sz w:val="22"/>
          <w:szCs w:val="22"/>
        </w:rPr>
        <w:t>Carbon Emission Disclosure</w:t>
      </w:r>
      <w:r w:rsidRPr="001D6ED6">
        <w:rPr>
          <w:rFonts w:ascii="Arial Narrow" w:hAnsi="Arial Narrow"/>
          <w:kern w:val="28"/>
          <w:sz w:val="22"/>
          <w:szCs w:val="22"/>
        </w:rPr>
        <w:t xml:space="preserve"> (CED) practices have become institutionalized, creating normative pressure for industry-wide adoption.</w:t>
      </w:r>
      <w:r>
        <w:rPr>
          <w:rFonts w:ascii="Arial Narrow" w:hAnsi="Arial Narrow"/>
          <w:kern w:val="28"/>
          <w:sz w:val="22"/>
          <w:szCs w:val="22"/>
        </w:rPr>
        <w:t xml:space="preserve"> </w:t>
      </w:r>
      <w:r w:rsidRPr="001D6ED6">
        <w:rPr>
          <w:rFonts w:ascii="Arial Narrow" w:hAnsi="Arial Narrow"/>
          <w:kern w:val="28"/>
          <w:sz w:val="22"/>
          <w:szCs w:val="22"/>
        </w:rPr>
        <w:t>The Efficient Market Hypothesis (EMH) postulates that market efficiency is achieved when stock prices fully reflect all available information, leading to price equilibrium through accessible and cost-effective information dissemination among market participants. Hartono (2017) defines an efficient market as one that responds swiftly and appropriately to new information, establishing a new equilibrium price that accurately incorporates available information. Market efficiency is traditionally categorized into three forms: weak, semi-strong, and strong. The weak form suggests that current market prices reflect all historical price movement information. Semi-strong form efficiency indicates that current prices incorporate all publicly available information. Strong form efficiency implies that security prices fully reflect all information, including private data.</w:t>
      </w:r>
      <w:r w:rsidR="00956F10">
        <w:rPr>
          <w:rFonts w:ascii="Arial Narrow" w:hAnsi="Arial Narrow"/>
          <w:kern w:val="28"/>
          <w:sz w:val="22"/>
          <w:szCs w:val="22"/>
        </w:rPr>
        <w:t xml:space="preserve"> </w:t>
      </w:r>
      <w:r w:rsidRPr="001D6ED6">
        <w:rPr>
          <w:rFonts w:ascii="Arial Narrow" w:hAnsi="Arial Narrow"/>
          <w:kern w:val="28"/>
          <w:sz w:val="22"/>
          <w:szCs w:val="22"/>
        </w:rPr>
        <w:t>Empirical verification of market efficiency requires robust testing mechanisms. Information content in market announcements can be evaluated through returns analysis, specifically examining price changes or abnormal returns. Hartono (2017) argues that the presence of abnormal returns following an announcement indicates significant information content, suggesting market responsiveness to new information.</w:t>
      </w:r>
      <w:r w:rsidR="00956F10">
        <w:rPr>
          <w:rFonts w:ascii="Arial Narrow" w:hAnsi="Arial Narrow"/>
          <w:kern w:val="28"/>
          <w:sz w:val="22"/>
          <w:szCs w:val="22"/>
        </w:rPr>
        <w:t xml:space="preserve"> </w:t>
      </w:r>
      <w:r w:rsidRPr="001D6ED6">
        <w:rPr>
          <w:rFonts w:ascii="Arial Narrow" w:hAnsi="Arial Narrow"/>
          <w:kern w:val="28"/>
          <w:sz w:val="22"/>
          <w:szCs w:val="22"/>
          <w:lang w:val="en-ID"/>
        </w:rPr>
        <w:t>Capital market reaction manifests as security price adjustments in response to new market information. The speed and pattern of market response vary according to the level of market efficiency. In efficient markets, price adjustments occur rapidly following new information dissemination, whereas inefficient markets exhibit delayed or gradual responses. Hartono (2017) suggests that market response can be quantified through returns analysis, particularly through abnormal returns—defined as the differential between actual and expected investor returns. The cumulative abnormal return (CAR) methodology, which incorporates beta as a risk factor in stock return calculations, provides a more precise measurement of market response.</w:t>
      </w:r>
    </w:p>
    <w:p w14:paraId="553A52BA" w14:textId="12AB014C" w:rsidR="001E151E" w:rsidRDefault="00956F10" w:rsidP="00956F10">
      <w:pPr>
        <w:spacing w:before="120" w:after="120"/>
        <w:ind w:firstLine="284"/>
        <w:rPr>
          <w:rFonts w:ascii="Arial Narrow" w:hAnsi="Arial Narrow"/>
          <w:kern w:val="28"/>
          <w:sz w:val="22"/>
          <w:szCs w:val="22"/>
        </w:rPr>
      </w:pPr>
      <w:r>
        <w:rPr>
          <w:rFonts w:ascii="Arial Narrow" w:hAnsi="Arial Narrow"/>
          <w:kern w:val="28"/>
          <w:sz w:val="22"/>
          <w:szCs w:val="22"/>
          <w:lang w:val="en-ID"/>
        </w:rPr>
        <w:t>Carbon Emission Disclosure</w:t>
      </w:r>
      <w:r w:rsidR="001D6ED6" w:rsidRPr="001D6ED6">
        <w:rPr>
          <w:rFonts w:ascii="Arial Narrow" w:hAnsi="Arial Narrow"/>
          <w:kern w:val="28"/>
          <w:sz w:val="22"/>
          <w:szCs w:val="22"/>
          <w:lang w:val="en-ID"/>
        </w:rPr>
        <w:t xml:space="preserve"> (CED) represents a crucial component of corporate environmental responsibility, particularly for operations with significant environmental impact potential. Corporate disclosure through annual reports serves as a mechanism for environmental and social accountability (Chen &amp; Wang, 2016). This disclosure practice, embedded within the broader framework of corporate social responsibility, aims to enhance organizational legitimacy and public reputation. The present study employs CED measurement criteria derived from the Carbon Disclosure Project (CDP) information request framework. CDP, an international non-profit organization established in 2000, facilitates global carbon emission data disclosure initiatives. The methodology involves quantifying and analyzing disclosed information regarding energy consumption patterns and their environmental implications. Bae Choi et al. (2013) developed a comprehensive disclosure index based on CDP parameters, encompassing five major categories subdivided into eighteen distinct disclosure items.</w:t>
      </w:r>
      <w:r w:rsidR="00C65D9D">
        <w:rPr>
          <w:rFonts w:ascii="Arial Narrow" w:hAnsi="Arial Narrow"/>
          <w:kern w:val="28"/>
          <w:sz w:val="22"/>
          <w:szCs w:val="22"/>
        </w:rPr>
        <w:t>The following are the CED disclosure categories:</w:t>
      </w:r>
    </w:p>
    <w:p w14:paraId="39849AF0" w14:textId="77777777" w:rsidR="009E36F3" w:rsidRPr="009E36F3" w:rsidRDefault="009E36F3" w:rsidP="009E36F3">
      <w:pPr>
        <w:pStyle w:val="ListParagraph"/>
        <w:spacing w:before="120" w:after="120"/>
        <w:ind w:left="0" w:firstLine="720"/>
        <w:jc w:val="center"/>
        <w:rPr>
          <w:rFonts w:ascii="Arial Narrow" w:hAnsi="Arial Narrow"/>
          <w:b/>
          <w:bCs/>
          <w:kern w:val="28"/>
        </w:rPr>
      </w:pPr>
      <w:r w:rsidRPr="009E36F3">
        <w:rPr>
          <w:rFonts w:ascii="Arial Narrow" w:hAnsi="Arial Narrow"/>
          <w:b/>
          <w:bCs/>
          <w:kern w:val="28"/>
        </w:rPr>
        <w:t>Table 1. CED Disclosure Categories and Items</w:t>
      </w:r>
    </w:p>
    <w:tbl>
      <w:tblPr>
        <w:tblStyle w:val="TableGrid"/>
        <w:tblW w:w="0" w:type="auto"/>
        <w:jc w:val="center"/>
        <w:tblLook w:val="04A0" w:firstRow="1" w:lastRow="0" w:firstColumn="1" w:lastColumn="0" w:noHBand="0" w:noVBand="1"/>
      </w:tblPr>
      <w:tblGrid>
        <w:gridCol w:w="2718"/>
        <w:gridCol w:w="6318"/>
      </w:tblGrid>
      <w:tr w:rsidR="008A17EC" w:rsidRPr="009E36F3" w14:paraId="43933452" w14:textId="77777777" w:rsidTr="009E36F3">
        <w:trPr>
          <w:jc w:val="center"/>
        </w:trPr>
        <w:tc>
          <w:tcPr>
            <w:tcW w:w="0" w:type="auto"/>
          </w:tcPr>
          <w:p w14:paraId="2F38BC36" w14:textId="77777777" w:rsidR="008A17EC" w:rsidRPr="009E36F3" w:rsidRDefault="008A17EC" w:rsidP="009E36F3">
            <w:pPr>
              <w:pStyle w:val="ListParagraph"/>
              <w:ind w:left="0"/>
              <w:jc w:val="center"/>
              <w:rPr>
                <w:rFonts w:ascii="Arial Narrow" w:hAnsi="Arial Narrow"/>
                <w:b/>
                <w:bCs/>
                <w:kern w:val="28"/>
                <w:sz w:val="18"/>
                <w:szCs w:val="18"/>
              </w:rPr>
            </w:pPr>
            <w:r w:rsidRPr="009E36F3">
              <w:rPr>
                <w:rFonts w:ascii="Arial Narrow" w:hAnsi="Arial Narrow"/>
                <w:b/>
                <w:bCs/>
                <w:kern w:val="28"/>
                <w:sz w:val="18"/>
                <w:szCs w:val="18"/>
              </w:rPr>
              <w:t>Category</w:t>
            </w:r>
          </w:p>
        </w:tc>
        <w:tc>
          <w:tcPr>
            <w:tcW w:w="0" w:type="auto"/>
          </w:tcPr>
          <w:p w14:paraId="2E9920FC" w14:textId="77777777" w:rsidR="008A17EC" w:rsidRPr="009E36F3" w:rsidRDefault="008A17EC" w:rsidP="009E36F3">
            <w:pPr>
              <w:pStyle w:val="ListParagraph"/>
              <w:ind w:left="0"/>
              <w:jc w:val="center"/>
              <w:rPr>
                <w:rFonts w:ascii="Arial Narrow" w:hAnsi="Arial Narrow"/>
                <w:b/>
                <w:bCs/>
                <w:kern w:val="28"/>
                <w:sz w:val="18"/>
                <w:szCs w:val="18"/>
              </w:rPr>
            </w:pPr>
            <w:r w:rsidRPr="009E36F3">
              <w:rPr>
                <w:rFonts w:ascii="Arial Narrow" w:hAnsi="Arial Narrow"/>
                <w:b/>
                <w:bCs/>
                <w:kern w:val="28"/>
                <w:sz w:val="18"/>
                <w:szCs w:val="18"/>
              </w:rPr>
              <w:t>Disclosure Items</w:t>
            </w:r>
          </w:p>
        </w:tc>
      </w:tr>
      <w:tr w:rsidR="008A17EC" w:rsidRPr="009E36F3" w14:paraId="0D168161" w14:textId="77777777" w:rsidTr="009E36F3">
        <w:trPr>
          <w:jc w:val="center"/>
        </w:trPr>
        <w:tc>
          <w:tcPr>
            <w:tcW w:w="0" w:type="auto"/>
          </w:tcPr>
          <w:p w14:paraId="014B004A" w14:textId="77777777" w:rsidR="008A17EC" w:rsidRPr="009E36F3" w:rsidRDefault="008A17EC" w:rsidP="009E36F3">
            <w:pPr>
              <w:numPr>
                <w:ilvl w:val="0"/>
                <w:numId w:val="16"/>
              </w:numPr>
              <w:ind w:left="316"/>
              <w:rPr>
                <w:rFonts w:ascii="Arial Narrow" w:hAnsi="Arial Narrow"/>
                <w:kern w:val="28"/>
                <w:sz w:val="18"/>
                <w:szCs w:val="18"/>
                <w:lang w:val="en-ID"/>
              </w:rPr>
            </w:pPr>
            <w:r w:rsidRPr="009E36F3">
              <w:rPr>
                <w:rFonts w:ascii="Arial Narrow" w:hAnsi="Arial Narrow"/>
                <w:kern w:val="28"/>
                <w:sz w:val="18"/>
                <w:szCs w:val="18"/>
                <w:lang w:val="en-ID"/>
              </w:rPr>
              <w:t>Climate change risks and opportunities (CC)</w:t>
            </w:r>
          </w:p>
        </w:tc>
        <w:tc>
          <w:tcPr>
            <w:tcW w:w="0" w:type="auto"/>
          </w:tcPr>
          <w:p w14:paraId="3556C9D6" w14:textId="77777777" w:rsidR="008A17EC" w:rsidRPr="009E36F3" w:rsidRDefault="008A17EC" w:rsidP="009E36F3">
            <w:pPr>
              <w:pStyle w:val="ListParagraph"/>
              <w:numPr>
                <w:ilvl w:val="0"/>
                <w:numId w:val="24"/>
              </w:numPr>
              <w:rPr>
                <w:rFonts w:ascii="Arial Narrow" w:hAnsi="Arial Narrow"/>
                <w:kern w:val="28"/>
                <w:sz w:val="18"/>
                <w:szCs w:val="18"/>
                <w:lang w:val="en-ID"/>
              </w:rPr>
            </w:pPr>
            <w:r w:rsidRPr="009E36F3">
              <w:rPr>
                <w:rFonts w:ascii="Arial Narrow" w:hAnsi="Arial Narrow"/>
                <w:kern w:val="28"/>
                <w:sz w:val="18"/>
                <w:szCs w:val="18"/>
                <w:lang w:val="en-ID"/>
              </w:rPr>
              <w:t>Climate risk or climate change</w:t>
            </w:r>
          </w:p>
          <w:p w14:paraId="5D89DE00" w14:textId="77777777" w:rsidR="008A17EC" w:rsidRPr="009E36F3" w:rsidRDefault="008A17EC" w:rsidP="009E36F3">
            <w:pPr>
              <w:pStyle w:val="ListParagraph"/>
              <w:numPr>
                <w:ilvl w:val="0"/>
                <w:numId w:val="24"/>
              </w:numPr>
              <w:rPr>
                <w:rFonts w:ascii="Arial Narrow" w:hAnsi="Arial Narrow"/>
                <w:kern w:val="28"/>
                <w:sz w:val="18"/>
                <w:szCs w:val="18"/>
                <w:lang w:val="en-ID"/>
              </w:rPr>
            </w:pPr>
            <w:r w:rsidRPr="009E36F3">
              <w:rPr>
                <w:rFonts w:ascii="Arial Narrow" w:hAnsi="Arial Narrow"/>
                <w:sz w:val="18"/>
                <w:szCs w:val="18"/>
                <w:lang w:val="en-ID" w:eastAsia="en-ID"/>
              </w:rPr>
              <w:t>Opportunity or business or climate change</w:t>
            </w:r>
          </w:p>
        </w:tc>
      </w:tr>
      <w:tr w:rsidR="008A17EC" w:rsidRPr="009E36F3" w14:paraId="3F6AD581" w14:textId="77777777" w:rsidTr="009E36F3">
        <w:trPr>
          <w:jc w:val="center"/>
        </w:trPr>
        <w:tc>
          <w:tcPr>
            <w:tcW w:w="0" w:type="auto"/>
          </w:tcPr>
          <w:p w14:paraId="336E1A17" w14:textId="77777777" w:rsidR="008A17EC" w:rsidRPr="009E36F3" w:rsidRDefault="008A17EC" w:rsidP="009E36F3">
            <w:pPr>
              <w:numPr>
                <w:ilvl w:val="0"/>
                <w:numId w:val="16"/>
              </w:numPr>
              <w:ind w:left="316"/>
              <w:rPr>
                <w:rFonts w:ascii="Arial Narrow" w:hAnsi="Arial Narrow"/>
                <w:kern w:val="28"/>
                <w:sz w:val="18"/>
                <w:szCs w:val="18"/>
                <w:lang w:val="en-ID"/>
              </w:rPr>
            </w:pPr>
            <w:r w:rsidRPr="009E36F3">
              <w:rPr>
                <w:rFonts w:ascii="Arial Narrow" w:hAnsi="Arial Narrow"/>
                <w:kern w:val="28"/>
                <w:sz w:val="18"/>
                <w:szCs w:val="18"/>
                <w:lang w:val="en-ID"/>
              </w:rPr>
              <w:t>Greenhouse gas (GHG) emissions</w:t>
            </w:r>
          </w:p>
        </w:tc>
        <w:tc>
          <w:tcPr>
            <w:tcW w:w="0" w:type="auto"/>
          </w:tcPr>
          <w:p w14:paraId="21EBB282" w14:textId="77777777" w:rsidR="008A17EC" w:rsidRPr="009E36F3" w:rsidRDefault="008A17EC" w:rsidP="009E36F3">
            <w:pPr>
              <w:pStyle w:val="ListParagraph"/>
              <w:numPr>
                <w:ilvl w:val="0"/>
                <w:numId w:val="26"/>
              </w:numPr>
              <w:rPr>
                <w:rFonts w:ascii="Arial Narrow" w:hAnsi="Arial Narrow"/>
                <w:kern w:val="28"/>
                <w:sz w:val="18"/>
                <w:szCs w:val="18"/>
                <w:lang w:val="en-ID"/>
              </w:rPr>
            </w:pPr>
            <w:r w:rsidRPr="009E36F3">
              <w:rPr>
                <w:rFonts w:ascii="Arial Narrow" w:hAnsi="Arial Narrow"/>
                <w:kern w:val="28"/>
                <w:sz w:val="18"/>
                <w:szCs w:val="18"/>
                <w:lang w:val="en-ID"/>
              </w:rPr>
              <w:t>GHG protocol or ISO or Panel on Climate Change (IPCC)</w:t>
            </w:r>
          </w:p>
          <w:p w14:paraId="6A2BEA02" w14:textId="77777777" w:rsidR="008A17EC" w:rsidRPr="009E36F3" w:rsidRDefault="008A17EC" w:rsidP="009E36F3">
            <w:pPr>
              <w:pStyle w:val="ListParagraph"/>
              <w:numPr>
                <w:ilvl w:val="0"/>
                <w:numId w:val="26"/>
              </w:numPr>
              <w:rPr>
                <w:rFonts w:ascii="Arial Narrow" w:hAnsi="Arial Narrow"/>
                <w:kern w:val="28"/>
                <w:sz w:val="18"/>
                <w:szCs w:val="18"/>
                <w:lang w:val="en-ID"/>
              </w:rPr>
            </w:pPr>
            <w:r w:rsidRPr="009E36F3">
              <w:rPr>
                <w:rFonts w:ascii="Arial Narrow" w:hAnsi="Arial Narrow"/>
                <w:sz w:val="18"/>
                <w:szCs w:val="18"/>
                <w:lang w:val="en-ID" w:eastAsia="en-ID"/>
              </w:rPr>
              <w:t>Verification or third party</w:t>
            </w:r>
          </w:p>
          <w:p w14:paraId="31BD4530" w14:textId="77777777" w:rsidR="008A17EC" w:rsidRPr="009E36F3" w:rsidRDefault="008A17EC" w:rsidP="009E36F3">
            <w:pPr>
              <w:pStyle w:val="ListParagraph"/>
              <w:numPr>
                <w:ilvl w:val="0"/>
                <w:numId w:val="26"/>
              </w:numPr>
              <w:rPr>
                <w:rFonts w:ascii="Arial Narrow" w:hAnsi="Arial Narrow"/>
                <w:kern w:val="28"/>
                <w:sz w:val="18"/>
                <w:szCs w:val="18"/>
                <w:lang w:val="en-ID"/>
              </w:rPr>
            </w:pPr>
            <w:r w:rsidRPr="009E36F3">
              <w:rPr>
                <w:rFonts w:ascii="Arial Narrow" w:hAnsi="Arial Narrow"/>
                <w:sz w:val="18"/>
                <w:szCs w:val="18"/>
                <w:lang w:val="en-ID" w:eastAsia="en-ID"/>
              </w:rPr>
              <w:t>Total emissions or CO2</w:t>
            </w:r>
          </w:p>
          <w:p w14:paraId="451422F2" w14:textId="77777777" w:rsidR="008A17EC" w:rsidRPr="009E36F3" w:rsidRDefault="008A17EC" w:rsidP="009E36F3">
            <w:pPr>
              <w:pStyle w:val="ListParagraph"/>
              <w:numPr>
                <w:ilvl w:val="0"/>
                <w:numId w:val="26"/>
              </w:numPr>
              <w:rPr>
                <w:rFonts w:ascii="Arial Narrow" w:hAnsi="Arial Narrow"/>
                <w:kern w:val="28"/>
                <w:sz w:val="18"/>
                <w:szCs w:val="18"/>
                <w:lang w:val="en-ID"/>
              </w:rPr>
            </w:pPr>
            <w:r w:rsidRPr="009E36F3">
              <w:rPr>
                <w:rFonts w:ascii="Arial Narrow" w:hAnsi="Arial Narrow"/>
                <w:sz w:val="18"/>
                <w:szCs w:val="18"/>
                <w:lang w:val="en-ID" w:eastAsia="en-ID"/>
              </w:rPr>
              <w:t>Greenhouse gases or emissions or Carbon</w:t>
            </w:r>
          </w:p>
          <w:p w14:paraId="308D75F5" w14:textId="77777777" w:rsidR="008A17EC" w:rsidRPr="009E36F3" w:rsidRDefault="008A17EC" w:rsidP="009E36F3">
            <w:pPr>
              <w:pStyle w:val="ListParagraph"/>
              <w:numPr>
                <w:ilvl w:val="0"/>
                <w:numId w:val="26"/>
              </w:numPr>
              <w:rPr>
                <w:rFonts w:ascii="Arial Narrow" w:hAnsi="Arial Narrow"/>
                <w:kern w:val="28"/>
                <w:sz w:val="18"/>
                <w:szCs w:val="18"/>
                <w:lang w:val="en-ID"/>
              </w:rPr>
            </w:pPr>
            <w:r w:rsidRPr="009E36F3">
              <w:rPr>
                <w:rFonts w:ascii="Arial Narrow" w:hAnsi="Arial Narrow"/>
                <w:kern w:val="28"/>
                <w:sz w:val="18"/>
                <w:szCs w:val="18"/>
                <w:lang w:val="en-ID"/>
              </w:rPr>
              <w:t>Coal or electricity or mining</w:t>
            </w:r>
          </w:p>
          <w:p w14:paraId="3DF2FBE4" w14:textId="77777777" w:rsidR="008A17EC" w:rsidRPr="009E36F3" w:rsidRDefault="008A17EC" w:rsidP="009E36F3">
            <w:pPr>
              <w:pStyle w:val="ListParagraph"/>
              <w:numPr>
                <w:ilvl w:val="0"/>
                <w:numId w:val="26"/>
              </w:numPr>
              <w:rPr>
                <w:rFonts w:ascii="Arial Narrow" w:hAnsi="Arial Narrow"/>
                <w:kern w:val="28"/>
                <w:sz w:val="18"/>
                <w:szCs w:val="18"/>
                <w:lang w:val="en-ID"/>
              </w:rPr>
            </w:pPr>
            <w:r w:rsidRPr="009E36F3">
              <w:rPr>
                <w:rFonts w:ascii="Arial Narrow" w:hAnsi="Arial Narrow"/>
                <w:kern w:val="28"/>
                <w:sz w:val="18"/>
                <w:szCs w:val="18"/>
                <w:lang w:val="en-ID"/>
              </w:rPr>
              <w:t>Machine or vehicle</w:t>
            </w:r>
          </w:p>
          <w:p w14:paraId="2DB62309" w14:textId="77777777" w:rsidR="008A17EC" w:rsidRPr="009E36F3" w:rsidRDefault="008A17EC" w:rsidP="009E36F3">
            <w:pPr>
              <w:pStyle w:val="ListParagraph"/>
              <w:numPr>
                <w:ilvl w:val="0"/>
                <w:numId w:val="26"/>
              </w:numPr>
              <w:rPr>
                <w:rFonts w:ascii="Arial Narrow" w:hAnsi="Arial Narrow"/>
                <w:i/>
                <w:iCs/>
                <w:kern w:val="28"/>
                <w:sz w:val="18"/>
                <w:szCs w:val="18"/>
                <w:lang w:val="en-ID"/>
              </w:rPr>
            </w:pPr>
            <w:r w:rsidRPr="009E36F3">
              <w:rPr>
                <w:rFonts w:ascii="Arial Narrow" w:hAnsi="Arial Narrow"/>
                <w:sz w:val="18"/>
                <w:szCs w:val="18"/>
                <w:lang w:val="en-ID" w:eastAsia="en-ID"/>
              </w:rPr>
              <w:t>Previous year's emissions</w:t>
            </w:r>
          </w:p>
        </w:tc>
      </w:tr>
      <w:tr w:rsidR="008A17EC" w:rsidRPr="009E36F3" w14:paraId="0E292DDF" w14:textId="77777777" w:rsidTr="009E36F3">
        <w:trPr>
          <w:jc w:val="center"/>
        </w:trPr>
        <w:tc>
          <w:tcPr>
            <w:tcW w:w="0" w:type="auto"/>
          </w:tcPr>
          <w:p w14:paraId="008D896A" w14:textId="77777777" w:rsidR="008A17EC" w:rsidRPr="009E36F3" w:rsidRDefault="008A17EC" w:rsidP="009E36F3">
            <w:pPr>
              <w:pStyle w:val="ListParagraph"/>
              <w:numPr>
                <w:ilvl w:val="0"/>
                <w:numId w:val="16"/>
              </w:numPr>
              <w:ind w:left="316"/>
              <w:rPr>
                <w:rFonts w:ascii="Arial Narrow" w:hAnsi="Arial Narrow"/>
                <w:kern w:val="28"/>
                <w:sz w:val="18"/>
                <w:szCs w:val="18"/>
              </w:rPr>
            </w:pPr>
            <w:r w:rsidRPr="009E36F3">
              <w:rPr>
                <w:rFonts w:ascii="Arial Narrow" w:hAnsi="Arial Narrow"/>
                <w:kern w:val="28"/>
                <w:sz w:val="18"/>
                <w:szCs w:val="18"/>
                <w:lang w:val="en-ID"/>
              </w:rPr>
              <w:t>Energy consumption (EC/Energy Consumption)</w:t>
            </w:r>
          </w:p>
        </w:tc>
        <w:tc>
          <w:tcPr>
            <w:tcW w:w="0" w:type="auto"/>
          </w:tcPr>
          <w:p w14:paraId="50DD48ED" w14:textId="77777777" w:rsidR="0055657D" w:rsidRPr="009E36F3" w:rsidRDefault="008A17EC" w:rsidP="009E36F3">
            <w:pPr>
              <w:pStyle w:val="ListParagraph"/>
              <w:numPr>
                <w:ilvl w:val="0"/>
                <w:numId w:val="31"/>
              </w:numPr>
              <w:rPr>
                <w:rFonts w:ascii="Arial Narrow" w:hAnsi="Arial Narrow"/>
                <w:kern w:val="28"/>
                <w:sz w:val="18"/>
                <w:szCs w:val="18"/>
                <w:lang w:val="en-ID"/>
              </w:rPr>
            </w:pPr>
            <w:r w:rsidRPr="009E36F3">
              <w:rPr>
                <w:rFonts w:ascii="Arial Narrow" w:hAnsi="Arial Narrow"/>
                <w:kern w:val="28"/>
                <w:sz w:val="18"/>
                <w:szCs w:val="18"/>
                <w:lang w:val="en-ID"/>
              </w:rPr>
              <w:t>The amount of energy or energy consumption or consumption or amount</w:t>
            </w:r>
          </w:p>
          <w:p w14:paraId="54438663" w14:textId="77777777" w:rsidR="0055657D" w:rsidRPr="009E36F3" w:rsidRDefault="0055657D" w:rsidP="009E36F3">
            <w:pPr>
              <w:pStyle w:val="ListParagraph"/>
              <w:numPr>
                <w:ilvl w:val="0"/>
                <w:numId w:val="31"/>
              </w:numPr>
              <w:rPr>
                <w:rFonts w:ascii="Arial Narrow" w:hAnsi="Arial Narrow"/>
                <w:kern w:val="28"/>
                <w:sz w:val="18"/>
                <w:szCs w:val="18"/>
                <w:lang w:val="en-ID"/>
              </w:rPr>
            </w:pPr>
            <w:r w:rsidRPr="009E36F3">
              <w:rPr>
                <w:rFonts w:ascii="Arial Narrow" w:hAnsi="Arial Narrow"/>
                <w:sz w:val="18"/>
                <w:szCs w:val="18"/>
                <w:lang w:val="en-ID" w:eastAsia="en-ID"/>
              </w:rPr>
              <w:t>Biodiesel or biofuel or vegetable or renewable.</w:t>
            </w:r>
          </w:p>
          <w:p w14:paraId="3D87648C" w14:textId="77777777" w:rsidR="0055657D" w:rsidRPr="009E36F3" w:rsidRDefault="0055657D" w:rsidP="009E36F3">
            <w:pPr>
              <w:pStyle w:val="ListParagraph"/>
              <w:numPr>
                <w:ilvl w:val="0"/>
                <w:numId w:val="31"/>
              </w:numPr>
              <w:rPr>
                <w:rFonts w:ascii="Arial Narrow" w:hAnsi="Arial Narrow"/>
                <w:kern w:val="28"/>
                <w:sz w:val="18"/>
                <w:szCs w:val="18"/>
                <w:lang w:val="en-ID"/>
              </w:rPr>
            </w:pPr>
            <w:r w:rsidRPr="009E36F3">
              <w:rPr>
                <w:rFonts w:ascii="Arial Narrow" w:hAnsi="Arial Narrow"/>
                <w:kern w:val="28"/>
                <w:sz w:val="18"/>
                <w:szCs w:val="18"/>
                <w:lang w:val="en-ID"/>
              </w:rPr>
              <w:t>Energy or Electricity</w:t>
            </w:r>
          </w:p>
        </w:tc>
      </w:tr>
      <w:tr w:rsidR="008A17EC" w:rsidRPr="009E36F3" w14:paraId="62C6A646" w14:textId="77777777" w:rsidTr="009E36F3">
        <w:trPr>
          <w:jc w:val="center"/>
        </w:trPr>
        <w:tc>
          <w:tcPr>
            <w:tcW w:w="0" w:type="auto"/>
          </w:tcPr>
          <w:p w14:paraId="5CD183C6" w14:textId="77777777" w:rsidR="008A17EC" w:rsidRPr="009E36F3" w:rsidRDefault="008A17EC" w:rsidP="009E36F3">
            <w:pPr>
              <w:pStyle w:val="ListParagraph"/>
              <w:numPr>
                <w:ilvl w:val="0"/>
                <w:numId w:val="16"/>
              </w:numPr>
              <w:ind w:left="316"/>
              <w:rPr>
                <w:rFonts w:ascii="Arial Narrow" w:hAnsi="Arial Narrow"/>
                <w:kern w:val="28"/>
                <w:sz w:val="18"/>
                <w:szCs w:val="18"/>
                <w:lang w:val="en-ID"/>
              </w:rPr>
            </w:pPr>
            <w:r w:rsidRPr="009E36F3">
              <w:rPr>
                <w:rFonts w:ascii="Arial Narrow" w:hAnsi="Arial Narrow"/>
                <w:kern w:val="28"/>
                <w:sz w:val="18"/>
                <w:szCs w:val="18"/>
                <w:lang w:val="en-ID"/>
              </w:rPr>
              <w:lastRenderedPageBreak/>
              <w:t>Greenhouse gas reduction and costs (RC)</w:t>
            </w:r>
          </w:p>
        </w:tc>
        <w:tc>
          <w:tcPr>
            <w:tcW w:w="0" w:type="auto"/>
          </w:tcPr>
          <w:p w14:paraId="6CB932DF" w14:textId="77777777" w:rsidR="00BF4CE1" w:rsidRPr="009E36F3" w:rsidRDefault="00BF4CE1" w:rsidP="009E36F3">
            <w:pPr>
              <w:pStyle w:val="ListParagraph"/>
              <w:numPr>
                <w:ilvl w:val="0"/>
                <w:numId w:val="33"/>
              </w:numPr>
              <w:rPr>
                <w:rFonts w:ascii="Arial Narrow" w:hAnsi="Arial Narrow"/>
                <w:kern w:val="28"/>
                <w:sz w:val="18"/>
                <w:szCs w:val="18"/>
                <w:lang w:val="en-ID"/>
              </w:rPr>
            </w:pPr>
            <w:r w:rsidRPr="009E36F3">
              <w:rPr>
                <w:rFonts w:ascii="Arial Narrow" w:hAnsi="Arial Narrow"/>
                <w:kern w:val="28"/>
                <w:sz w:val="18"/>
                <w:szCs w:val="18"/>
                <w:lang w:val="en-ID"/>
              </w:rPr>
              <w:t>Reducing emissions or strategies</w:t>
            </w:r>
          </w:p>
          <w:p w14:paraId="17E17D17" w14:textId="77777777" w:rsidR="00BF4CE1" w:rsidRPr="009E36F3" w:rsidRDefault="00BF4CE1" w:rsidP="009E36F3">
            <w:pPr>
              <w:pStyle w:val="ListParagraph"/>
              <w:numPr>
                <w:ilvl w:val="0"/>
                <w:numId w:val="33"/>
              </w:numPr>
              <w:rPr>
                <w:rFonts w:ascii="Arial Narrow" w:hAnsi="Arial Narrow"/>
                <w:kern w:val="28"/>
                <w:sz w:val="18"/>
                <w:szCs w:val="18"/>
                <w:lang w:val="en-ID"/>
              </w:rPr>
            </w:pPr>
            <w:r w:rsidRPr="009E36F3">
              <w:rPr>
                <w:rFonts w:ascii="Arial Narrow" w:hAnsi="Arial Narrow"/>
                <w:sz w:val="18"/>
                <w:szCs w:val="18"/>
                <w:lang w:val="en-ID" w:eastAsia="en-ID"/>
              </w:rPr>
              <w:t>Emission reduction targets or levels</w:t>
            </w:r>
          </w:p>
          <w:p w14:paraId="40889A5F" w14:textId="77777777" w:rsidR="00BF4CE1" w:rsidRPr="009E36F3" w:rsidRDefault="00BF4CE1" w:rsidP="009E36F3">
            <w:pPr>
              <w:pStyle w:val="ListParagraph"/>
              <w:numPr>
                <w:ilvl w:val="0"/>
                <w:numId w:val="33"/>
              </w:numPr>
              <w:rPr>
                <w:rFonts w:ascii="Arial Narrow" w:hAnsi="Arial Narrow"/>
                <w:kern w:val="28"/>
                <w:sz w:val="18"/>
                <w:szCs w:val="18"/>
                <w:lang w:val="en-ID"/>
              </w:rPr>
            </w:pPr>
            <w:r w:rsidRPr="009E36F3">
              <w:rPr>
                <w:rFonts w:ascii="Arial Narrow" w:hAnsi="Arial Narrow"/>
                <w:sz w:val="18"/>
                <w:szCs w:val="18"/>
                <w:lang w:val="en-ID" w:eastAsia="en-ID"/>
              </w:rPr>
              <w:t>Environmental costs or environmental budget</w:t>
            </w:r>
          </w:p>
          <w:p w14:paraId="5396FF22" w14:textId="77777777" w:rsidR="00BF4CE1" w:rsidRPr="009E36F3" w:rsidRDefault="00BF4CE1" w:rsidP="009E36F3">
            <w:pPr>
              <w:pStyle w:val="ListParagraph"/>
              <w:numPr>
                <w:ilvl w:val="0"/>
                <w:numId w:val="33"/>
              </w:numPr>
              <w:rPr>
                <w:rFonts w:ascii="Arial Narrow" w:hAnsi="Arial Narrow"/>
                <w:kern w:val="28"/>
                <w:sz w:val="18"/>
                <w:szCs w:val="18"/>
                <w:lang w:val="en-ID"/>
              </w:rPr>
            </w:pPr>
            <w:r w:rsidRPr="009E36F3">
              <w:rPr>
                <w:rFonts w:ascii="Arial Narrow" w:hAnsi="Arial Narrow"/>
                <w:sz w:val="18"/>
                <w:szCs w:val="18"/>
                <w:lang w:val="en-ID" w:eastAsia="en-ID"/>
              </w:rPr>
              <w:t>Environmental capital expenditure or capital expenditure</w:t>
            </w:r>
          </w:p>
        </w:tc>
      </w:tr>
      <w:tr w:rsidR="008A17EC" w:rsidRPr="009E36F3" w14:paraId="1BF6DBDE" w14:textId="77777777" w:rsidTr="009E36F3">
        <w:trPr>
          <w:jc w:val="center"/>
        </w:trPr>
        <w:tc>
          <w:tcPr>
            <w:tcW w:w="0" w:type="auto"/>
          </w:tcPr>
          <w:p w14:paraId="79E5ACFC" w14:textId="77777777" w:rsidR="008A17EC" w:rsidRPr="009E36F3" w:rsidRDefault="008A17EC" w:rsidP="009E36F3">
            <w:pPr>
              <w:numPr>
                <w:ilvl w:val="0"/>
                <w:numId w:val="16"/>
              </w:numPr>
              <w:ind w:left="316"/>
              <w:rPr>
                <w:rFonts w:ascii="Arial Narrow" w:hAnsi="Arial Narrow"/>
                <w:kern w:val="28"/>
                <w:sz w:val="18"/>
                <w:szCs w:val="18"/>
                <w:lang w:val="en-ID"/>
              </w:rPr>
            </w:pPr>
            <w:r w:rsidRPr="009E36F3">
              <w:rPr>
                <w:rFonts w:ascii="Arial Narrow" w:hAnsi="Arial Narrow"/>
                <w:kern w:val="28"/>
                <w:sz w:val="18"/>
                <w:szCs w:val="18"/>
                <w:lang w:val="en-ID"/>
              </w:rPr>
              <w:t>Accountability of EmissionCarbon (AEC)</w:t>
            </w:r>
          </w:p>
        </w:tc>
        <w:tc>
          <w:tcPr>
            <w:tcW w:w="0" w:type="auto"/>
          </w:tcPr>
          <w:p w14:paraId="7B2A2C6A" w14:textId="77777777" w:rsidR="00BF4CE1" w:rsidRPr="009E36F3" w:rsidRDefault="00BF4CE1" w:rsidP="009E36F3">
            <w:pPr>
              <w:pStyle w:val="ListParagraph"/>
              <w:numPr>
                <w:ilvl w:val="0"/>
                <w:numId w:val="37"/>
              </w:numPr>
              <w:rPr>
                <w:rFonts w:ascii="Arial Narrow" w:hAnsi="Arial Narrow"/>
                <w:kern w:val="28"/>
                <w:sz w:val="18"/>
                <w:szCs w:val="18"/>
                <w:lang w:val="en-ID"/>
              </w:rPr>
            </w:pPr>
            <w:r w:rsidRPr="009E36F3">
              <w:rPr>
                <w:rFonts w:ascii="Arial Narrow" w:hAnsi="Arial Narrow"/>
                <w:kern w:val="28"/>
                <w:sz w:val="18"/>
                <w:szCs w:val="18"/>
                <w:lang w:val="en-ID"/>
              </w:rPr>
              <w:t>Climate or climate change (seen from the board of directors' report)</w:t>
            </w:r>
            <w:r w:rsidRPr="009E36F3">
              <w:rPr>
                <w:rFonts w:ascii="Arial Narrow" w:hAnsi="Arial Narrow"/>
                <w:sz w:val="18"/>
                <w:szCs w:val="18"/>
                <w:lang w:val="en-ID" w:eastAsia="en-ID"/>
              </w:rPr>
              <w:t>Company climate or development (seen from the board of directors' report).</w:t>
            </w:r>
          </w:p>
        </w:tc>
      </w:tr>
    </w:tbl>
    <w:p w14:paraId="685D82C7" w14:textId="77777777" w:rsidR="008A17EC" w:rsidRPr="009E36F3" w:rsidRDefault="00BF4CE1" w:rsidP="00BF4CE1">
      <w:pPr>
        <w:pStyle w:val="ListParagraph"/>
        <w:spacing w:after="120"/>
        <w:ind w:left="0" w:firstLine="720"/>
        <w:rPr>
          <w:rFonts w:ascii="Arial Narrow" w:hAnsi="Arial Narrow"/>
          <w:kern w:val="28"/>
        </w:rPr>
      </w:pPr>
      <w:r w:rsidRPr="009E36F3">
        <w:rPr>
          <w:rFonts w:ascii="Arial Narrow" w:hAnsi="Arial Narrow"/>
          <w:kern w:val="28"/>
          <w:lang w:val="en-ID"/>
        </w:rPr>
        <w:t>Source: Choi et al. (2013)</w:t>
      </w:r>
    </w:p>
    <w:p w14:paraId="28F97110" w14:textId="0C055C23" w:rsidR="001D6ED6" w:rsidRDefault="001D6ED6" w:rsidP="001D6ED6">
      <w:pPr>
        <w:ind w:firstLine="360"/>
        <w:rPr>
          <w:rFonts w:ascii="Arial Narrow" w:hAnsi="Arial Narrow"/>
          <w:kern w:val="28"/>
          <w:sz w:val="22"/>
          <w:szCs w:val="22"/>
          <w:lang w:val="en-US"/>
        </w:rPr>
      </w:pPr>
      <w:r w:rsidRPr="001D6ED6">
        <w:rPr>
          <w:rFonts w:ascii="Arial Narrow" w:hAnsi="Arial Narrow"/>
          <w:kern w:val="28"/>
          <w:sz w:val="22"/>
          <w:szCs w:val="22"/>
          <w:lang w:val="en-US"/>
        </w:rPr>
        <w:t>Media coverage, while lacking a standardized academic definition in existing literature, encompasses the systematic reporting and dissemination of information through various communication channels. According to the Indonesian Language Dictionary (2019), the term encompasses comprehensive reporting or in-depth analysis of specific events or issues through diverse communication platforms, including print media, broadcast channels, and digital platforms. Media coverage functions as both an information conduit and an intermediary mechanism in public communication.</w:t>
      </w:r>
      <w:r>
        <w:rPr>
          <w:rFonts w:ascii="Arial Narrow" w:hAnsi="Arial Narrow"/>
          <w:kern w:val="28"/>
          <w:sz w:val="22"/>
          <w:szCs w:val="22"/>
          <w:lang w:val="en-US"/>
        </w:rPr>
        <w:t xml:space="preserve"> </w:t>
      </w:r>
      <w:r w:rsidRPr="001D6ED6">
        <w:rPr>
          <w:rFonts w:ascii="Arial Narrow" w:hAnsi="Arial Narrow"/>
          <w:kern w:val="28"/>
          <w:sz w:val="22"/>
          <w:szCs w:val="22"/>
          <w:lang w:val="en-US"/>
        </w:rPr>
        <w:t>The media's capacity to shape public opinion stems from its editorial perspective and narrative framing. Pratiwi and Sari (2016) emphasize that organizations must carefully manage their media relationships due to the significant impact on corporate reputation. Media dissemination of sensitive corporate information, particularly negative news, can trigger stakeholder reactions, potentially affecting stock valuations and market performance. Conversely, positive media coverage, especially regarding environmental initiatives, can incentivize enhanced corporate disclosure practices (Nur &amp; Priantinah, 2012). This relationship demonstrates the media's dual role as an information disseminator and a catalyst for corporate transparency.</w:t>
      </w:r>
    </w:p>
    <w:p w14:paraId="11A7B378" w14:textId="0D1E679A" w:rsidR="005D62F8" w:rsidRDefault="001D6ED6" w:rsidP="001D6ED6">
      <w:pPr>
        <w:pStyle w:val="NormalIndent"/>
        <w:rPr>
          <w:rFonts w:ascii="Arial Narrow" w:hAnsi="Arial Narrow"/>
          <w:kern w:val="28"/>
          <w:sz w:val="22"/>
          <w:szCs w:val="22"/>
        </w:rPr>
      </w:pPr>
      <w:r w:rsidRPr="001D6ED6">
        <w:rPr>
          <w:rFonts w:ascii="Arial Narrow" w:hAnsi="Arial Narrow"/>
          <w:kern w:val="28"/>
          <w:sz w:val="22"/>
          <w:szCs w:val="22"/>
        </w:rPr>
        <w:t>Corporate profitability serves as a crucial determinant in investment decision-making processes, as it demonstrates an organization's efficiency in resource utilization for profit generation over specified periods. Companies exhibiting high profitability ratios indicate superior resource management capabilities, thereby enhancing their financial performance metrics. While various profitability indicators exist, this study employs Return on Assets (ROA) as the primary measurement tool, as it effectively quantifies an organization's efficiency in asset utilization for profit generation (Sudan, 2015). Companies demonstrating robust profitability metrics are generally perceived to possess substantial financial resources.</w:t>
      </w:r>
      <w:r>
        <w:rPr>
          <w:rFonts w:ascii="Arial Narrow" w:hAnsi="Arial Narrow"/>
          <w:kern w:val="28"/>
          <w:sz w:val="22"/>
          <w:szCs w:val="22"/>
        </w:rPr>
        <w:t xml:space="preserve"> </w:t>
      </w:r>
      <w:r w:rsidRPr="001D6ED6">
        <w:rPr>
          <w:rFonts w:ascii="Arial Narrow" w:hAnsi="Arial Narrow"/>
          <w:kern w:val="28"/>
          <w:sz w:val="22"/>
          <w:szCs w:val="22"/>
        </w:rPr>
        <w:t>Corporate size emerges as another significant factor influencing investor decision-making, particularly due to the enhanced market recognition of larger enterprises' products and services. Jensen and Thompson (2020) posit that corporate scale is primarily determined through total asset valuation or net profit metrics. The magnitude of asset holdings serves as a direct indicator of organizational scale. According to Indonesian regulatory framework (Law No. 20, Chapter IV, Article 6, 2008), enterprises are categorized into three distinct</w:t>
      </w:r>
      <w:r>
        <w:rPr>
          <w:rFonts w:ascii="Arial Narrow" w:hAnsi="Arial Narrow"/>
          <w:kern w:val="28"/>
          <w:sz w:val="22"/>
          <w:szCs w:val="22"/>
        </w:rPr>
        <w:t>.</w:t>
      </w:r>
    </w:p>
    <w:p w14:paraId="7CB37F0F" w14:textId="77777777" w:rsidR="001D6ED6" w:rsidRPr="001D6ED6" w:rsidRDefault="001D6ED6" w:rsidP="001D6ED6">
      <w:pPr>
        <w:pStyle w:val="NormalIndent"/>
        <w:rPr>
          <w:rFonts w:ascii="Arial Narrow" w:hAnsi="Arial Narrow"/>
          <w:kern w:val="28"/>
          <w:sz w:val="22"/>
          <w:szCs w:val="22"/>
        </w:rPr>
      </w:pPr>
    </w:p>
    <w:p w14:paraId="699CB46B" w14:textId="77777777" w:rsidR="00023009" w:rsidRPr="005744AF" w:rsidRDefault="00023009" w:rsidP="00451A66">
      <w:pPr>
        <w:rPr>
          <w:rFonts w:ascii="Arial Narrow" w:hAnsi="Arial Narrow"/>
          <w:b/>
          <w:bCs/>
          <w:kern w:val="28"/>
          <w:sz w:val="22"/>
          <w:szCs w:val="22"/>
          <w:lang w:val="en-ID"/>
        </w:rPr>
      </w:pPr>
      <w:r w:rsidRPr="00D7255C">
        <w:rPr>
          <w:rFonts w:ascii="Arial Narrow" w:hAnsi="Arial Narrow"/>
          <w:b/>
          <w:bCs/>
          <w:kern w:val="28"/>
          <w:sz w:val="22"/>
          <w:szCs w:val="22"/>
          <w:lang w:val="en-ID"/>
        </w:rPr>
        <w:t>Hypothesis Development</w:t>
      </w:r>
    </w:p>
    <w:p w14:paraId="70FDA96E" w14:textId="2489ABF9" w:rsidR="00225EF2" w:rsidRPr="00D078BE" w:rsidRDefault="00225EF2" w:rsidP="00225EF2">
      <w:pPr>
        <w:rPr>
          <w:rFonts w:ascii="Arial Narrow" w:hAnsi="Arial Narrow"/>
          <w:b/>
          <w:bCs/>
          <w:kern w:val="28"/>
          <w:sz w:val="22"/>
          <w:szCs w:val="22"/>
          <w:lang w:val="en-US"/>
        </w:rPr>
      </w:pPr>
      <w:r w:rsidRPr="00D078BE">
        <w:rPr>
          <w:rFonts w:ascii="Arial Narrow" w:hAnsi="Arial Narrow"/>
          <w:b/>
          <w:bCs/>
          <w:kern w:val="28"/>
          <w:sz w:val="22"/>
          <w:szCs w:val="22"/>
          <w:lang w:val="en-US"/>
        </w:rPr>
        <w:t xml:space="preserve">The Relationship Between </w:t>
      </w:r>
      <w:r w:rsidR="00956F10" w:rsidRPr="00D078BE">
        <w:rPr>
          <w:rFonts w:ascii="Arial Narrow" w:hAnsi="Arial Narrow"/>
          <w:b/>
          <w:bCs/>
          <w:kern w:val="28"/>
          <w:sz w:val="22"/>
          <w:szCs w:val="22"/>
          <w:lang w:val="en-US"/>
        </w:rPr>
        <w:t>Carbon Emission Disclosure</w:t>
      </w:r>
      <w:r w:rsidRPr="00D078BE">
        <w:rPr>
          <w:rFonts w:ascii="Arial Narrow" w:hAnsi="Arial Narrow"/>
          <w:b/>
          <w:bCs/>
          <w:kern w:val="28"/>
          <w:sz w:val="22"/>
          <w:szCs w:val="22"/>
          <w:lang w:val="en-US"/>
        </w:rPr>
        <w:t xml:space="preserve"> and Capital Market Reaction</w:t>
      </w:r>
    </w:p>
    <w:p w14:paraId="6571046C" w14:textId="2F606286" w:rsidR="00225EF2" w:rsidRPr="00225EF2" w:rsidRDefault="00225EF2" w:rsidP="00225EF2">
      <w:pPr>
        <w:rPr>
          <w:rFonts w:ascii="Arial Narrow" w:hAnsi="Arial Narrow"/>
          <w:kern w:val="28"/>
          <w:sz w:val="22"/>
          <w:szCs w:val="22"/>
          <w:lang w:val="en-US"/>
        </w:rPr>
      </w:pPr>
      <w:r w:rsidRPr="00225EF2">
        <w:rPr>
          <w:rFonts w:ascii="Arial Narrow" w:hAnsi="Arial Narrow"/>
          <w:kern w:val="28"/>
          <w:sz w:val="22"/>
          <w:szCs w:val="22"/>
          <w:lang w:val="en-US"/>
        </w:rPr>
        <w:t xml:space="preserve">While </w:t>
      </w:r>
      <w:r w:rsidR="00956F10">
        <w:rPr>
          <w:rFonts w:ascii="Arial Narrow" w:hAnsi="Arial Narrow"/>
          <w:kern w:val="28"/>
          <w:sz w:val="22"/>
          <w:szCs w:val="22"/>
          <w:lang w:val="en-US"/>
        </w:rPr>
        <w:t>Carbon Emission Disclosure</w:t>
      </w:r>
      <w:r w:rsidRPr="00225EF2">
        <w:rPr>
          <w:rFonts w:ascii="Arial Narrow" w:hAnsi="Arial Narrow"/>
          <w:kern w:val="28"/>
          <w:sz w:val="22"/>
          <w:szCs w:val="22"/>
          <w:lang w:val="en-US"/>
        </w:rPr>
        <w:t xml:space="preserve"> (CED) remains a voluntary component of sustainability reporting (SR), institutional theory suggests that organizations engage in such disclosure practices to enhance stakeholder trust and legitimacy. Companies' </w:t>
      </w:r>
      <w:r w:rsidR="00956F10">
        <w:rPr>
          <w:rFonts w:ascii="Arial Narrow" w:hAnsi="Arial Narrow"/>
          <w:kern w:val="28"/>
          <w:sz w:val="22"/>
          <w:szCs w:val="22"/>
          <w:lang w:val="en-US"/>
        </w:rPr>
        <w:t>Carbon Emission Disclosure</w:t>
      </w:r>
      <w:r w:rsidRPr="00225EF2">
        <w:rPr>
          <w:rFonts w:ascii="Arial Narrow" w:hAnsi="Arial Narrow"/>
          <w:kern w:val="28"/>
          <w:sz w:val="22"/>
          <w:szCs w:val="22"/>
          <w:lang w:val="en-US"/>
        </w:rPr>
        <w:t>s represent an essential element of their environmental stewardship and demonstrate compliance with societal expectations. Given Indonesia's semi-strong form market efficiency, stock prices reflect all publicly available information, including sustainability reports.</w:t>
      </w:r>
      <w:r w:rsidR="00D078BE">
        <w:rPr>
          <w:rFonts w:ascii="Arial Narrow" w:hAnsi="Arial Narrow"/>
          <w:kern w:val="28"/>
          <w:sz w:val="22"/>
          <w:szCs w:val="22"/>
          <w:lang w:val="en-US"/>
        </w:rPr>
        <w:t xml:space="preserve"> </w:t>
      </w:r>
      <w:r w:rsidRPr="00225EF2">
        <w:rPr>
          <w:rFonts w:ascii="Arial Narrow" w:hAnsi="Arial Narrow"/>
          <w:kern w:val="28"/>
          <w:sz w:val="22"/>
          <w:szCs w:val="22"/>
          <w:lang w:val="en-US"/>
        </w:rPr>
        <w:t>The empirical evidence regarding the relationship between CED and capital market reactions presents mixed findings. Several studies have documented a significant association between CED and market response (Asmaranti et al., 2018; Bimha &amp; Nhamo, 2017). However, contradictory evidence exists, with some research indicating no significant relationship between CED and market reactions (Yuliani, 2020). These conflicting findings in the extant literature warrant further investigation into this relationship.</w:t>
      </w:r>
    </w:p>
    <w:p w14:paraId="3BC38C96" w14:textId="77777777" w:rsidR="00225EF2" w:rsidRPr="00225EF2" w:rsidRDefault="00225EF2" w:rsidP="00225EF2">
      <w:pPr>
        <w:rPr>
          <w:rFonts w:ascii="Arial Narrow" w:hAnsi="Arial Narrow"/>
          <w:kern w:val="28"/>
          <w:sz w:val="22"/>
          <w:szCs w:val="22"/>
          <w:lang w:val="en-US"/>
        </w:rPr>
      </w:pPr>
      <w:r w:rsidRPr="00225EF2">
        <w:rPr>
          <w:rFonts w:ascii="Arial Narrow" w:hAnsi="Arial Narrow"/>
          <w:kern w:val="28"/>
          <w:sz w:val="22"/>
          <w:szCs w:val="22"/>
          <w:lang w:val="en-US"/>
        </w:rPr>
        <w:t>Drawing from institutional theory and the efficient market hypothesis, coupled with empirical evidence from previous studies, we propose the following hypothesis:</w:t>
      </w:r>
    </w:p>
    <w:p w14:paraId="74C1F57D" w14:textId="036D7843" w:rsidR="00023009" w:rsidRPr="00C451AF" w:rsidRDefault="00225EF2" w:rsidP="00225EF2">
      <w:pPr>
        <w:rPr>
          <w:rFonts w:ascii="Arial Narrow" w:hAnsi="Arial Narrow"/>
          <w:kern w:val="28"/>
          <w:sz w:val="22"/>
          <w:szCs w:val="22"/>
          <w:lang w:val="en-US"/>
        </w:rPr>
      </w:pPr>
      <w:r w:rsidRPr="00225EF2">
        <w:rPr>
          <w:rFonts w:ascii="Arial Narrow" w:hAnsi="Arial Narrow"/>
          <w:kern w:val="28"/>
          <w:sz w:val="22"/>
          <w:szCs w:val="22"/>
          <w:lang w:val="en-US"/>
        </w:rPr>
        <w:t xml:space="preserve">H1: </w:t>
      </w:r>
      <w:r w:rsidR="00956F10">
        <w:rPr>
          <w:rFonts w:ascii="Arial Narrow" w:hAnsi="Arial Narrow"/>
          <w:kern w:val="28"/>
          <w:sz w:val="22"/>
          <w:szCs w:val="22"/>
          <w:lang w:val="en-US"/>
        </w:rPr>
        <w:t>Carbon Emission Disclosure</w:t>
      </w:r>
      <w:r w:rsidRPr="00225EF2">
        <w:rPr>
          <w:rFonts w:ascii="Arial Narrow" w:hAnsi="Arial Narrow"/>
          <w:kern w:val="28"/>
          <w:sz w:val="22"/>
          <w:szCs w:val="22"/>
          <w:lang w:val="en-US"/>
        </w:rPr>
        <w:t xml:space="preserve"> exhibits a significant relationship with capital market reaction.</w:t>
      </w:r>
    </w:p>
    <w:p w14:paraId="4FF3AF46" w14:textId="77777777" w:rsidR="00023009" w:rsidRPr="00C451AF" w:rsidRDefault="00023009" w:rsidP="00451A66">
      <w:pPr>
        <w:rPr>
          <w:rFonts w:ascii="Arial Narrow" w:hAnsi="Arial Narrow"/>
          <w:kern w:val="28"/>
          <w:sz w:val="22"/>
          <w:szCs w:val="22"/>
          <w:lang w:val="en-US"/>
        </w:rPr>
      </w:pPr>
    </w:p>
    <w:p w14:paraId="5037CCEC" w14:textId="5BA394A2" w:rsidR="00225EF2" w:rsidRPr="00D078BE" w:rsidRDefault="00225EF2" w:rsidP="00225EF2">
      <w:pPr>
        <w:rPr>
          <w:rFonts w:ascii="Arial Narrow" w:hAnsi="Arial Narrow"/>
          <w:b/>
          <w:bCs/>
          <w:kern w:val="28"/>
          <w:sz w:val="22"/>
          <w:szCs w:val="22"/>
          <w:lang w:val="en-US"/>
        </w:rPr>
      </w:pPr>
      <w:r w:rsidRPr="00D078BE">
        <w:rPr>
          <w:rFonts w:ascii="Arial Narrow" w:hAnsi="Arial Narrow"/>
          <w:b/>
          <w:bCs/>
          <w:kern w:val="28"/>
          <w:sz w:val="22"/>
          <w:szCs w:val="22"/>
          <w:lang w:val="en-US"/>
        </w:rPr>
        <w:t xml:space="preserve">The Moderating Role of Media Coverage in the Relationship Between </w:t>
      </w:r>
      <w:r w:rsidR="00956F10" w:rsidRPr="00D078BE">
        <w:rPr>
          <w:rFonts w:ascii="Arial Narrow" w:hAnsi="Arial Narrow"/>
          <w:b/>
          <w:bCs/>
          <w:kern w:val="28"/>
          <w:sz w:val="22"/>
          <w:szCs w:val="22"/>
          <w:lang w:val="en-US"/>
        </w:rPr>
        <w:t>Carbon Emission Disclosure</w:t>
      </w:r>
      <w:r w:rsidRPr="00D078BE">
        <w:rPr>
          <w:rFonts w:ascii="Arial Narrow" w:hAnsi="Arial Narrow"/>
          <w:b/>
          <w:bCs/>
          <w:kern w:val="28"/>
          <w:sz w:val="22"/>
          <w:szCs w:val="22"/>
          <w:lang w:val="en-US"/>
        </w:rPr>
        <w:t xml:space="preserve"> and Capital Market Reaction</w:t>
      </w:r>
    </w:p>
    <w:p w14:paraId="0F73FCCB" w14:textId="17F886D4" w:rsidR="00225EF2" w:rsidRPr="00225EF2" w:rsidRDefault="00225EF2" w:rsidP="00225EF2">
      <w:pPr>
        <w:rPr>
          <w:rFonts w:ascii="Arial Narrow" w:hAnsi="Arial Narrow"/>
          <w:kern w:val="28"/>
          <w:sz w:val="22"/>
          <w:szCs w:val="22"/>
          <w:lang w:val="en-US"/>
        </w:rPr>
      </w:pPr>
      <w:r w:rsidRPr="00225EF2">
        <w:rPr>
          <w:rFonts w:ascii="Arial Narrow" w:hAnsi="Arial Narrow"/>
          <w:kern w:val="28"/>
          <w:sz w:val="22"/>
          <w:szCs w:val="22"/>
          <w:lang w:val="en-US"/>
        </w:rPr>
        <w:t xml:space="preserve">Organizational legitimacy remains fundamental for companies seeking to demonstrate compliance with societal norms and expectations. Fuadah et al. (2018) emphasize that corporate sustainability inherently depends on community support and environmental stewardship. To enhance stakeholder perception and establish legitimacy, </w:t>
      </w:r>
      <w:r w:rsidRPr="00225EF2">
        <w:rPr>
          <w:rFonts w:ascii="Arial Narrow" w:hAnsi="Arial Narrow"/>
          <w:kern w:val="28"/>
          <w:sz w:val="22"/>
          <w:szCs w:val="22"/>
          <w:lang w:val="en-US"/>
        </w:rPr>
        <w:lastRenderedPageBreak/>
        <w:t>organizations increasingly utilize media channels for information dissemination. Media serves as a crucial intermediary in corporate communication, effectively facilitating information flow between organizations and their stakeholders (Jannah &amp; Muid, 2014).</w:t>
      </w:r>
      <w:r w:rsidR="00D078BE">
        <w:rPr>
          <w:rFonts w:ascii="Arial Narrow" w:hAnsi="Arial Narrow"/>
          <w:kern w:val="28"/>
          <w:sz w:val="22"/>
          <w:szCs w:val="22"/>
          <w:lang w:val="en-US"/>
        </w:rPr>
        <w:t xml:space="preserve"> </w:t>
      </w:r>
      <w:r w:rsidRPr="00225EF2">
        <w:rPr>
          <w:rFonts w:ascii="Arial Narrow" w:hAnsi="Arial Narrow"/>
          <w:kern w:val="28"/>
          <w:sz w:val="22"/>
          <w:szCs w:val="22"/>
          <w:lang w:val="en-US"/>
        </w:rPr>
        <w:t>Media coverage can potentially mitigate institutional pressures through effective stakeholder communication, subsequently influencing corporate reputation and market reactions. The media's role extends beyond mere information dissemination; it possesses the capacity to frame narratives and shape public perception, thereby moderating the impact of corporate disclosures on stakeholder opinion. As a moderating variable, media coverage can potentially amplify or attenuate the relationship between independent and dependent variables.</w:t>
      </w:r>
      <w:r w:rsidR="00D078BE">
        <w:rPr>
          <w:rFonts w:ascii="Arial Narrow" w:hAnsi="Arial Narrow"/>
          <w:kern w:val="28"/>
          <w:sz w:val="22"/>
          <w:szCs w:val="22"/>
          <w:lang w:val="en-US"/>
        </w:rPr>
        <w:t xml:space="preserve"> </w:t>
      </w:r>
      <w:r w:rsidRPr="00225EF2">
        <w:rPr>
          <w:rFonts w:ascii="Arial Narrow" w:hAnsi="Arial Narrow"/>
          <w:kern w:val="28"/>
          <w:sz w:val="22"/>
          <w:szCs w:val="22"/>
          <w:lang w:val="en-US"/>
        </w:rPr>
        <w:t xml:space="preserve">Consequently, media coverage may strengthen or weaken the impact of corporate environmental disclosures on investor perceptions, as reflected in capital market reactions. The media's ability to frame and contextualize environmental information suggests its potential moderating role in the relationship between </w:t>
      </w:r>
      <w:r w:rsidR="00956F10">
        <w:rPr>
          <w:rFonts w:ascii="Arial Narrow" w:hAnsi="Arial Narrow"/>
          <w:kern w:val="28"/>
          <w:sz w:val="22"/>
          <w:szCs w:val="22"/>
          <w:lang w:val="en-US"/>
        </w:rPr>
        <w:t>Carbon Emission Disclosure</w:t>
      </w:r>
      <w:r w:rsidRPr="00225EF2">
        <w:rPr>
          <w:rFonts w:ascii="Arial Narrow" w:hAnsi="Arial Narrow"/>
          <w:kern w:val="28"/>
          <w:sz w:val="22"/>
          <w:szCs w:val="22"/>
          <w:lang w:val="en-US"/>
        </w:rPr>
        <w:t xml:space="preserve"> and market response.</w:t>
      </w:r>
    </w:p>
    <w:p w14:paraId="6FB5A201" w14:textId="77777777" w:rsidR="00225EF2" w:rsidRPr="00225EF2" w:rsidRDefault="00225EF2" w:rsidP="00225EF2">
      <w:pPr>
        <w:rPr>
          <w:rFonts w:ascii="Arial Narrow" w:hAnsi="Arial Narrow"/>
          <w:kern w:val="28"/>
          <w:sz w:val="22"/>
          <w:szCs w:val="22"/>
          <w:lang w:val="en-US"/>
        </w:rPr>
      </w:pPr>
      <w:r w:rsidRPr="00225EF2">
        <w:rPr>
          <w:rFonts w:ascii="Arial Narrow" w:hAnsi="Arial Narrow"/>
          <w:kern w:val="28"/>
          <w:sz w:val="22"/>
          <w:szCs w:val="22"/>
          <w:lang w:val="en-US"/>
        </w:rPr>
        <w:t>Based on this theoretical framework and empirical evidence, we propose the following hypothesis:</w:t>
      </w:r>
    </w:p>
    <w:p w14:paraId="28D172A5" w14:textId="47857B18" w:rsidR="00225EF2" w:rsidRDefault="00225EF2" w:rsidP="00225EF2">
      <w:pPr>
        <w:rPr>
          <w:rFonts w:ascii="Arial Narrow" w:hAnsi="Arial Narrow"/>
          <w:kern w:val="28"/>
          <w:sz w:val="22"/>
          <w:szCs w:val="22"/>
          <w:lang w:val="en-US"/>
        </w:rPr>
      </w:pPr>
      <w:r w:rsidRPr="00225EF2">
        <w:rPr>
          <w:rFonts w:ascii="Arial Narrow" w:hAnsi="Arial Narrow"/>
          <w:kern w:val="28"/>
          <w:sz w:val="22"/>
          <w:szCs w:val="22"/>
          <w:lang w:val="en-US"/>
        </w:rPr>
        <w:t xml:space="preserve">H2: Media coverage significantly moderates the relationship between </w:t>
      </w:r>
      <w:r w:rsidR="00956F10">
        <w:rPr>
          <w:rFonts w:ascii="Arial Narrow" w:hAnsi="Arial Narrow"/>
          <w:kern w:val="28"/>
          <w:sz w:val="22"/>
          <w:szCs w:val="22"/>
          <w:lang w:val="en-US"/>
        </w:rPr>
        <w:t>Carbon Emission Disclosure</w:t>
      </w:r>
      <w:r w:rsidRPr="00225EF2">
        <w:rPr>
          <w:rFonts w:ascii="Arial Narrow" w:hAnsi="Arial Narrow"/>
          <w:kern w:val="28"/>
          <w:sz w:val="22"/>
          <w:szCs w:val="22"/>
          <w:lang w:val="en-US"/>
        </w:rPr>
        <w:t xml:space="preserve"> and capital market reaction.</w:t>
      </w:r>
    </w:p>
    <w:p w14:paraId="57840F86" w14:textId="77777777" w:rsidR="00D078BE" w:rsidRDefault="00D078BE" w:rsidP="00D078BE">
      <w:pPr>
        <w:pStyle w:val="NormalIndent"/>
        <w:ind w:firstLine="0"/>
        <w:rPr>
          <w:rFonts w:ascii="Arial Narrow" w:hAnsi="Arial Narrow"/>
          <w:kern w:val="28"/>
          <w:sz w:val="22"/>
          <w:szCs w:val="22"/>
          <w:lang w:val="en-US"/>
        </w:rPr>
      </w:pPr>
    </w:p>
    <w:p w14:paraId="2DA5CDFA" w14:textId="0325ADAA" w:rsidR="00225EF2" w:rsidRPr="00D078BE" w:rsidRDefault="00225EF2" w:rsidP="00D078BE">
      <w:pPr>
        <w:pStyle w:val="NormalIndent"/>
        <w:ind w:firstLine="0"/>
        <w:rPr>
          <w:rFonts w:ascii="Arial Narrow" w:hAnsi="Arial Narrow"/>
          <w:b/>
          <w:bCs/>
          <w:kern w:val="28"/>
          <w:sz w:val="22"/>
          <w:szCs w:val="22"/>
          <w:lang w:val="en-US"/>
        </w:rPr>
      </w:pPr>
      <w:r w:rsidRPr="00D078BE">
        <w:rPr>
          <w:rFonts w:ascii="Arial Narrow" w:hAnsi="Arial Narrow"/>
          <w:b/>
          <w:bCs/>
          <w:kern w:val="28"/>
          <w:sz w:val="22"/>
          <w:szCs w:val="22"/>
          <w:lang w:val="en-US"/>
        </w:rPr>
        <w:t>The Relationship Between Profitability and Capital Market Reaction</w:t>
      </w:r>
    </w:p>
    <w:p w14:paraId="4CDBAB63" w14:textId="77777777" w:rsidR="00225EF2" w:rsidRPr="00225EF2" w:rsidRDefault="00225EF2" w:rsidP="00D078BE">
      <w:pPr>
        <w:pStyle w:val="NormalIndent"/>
        <w:ind w:firstLine="0"/>
        <w:rPr>
          <w:rFonts w:ascii="Arial Narrow" w:hAnsi="Arial Narrow"/>
          <w:kern w:val="28"/>
          <w:sz w:val="22"/>
          <w:szCs w:val="22"/>
          <w:lang w:val="en-US"/>
        </w:rPr>
      </w:pPr>
      <w:r w:rsidRPr="00225EF2">
        <w:rPr>
          <w:rFonts w:ascii="Arial Narrow" w:hAnsi="Arial Narrow"/>
          <w:kern w:val="28"/>
          <w:sz w:val="22"/>
          <w:szCs w:val="22"/>
          <w:lang w:val="en-US"/>
        </w:rPr>
        <w:t>Profitability serves as a crucial financial indicator influencing investment decisions. Enhanced profitability metrics signal favorable future earnings potential, potentially stimulating investor interest and affecting stock valuations. This study employs Return on Assets (ROA) as the primary profitability measure, where higher ROA values indicate superior resource utilization efficiency. Empirical evidence regarding the relationship between profitability and investor decision-making presents mixed findings. While Churatunnisa and Andayani (2022) document a significant association between profitability and investor decisions, contrasting evidence is presented by Agustin et al. (2021). Based on these theoretical arguments and empirical evidence, we propose:</w:t>
      </w:r>
    </w:p>
    <w:p w14:paraId="224ADE51" w14:textId="77777777" w:rsidR="00225EF2" w:rsidRPr="00225EF2" w:rsidRDefault="00225EF2" w:rsidP="00D078BE">
      <w:pPr>
        <w:pStyle w:val="NormalIndent"/>
        <w:ind w:firstLine="0"/>
        <w:rPr>
          <w:rFonts w:ascii="Arial Narrow" w:hAnsi="Arial Narrow"/>
          <w:kern w:val="28"/>
          <w:sz w:val="22"/>
          <w:szCs w:val="22"/>
          <w:lang w:val="en-US"/>
        </w:rPr>
      </w:pPr>
      <w:r w:rsidRPr="00225EF2">
        <w:rPr>
          <w:rFonts w:ascii="Arial Narrow" w:hAnsi="Arial Narrow"/>
          <w:kern w:val="28"/>
          <w:sz w:val="22"/>
          <w:szCs w:val="22"/>
          <w:lang w:val="en-US"/>
        </w:rPr>
        <w:t>H3: Profitability exhibits a significant relationship with capital market reaction.</w:t>
      </w:r>
    </w:p>
    <w:p w14:paraId="2B78E642" w14:textId="77777777" w:rsidR="00D078BE" w:rsidRDefault="00D078BE" w:rsidP="00D078BE">
      <w:pPr>
        <w:pStyle w:val="NormalIndent"/>
        <w:ind w:firstLine="0"/>
        <w:rPr>
          <w:rFonts w:ascii="Arial Narrow" w:hAnsi="Arial Narrow"/>
          <w:kern w:val="28"/>
          <w:sz w:val="22"/>
          <w:szCs w:val="22"/>
          <w:lang w:val="en-US"/>
        </w:rPr>
      </w:pPr>
    </w:p>
    <w:p w14:paraId="2D3F8BBD" w14:textId="407D8C37" w:rsidR="00225EF2" w:rsidRPr="00D078BE" w:rsidRDefault="00225EF2" w:rsidP="00D078BE">
      <w:pPr>
        <w:pStyle w:val="NormalIndent"/>
        <w:ind w:firstLine="0"/>
        <w:rPr>
          <w:rFonts w:ascii="Arial Narrow" w:hAnsi="Arial Narrow"/>
          <w:b/>
          <w:bCs/>
          <w:kern w:val="28"/>
          <w:sz w:val="22"/>
          <w:szCs w:val="22"/>
          <w:lang w:val="en-US"/>
        </w:rPr>
      </w:pPr>
      <w:r w:rsidRPr="00D078BE">
        <w:rPr>
          <w:rFonts w:ascii="Arial Narrow" w:hAnsi="Arial Narrow"/>
          <w:b/>
          <w:bCs/>
          <w:kern w:val="28"/>
          <w:sz w:val="22"/>
          <w:szCs w:val="22"/>
          <w:lang w:val="en-US"/>
        </w:rPr>
        <w:t>The Impact of Organizational Size on Capital Market Reaction</w:t>
      </w:r>
    </w:p>
    <w:p w14:paraId="76C412B7" w14:textId="7533AB37" w:rsidR="0014161E" w:rsidRPr="00225EF2" w:rsidRDefault="00225EF2" w:rsidP="00D078BE">
      <w:pPr>
        <w:pStyle w:val="NormalIndent"/>
        <w:ind w:firstLine="0"/>
        <w:rPr>
          <w:rFonts w:ascii="Arial Narrow" w:hAnsi="Arial Narrow"/>
          <w:kern w:val="28"/>
          <w:sz w:val="22"/>
          <w:szCs w:val="22"/>
          <w:lang w:val="en-US"/>
        </w:rPr>
      </w:pPr>
      <w:r w:rsidRPr="00225EF2">
        <w:rPr>
          <w:rFonts w:ascii="Arial Narrow" w:hAnsi="Arial Narrow"/>
          <w:kern w:val="28"/>
          <w:sz w:val="22"/>
          <w:szCs w:val="22"/>
          <w:lang w:val="en-US"/>
        </w:rPr>
        <w:t>Organizational size, typically measured through total asset valuation, serves as a proxy for operational capacity and financial robustness. Larger organizations generally attract enhanced investor confidence due to their perceived financial stability. Febrian and Nazar (2024) suggest that organizational size influences market response through increased public visibility and information accessibility. Market expectations typically demonstrate positive bias toward larger organizations due to their perceived capacity to navigate economic challenges and maintain financial stability.</w:t>
      </w:r>
      <w:r>
        <w:rPr>
          <w:rFonts w:ascii="Arial Narrow" w:hAnsi="Arial Narrow"/>
          <w:kern w:val="28"/>
          <w:sz w:val="22"/>
          <w:szCs w:val="22"/>
          <w:lang w:val="en-US"/>
        </w:rPr>
        <w:t xml:space="preserve"> </w:t>
      </w:r>
      <w:r w:rsidRPr="00225EF2">
        <w:rPr>
          <w:rFonts w:ascii="Arial Narrow" w:hAnsi="Arial Narrow"/>
          <w:kern w:val="28"/>
          <w:sz w:val="22"/>
          <w:szCs w:val="22"/>
          <w:lang w:val="en-US"/>
        </w:rPr>
        <w:t>The empirical literature presents mixed evidence regarding the relationship between organizational size and market reaction, measured through stock price movements and investor returns. While several studies document a significant association between organizational size and stock price movements (Darmawan et al., 2019; Arifin &amp; Agustami, 2016), other research suggests limited impact of size on market reactions (Anwar &amp; Fadjrih, 2021).</w:t>
      </w:r>
    </w:p>
    <w:p w14:paraId="5B0EF52F" w14:textId="77777777" w:rsidR="008347A3" w:rsidRDefault="00023009" w:rsidP="00023009">
      <w:pPr>
        <w:spacing w:before="120" w:after="120"/>
        <w:rPr>
          <w:rFonts w:ascii="Arial Narrow" w:hAnsi="Arial Narrow"/>
          <w:b/>
          <w:bCs/>
          <w:kern w:val="28"/>
          <w:sz w:val="22"/>
          <w:szCs w:val="22"/>
          <w:lang w:val="en-US"/>
        </w:rPr>
      </w:pPr>
      <w:r w:rsidRPr="00C451AF">
        <w:rPr>
          <w:rFonts w:ascii="Arial Narrow" w:hAnsi="Arial Narrow"/>
          <w:b/>
          <w:bCs/>
          <w:kern w:val="28"/>
          <w:sz w:val="22"/>
          <w:szCs w:val="22"/>
          <w:lang w:val="en-US"/>
        </w:rPr>
        <w:t>Research Model</w:t>
      </w:r>
    </w:p>
    <w:p w14:paraId="67E0EBE8" w14:textId="77777777" w:rsidR="00023009" w:rsidRPr="008347A3" w:rsidRDefault="00023009" w:rsidP="00023009">
      <w:pPr>
        <w:spacing w:before="120" w:after="120"/>
        <w:rPr>
          <w:rFonts w:ascii="Arial Narrow" w:hAnsi="Arial Narrow"/>
          <w:b/>
          <w:bCs/>
          <w:kern w:val="28"/>
          <w:sz w:val="22"/>
          <w:szCs w:val="22"/>
          <w:lang w:val="en-US"/>
        </w:rPr>
      </w:pPr>
      <w:r w:rsidRPr="00C451AF">
        <w:rPr>
          <w:rFonts w:ascii="Arial Narrow" w:hAnsi="Arial Narrow"/>
          <w:kern w:val="28"/>
          <w:sz w:val="22"/>
          <w:szCs w:val="22"/>
          <w:lang w:val="en-ID"/>
        </w:rPr>
        <w:t>Based on the theoretical basis and hypothesis development, the relationship between the dependent, dependent and moderating variables in this study is:</w:t>
      </w:r>
    </w:p>
    <w:p w14:paraId="3AC70956" w14:textId="77777777" w:rsidR="00023009" w:rsidRPr="00C451AF" w:rsidRDefault="00964179" w:rsidP="00964179">
      <w:pPr>
        <w:spacing w:before="120" w:after="120"/>
        <w:jc w:val="center"/>
        <w:rPr>
          <w:rFonts w:ascii="Arial Narrow" w:hAnsi="Arial Narrow"/>
          <w:kern w:val="28"/>
          <w:sz w:val="22"/>
          <w:szCs w:val="22"/>
          <w:lang w:val="en-US"/>
        </w:rPr>
      </w:pPr>
      <w:r>
        <w:rPr>
          <w:noProof/>
        </w:rPr>
        <w:drawing>
          <wp:inline distT="0" distB="0" distL="0" distR="0" wp14:anchorId="2D74EE6D" wp14:editId="79EB8F42">
            <wp:extent cx="3034566" cy="1778096"/>
            <wp:effectExtent l="0" t="0" r="0" b="0"/>
            <wp:docPr id="1838719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276" cy="1787887"/>
                    </a:xfrm>
                    <a:prstGeom prst="rect">
                      <a:avLst/>
                    </a:prstGeom>
                    <a:noFill/>
                    <a:ln>
                      <a:noFill/>
                    </a:ln>
                  </pic:spPr>
                </pic:pic>
              </a:graphicData>
            </a:graphic>
          </wp:inline>
        </w:drawing>
      </w:r>
    </w:p>
    <w:p w14:paraId="00BDEADC" w14:textId="77777777" w:rsidR="00023009" w:rsidRPr="00C451AF" w:rsidRDefault="00023009" w:rsidP="00964179">
      <w:pPr>
        <w:spacing w:before="120" w:after="120"/>
        <w:jc w:val="center"/>
        <w:rPr>
          <w:rFonts w:ascii="Arial Narrow" w:hAnsi="Arial Narrow"/>
          <w:b/>
          <w:kern w:val="28"/>
          <w:sz w:val="22"/>
          <w:szCs w:val="22"/>
          <w:lang w:val="en-ID"/>
        </w:rPr>
      </w:pPr>
      <w:r w:rsidRPr="00C451AF">
        <w:rPr>
          <w:rFonts w:ascii="Arial Narrow" w:hAnsi="Arial Narrow"/>
          <w:b/>
          <w:kern w:val="28"/>
          <w:sz w:val="22"/>
          <w:szCs w:val="22"/>
          <w:lang w:val="en-ID"/>
        </w:rPr>
        <w:t>Figure 1.</w:t>
      </w:r>
      <w:r w:rsidRPr="00C451AF">
        <w:rPr>
          <w:rFonts w:ascii="Arial Narrow" w:hAnsi="Arial Narrow"/>
          <w:iCs/>
          <w:kern w:val="28"/>
          <w:sz w:val="22"/>
          <w:szCs w:val="22"/>
          <w:lang w:val="en-ID"/>
        </w:rPr>
        <w:t>Research Model</w:t>
      </w:r>
    </w:p>
    <w:p w14:paraId="10E79965" w14:textId="009655A6" w:rsidR="00023009" w:rsidRDefault="00023009" w:rsidP="00023009">
      <w:pPr>
        <w:spacing w:before="120" w:after="120"/>
        <w:rPr>
          <w:rFonts w:ascii="Arial Narrow" w:hAnsi="Arial Narrow"/>
          <w:kern w:val="28"/>
          <w:sz w:val="22"/>
          <w:szCs w:val="22"/>
          <w:lang w:val="en-US"/>
        </w:rPr>
      </w:pPr>
    </w:p>
    <w:p w14:paraId="1FF47643" w14:textId="1BD30A5D" w:rsidR="000D76CA" w:rsidRPr="003E2F16" w:rsidRDefault="003E2F16" w:rsidP="00090EB7">
      <w:pPr>
        <w:pStyle w:val="ListParagraph"/>
        <w:numPr>
          <w:ilvl w:val="0"/>
          <w:numId w:val="21"/>
        </w:numPr>
        <w:spacing w:before="120" w:after="120"/>
        <w:ind w:left="284" w:hanging="284"/>
        <w:rPr>
          <w:rFonts w:ascii="Arial Narrow" w:hAnsi="Arial Narrow"/>
          <w:b/>
          <w:bCs/>
          <w:sz w:val="22"/>
          <w:szCs w:val="22"/>
        </w:rPr>
      </w:pPr>
      <w:r w:rsidRPr="003E2F16">
        <w:rPr>
          <w:rFonts w:ascii="Arial Narrow" w:hAnsi="Arial Narrow"/>
          <w:b/>
          <w:bCs/>
          <w:color w:val="0070C0"/>
          <w:sz w:val="22"/>
          <w:szCs w:val="22"/>
          <w:lang w:val="en-US" w:eastAsia="ar-SA"/>
        </w:rPr>
        <w:t xml:space="preserve">Research </w:t>
      </w:r>
      <w:r w:rsidR="00D078BE">
        <w:rPr>
          <w:rFonts w:ascii="Arial Narrow" w:hAnsi="Arial Narrow"/>
          <w:b/>
          <w:bCs/>
          <w:color w:val="0070C0"/>
          <w:sz w:val="22"/>
          <w:szCs w:val="22"/>
          <w:lang w:val="en-US" w:eastAsia="ar-SA"/>
        </w:rPr>
        <w:t>M</w:t>
      </w:r>
      <w:r w:rsidRPr="003E2F16">
        <w:rPr>
          <w:rFonts w:ascii="Arial Narrow" w:hAnsi="Arial Narrow"/>
          <w:b/>
          <w:bCs/>
          <w:color w:val="0070C0"/>
          <w:sz w:val="22"/>
          <w:szCs w:val="22"/>
          <w:lang w:val="en-US" w:eastAsia="ar-SA"/>
        </w:rPr>
        <w:t>ethods</w:t>
      </w:r>
      <w:r w:rsidR="000C2284" w:rsidRPr="003E2F16">
        <w:rPr>
          <w:rFonts w:ascii="Arial Narrow" w:hAnsi="Arial Narrow"/>
          <w:b/>
          <w:bCs/>
          <w:sz w:val="22"/>
          <w:szCs w:val="22"/>
          <w:lang w:val="id-ID"/>
        </w:rPr>
        <w:t xml:space="preserve"> </w:t>
      </w:r>
    </w:p>
    <w:p w14:paraId="6E5EE49A" w14:textId="10F50149" w:rsidR="00666DBF" w:rsidRDefault="00BE0314" w:rsidP="00BE0314">
      <w:pPr>
        <w:pStyle w:val="NormalIndent"/>
        <w:ind w:firstLine="567"/>
        <w:rPr>
          <w:rFonts w:ascii="Arial Narrow" w:hAnsi="Arial Narrow"/>
          <w:sz w:val="22"/>
          <w:lang w:val="en-ID"/>
        </w:rPr>
      </w:pPr>
      <w:r w:rsidRPr="00BE0314">
        <w:rPr>
          <w:rFonts w:ascii="Arial Narrow" w:hAnsi="Arial Narrow"/>
          <w:sz w:val="22"/>
          <w:lang w:val="en-ID"/>
        </w:rPr>
        <w:t xml:space="preserve">This study employs secondary data obtained from corporate annual reports and financial statements. The primary independent variable, </w:t>
      </w:r>
      <w:r w:rsidR="00956F10">
        <w:rPr>
          <w:rFonts w:ascii="Arial Narrow" w:hAnsi="Arial Narrow"/>
          <w:sz w:val="22"/>
          <w:lang w:val="en-ID"/>
        </w:rPr>
        <w:t>Carbon Emission Disclosure</w:t>
      </w:r>
      <w:r w:rsidRPr="00BE0314">
        <w:rPr>
          <w:rFonts w:ascii="Arial Narrow" w:hAnsi="Arial Narrow"/>
          <w:sz w:val="22"/>
          <w:lang w:val="en-ID"/>
        </w:rPr>
        <w:t xml:space="preserve"> (CED), is assessed through content analysis of annual reports. Additional independent variables include Return on Assets (ROA) as a profitability measure and total assets as an organizational size proxy.</w:t>
      </w:r>
      <w:r>
        <w:rPr>
          <w:rFonts w:ascii="Arial Narrow" w:hAnsi="Arial Narrow"/>
          <w:sz w:val="22"/>
          <w:lang w:val="en-ID"/>
        </w:rPr>
        <w:t xml:space="preserve"> </w:t>
      </w:r>
      <w:r w:rsidRPr="00BE0314">
        <w:rPr>
          <w:rFonts w:ascii="Arial Narrow" w:hAnsi="Arial Narrow"/>
          <w:sz w:val="22"/>
          <w:lang w:val="en-ID"/>
        </w:rPr>
        <w:t xml:space="preserve">The dependent variable, capital market reaction, is operationalized through abnormal returns. Following Sekaran and Roger (2016), we incorporate media coverage as a moderating variable, examining its influence on the relationship between </w:t>
      </w:r>
      <w:r w:rsidR="00956F10">
        <w:rPr>
          <w:rFonts w:ascii="Arial Narrow" w:hAnsi="Arial Narrow"/>
          <w:sz w:val="22"/>
          <w:lang w:val="en-ID"/>
        </w:rPr>
        <w:t>Carbon Emission Disclosure</w:t>
      </w:r>
      <w:r w:rsidRPr="00BE0314">
        <w:rPr>
          <w:rFonts w:ascii="Arial Narrow" w:hAnsi="Arial Narrow"/>
          <w:sz w:val="22"/>
          <w:lang w:val="en-ID"/>
        </w:rPr>
        <w:t xml:space="preserve"> and market reaction.</w:t>
      </w:r>
      <w:r w:rsidR="001932E1">
        <w:rPr>
          <w:rFonts w:ascii="Arial Narrow" w:hAnsi="Arial Narrow"/>
          <w:sz w:val="22"/>
          <w:lang w:val="en-ID"/>
        </w:rPr>
        <w:t xml:space="preserve"> </w:t>
      </w:r>
      <w:r w:rsidR="00666DBF" w:rsidRPr="00666DBF">
        <w:rPr>
          <w:rFonts w:ascii="Arial Narrow" w:hAnsi="Arial Narrow"/>
          <w:sz w:val="22"/>
          <w:lang w:val="en-ID"/>
        </w:rPr>
        <w:t>Since each item is worth 1, a company would receive 18 if it disclosed every item in its report. The following formula is then used to weight the final scores:</w:t>
      </w:r>
    </w:p>
    <w:p w14:paraId="4974C7AB" w14:textId="77777777" w:rsidR="00023009" w:rsidRPr="003E7C2D" w:rsidRDefault="003E7C2D" w:rsidP="00023009">
      <w:pPr>
        <w:pStyle w:val="NormalIndent"/>
        <w:ind w:firstLine="567"/>
        <w:rPr>
          <w:rFonts w:ascii="Arial Narrow" w:hAnsi="Arial Narrow"/>
          <w:lang w:val="id-ID"/>
        </w:rPr>
      </w:pPr>
      <m:oMathPara>
        <m:oMath>
          <m:r>
            <w:rPr>
              <w:rFonts w:ascii="Cambria Math" w:hAnsi="Cambria Math"/>
              <w:lang w:val="id-ID"/>
            </w:rPr>
            <m:t xml:space="preserve">CED= </m:t>
          </m:r>
          <m:f>
            <m:fPr>
              <m:ctrlPr>
                <w:rPr>
                  <w:rFonts w:ascii="Cambria Math" w:hAnsi="Cambria Math"/>
                  <w:i/>
                  <w:lang w:val="id-ID"/>
                </w:rPr>
              </m:ctrlPr>
            </m:fPr>
            <m:num>
              <m:r>
                <m:rPr>
                  <m:sty m:val="p"/>
                </m:rPr>
                <w:rPr>
                  <w:rFonts w:ascii="Cambria Math" w:hAnsi="Cambria Math"/>
                  <w:lang w:val="en-ID"/>
                </w:rPr>
                <m:t>jumlah total skor pengungkapan</m:t>
              </m:r>
            </m:num>
            <m:den>
              <m:r>
                <m:rPr>
                  <m:sty m:val="p"/>
                </m:rPr>
                <w:rPr>
                  <w:rFonts w:ascii="Cambria Math" w:hAnsi="Cambria Math"/>
                  <w:lang w:val="en-ID"/>
                </w:rPr>
                <m:t>jumlah total skor maksimal (18)</m:t>
              </m:r>
            </m:den>
          </m:f>
        </m:oMath>
      </m:oMathPara>
    </w:p>
    <w:p w14:paraId="201CC1F7" w14:textId="77777777" w:rsidR="003E7C2D" w:rsidRPr="00C451AF" w:rsidRDefault="003E7C2D" w:rsidP="00023009">
      <w:pPr>
        <w:pStyle w:val="NormalIndent"/>
        <w:ind w:firstLine="567"/>
        <w:rPr>
          <w:rFonts w:ascii="Arial Narrow" w:hAnsi="Arial Narrow"/>
          <w:sz w:val="22"/>
          <w:lang w:val="en-ID"/>
        </w:rPr>
      </w:pPr>
    </w:p>
    <w:p w14:paraId="0A49E837" w14:textId="45394B87" w:rsidR="005563FC" w:rsidRDefault="00BE0314" w:rsidP="00DE111F">
      <w:pPr>
        <w:pStyle w:val="NormalIndent"/>
        <w:rPr>
          <w:rFonts w:ascii="Arial Narrow" w:hAnsi="Arial Narrow"/>
          <w:sz w:val="22"/>
          <w:lang w:val="en-ID"/>
        </w:rPr>
      </w:pPr>
      <w:r w:rsidRPr="00BE0314">
        <w:rPr>
          <w:rFonts w:ascii="Arial Narrow" w:hAnsi="Arial Narrow"/>
          <w:sz w:val="22"/>
          <w:lang w:val="en-ID"/>
        </w:rPr>
        <w:t>Market reaction in this study is operationalized through abnormal returns, defined as the differential between realized and expected returns (Hartono, 2017). The event study methodology employs a comprehensive observation window encompassing 61 trading days: 30 days prior to the annual report publication (t-30), the publication date (t0), and 30 days following publication (t+30). To establish the relationship between firm-specific returns and market returns, we utilize an estimation window of 100 trading days (t-130 to t-31). This extended estimation period enables robust parameter estimation for the market model and enhances the statistical reliability of our abnormal return calculations</w:t>
      </w:r>
      <w:r w:rsidR="00DE111F" w:rsidRPr="00DE111F">
        <w:rPr>
          <w:rFonts w:ascii="Arial Narrow" w:hAnsi="Arial Narrow"/>
          <w:sz w:val="22"/>
          <w:lang w:val="en-ID"/>
        </w:rPr>
        <w:t>. The following formula is used to determine abnormal returns in this study:</w:t>
      </w:r>
    </w:p>
    <w:p w14:paraId="505E4465" w14:textId="77777777" w:rsidR="00023009" w:rsidRDefault="00023009" w:rsidP="005563FC">
      <w:pPr>
        <w:pStyle w:val="NormalIndent"/>
        <w:numPr>
          <w:ilvl w:val="0"/>
          <w:numId w:val="41"/>
        </w:numPr>
        <w:ind w:left="284" w:hanging="284"/>
        <w:rPr>
          <w:rFonts w:ascii="Arial Narrow" w:hAnsi="Arial Narrow"/>
          <w:sz w:val="22"/>
          <w:lang w:val="en-ID"/>
        </w:rPr>
      </w:pPr>
      <w:r w:rsidRPr="00C451AF">
        <w:rPr>
          <w:rFonts w:ascii="Arial Narrow" w:hAnsi="Arial Narrow"/>
          <w:sz w:val="22"/>
          <w:lang w:val="en-ID"/>
        </w:rPr>
        <w:t>Calculating actual return:</w:t>
      </w:r>
    </w:p>
    <w:p w14:paraId="4B72BC4B" w14:textId="77777777" w:rsidR="003E7C2D" w:rsidRPr="00C451AF" w:rsidRDefault="00000000" w:rsidP="003E7C2D">
      <w:pPr>
        <w:pStyle w:val="NormalIndent"/>
        <w:ind w:left="720" w:firstLine="0"/>
        <w:rPr>
          <w:rFonts w:ascii="Arial Narrow" w:hAnsi="Arial Narrow"/>
          <w:sz w:val="22"/>
          <w:lang w:val="en-ID"/>
        </w:rPr>
      </w:pPr>
      <m:oMathPara>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it</m:t>
              </m:r>
            </m:sub>
          </m:sSub>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P</m:t>
                  </m:r>
                </m:e>
                <m:sub>
                  <m:r>
                    <w:rPr>
                      <w:rFonts w:ascii="Cambria Math" w:hAnsi="Cambria Math"/>
                      <w:lang w:val="id-ID"/>
                    </w:rPr>
                    <m:t>it</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P</m:t>
                  </m:r>
                </m:e>
                <m:sub>
                  <m:r>
                    <w:rPr>
                      <w:rFonts w:ascii="Cambria Math" w:hAnsi="Cambria Math"/>
                      <w:lang w:val="id-ID"/>
                    </w:rPr>
                    <m:t>it-1</m:t>
                  </m:r>
                </m:sub>
              </m:sSub>
            </m:num>
            <m:den>
              <m:sSub>
                <m:sSubPr>
                  <m:ctrlPr>
                    <w:rPr>
                      <w:rFonts w:ascii="Cambria Math" w:hAnsi="Cambria Math"/>
                      <w:i/>
                      <w:lang w:val="id-ID"/>
                    </w:rPr>
                  </m:ctrlPr>
                </m:sSubPr>
                <m:e>
                  <m:r>
                    <w:rPr>
                      <w:rFonts w:ascii="Cambria Math" w:hAnsi="Cambria Math"/>
                      <w:lang w:val="id-ID"/>
                    </w:rPr>
                    <m:t>P</m:t>
                  </m:r>
                </m:e>
                <m:sub>
                  <m:r>
                    <w:rPr>
                      <w:rFonts w:ascii="Cambria Math" w:hAnsi="Cambria Math"/>
                      <w:lang w:val="id-ID"/>
                    </w:rPr>
                    <m:t>it</m:t>
                  </m:r>
                </m:sub>
              </m:sSub>
            </m:den>
          </m:f>
        </m:oMath>
      </m:oMathPara>
    </w:p>
    <w:p w14:paraId="0BAE6EC7" w14:textId="77777777" w:rsidR="00023009" w:rsidRPr="00C451AF" w:rsidRDefault="00023009" w:rsidP="00023009">
      <w:pPr>
        <w:pStyle w:val="NormalIndent"/>
        <w:ind w:firstLine="567"/>
        <w:rPr>
          <w:rFonts w:ascii="Arial Narrow" w:hAnsi="Arial Narrow"/>
          <w:sz w:val="22"/>
          <w:lang w:val="en-ID"/>
        </w:rPr>
      </w:pPr>
    </w:p>
    <w:p w14:paraId="3DDC807D" w14:textId="77777777" w:rsidR="00023009" w:rsidRPr="00C451AF" w:rsidRDefault="00023009" w:rsidP="00023009">
      <w:pPr>
        <w:pStyle w:val="NormalIndent"/>
        <w:ind w:firstLine="567"/>
        <w:rPr>
          <w:rFonts w:ascii="Arial Narrow" w:hAnsi="Arial Narrow"/>
          <w:sz w:val="22"/>
          <w:lang w:val="en-ID"/>
        </w:rPr>
      </w:pPr>
      <w:r w:rsidRPr="00C451AF">
        <w:rPr>
          <w:rFonts w:ascii="Arial Narrow" w:hAnsi="Arial Narrow"/>
          <w:sz w:val="22"/>
          <w:lang w:val="en-ID"/>
        </w:rPr>
        <w:t>Information:</w:t>
      </w:r>
    </w:p>
    <w:p w14:paraId="4F3A1E17"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R</m:t>
            </m:r>
          </m:e>
          <m:sub>
            <m:r>
              <w:rPr>
                <w:rFonts w:ascii="Cambria Math" w:hAnsi="Cambria Math"/>
                <w:sz w:val="22"/>
                <w:lang w:val="en-ID"/>
              </w:rPr>
              <m:t xml:space="preserve">it </m:t>
            </m:r>
          </m:sub>
        </m:sSub>
        <m:r>
          <w:rPr>
            <w:rFonts w:ascii="Cambria Math" w:hAnsi="Cambria Math"/>
            <w:sz w:val="22"/>
            <w:lang w:val="en-ID"/>
          </w:rPr>
          <m:t xml:space="preserve">    </m:t>
        </m:r>
      </m:oMath>
      <w:r w:rsidR="00023009" w:rsidRPr="00C451AF">
        <w:rPr>
          <w:rFonts w:ascii="Arial Narrow" w:hAnsi="Arial Narrow"/>
          <w:sz w:val="22"/>
          <w:lang w:val="en-ID"/>
        </w:rPr>
        <w:t>= The actual return occurs for the i-th security</w:t>
      </w:r>
    </w:p>
    <w:p w14:paraId="03A13AAA"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P</m:t>
            </m:r>
          </m:e>
          <m:sub>
            <m:r>
              <w:rPr>
                <w:rFonts w:ascii="Cambria Math" w:hAnsi="Cambria Math"/>
                <w:sz w:val="22"/>
                <w:lang w:val="en-ID"/>
              </w:rPr>
              <m:t>it</m:t>
            </m:r>
          </m:sub>
        </m:sSub>
      </m:oMath>
      <w:r w:rsidR="00023009" w:rsidRPr="00C451AF">
        <w:rPr>
          <w:rFonts w:ascii="Arial Narrow" w:hAnsi="Arial Narrow"/>
          <w:sz w:val="22"/>
          <w:lang w:val="en-ID"/>
        </w:rPr>
        <w:t xml:space="preserve">     = Current price</w:t>
      </w:r>
    </w:p>
    <w:p w14:paraId="5B544B39"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P</m:t>
            </m:r>
          </m:e>
          <m:sub>
            <m:r>
              <w:rPr>
                <w:rFonts w:ascii="Cambria Math" w:hAnsi="Cambria Math"/>
                <w:sz w:val="22"/>
                <w:lang w:val="en-ID"/>
              </w:rPr>
              <m:t>it-1</m:t>
            </m:r>
          </m:sub>
        </m:sSub>
      </m:oMath>
      <w:r w:rsidR="00023009" w:rsidRPr="00C451AF">
        <w:rPr>
          <w:rFonts w:ascii="Arial Narrow" w:hAnsi="Arial Narrow"/>
          <w:sz w:val="22"/>
          <w:lang w:val="en-ID"/>
        </w:rPr>
        <w:t>= Previous price</w:t>
      </w:r>
    </w:p>
    <w:p w14:paraId="4BD69DC7" w14:textId="77777777" w:rsidR="00023009" w:rsidRDefault="00023009" w:rsidP="005563FC">
      <w:pPr>
        <w:pStyle w:val="NormalIndent"/>
        <w:numPr>
          <w:ilvl w:val="0"/>
          <w:numId w:val="41"/>
        </w:numPr>
        <w:ind w:left="284" w:hanging="284"/>
        <w:rPr>
          <w:rFonts w:ascii="Arial Narrow" w:hAnsi="Arial Narrow"/>
          <w:sz w:val="22"/>
          <w:lang w:val="en-ID"/>
        </w:rPr>
      </w:pPr>
      <w:r w:rsidRPr="00C451AF">
        <w:rPr>
          <w:rFonts w:ascii="Arial Narrow" w:hAnsi="Arial Narrow"/>
          <w:sz w:val="22"/>
          <w:lang w:val="en-ID"/>
        </w:rPr>
        <w:t>Calculating abnormal returns:</w:t>
      </w:r>
    </w:p>
    <w:p w14:paraId="036FAD7E" w14:textId="77777777" w:rsidR="000C49FC" w:rsidRPr="000C49FC" w:rsidRDefault="00000000" w:rsidP="000C49FC">
      <w:pPr>
        <w:pStyle w:val="NormalIndent"/>
        <w:ind w:left="720" w:firstLine="0"/>
        <w:rPr>
          <w:rFonts w:ascii="Arial Narrow" w:hAnsi="Arial Narrow"/>
          <w:lang w:val="id-ID"/>
        </w:rPr>
      </w:pPr>
      <m:oMathPara>
        <m:oMath>
          <m:sSub>
            <m:sSubPr>
              <m:ctrlPr>
                <w:rPr>
                  <w:rFonts w:ascii="Cambria Math" w:hAnsi="Cambria Math"/>
                  <w:i/>
                  <w:lang w:val="id-ID"/>
                </w:rPr>
              </m:ctrlPr>
            </m:sSubPr>
            <m:e>
              <m:r>
                <w:rPr>
                  <w:rFonts w:ascii="Cambria Math" w:hAnsi="Cambria Math"/>
                  <w:lang w:val="id-ID"/>
                </w:rPr>
                <m:t>AR</m:t>
              </m:r>
            </m:e>
            <m:sub>
              <m:r>
                <w:rPr>
                  <w:rFonts w:ascii="Cambria Math" w:hAnsi="Cambria Math"/>
                  <w:lang w:val="id-ID"/>
                </w:rPr>
                <m:t>it</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it</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E</m:t>
              </m:r>
            </m:e>
            <m:sub>
              <m:r>
                <w:rPr>
                  <w:rFonts w:ascii="Cambria Math" w:hAnsi="Cambria Math"/>
                  <w:lang w:val="id-ID"/>
                </w:rPr>
                <m:t>rt</m:t>
              </m:r>
            </m:sub>
          </m:sSub>
        </m:oMath>
      </m:oMathPara>
    </w:p>
    <w:p w14:paraId="6E5F7836" w14:textId="77777777" w:rsidR="000C49FC" w:rsidRPr="000C49FC" w:rsidRDefault="000C49FC" w:rsidP="000C49FC">
      <w:pPr>
        <w:pStyle w:val="NormalIndent"/>
        <w:ind w:left="720" w:firstLine="0"/>
        <w:rPr>
          <w:rFonts w:ascii="Arial Narrow" w:hAnsi="Arial Narrow"/>
          <w:lang w:val="id-ID"/>
        </w:rPr>
      </w:pPr>
    </w:p>
    <w:p w14:paraId="5F93ADB8" w14:textId="77777777" w:rsidR="000C49FC" w:rsidRPr="000C49FC" w:rsidRDefault="000C49FC" w:rsidP="000C49FC">
      <w:pPr>
        <w:pStyle w:val="NormalIndent"/>
        <w:ind w:left="720" w:firstLine="0"/>
        <w:rPr>
          <w:rFonts w:ascii="Arial Narrow" w:hAnsi="Arial Narrow"/>
          <w:lang w:val="id-ID"/>
        </w:rPr>
      </w:pPr>
    </w:p>
    <w:p w14:paraId="3F7C60A8" w14:textId="77777777" w:rsidR="000C49FC" w:rsidRPr="00C451AF" w:rsidRDefault="00000000" w:rsidP="000C49FC">
      <w:pPr>
        <w:pStyle w:val="NormalIndent"/>
        <w:ind w:left="720" w:firstLine="0"/>
        <w:rPr>
          <w:rFonts w:ascii="Arial Narrow" w:hAnsi="Arial Narrow"/>
          <w:sz w:val="22"/>
          <w:lang w:val="en-ID"/>
        </w:rPr>
      </w:pPr>
      <m:oMathPara>
        <m:oMath>
          <m:sSub>
            <m:sSubPr>
              <m:ctrlPr>
                <w:rPr>
                  <w:rFonts w:ascii="Cambria Math" w:hAnsi="Cambria Math"/>
                  <w:i/>
                  <w:lang w:val="id-ID"/>
                </w:rPr>
              </m:ctrlPr>
            </m:sSubPr>
            <m:e>
              <m:r>
                <w:rPr>
                  <w:rFonts w:ascii="Cambria Math" w:hAnsi="Cambria Math"/>
                  <w:lang w:val="id-ID"/>
                </w:rPr>
                <m:t>E</m:t>
              </m:r>
            </m:e>
            <m:sub>
              <m:r>
                <w:rPr>
                  <w:rFonts w:ascii="Cambria Math" w:hAnsi="Cambria Math"/>
                  <w:lang w:val="id-ID"/>
                </w:rPr>
                <m:t>rt</m:t>
              </m:r>
            </m:sub>
          </m:sSub>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IHSG</m:t>
                  </m:r>
                </m:e>
                <m:sub>
                  <m:r>
                    <w:rPr>
                      <w:rFonts w:ascii="Cambria Math" w:hAnsi="Cambria Math"/>
                      <w:lang w:val="id-ID"/>
                    </w:rPr>
                    <m:t>t</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IHSG</m:t>
                  </m:r>
                </m:e>
                <m:sub>
                  <m:r>
                    <w:rPr>
                      <w:rFonts w:ascii="Cambria Math" w:hAnsi="Cambria Math"/>
                      <w:lang w:val="id-ID"/>
                    </w:rPr>
                    <m:t>t-1</m:t>
                  </m:r>
                </m:sub>
              </m:sSub>
            </m:num>
            <m:den>
              <m:sSub>
                <m:sSubPr>
                  <m:ctrlPr>
                    <w:rPr>
                      <w:rFonts w:ascii="Cambria Math" w:hAnsi="Cambria Math"/>
                      <w:i/>
                      <w:lang w:val="id-ID"/>
                    </w:rPr>
                  </m:ctrlPr>
                </m:sSubPr>
                <m:e>
                  <m:r>
                    <w:rPr>
                      <w:rFonts w:ascii="Cambria Math" w:hAnsi="Cambria Math"/>
                      <w:lang w:val="id-ID"/>
                    </w:rPr>
                    <m:t>IHSG</m:t>
                  </m:r>
                </m:e>
                <m:sub>
                  <m:r>
                    <w:rPr>
                      <w:rFonts w:ascii="Cambria Math" w:hAnsi="Cambria Math"/>
                      <w:lang w:val="id-ID"/>
                    </w:rPr>
                    <m:t>t-1</m:t>
                  </m:r>
                </m:sub>
              </m:sSub>
            </m:den>
          </m:f>
        </m:oMath>
      </m:oMathPara>
    </w:p>
    <w:p w14:paraId="2194EDB1" w14:textId="77777777" w:rsidR="00023009" w:rsidRPr="00C451AF" w:rsidRDefault="00023009" w:rsidP="00023009">
      <w:pPr>
        <w:pStyle w:val="NormalIndent"/>
        <w:ind w:firstLine="567"/>
        <w:rPr>
          <w:rFonts w:ascii="Arial Narrow" w:hAnsi="Arial Narrow"/>
          <w:sz w:val="22"/>
          <w:lang w:val="en-ID"/>
        </w:rPr>
      </w:pPr>
    </w:p>
    <w:p w14:paraId="696F5EEA" w14:textId="77777777" w:rsidR="00023009" w:rsidRPr="00C451AF" w:rsidRDefault="00023009" w:rsidP="00023009">
      <w:pPr>
        <w:pStyle w:val="NormalIndent"/>
        <w:ind w:firstLine="567"/>
        <w:rPr>
          <w:rFonts w:ascii="Arial Narrow" w:hAnsi="Arial Narrow"/>
          <w:sz w:val="22"/>
          <w:lang w:val="en-ID"/>
        </w:rPr>
      </w:pPr>
      <w:r w:rsidRPr="00C451AF">
        <w:rPr>
          <w:rFonts w:ascii="Arial Narrow" w:hAnsi="Arial Narrow"/>
          <w:sz w:val="22"/>
          <w:lang w:val="en-ID"/>
        </w:rPr>
        <w:t>Information:</w:t>
      </w:r>
    </w:p>
    <w:p w14:paraId="70991903"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R</m:t>
            </m:r>
          </m:e>
          <m:sub>
            <m:r>
              <w:rPr>
                <w:rFonts w:ascii="Cambria Math" w:hAnsi="Cambria Math"/>
                <w:sz w:val="22"/>
                <w:lang w:val="en-ID"/>
              </w:rPr>
              <m:t>it</m:t>
            </m:r>
          </m:sub>
        </m:sSub>
      </m:oMath>
      <w:r w:rsidR="00023009" w:rsidRPr="00C451AF">
        <w:rPr>
          <w:rFonts w:ascii="Arial Narrow" w:hAnsi="Arial Narrow"/>
          <w:sz w:val="22"/>
          <w:lang w:val="en-ID"/>
        </w:rPr>
        <w:t xml:space="preserve">           = Abnormal stock returns</w:t>
      </w:r>
    </w:p>
    <w:p w14:paraId="3C617868"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E</m:t>
            </m:r>
          </m:e>
          <m:sub>
            <m:r>
              <w:rPr>
                <w:rFonts w:ascii="Cambria Math" w:hAnsi="Cambria Math"/>
                <w:sz w:val="22"/>
                <w:lang w:val="en-ID"/>
              </w:rPr>
              <m:t>rt</m:t>
            </m:r>
          </m:sub>
        </m:sSub>
      </m:oMath>
      <w:r w:rsidR="00023009" w:rsidRPr="00C451AF">
        <w:rPr>
          <w:rFonts w:ascii="Arial Narrow" w:hAnsi="Arial Narrow"/>
          <w:sz w:val="22"/>
          <w:lang w:val="en-ID"/>
        </w:rPr>
        <w:t xml:space="preserve">           = Expected Return of shares</w:t>
      </w:r>
    </w:p>
    <w:p w14:paraId="0255126A"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IHSG</m:t>
            </m:r>
          </m:e>
          <m:sub>
            <m:r>
              <w:rPr>
                <w:rFonts w:ascii="Cambria Math" w:hAnsi="Cambria Math"/>
                <w:sz w:val="22"/>
                <w:lang w:val="en-ID"/>
              </w:rPr>
              <m:t>t</m:t>
            </m:r>
          </m:sub>
        </m:sSub>
      </m:oMath>
      <w:r w:rsidR="00023009" w:rsidRPr="00C451AF">
        <w:rPr>
          <w:rFonts w:ascii="Arial Narrow" w:hAnsi="Arial Narrow"/>
          <w:sz w:val="22"/>
          <w:lang w:val="en-ID"/>
        </w:rPr>
        <w:t xml:space="preserve">     = Composite stock price index in period t</w:t>
      </w:r>
    </w:p>
    <w:p w14:paraId="14B01DD0"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IHSG</m:t>
            </m:r>
          </m:e>
          <m:sub>
            <m:r>
              <w:rPr>
                <w:rFonts w:ascii="Cambria Math" w:hAnsi="Cambria Math"/>
                <w:sz w:val="22"/>
                <w:lang w:val="en-ID"/>
              </w:rPr>
              <m:t>t-1</m:t>
            </m:r>
          </m:sub>
        </m:sSub>
      </m:oMath>
      <w:r w:rsidR="00023009" w:rsidRPr="00C451AF">
        <w:rPr>
          <w:rFonts w:ascii="Arial Narrow" w:hAnsi="Arial Narrow"/>
          <w:sz w:val="22"/>
          <w:lang w:val="en-ID"/>
        </w:rPr>
        <w:t>= Composite stock price index in period t-1</w:t>
      </w:r>
    </w:p>
    <w:p w14:paraId="43747BF9" w14:textId="77777777" w:rsidR="00023009" w:rsidRDefault="00023009" w:rsidP="005563FC">
      <w:pPr>
        <w:pStyle w:val="NormalIndent"/>
        <w:numPr>
          <w:ilvl w:val="0"/>
          <w:numId w:val="41"/>
        </w:numPr>
        <w:ind w:left="284" w:hanging="284"/>
        <w:rPr>
          <w:rFonts w:ascii="Arial Narrow" w:hAnsi="Arial Narrow"/>
          <w:sz w:val="22"/>
          <w:lang w:val="en-ID"/>
        </w:rPr>
      </w:pPr>
      <w:r w:rsidRPr="00C451AF">
        <w:rPr>
          <w:rFonts w:ascii="Arial Narrow" w:hAnsi="Arial Narrow"/>
          <w:sz w:val="22"/>
          <w:lang w:val="en-ID"/>
        </w:rPr>
        <w:t>Calculating cumulative abnormal return (CAR)</w:t>
      </w:r>
    </w:p>
    <w:p w14:paraId="66C4CDE8" w14:textId="77777777" w:rsidR="00361FCF" w:rsidRPr="00C451AF" w:rsidRDefault="00000000" w:rsidP="00361FCF">
      <w:pPr>
        <w:pStyle w:val="NormalIndent"/>
        <w:ind w:left="720" w:firstLine="0"/>
        <w:rPr>
          <w:rFonts w:ascii="Arial Narrow" w:hAnsi="Arial Narrow"/>
          <w:sz w:val="22"/>
          <w:lang w:val="en-ID"/>
        </w:rPr>
      </w:pPr>
      <m:oMathPara>
        <m:oMath>
          <m:sSub>
            <m:sSubPr>
              <m:ctrlPr>
                <w:rPr>
                  <w:rFonts w:ascii="Cambria Math" w:hAnsi="Cambria Math"/>
                  <w:i/>
                  <w:lang w:val="id-ID"/>
                </w:rPr>
              </m:ctrlPr>
            </m:sSubPr>
            <m:e>
              <m:r>
                <w:rPr>
                  <w:rFonts w:ascii="Cambria Math" w:hAnsi="Cambria Math"/>
                  <w:lang w:val="id-ID"/>
                </w:rPr>
                <m:t>CAR</m:t>
              </m:r>
            </m:e>
            <m:sub>
              <m:r>
                <w:rPr>
                  <w:rFonts w:ascii="Cambria Math" w:hAnsi="Cambria Math"/>
                  <w:lang w:val="id-ID"/>
                </w:rPr>
                <m:t>i,t</m:t>
              </m:r>
            </m:sub>
          </m:sSub>
          <m:r>
            <w:rPr>
              <w:rFonts w:ascii="Cambria Math" w:hAnsi="Cambria Math"/>
              <w:lang w:val="id-ID"/>
            </w:rPr>
            <m:t xml:space="preserve">= </m:t>
          </m:r>
          <m:nary>
            <m:naryPr>
              <m:chr m:val="∑"/>
              <m:limLoc m:val="undOvr"/>
              <m:ctrlPr>
                <w:rPr>
                  <w:rFonts w:ascii="Cambria Math" w:hAnsi="Cambria Math"/>
                  <w:i/>
                  <w:lang w:val="id-ID"/>
                </w:rPr>
              </m:ctrlPr>
            </m:naryPr>
            <m:sub>
              <m:r>
                <w:rPr>
                  <w:rFonts w:ascii="Cambria Math" w:hAnsi="Cambria Math"/>
                  <w:lang w:val="id-ID"/>
                </w:rPr>
                <m:t>t= -30</m:t>
              </m:r>
            </m:sub>
            <m:sup>
              <m:r>
                <w:rPr>
                  <w:rFonts w:ascii="Cambria Math" w:hAnsi="Cambria Math"/>
                  <w:lang w:val="id-ID"/>
                </w:rPr>
                <m:t>t=+30</m:t>
              </m:r>
            </m:sup>
            <m:e>
              <m:sSub>
                <m:sSubPr>
                  <m:ctrlPr>
                    <w:rPr>
                      <w:rFonts w:ascii="Cambria Math" w:hAnsi="Cambria Math"/>
                      <w:i/>
                      <w:lang w:val="id-ID"/>
                    </w:rPr>
                  </m:ctrlPr>
                </m:sSubPr>
                <m:e>
                  <m:r>
                    <w:rPr>
                      <w:rFonts w:ascii="Cambria Math" w:hAnsi="Cambria Math"/>
                      <w:lang w:val="id-ID"/>
                    </w:rPr>
                    <m:t>AR</m:t>
                  </m:r>
                </m:e>
                <m:sub>
                  <m:r>
                    <w:rPr>
                      <w:rFonts w:ascii="Cambria Math" w:hAnsi="Cambria Math"/>
                      <w:lang w:val="id-ID"/>
                    </w:rPr>
                    <m:t>it</m:t>
                  </m:r>
                </m:sub>
              </m:sSub>
            </m:e>
          </m:nary>
        </m:oMath>
      </m:oMathPara>
    </w:p>
    <w:p w14:paraId="271C1DF1" w14:textId="77777777" w:rsidR="00023009" w:rsidRPr="00C451AF" w:rsidRDefault="00023009" w:rsidP="00023009">
      <w:pPr>
        <w:pStyle w:val="NormalIndent"/>
        <w:ind w:firstLine="567"/>
        <w:rPr>
          <w:rFonts w:ascii="Arial Narrow" w:hAnsi="Arial Narrow"/>
          <w:sz w:val="22"/>
          <w:lang w:val="en-ID"/>
        </w:rPr>
      </w:pPr>
      <w:r w:rsidRPr="00C451AF">
        <w:rPr>
          <w:rFonts w:ascii="Arial Narrow" w:hAnsi="Arial Narrow"/>
          <w:sz w:val="22"/>
          <w:lang w:val="en-ID"/>
        </w:rPr>
        <w:t>Information:</w:t>
      </w:r>
    </w:p>
    <w:p w14:paraId="7CB56629"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CAR</m:t>
            </m:r>
          </m:e>
          <m:sub>
            <m:r>
              <w:rPr>
                <w:rFonts w:ascii="Cambria Math" w:hAnsi="Cambria Math"/>
                <w:sz w:val="22"/>
                <w:lang w:val="en-ID"/>
              </w:rPr>
              <m:t>i,t</m:t>
            </m:r>
          </m:sub>
        </m:sSub>
      </m:oMath>
      <w:r w:rsidR="00023009" w:rsidRPr="00C451AF">
        <w:rPr>
          <w:rFonts w:ascii="Arial Narrow" w:hAnsi="Arial Narrow"/>
          <w:sz w:val="22"/>
          <w:lang w:val="en-ID"/>
        </w:rPr>
        <w:t>= Accumulated abnormal return of stock i</w:t>
      </w:r>
    </w:p>
    <w:p w14:paraId="561D3B43" w14:textId="77777777" w:rsidR="00023009" w:rsidRPr="00C451AF" w:rsidRDefault="00000000" w:rsidP="00023009">
      <w:pPr>
        <w:pStyle w:val="NormalIndent"/>
        <w:ind w:firstLine="567"/>
        <w:rPr>
          <w:rFonts w:ascii="Arial Narrow" w:hAnsi="Arial Narrow"/>
          <w:sz w:val="22"/>
          <w:lang w:val="en-ID"/>
        </w:rPr>
      </w:pPr>
      <m:oMath>
        <m:sSub>
          <m:sSubPr>
            <m:ctrlPr>
              <w:rPr>
                <w:rFonts w:ascii="Cambria Math" w:hAnsi="Cambria Math"/>
                <w:i/>
                <w:sz w:val="22"/>
                <w:lang w:val="en-ID"/>
              </w:rPr>
            </m:ctrlPr>
          </m:sSubPr>
          <m:e>
            <m:r>
              <w:rPr>
                <w:rFonts w:ascii="Cambria Math" w:hAnsi="Cambria Math"/>
                <w:sz w:val="22"/>
                <w:lang w:val="en-ID"/>
              </w:rPr>
              <m:t>AR</m:t>
            </m:r>
          </m:e>
          <m:sub>
            <m:r>
              <w:rPr>
                <w:rFonts w:ascii="Cambria Math" w:hAnsi="Cambria Math"/>
                <w:sz w:val="22"/>
                <w:lang w:val="en-ID"/>
              </w:rPr>
              <m:t>it</m:t>
            </m:r>
          </m:sub>
        </m:sSub>
      </m:oMath>
      <w:r w:rsidR="00023009" w:rsidRPr="00C451AF">
        <w:rPr>
          <w:rFonts w:ascii="Arial Narrow" w:hAnsi="Arial Narrow"/>
          <w:sz w:val="22"/>
          <w:lang w:val="en-ID"/>
        </w:rPr>
        <w:t xml:space="preserve">    = Abnormal return of stock i</w:t>
      </w:r>
    </w:p>
    <w:p w14:paraId="3A7769A8" w14:textId="77777777" w:rsidR="00023009" w:rsidRPr="00C451AF" w:rsidRDefault="00023009" w:rsidP="00023009">
      <w:pPr>
        <w:pStyle w:val="NormalIndent"/>
        <w:ind w:firstLine="567"/>
        <w:rPr>
          <w:rFonts w:ascii="Arial Narrow" w:hAnsi="Arial Narrow"/>
          <w:sz w:val="22"/>
          <w:lang w:val="en-ID"/>
        </w:rPr>
      </w:pPr>
    </w:p>
    <w:p w14:paraId="121D3697" w14:textId="77777777" w:rsidR="00361FCF" w:rsidRDefault="00023009" w:rsidP="00361FCF">
      <w:pPr>
        <w:pStyle w:val="NormalIndent"/>
        <w:ind w:firstLine="567"/>
        <w:rPr>
          <w:rFonts w:ascii="Arial Narrow" w:hAnsi="Arial Narrow"/>
          <w:sz w:val="22"/>
          <w:lang w:val="en-ID"/>
        </w:rPr>
      </w:pPr>
      <w:r w:rsidRPr="00C451AF">
        <w:rPr>
          <w:rFonts w:ascii="Arial Narrow" w:hAnsi="Arial Narrow"/>
          <w:sz w:val="22"/>
          <w:lang w:val="en-ID"/>
        </w:rPr>
        <w:t>Media coverage as a moderating variable in this study is measured by the company's news coverage in the media such as online magazines. Given a score of 1 if there is media coverage and 0 if not. Profitability in this study is measured using the ROA ratio. Here is the formula for ROA:</w:t>
      </w:r>
    </w:p>
    <w:p w14:paraId="05C3E932" w14:textId="77777777" w:rsidR="00361FCF" w:rsidRDefault="00361FCF" w:rsidP="00361FCF">
      <w:pPr>
        <w:pStyle w:val="NormalIndent"/>
        <w:ind w:firstLine="567"/>
        <w:rPr>
          <w:rFonts w:ascii="Arial Narrow" w:hAnsi="Arial Narrow"/>
          <w:sz w:val="22"/>
          <w:lang w:val="en-ID"/>
        </w:rPr>
      </w:pPr>
    </w:p>
    <w:p w14:paraId="47D5C854" w14:textId="77777777" w:rsidR="00361FCF" w:rsidRPr="00C451AF" w:rsidRDefault="00361FCF" w:rsidP="00023009">
      <w:pPr>
        <w:pStyle w:val="NormalIndent"/>
        <w:ind w:firstLine="567"/>
        <w:rPr>
          <w:rFonts w:ascii="Arial Narrow" w:hAnsi="Arial Narrow"/>
          <w:sz w:val="22"/>
          <w:lang w:val="en-ID"/>
        </w:rPr>
      </w:pPr>
      <m:oMathPara>
        <m:oMath>
          <m:r>
            <w:rPr>
              <w:rFonts w:ascii="Cambria Math" w:hAnsi="Cambria Math"/>
              <w:lang w:val="id-ID"/>
            </w:rPr>
            <m:t xml:space="preserve">Return on Asset </m:t>
          </m:r>
          <m:d>
            <m:dPr>
              <m:ctrlPr>
                <w:rPr>
                  <w:rFonts w:ascii="Cambria Math" w:hAnsi="Cambria Math"/>
                  <w:i/>
                  <w:lang w:val="id-ID"/>
                </w:rPr>
              </m:ctrlPr>
            </m:dPr>
            <m:e>
              <m:r>
                <w:rPr>
                  <w:rFonts w:ascii="Cambria Math" w:hAnsi="Cambria Math"/>
                  <w:lang w:val="id-ID"/>
                </w:rPr>
                <m:t>ROA</m:t>
              </m:r>
            </m:e>
          </m:d>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Earning after Tax</m:t>
              </m:r>
            </m:num>
            <m:den>
              <m:r>
                <w:rPr>
                  <w:rFonts w:ascii="Cambria Math" w:hAnsi="Cambria Math"/>
                  <w:lang w:val="id-ID"/>
                </w:rPr>
                <m:t>Total Assets</m:t>
              </m:r>
            </m:den>
          </m:f>
        </m:oMath>
      </m:oMathPara>
    </w:p>
    <w:p w14:paraId="6F731BF3" w14:textId="77777777" w:rsidR="000D76CA" w:rsidRPr="00C451AF" w:rsidRDefault="000D76CA">
      <w:pPr>
        <w:pStyle w:val="NormalIndent"/>
        <w:ind w:firstLine="567"/>
        <w:rPr>
          <w:rFonts w:ascii="Arial Narrow" w:hAnsi="Arial Narrow"/>
        </w:rPr>
      </w:pPr>
    </w:p>
    <w:p w14:paraId="2E042686" w14:textId="77777777" w:rsidR="000D76CA" w:rsidRDefault="00995B4E" w:rsidP="00995B4E">
      <w:pPr>
        <w:pStyle w:val="BodyText3"/>
        <w:rPr>
          <w:rFonts w:ascii="Arial Narrow" w:hAnsi="Arial Narrow"/>
          <w:sz w:val="20"/>
          <w:szCs w:val="20"/>
        </w:rPr>
      </w:pPr>
      <w:r>
        <w:rPr>
          <w:rFonts w:ascii="Arial Narrow" w:hAnsi="Arial Narrow"/>
          <w:sz w:val="20"/>
          <w:szCs w:val="20"/>
        </w:rPr>
        <w:t>Meanwhile, Company Size in this study uses the company's Total Assets, the following is the company size formula:</w:t>
      </w:r>
    </w:p>
    <w:p w14:paraId="7046B639" w14:textId="77777777" w:rsidR="00995B4E" w:rsidRPr="00C451AF" w:rsidRDefault="00995B4E">
      <w:pPr>
        <w:pStyle w:val="BodyText3"/>
        <w:jc w:val="left"/>
        <w:rPr>
          <w:rFonts w:ascii="Arial Narrow" w:hAnsi="Arial Narrow"/>
          <w:sz w:val="20"/>
          <w:szCs w:val="20"/>
        </w:rPr>
      </w:pPr>
      <m:oMathPara>
        <m:oMath>
          <m:r>
            <w:rPr>
              <w:rFonts w:ascii="Cambria Math" w:hAnsi="Cambria Math"/>
              <w:sz w:val="20"/>
              <w:szCs w:val="20"/>
            </w:rPr>
            <m:t>Size=Ln Total Aset</m:t>
          </m:r>
        </m:oMath>
      </m:oMathPara>
    </w:p>
    <w:p w14:paraId="33732300" w14:textId="188BA016" w:rsidR="00F9700D" w:rsidRDefault="00090EB7" w:rsidP="00F9700D">
      <w:pPr>
        <w:pStyle w:val="ListParagraph"/>
        <w:numPr>
          <w:ilvl w:val="0"/>
          <w:numId w:val="21"/>
        </w:numPr>
        <w:spacing w:before="120" w:after="120"/>
        <w:ind w:left="284" w:hanging="284"/>
        <w:rPr>
          <w:rFonts w:ascii="Arial Narrow" w:hAnsi="Arial Narrow"/>
          <w:b/>
          <w:bCs/>
          <w:color w:val="0070C0"/>
          <w:sz w:val="22"/>
          <w:szCs w:val="22"/>
          <w:lang w:val="en-US" w:eastAsia="ar-SA"/>
        </w:rPr>
      </w:pPr>
      <w:r>
        <w:rPr>
          <w:rFonts w:ascii="Arial Narrow" w:hAnsi="Arial Narrow"/>
          <w:b/>
          <w:bCs/>
          <w:color w:val="4472C4" w:themeColor="accent1"/>
          <w:sz w:val="22"/>
          <w:szCs w:val="22"/>
        </w:rPr>
        <w:t>Results and</w:t>
      </w:r>
      <w:r w:rsidR="001932E1">
        <w:rPr>
          <w:rFonts w:ascii="Arial Narrow" w:hAnsi="Arial Narrow"/>
          <w:b/>
          <w:bCs/>
          <w:color w:val="4472C4" w:themeColor="accent1"/>
          <w:sz w:val="22"/>
          <w:szCs w:val="22"/>
        </w:rPr>
        <w:t xml:space="preserve"> </w:t>
      </w:r>
      <w:r w:rsidRPr="00F9700D">
        <w:rPr>
          <w:rFonts w:ascii="Arial Narrow" w:hAnsi="Arial Narrow"/>
          <w:b/>
          <w:bCs/>
          <w:color w:val="0070C0"/>
          <w:sz w:val="22"/>
          <w:szCs w:val="22"/>
          <w:lang w:val="en-US" w:eastAsia="ar-SA"/>
        </w:rPr>
        <w:t>Discussion</w:t>
      </w:r>
    </w:p>
    <w:p w14:paraId="631277A9" w14:textId="77777777" w:rsidR="00614F02" w:rsidRPr="00F9700D" w:rsidRDefault="00614F02" w:rsidP="00F9700D">
      <w:pPr>
        <w:pStyle w:val="ListParagraph"/>
        <w:spacing w:before="120" w:after="120"/>
        <w:ind w:left="0"/>
        <w:rPr>
          <w:rFonts w:ascii="Arial Narrow" w:hAnsi="Arial Narrow"/>
          <w:sz w:val="22"/>
          <w:szCs w:val="22"/>
          <w:lang w:val="en-US" w:eastAsia="ar-SA"/>
        </w:rPr>
      </w:pPr>
      <w:r w:rsidRPr="00F9700D">
        <w:rPr>
          <w:rFonts w:ascii="Arial Narrow" w:hAnsi="Arial Narrow"/>
          <w:sz w:val="22"/>
          <w:szCs w:val="22"/>
          <w:lang w:val="en-US" w:eastAsia="ar-SA"/>
        </w:rPr>
        <w:t>Descriptive Statistics</w:t>
      </w:r>
    </w:p>
    <w:p w14:paraId="5685853B" w14:textId="77777777" w:rsidR="004014EC" w:rsidRPr="009E36F3" w:rsidRDefault="00614F02" w:rsidP="009E36F3">
      <w:pPr>
        <w:pStyle w:val="BodyTextIndent"/>
        <w:ind w:firstLine="0"/>
        <w:jc w:val="center"/>
        <w:rPr>
          <w:rFonts w:ascii="Arial Narrow" w:hAnsi="Arial Narrow"/>
          <w:b/>
          <w:bCs/>
          <w:lang w:val="id-ID"/>
        </w:rPr>
      </w:pPr>
      <w:r w:rsidRPr="009E36F3">
        <w:rPr>
          <w:rFonts w:ascii="Arial Narrow" w:hAnsi="Arial Narrow"/>
          <w:b/>
          <w:bCs/>
          <w:lang w:val="id-ID"/>
        </w:rPr>
        <w:t>Table 2. Descriptive Statistics</w:t>
      </w:r>
    </w:p>
    <w:tbl>
      <w:tblPr>
        <w:tblStyle w:val="TableGrid"/>
        <w:tblW w:w="0" w:type="auto"/>
        <w:jc w:val="center"/>
        <w:tblLook w:val="0000" w:firstRow="0" w:lastRow="0" w:firstColumn="0" w:lastColumn="0" w:noHBand="0" w:noVBand="0"/>
      </w:tblPr>
      <w:tblGrid>
        <w:gridCol w:w="1594"/>
        <w:gridCol w:w="381"/>
        <w:gridCol w:w="815"/>
        <w:gridCol w:w="856"/>
        <w:gridCol w:w="750"/>
        <w:gridCol w:w="1135"/>
      </w:tblGrid>
      <w:tr w:rsidR="004014EC" w:rsidRPr="009E36F3" w14:paraId="2D4B7B80" w14:textId="77777777" w:rsidTr="009E36F3">
        <w:trPr>
          <w:jc w:val="center"/>
        </w:trPr>
        <w:tc>
          <w:tcPr>
            <w:tcW w:w="0" w:type="auto"/>
          </w:tcPr>
          <w:p w14:paraId="5B55056B" w14:textId="77777777" w:rsidR="004014EC" w:rsidRPr="009E36F3" w:rsidRDefault="004014EC" w:rsidP="004014EC">
            <w:pPr>
              <w:pStyle w:val="BodyTextIndent"/>
              <w:ind w:right="-133" w:firstLine="567"/>
              <w:jc w:val="center"/>
              <w:rPr>
                <w:rFonts w:ascii="Arial Narrow" w:hAnsi="Arial Narrow"/>
                <w:sz w:val="18"/>
                <w:szCs w:val="18"/>
                <w:lang w:val="en-ID"/>
              </w:rPr>
            </w:pPr>
          </w:p>
        </w:tc>
        <w:tc>
          <w:tcPr>
            <w:tcW w:w="0" w:type="auto"/>
          </w:tcPr>
          <w:p w14:paraId="67BDC3AB"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N</w:t>
            </w:r>
          </w:p>
        </w:tc>
        <w:tc>
          <w:tcPr>
            <w:tcW w:w="0" w:type="auto"/>
          </w:tcPr>
          <w:p w14:paraId="7608633D"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Minimum</w:t>
            </w:r>
          </w:p>
        </w:tc>
        <w:tc>
          <w:tcPr>
            <w:tcW w:w="0" w:type="auto"/>
          </w:tcPr>
          <w:p w14:paraId="3AD41F7C"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Maximum</w:t>
            </w:r>
          </w:p>
        </w:tc>
        <w:tc>
          <w:tcPr>
            <w:tcW w:w="0" w:type="auto"/>
          </w:tcPr>
          <w:p w14:paraId="76C8A97E"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Mean</w:t>
            </w:r>
          </w:p>
        </w:tc>
        <w:tc>
          <w:tcPr>
            <w:tcW w:w="0" w:type="auto"/>
          </w:tcPr>
          <w:p w14:paraId="0B1B31A0"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Std. Deviation</w:t>
            </w:r>
          </w:p>
        </w:tc>
      </w:tr>
      <w:tr w:rsidR="004014EC" w:rsidRPr="009E36F3" w14:paraId="57B2DD1D" w14:textId="77777777" w:rsidTr="009E36F3">
        <w:trPr>
          <w:jc w:val="center"/>
        </w:trPr>
        <w:tc>
          <w:tcPr>
            <w:tcW w:w="0" w:type="auto"/>
          </w:tcPr>
          <w:p w14:paraId="43CDB611"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ROA</w:t>
            </w:r>
          </w:p>
        </w:tc>
        <w:tc>
          <w:tcPr>
            <w:tcW w:w="0" w:type="auto"/>
          </w:tcPr>
          <w:p w14:paraId="45CE787A"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42</w:t>
            </w:r>
          </w:p>
        </w:tc>
        <w:tc>
          <w:tcPr>
            <w:tcW w:w="0" w:type="auto"/>
          </w:tcPr>
          <w:p w14:paraId="1CF0B30B"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-.28</w:t>
            </w:r>
          </w:p>
        </w:tc>
        <w:tc>
          <w:tcPr>
            <w:tcW w:w="0" w:type="auto"/>
          </w:tcPr>
          <w:p w14:paraId="591174DA"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.60</w:t>
            </w:r>
          </w:p>
        </w:tc>
        <w:tc>
          <w:tcPr>
            <w:tcW w:w="0" w:type="auto"/>
          </w:tcPr>
          <w:p w14:paraId="0DBCB075"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.0552</w:t>
            </w:r>
          </w:p>
        </w:tc>
        <w:tc>
          <w:tcPr>
            <w:tcW w:w="0" w:type="auto"/>
          </w:tcPr>
          <w:p w14:paraId="1ACA2324"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.14494</w:t>
            </w:r>
          </w:p>
        </w:tc>
      </w:tr>
      <w:tr w:rsidR="004014EC" w:rsidRPr="009E36F3" w14:paraId="50BD4923" w14:textId="77777777" w:rsidTr="009E36F3">
        <w:trPr>
          <w:jc w:val="center"/>
        </w:trPr>
        <w:tc>
          <w:tcPr>
            <w:tcW w:w="0" w:type="auto"/>
          </w:tcPr>
          <w:p w14:paraId="03D994DB"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SIZE</w:t>
            </w:r>
          </w:p>
        </w:tc>
        <w:tc>
          <w:tcPr>
            <w:tcW w:w="0" w:type="auto"/>
          </w:tcPr>
          <w:p w14:paraId="4D303793"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42</w:t>
            </w:r>
          </w:p>
        </w:tc>
        <w:tc>
          <w:tcPr>
            <w:tcW w:w="0" w:type="auto"/>
          </w:tcPr>
          <w:p w14:paraId="4DD0EE13"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21.08</w:t>
            </w:r>
          </w:p>
        </w:tc>
        <w:tc>
          <w:tcPr>
            <w:tcW w:w="0" w:type="auto"/>
          </w:tcPr>
          <w:p w14:paraId="634A296A" w14:textId="77777777" w:rsidR="004014EC" w:rsidRPr="009E36F3" w:rsidRDefault="004014EC" w:rsidP="004014EC">
            <w:pPr>
              <w:pStyle w:val="BodyTextIndent"/>
              <w:ind w:right="-133" w:firstLine="0"/>
              <w:jc w:val="center"/>
              <w:rPr>
                <w:rFonts w:ascii="Arial Narrow" w:hAnsi="Arial Narrow"/>
                <w:b/>
                <w:bCs/>
                <w:sz w:val="18"/>
                <w:szCs w:val="18"/>
                <w:lang w:val="en-ID"/>
              </w:rPr>
            </w:pPr>
            <w:r w:rsidRPr="009E36F3">
              <w:rPr>
                <w:rFonts w:ascii="Arial Narrow" w:hAnsi="Arial Narrow"/>
                <w:b/>
                <w:bCs/>
                <w:sz w:val="18"/>
                <w:szCs w:val="18"/>
                <w:lang w:val="en-ID"/>
              </w:rPr>
              <w:t>32.26</w:t>
            </w:r>
          </w:p>
        </w:tc>
        <w:tc>
          <w:tcPr>
            <w:tcW w:w="0" w:type="auto"/>
          </w:tcPr>
          <w:p w14:paraId="2F23B188"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28.5996</w:t>
            </w:r>
          </w:p>
        </w:tc>
        <w:tc>
          <w:tcPr>
            <w:tcW w:w="0" w:type="auto"/>
          </w:tcPr>
          <w:p w14:paraId="075E8913" w14:textId="77777777" w:rsidR="004014EC" w:rsidRPr="009E36F3" w:rsidRDefault="004014EC" w:rsidP="004014EC">
            <w:pPr>
              <w:pStyle w:val="BodyTextIndent"/>
              <w:ind w:right="-133" w:firstLine="0"/>
              <w:jc w:val="center"/>
              <w:rPr>
                <w:rFonts w:ascii="Arial Narrow" w:hAnsi="Arial Narrow"/>
                <w:b/>
                <w:bCs/>
                <w:sz w:val="18"/>
                <w:szCs w:val="18"/>
                <w:lang w:val="en-ID"/>
              </w:rPr>
            </w:pPr>
            <w:r w:rsidRPr="009E36F3">
              <w:rPr>
                <w:rFonts w:ascii="Arial Narrow" w:hAnsi="Arial Narrow"/>
                <w:b/>
                <w:bCs/>
                <w:sz w:val="18"/>
                <w:szCs w:val="18"/>
                <w:lang w:val="en-ID"/>
              </w:rPr>
              <w:t>2.39509</w:t>
            </w:r>
          </w:p>
        </w:tc>
      </w:tr>
      <w:tr w:rsidR="004014EC" w:rsidRPr="009E36F3" w14:paraId="5E587BE5" w14:textId="77777777" w:rsidTr="009E36F3">
        <w:trPr>
          <w:jc w:val="center"/>
        </w:trPr>
        <w:tc>
          <w:tcPr>
            <w:tcW w:w="0" w:type="auto"/>
          </w:tcPr>
          <w:p w14:paraId="08AB9624"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CED</w:t>
            </w:r>
          </w:p>
        </w:tc>
        <w:tc>
          <w:tcPr>
            <w:tcW w:w="0" w:type="auto"/>
          </w:tcPr>
          <w:p w14:paraId="39AB8F10"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42</w:t>
            </w:r>
          </w:p>
        </w:tc>
        <w:tc>
          <w:tcPr>
            <w:tcW w:w="0" w:type="auto"/>
          </w:tcPr>
          <w:p w14:paraId="059C2432"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.16</w:t>
            </w:r>
          </w:p>
        </w:tc>
        <w:tc>
          <w:tcPr>
            <w:tcW w:w="0" w:type="auto"/>
          </w:tcPr>
          <w:p w14:paraId="52253B4D"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.72</w:t>
            </w:r>
          </w:p>
        </w:tc>
        <w:tc>
          <w:tcPr>
            <w:tcW w:w="0" w:type="auto"/>
          </w:tcPr>
          <w:p w14:paraId="7960C818"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.4878</w:t>
            </w:r>
          </w:p>
        </w:tc>
        <w:tc>
          <w:tcPr>
            <w:tcW w:w="0" w:type="auto"/>
          </w:tcPr>
          <w:p w14:paraId="10E939BB"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.14658</w:t>
            </w:r>
          </w:p>
        </w:tc>
      </w:tr>
      <w:tr w:rsidR="004014EC" w:rsidRPr="009E36F3" w14:paraId="313BB17A" w14:textId="77777777" w:rsidTr="009E36F3">
        <w:trPr>
          <w:jc w:val="center"/>
        </w:trPr>
        <w:tc>
          <w:tcPr>
            <w:tcW w:w="0" w:type="auto"/>
          </w:tcPr>
          <w:p w14:paraId="0395EC8B"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REACTION_INVEST</w:t>
            </w:r>
          </w:p>
        </w:tc>
        <w:tc>
          <w:tcPr>
            <w:tcW w:w="0" w:type="auto"/>
          </w:tcPr>
          <w:p w14:paraId="29A036A3"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42</w:t>
            </w:r>
          </w:p>
        </w:tc>
        <w:tc>
          <w:tcPr>
            <w:tcW w:w="0" w:type="auto"/>
          </w:tcPr>
          <w:p w14:paraId="025CD027"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-.45</w:t>
            </w:r>
          </w:p>
        </w:tc>
        <w:tc>
          <w:tcPr>
            <w:tcW w:w="0" w:type="auto"/>
          </w:tcPr>
          <w:p w14:paraId="3DAA1FD7"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.57</w:t>
            </w:r>
          </w:p>
        </w:tc>
        <w:tc>
          <w:tcPr>
            <w:tcW w:w="0" w:type="auto"/>
          </w:tcPr>
          <w:p w14:paraId="42945360"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.0634</w:t>
            </w:r>
          </w:p>
        </w:tc>
        <w:tc>
          <w:tcPr>
            <w:tcW w:w="0" w:type="auto"/>
          </w:tcPr>
          <w:p w14:paraId="4F4F534E"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.20654</w:t>
            </w:r>
          </w:p>
        </w:tc>
      </w:tr>
      <w:tr w:rsidR="004014EC" w:rsidRPr="009E36F3" w14:paraId="47414CCA" w14:textId="77777777" w:rsidTr="009E36F3">
        <w:trPr>
          <w:jc w:val="center"/>
        </w:trPr>
        <w:tc>
          <w:tcPr>
            <w:tcW w:w="0" w:type="auto"/>
          </w:tcPr>
          <w:p w14:paraId="5A145C80"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CED_LipMed</w:t>
            </w:r>
          </w:p>
        </w:tc>
        <w:tc>
          <w:tcPr>
            <w:tcW w:w="0" w:type="auto"/>
          </w:tcPr>
          <w:p w14:paraId="5A2D89C4"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42</w:t>
            </w:r>
          </w:p>
        </w:tc>
        <w:tc>
          <w:tcPr>
            <w:tcW w:w="0" w:type="auto"/>
          </w:tcPr>
          <w:p w14:paraId="200B1A4B" w14:textId="77777777" w:rsidR="004014EC" w:rsidRPr="009E36F3" w:rsidRDefault="004014EC" w:rsidP="004014EC">
            <w:pPr>
              <w:pStyle w:val="BodyTextIndent"/>
              <w:ind w:right="-133" w:firstLine="0"/>
              <w:jc w:val="center"/>
              <w:rPr>
                <w:rFonts w:ascii="Arial Narrow" w:hAnsi="Arial Narrow"/>
                <w:b/>
                <w:bCs/>
                <w:sz w:val="18"/>
                <w:szCs w:val="18"/>
                <w:lang w:val="en-ID"/>
              </w:rPr>
            </w:pPr>
            <w:r w:rsidRPr="009E36F3">
              <w:rPr>
                <w:rFonts w:ascii="Arial Narrow" w:hAnsi="Arial Narrow"/>
                <w:b/>
                <w:bCs/>
                <w:sz w:val="18"/>
                <w:szCs w:val="18"/>
                <w:lang w:val="en-ID"/>
              </w:rPr>
              <w:t>.00</w:t>
            </w:r>
          </w:p>
        </w:tc>
        <w:tc>
          <w:tcPr>
            <w:tcW w:w="0" w:type="auto"/>
          </w:tcPr>
          <w:p w14:paraId="64FC6CE9"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.72</w:t>
            </w:r>
          </w:p>
        </w:tc>
        <w:tc>
          <w:tcPr>
            <w:tcW w:w="0" w:type="auto"/>
          </w:tcPr>
          <w:p w14:paraId="42EB134A"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.4627</w:t>
            </w:r>
          </w:p>
        </w:tc>
        <w:tc>
          <w:tcPr>
            <w:tcW w:w="0" w:type="auto"/>
          </w:tcPr>
          <w:p w14:paraId="4F4FE642" w14:textId="77777777" w:rsidR="004014EC" w:rsidRPr="009E36F3" w:rsidRDefault="004014EC" w:rsidP="004014EC">
            <w:pPr>
              <w:pStyle w:val="BodyTextIndent"/>
              <w:ind w:right="-133" w:firstLine="0"/>
              <w:jc w:val="center"/>
              <w:rPr>
                <w:rFonts w:ascii="Arial Narrow" w:hAnsi="Arial Narrow"/>
                <w:sz w:val="18"/>
                <w:szCs w:val="18"/>
                <w:lang w:val="en-ID"/>
              </w:rPr>
            </w:pPr>
            <w:r w:rsidRPr="009E36F3">
              <w:rPr>
                <w:rFonts w:ascii="Arial Narrow" w:hAnsi="Arial Narrow"/>
                <w:sz w:val="18"/>
                <w:szCs w:val="18"/>
                <w:lang w:val="en-ID"/>
              </w:rPr>
              <w:t>.17981</w:t>
            </w:r>
          </w:p>
        </w:tc>
      </w:tr>
    </w:tbl>
    <w:p w14:paraId="2F2BC0EB" w14:textId="77777777" w:rsidR="00614F02" w:rsidRPr="009E36F3" w:rsidRDefault="00614F02" w:rsidP="001932E1">
      <w:pPr>
        <w:pStyle w:val="BodyTextIndent"/>
        <w:ind w:left="2880" w:firstLine="720"/>
        <w:rPr>
          <w:rFonts w:ascii="Arial Narrow" w:hAnsi="Arial Narrow"/>
          <w:lang w:val="en-ID"/>
        </w:rPr>
      </w:pPr>
      <w:r w:rsidRPr="009E36F3">
        <w:rPr>
          <w:rFonts w:ascii="Arial Narrow" w:hAnsi="Arial Narrow"/>
          <w:lang w:val="en-ID"/>
        </w:rPr>
        <w:t>Source: Processed Data (2024)</w:t>
      </w:r>
    </w:p>
    <w:p w14:paraId="29A177E7" w14:textId="3BFE062A" w:rsidR="00BE0314" w:rsidRPr="007A4928" w:rsidRDefault="00BE0314" w:rsidP="00A4060B">
      <w:pPr>
        <w:pStyle w:val="BodyTextIndent"/>
        <w:ind w:firstLine="0"/>
        <w:rPr>
          <w:rFonts w:ascii="Arial Narrow" w:hAnsi="Arial Narrow"/>
          <w:sz w:val="22"/>
          <w:lang w:val="en-ID"/>
        </w:rPr>
      </w:pPr>
      <w:r w:rsidRPr="007A4928">
        <w:rPr>
          <w:rFonts w:ascii="Arial Narrow" w:hAnsi="Arial Narrow"/>
          <w:sz w:val="22"/>
        </w:rPr>
        <w:t>Based on the results of descriptive statistics, it shows the maximum, minimum, mean and standard deviation values for each variable. The highest average for the research variable was the Company Size disclosure variable of 32.26. The lowest minimum value for the research variable is the variable CED</w:t>
      </w:r>
      <w:r w:rsidR="001932E1">
        <w:rPr>
          <w:rFonts w:ascii="Arial Narrow" w:hAnsi="Arial Narrow"/>
          <w:sz w:val="22"/>
        </w:rPr>
        <w:t xml:space="preserve"> </w:t>
      </w:r>
      <w:r w:rsidRPr="007A4928">
        <w:rPr>
          <w:rFonts w:ascii="Arial Narrow" w:hAnsi="Arial Narrow"/>
          <w:sz w:val="22"/>
        </w:rPr>
        <w:t>Lipmed 0.00 because there is no news so the Media Coverage value is 0. The highest standard deviation for the research variable is the Company Size variable of 2.39509. The number of data in this study studied was 42 data, the number was obtained from:</w:t>
      </w:r>
    </w:p>
    <w:p w14:paraId="31D21152" w14:textId="77777777" w:rsidR="00614F02" w:rsidRPr="005B54D7" w:rsidRDefault="00614F02" w:rsidP="009F2799">
      <w:pPr>
        <w:pStyle w:val="BodyTextIndent"/>
        <w:ind w:firstLine="567"/>
        <w:jc w:val="center"/>
        <w:rPr>
          <w:rFonts w:ascii="Arial Narrow" w:hAnsi="Arial Narrow"/>
          <w:b/>
          <w:bCs/>
          <w:lang w:val="en-ID"/>
        </w:rPr>
      </w:pPr>
      <w:r w:rsidRPr="005B54D7">
        <w:rPr>
          <w:rFonts w:ascii="Arial Narrow" w:hAnsi="Arial Narrow"/>
          <w:b/>
          <w:bCs/>
          <w:lang w:val="en-ID"/>
        </w:rPr>
        <w:t>Table 3. Number of Samples</w:t>
      </w:r>
    </w:p>
    <w:tbl>
      <w:tblPr>
        <w:tblW w:w="0" w:type="auto"/>
        <w:tblLook w:val="04A0" w:firstRow="1" w:lastRow="0" w:firstColumn="1" w:lastColumn="0" w:noHBand="0" w:noVBand="1"/>
      </w:tblPr>
      <w:tblGrid>
        <w:gridCol w:w="454"/>
        <w:gridCol w:w="5073"/>
        <w:gridCol w:w="1293"/>
        <w:gridCol w:w="1420"/>
        <w:gridCol w:w="796"/>
      </w:tblGrid>
      <w:tr w:rsidR="00C451AF" w:rsidRPr="009F2799" w14:paraId="37E8D3E8" w14:textId="77777777" w:rsidTr="009F2799">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2EF3B1F" w14:textId="77777777" w:rsidR="00614F02" w:rsidRPr="009F2799" w:rsidRDefault="00614F02" w:rsidP="009A714F">
            <w:pPr>
              <w:pStyle w:val="BodyTextIndent"/>
              <w:ind w:firstLine="0"/>
              <w:jc w:val="center"/>
              <w:rPr>
                <w:rFonts w:ascii="Arial Narrow" w:hAnsi="Arial Narrow"/>
                <w:b/>
                <w:bCs/>
                <w:sz w:val="18"/>
                <w:szCs w:val="18"/>
                <w:lang w:val="en-ID"/>
              </w:rPr>
            </w:pPr>
            <w:r w:rsidRPr="009F2799">
              <w:rPr>
                <w:rFonts w:ascii="Arial Narrow" w:hAnsi="Arial Narrow"/>
                <w:b/>
                <w:bCs/>
                <w:sz w:val="18"/>
                <w:szCs w:val="18"/>
                <w:lang w:val="en-ID"/>
              </w:rPr>
              <w:t>No.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BC0748" w14:textId="77777777" w:rsidR="00614F02" w:rsidRPr="009F2799" w:rsidRDefault="00614F02" w:rsidP="009A714F">
            <w:pPr>
              <w:pStyle w:val="BodyTextIndent"/>
              <w:ind w:firstLine="0"/>
              <w:jc w:val="center"/>
              <w:rPr>
                <w:rFonts w:ascii="Arial Narrow" w:hAnsi="Arial Narrow"/>
                <w:b/>
                <w:bCs/>
                <w:sz w:val="18"/>
                <w:szCs w:val="18"/>
                <w:lang w:val="en-ID"/>
              </w:rPr>
            </w:pPr>
            <w:r w:rsidRPr="009F2799">
              <w:rPr>
                <w:rFonts w:ascii="Arial Narrow" w:hAnsi="Arial Narrow"/>
                <w:b/>
                <w:bCs/>
                <w:sz w:val="18"/>
                <w:szCs w:val="18"/>
                <w:lang w:val="en-ID"/>
              </w:rPr>
              <w:t>Sample Criteria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7001AA" w14:textId="77777777" w:rsidR="00614F02" w:rsidRPr="009F2799" w:rsidRDefault="00614F02" w:rsidP="009A714F">
            <w:pPr>
              <w:pStyle w:val="BodyTextIndent"/>
              <w:ind w:firstLine="22"/>
              <w:jc w:val="center"/>
              <w:rPr>
                <w:rFonts w:ascii="Arial Narrow" w:hAnsi="Arial Narrow"/>
                <w:b/>
                <w:bCs/>
                <w:sz w:val="18"/>
                <w:szCs w:val="18"/>
                <w:lang w:val="en-ID"/>
              </w:rPr>
            </w:pPr>
            <w:r w:rsidRPr="009F2799">
              <w:rPr>
                <w:rFonts w:ascii="Arial Narrow" w:hAnsi="Arial Narrow"/>
                <w:b/>
                <w:bCs/>
                <w:sz w:val="18"/>
                <w:szCs w:val="18"/>
                <w:lang w:val="en-ID"/>
              </w:rPr>
              <w:t>Number of Companies</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9FCAC8E" w14:textId="77777777" w:rsidR="00614F02" w:rsidRPr="009F2799" w:rsidRDefault="00614F02" w:rsidP="009A714F">
            <w:pPr>
              <w:pStyle w:val="BodyTextIndent"/>
              <w:ind w:firstLine="22"/>
              <w:jc w:val="center"/>
              <w:rPr>
                <w:rFonts w:ascii="Arial Narrow" w:hAnsi="Arial Narrow"/>
                <w:b/>
                <w:bCs/>
                <w:sz w:val="18"/>
                <w:szCs w:val="18"/>
                <w:lang w:val="en-ID"/>
              </w:rPr>
            </w:pPr>
            <w:r w:rsidRPr="009F2799">
              <w:rPr>
                <w:rFonts w:ascii="Arial Narrow" w:hAnsi="Arial Narrow"/>
                <w:b/>
                <w:bCs/>
                <w:sz w:val="18"/>
                <w:szCs w:val="18"/>
                <w:lang w:val="en-ID"/>
              </w:rPr>
              <w:t>Number of Years</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D74763D" w14:textId="77777777" w:rsidR="00614F02" w:rsidRPr="009F2799" w:rsidRDefault="00614F02" w:rsidP="009A714F">
            <w:pPr>
              <w:pStyle w:val="BodyTextIndent"/>
              <w:ind w:firstLine="22"/>
              <w:jc w:val="center"/>
              <w:rPr>
                <w:rFonts w:ascii="Arial Narrow" w:hAnsi="Arial Narrow"/>
                <w:b/>
                <w:bCs/>
                <w:sz w:val="18"/>
                <w:szCs w:val="18"/>
                <w:lang w:val="en-ID"/>
              </w:rPr>
            </w:pPr>
            <w:r w:rsidRPr="009F2799">
              <w:rPr>
                <w:rFonts w:ascii="Arial Narrow" w:hAnsi="Arial Narrow"/>
                <w:b/>
                <w:bCs/>
                <w:sz w:val="18"/>
                <w:szCs w:val="18"/>
                <w:lang w:val="en-ID"/>
              </w:rPr>
              <w:t>Amount</w:t>
            </w:r>
          </w:p>
        </w:tc>
      </w:tr>
      <w:tr w:rsidR="00CD2DCB" w:rsidRPr="009F2799" w14:paraId="36DBC3C5" w14:textId="77777777" w:rsidTr="009F2799">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164BA3"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1.</w:t>
            </w:r>
          </w:p>
        </w:tc>
        <w:tc>
          <w:tcPr>
            <w:tcW w:w="0" w:type="auto"/>
            <w:tcBorders>
              <w:top w:val="nil"/>
              <w:left w:val="nil"/>
              <w:bottom w:val="single" w:sz="4" w:space="0" w:color="auto"/>
              <w:right w:val="single" w:sz="4" w:space="0" w:color="auto"/>
            </w:tcBorders>
            <w:shd w:val="clear" w:color="auto" w:fill="auto"/>
            <w:vAlign w:val="center"/>
            <w:hideMark/>
          </w:tcPr>
          <w:p w14:paraId="44609CAF" w14:textId="77777777" w:rsidR="00CD2DCB" w:rsidRPr="009F2799" w:rsidRDefault="009A714F"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Issuers in the transportation and logistics sector listed on the Indonesia Stock Exchange (IDX) during the period 2021 to 2023.</w:t>
            </w:r>
          </w:p>
        </w:tc>
        <w:tc>
          <w:tcPr>
            <w:tcW w:w="0" w:type="auto"/>
            <w:tcBorders>
              <w:top w:val="nil"/>
              <w:left w:val="nil"/>
              <w:bottom w:val="single" w:sz="4" w:space="0" w:color="auto"/>
              <w:right w:val="single" w:sz="4" w:space="0" w:color="auto"/>
            </w:tcBorders>
            <w:shd w:val="clear" w:color="auto" w:fill="auto"/>
            <w:vAlign w:val="center"/>
          </w:tcPr>
          <w:p w14:paraId="4967B1C7"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56</w:t>
            </w:r>
          </w:p>
        </w:tc>
        <w:tc>
          <w:tcPr>
            <w:tcW w:w="0" w:type="auto"/>
            <w:tcBorders>
              <w:top w:val="nil"/>
              <w:left w:val="nil"/>
              <w:bottom w:val="single" w:sz="4" w:space="0" w:color="auto"/>
              <w:right w:val="single" w:sz="4" w:space="0" w:color="auto"/>
            </w:tcBorders>
            <w:shd w:val="clear" w:color="auto" w:fill="auto"/>
            <w:noWrap/>
            <w:vAlign w:val="center"/>
          </w:tcPr>
          <w:p w14:paraId="2A1BEEB8"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3</w:t>
            </w:r>
          </w:p>
        </w:tc>
        <w:tc>
          <w:tcPr>
            <w:tcW w:w="0" w:type="auto"/>
            <w:tcBorders>
              <w:top w:val="nil"/>
              <w:left w:val="nil"/>
              <w:bottom w:val="single" w:sz="4" w:space="0" w:color="auto"/>
              <w:right w:val="single" w:sz="4" w:space="0" w:color="auto"/>
            </w:tcBorders>
            <w:shd w:val="clear" w:color="auto" w:fill="auto"/>
            <w:noWrap/>
            <w:vAlign w:val="center"/>
          </w:tcPr>
          <w:p w14:paraId="0CA1D101"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168</w:t>
            </w:r>
          </w:p>
        </w:tc>
      </w:tr>
      <w:tr w:rsidR="00CD2DCB" w:rsidRPr="009F2799" w14:paraId="04385CEA" w14:textId="77777777" w:rsidTr="009F2799">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F21D15"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2.</w:t>
            </w:r>
          </w:p>
        </w:tc>
        <w:tc>
          <w:tcPr>
            <w:tcW w:w="0" w:type="auto"/>
            <w:tcBorders>
              <w:top w:val="nil"/>
              <w:left w:val="nil"/>
              <w:bottom w:val="single" w:sz="4" w:space="0" w:color="auto"/>
              <w:right w:val="single" w:sz="4" w:space="0" w:color="auto"/>
            </w:tcBorders>
            <w:shd w:val="clear" w:color="auto" w:fill="auto"/>
            <w:vAlign w:val="center"/>
            <w:hideMark/>
          </w:tcPr>
          <w:p w14:paraId="0E52712B" w14:textId="77777777" w:rsidR="00CD2DCB" w:rsidRPr="009F2799" w:rsidRDefault="009A714F" w:rsidP="00CD2DCB">
            <w:pPr>
              <w:pStyle w:val="BodyTextIndent"/>
              <w:ind w:firstLine="0"/>
              <w:rPr>
                <w:rFonts w:ascii="Arial Narrow" w:hAnsi="Arial Narrow"/>
                <w:sz w:val="18"/>
                <w:szCs w:val="18"/>
                <w:lang w:val="en-ID"/>
              </w:rPr>
            </w:pPr>
            <w:r w:rsidRPr="009F2799">
              <w:rPr>
                <w:rFonts w:ascii="Arial Narrow" w:hAnsi="Arial Narrow"/>
                <w:sz w:val="18"/>
                <w:szCs w:val="18"/>
              </w:rPr>
              <w:t>Issuers that do not publish financial reports and annual reports (annual reports and/or sustainability reporting) consecutively during the period 2021 to 2023.</w:t>
            </w:r>
          </w:p>
        </w:tc>
        <w:tc>
          <w:tcPr>
            <w:tcW w:w="0" w:type="auto"/>
            <w:tcBorders>
              <w:top w:val="nil"/>
              <w:left w:val="nil"/>
              <w:bottom w:val="single" w:sz="4" w:space="0" w:color="auto"/>
              <w:right w:val="single" w:sz="4" w:space="0" w:color="auto"/>
            </w:tcBorders>
            <w:shd w:val="clear" w:color="auto" w:fill="auto"/>
            <w:vAlign w:val="center"/>
          </w:tcPr>
          <w:p w14:paraId="0BCC3D7D"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-16</w:t>
            </w:r>
          </w:p>
        </w:tc>
        <w:tc>
          <w:tcPr>
            <w:tcW w:w="0" w:type="auto"/>
            <w:tcBorders>
              <w:top w:val="nil"/>
              <w:left w:val="nil"/>
              <w:bottom w:val="single" w:sz="4" w:space="0" w:color="auto"/>
              <w:right w:val="single" w:sz="4" w:space="0" w:color="auto"/>
            </w:tcBorders>
            <w:shd w:val="clear" w:color="auto" w:fill="auto"/>
            <w:noWrap/>
            <w:vAlign w:val="center"/>
          </w:tcPr>
          <w:p w14:paraId="355FA719"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3</w:t>
            </w:r>
          </w:p>
        </w:tc>
        <w:tc>
          <w:tcPr>
            <w:tcW w:w="0" w:type="auto"/>
            <w:tcBorders>
              <w:top w:val="nil"/>
              <w:left w:val="nil"/>
              <w:bottom w:val="single" w:sz="4" w:space="0" w:color="auto"/>
              <w:right w:val="single" w:sz="4" w:space="0" w:color="auto"/>
            </w:tcBorders>
            <w:shd w:val="clear" w:color="auto" w:fill="auto"/>
            <w:noWrap/>
            <w:vAlign w:val="center"/>
          </w:tcPr>
          <w:p w14:paraId="319A36E2"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-48</w:t>
            </w:r>
          </w:p>
        </w:tc>
      </w:tr>
      <w:tr w:rsidR="00CD2DCB" w:rsidRPr="009F2799" w14:paraId="631D1993" w14:textId="77777777" w:rsidTr="009F2799">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512433"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3.</w:t>
            </w:r>
          </w:p>
        </w:tc>
        <w:tc>
          <w:tcPr>
            <w:tcW w:w="0" w:type="auto"/>
            <w:tcBorders>
              <w:top w:val="nil"/>
              <w:left w:val="nil"/>
              <w:bottom w:val="single" w:sz="4" w:space="0" w:color="auto"/>
              <w:right w:val="single" w:sz="4" w:space="0" w:color="auto"/>
            </w:tcBorders>
            <w:shd w:val="clear" w:color="auto" w:fill="auto"/>
            <w:vAlign w:val="center"/>
            <w:hideMark/>
          </w:tcPr>
          <w:p w14:paraId="20E66BEE" w14:textId="77777777" w:rsidR="00CD2DCB" w:rsidRPr="009F2799" w:rsidRDefault="009A714F" w:rsidP="00CD2DCB">
            <w:pPr>
              <w:pStyle w:val="BodyTextIndent"/>
              <w:ind w:firstLine="0"/>
              <w:rPr>
                <w:rFonts w:ascii="Arial Narrow" w:hAnsi="Arial Narrow"/>
                <w:sz w:val="18"/>
                <w:szCs w:val="18"/>
                <w:lang w:val="en-ID"/>
              </w:rPr>
            </w:pPr>
            <w:r w:rsidRPr="009F2799">
              <w:rPr>
                <w:rFonts w:ascii="Arial Narrow" w:hAnsi="Arial Narrow"/>
                <w:sz w:val="18"/>
                <w:szCs w:val="18"/>
              </w:rPr>
              <w:t>Issuers that do not disclose carbon emissions, either in the form of at least one policy or item related to carbon emissions in the period 2021 to 2023.</w:t>
            </w:r>
          </w:p>
        </w:tc>
        <w:tc>
          <w:tcPr>
            <w:tcW w:w="0" w:type="auto"/>
            <w:tcBorders>
              <w:top w:val="nil"/>
              <w:left w:val="nil"/>
              <w:bottom w:val="single" w:sz="4" w:space="0" w:color="auto"/>
              <w:right w:val="single" w:sz="4" w:space="0" w:color="auto"/>
            </w:tcBorders>
            <w:shd w:val="clear" w:color="auto" w:fill="auto"/>
            <w:vAlign w:val="center"/>
          </w:tcPr>
          <w:p w14:paraId="42C7542A"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-21</w:t>
            </w:r>
          </w:p>
        </w:tc>
        <w:tc>
          <w:tcPr>
            <w:tcW w:w="0" w:type="auto"/>
            <w:tcBorders>
              <w:top w:val="nil"/>
              <w:left w:val="nil"/>
              <w:bottom w:val="single" w:sz="4" w:space="0" w:color="auto"/>
              <w:right w:val="single" w:sz="4" w:space="0" w:color="auto"/>
            </w:tcBorders>
            <w:shd w:val="clear" w:color="auto" w:fill="auto"/>
            <w:noWrap/>
            <w:vAlign w:val="center"/>
          </w:tcPr>
          <w:p w14:paraId="73F4B844"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3</w:t>
            </w:r>
          </w:p>
        </w:tc>
        <w:tc>
          <w:tcPr>
            <w:tcW w:w="0" w:type="auto"/>
            <w:tcBorders>
              <w:top w:val="nil"/>
              <w:left w:val="nil"/>
              <w:bottom w:val="single" w:sz="4" w:space="0" w:color="auto"/>
              <w:right w:val="single" w:sz="4" w:space="0" w:color="auto"/>
            </w:tcBorders>
            <w:shd w:val="clear" w:color="auto" w:fill="auto"/>
            <w:noWrap/>
            <w:vAlign w:val="center"/>
          </w:tcPr>
          <w:p w14:paraId="0E4E0B88"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-63</w:t>
            </w:r>
          </w:p>
        </w:tc>
      </w:tr>
      <w:tr w:rsidR="00CD2DCB" w:rsidRPr="009F2799" w14:paraId="73B0F541" w14:textId="77777777" w:rsidTr="009F2799">
        <w:trPr>
          <w:trHeight w:val="29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E6B0CF1"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4.</w:t>
            </w:r>
          </w:p>
        </w:tc>
        <w:tc>
          <w:tcPr>
            <w:tcW w:w="0" w:type="auto"/>
            <w:tcBorders>
              <w:top w:val="nil"/>
              <w:left w:val="nil"/>
              <w:bottom w:val="nil"/>
              <w:right w:val="single" w:sz="4" w:space="0" w:color="auto"/>
            </w:tcBorders>
            <w:shd w:val="clear" w:color="auto" w:fill="auto"/>
            <w:vAlign w:val="bottom"/>
            <w:hideMark/>
          </w:tcPr>
          <w:p w14:paraId="1BDC7303" w14:textId="77777777" w:rsidR="00CD2DCB" w:rsidRPr="009F2799" w:rsidRDefault="009A714F"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Issuers that do not have annual report publication date data:</w:t>
            </w:r>
          </w:p>
        </w:tc>
        <w:tc>
          <w:tcPr>
            <w:tcW w:w="0" w:type="auto"/>
            <w:tcBorders>
              <w:top w:val="nil"/>
              <w:left w:val="nil"/>
              <w:bottom w:val="nil"/>
              <w:right w:val="single" w:sz="4" w:space="0" w:color="auto"/>
            </w:tcBorders>
            <w:shd w:val="clear" w:color="auto" w:fill="auto"/>
            <w:noWrap/>
            <w:vAlign w:val="center"/>
          </w:tcPr>
          <w:p w14:paraId="7334FE7F" w14:textId="77777777" w:rsidR="00CD2DCB" w:rsidRPr="009F2799" w:rsidRDefault="00CD2DCB" w:rsidP="00CD2DCB">
            <w:pPr>
              <w:pStyle w:val="BodyTextIndent"/>
              <w:ind w:firstLine="22"/>
              <w:rPr>
                <w:rFonts w:ascii="Arial Narrow" w:hAnsi="Arial Narrow"/>
                <w:sz w:val="18"/>
                <w:szCs w:val="18"/>
                <w:lang w:val="en-ID"/>
              </w:rPr>
            </w:pPr>
          </w:p>
        </w:tc>
        <w:tc>
          <w:tcPr>
            <w:tcW w:w="0" w:type="auto"/>
            <w:tcBorders>
              <w:top w:val="nil"/>
              <w:left w:val="nil"/>
              <w:bottom w:val="nil"/>
              <w:right w:val="single" w:sz="4" w:space="0" w:color="auto"/>
            </w:tcBorders>
            <w:shd w:val="clear" w:color="auto" w:fill="auto"/>
            <w:noWrap/>
            <w:vAlign w:val="center"/>
          </w:tcPr>
          <w:p w14:paraId="5314481E" w14:textId="77777777" w:rsidR="00CD2DCB" w:rsidRPr="009F2799" w:rsidRDefault="00CD2DCB" w:rsidP="00CD2DCB">
            <w:pPr>
              <w:pStyle w:val="BodyTextIndent"/>
              <w:ind w:firstLine="22"/>
              <w:rPr>
                <w:rFonts w:ascii="Arial Narrow" w:hAnsi="Arial Narrow"/>
                <w:sz w:val="18"/>
                <w:szCs w:val="18"/>
                <w:lang w:val="en-ID"/>
              </w:rPr>
            </w:pPr>
          </w:p>
        </w:tc>
        <w:tc>
          <w:tcPr>
            <w:tcW w:w="0" w:type="auto"/>
            <w:tcBorders>
              <w:top w:val="nil"/>
              <w:left w:val="nil"/>
              <w:bottom w:val="nil"/>
              <w:right w:val="single" w:sz="4" w:space="0" w:color="auto"/>
            </w:tcBorders>
            <w:shd w:val="clear" w:color="auto" w:fill="auto"/>
            <w:noWrap/>
            <w:vAlign w:val="center"/>
          </w:tcPr>
          <w:p w14:paraId="4C1F9C03" w14:textId="77777777" w:rsidR="00CD2DCB" w:rsidRPr="009F2799" w:rsidRDefault="00CD2DCB" w:rsidP="00CD2DCB">
            <w:pPr>
              <w:pStyle w:val="BodyTextIndent"/>
              <w:ind w:firstLine="22"/>
              <w:rPr>
                <w:rFonts w:ascii="Arial Narrow" w:hAnsi="Arial Narrow"/>
                <w:sz w:val="18"/>
                <w:szCs w:val="18"/>
                <w:lang w:val="en-ID"/>
              </w:rPr>
            </w:pPr>
          </w:p>
        </w:tc>
      </w:tr>
      <w:tr w:rsidR="00CD2DCB" w:rsidRPr="009F2799" w14:paraId="35AAC74A" w14:textId="77777777" w:rsidTr="009F2799">
        <w:trPr>
          <w:trHeight w:val="290"/>
        </w:trPr>
        <w:tc>
          <w:tcPr>
            <w:tcW w:w="0" w:type="auto"/>
            <w:vMerge/>
            <w:tcBorders>
              <w:top w:val="nil"/>
              <w:left w:val="single" w:sz="4" w:space="0" w:color="auto"/>
              <w:bottom w:val="single" w:sz="4" w:space="0" w:color="000000"/>
              <w:right w:val="single" w:sz="4" w:space="0" w:color="auto"/>
            </w:tcBorders>
            <w:vAlign w:val="center"/>
            <w:hideMark/>
          </w:tcPr>
          <w:p w14:paraId="66BDBA78" w14:textId="77777777" w:rsidR="00CD2DCB" w:rsidRPr="009F2799" w:rsidRDefault="00CD2DCB" w:rsidP="00CD2DCB">
            <w:pPr>
              <w:pStyle w:val="BodyTextIndent"/>
              <w:ind w:firstLine="567"/>
              <w:rPr>
                <w:rFonts w:ascii="Arial Narrow" w:hAnsi="Arial Narrow"/>
                <w:sz w:val="18"/>
                <w:szCs w:val="18"/>
                <w:lang w:val="en-ID"/>
              </w:rPr>
            </w:pPr>
          </w:p>
        </w:tc>
        <w:tc>
          <w:tcPr>
            <w:tcW w:w="0" w:type="auto"/>
            <w:tcBorders>
              <w:top w:val="nil"/>
              <w:left w:val="nil"/>
              <w:bottom w:val="nil"/>
              <w:right w:val="single" w:sz="4" w:space="0" w:color="auto"/>
            </w:tcBorders>
            <w:shd w:val="clear" w:color="auto" w:fill="auto"/>
            <w:noWrap/>
            <w:vAlign w:val="bottom"/>
            <w:hideMark/>
          </w:tcPr>
          <w:p w14:paraId="17A7712D"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2021</w:t>
            </w:r>
          </w:p>
        </w:tc>
        <w:tc>
          <w:tcPr>
            <w:tcW w:w="0" w:type="auto"/>
            <w:tcBorders>
              <w:top w:val="nil"/>
              <w:left w:val="nil"/>
              <w:bottom w:val="nil"/>
              <w:right w:val="single" w:sz="4" w:space="0" w:color="auto"/>
            </w:tcBorders>
            <w:shd w:val="clear" w:color="auto" w:fill="auto"/>
            <w:noWrap/>
            <w:vAlign w:val="center"/>
          </w:tcPr>
          <w:p w14:paraId="0DAD8E30"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-8</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tcPr>
          <w:p w14:paraId="56347BD0" w14:textId="77777777" w:rsidR="00CD2DCB" w:rsidRPr="009F2799" w:rsidRDefault="00CD2DCB" w:rsidP="00CD2DCB">
            <w:pPr>
              <w:pStyle w:val="BodyTextIndent"/>
              <w:ind w:firstLine="22"/>
              <w:rPr>
                <w:rFonts w:ascii="Arial Narrow" w:hAnsi="Arial Narrow"/>
                <w:sz w:val="18"/>
                <w:szCs w:val="18"/>
                <w:lang w:val="en-ID"/>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tcPr>
          <w:p w14:paraId="367EB321" w14:textId="77777777" w:rsidR="00CD2DCB" w:rsidRPr="009F2799" w:rsidRDefault="00CD2DCB" w:rsidP="00CD2DCB">
            <w:pPr>
              <w:pStyle w:val="BodyTextIndent"/>
              <w:ind w:firstLine="22"/>
              <w:rPr>
                <w:rFonts w:ascii="Arial Narrow" w:hAnsi="Arial Narrow"/>
                <w:sz w:val="18"/>
                <w:szCs w:val="18"/>
                <w:lang w:val="en-ID"/>
              </w:rPr>
            </w:pPr>
            <w:r w:rsidRPr="009F2799">
              <w:rPr>
                <w:rFonts w:ascii="Arial Narrow" w:hAnsi="Arial Narrow"/>
                <w:color w:val="000000"/>
                <w:sz w:val="18"/>
                <w:szCs w:val="18"/>
                <w:lang w:val="en-ID"/>
              </w:rPr>
              <w:t>-15</w:t>
            </w:r>
          </w:p>
        </w:tc>
      </w:tr>
      <w:tr w:rsidR="00CD2DCB" w:rsidRPr="009F2799" w14:paraId="25C2975E" w14:textId="77777777" w:rsidTr="009F2799">
        <w:trPr>
          <w:trHeight w:val="290"/>
        </w:trPr>
        <w:tc>
          <w:tcPr>
            <w:tcW w:w="0" w:type="auto"/>
            <w:vMerge/>
            <w:tcBorders>
              <w:top w:val="nil"/>
              <w:left w:val="single" w:sz="4" w:space="0" w:color="auto"/>
              <w:bottom w:val="single" w:sz="4" w:space="0" w:color="000000"/>
              <w:right w:val="single" w:sz="4" w:space="0" w:color="auto"/>
            </w:tcBorders>
            <w:vAlign w:val="center"/>
            <w:hideMark/>
          </w:tcPr>
          <w:p w14:paraId="73AC349A" w14:textId="77777777" w:rsidR="00CD2DCB" w:rsidRPr="009F2799" w:rsidRDefault="00CD2DCB" w:rsidP="00CD2DCB">
            <w:pPr>
              <w:pStyle w:val="BodyTextIndent"/>
              <w:ind w:firstLine="567"/>
              <w:rPr>
                <w:rFonts w:ascii="Arial Narrow" w:hAnsi="Arial Narrow"/>
                <w:sz w:val="18"/>
                <w:szCs w:val="18"/>
                <w:lang w:val="en-ID"/>
              </w:rPr>
            </w:pPr>
          </w:p>
        </w:tc>
        <w:tc>
          <w:tcPr>
            <w:tcW w:w="0" w:type="auto"/>
            <w:tcBorders>
              <w:top w:val="nil"/>
              <w:left w:val="nil"/>
              <w:bottom w:val="nil"/>
              <w:right w:val="single" w:sz="4" w:space="0" w:color="auto"/>
            </w:tcBorders>
            <w:shd w:val="clear" w:color="auto" w:fill="auto"/>
            <w:noWrap/>
            <w:vAlign w:val="bottom"/>
            <w:hideMark/>
          </w:tcPr>
          <w:p w14:paraId="306AE62B"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2022</w:t>
            </w:r>
          </w:p>
        </w:tc>
        <w:tc>
          <w:tcPr>
            <w:tcW w:w="0" w:type="auto"/>
            <w:tcBorders>
              <w:top w:val="nil"/>
              <w:left w:val="nil"/>
              <w:bottom w:val="nil"/>
              <w:right w:val="single" w:sz="4" w:space="0" w:color="auto"/>
            </w:tcBorders>
            <w:shd w:val="clear" w:color="auto" w:fill="auto"/>
            <w:noWrap/>
            <w:vAlign w:val="center"/>
          </w:tcPr>
          <w:p w14:paraId="100CBA98" w14:textId="77777777" w:rsidR="00CD2DCB" w:rsidRPr="009F2799" w:rsidRDefault="00C652AE"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-2</w:t>
            </w:r>
          </w:p>
        </w:tc>
        <w:tc>
          <w:tcPr>
            <w:tcW w:w="0" w:type="auto"/>
            <w:vMerge/>
            <w:tcBorders>
              <w:top w:val="nil"/>
              <w:left w:val="single" w:sz="4" w:space="0" w:color="auto"/>
              <w:bottom w:val="single" w:sz="4" w:space="0" w:color="000000"/>
              <w:right w:val="single" w:sz="4" w:space="0" w:color="auto"/>
            </w:tcBorders>
            <w:vAlign w:val="center"/>
            <w:hideMark/>
          </w:tcPr>
          <w:p w14:paraId="535F0AD2" w14:textId="77777777" w:rsidR="00CD2DCB" w:rsidRPr="009F2799" w:rsidRDefault="00CD2DCB" w:rsidP="00CD2DCB">
            <w:pPr>
              <w:pStyle w:val="BodyTextIndent"/>
              <w:ind w:firstLine="567"/>
              <w:rPr>
                <w:rFonts w:ascii="Arial Narrow" w:hAnsi="Arial Narrow"/>
                <w:sz w:val="18"/>
                <w:szCs w:val="18"/>
                <w:lang w:val="en-ID"/>
              </w:rPr>
            </w:pPr>
          </w:p>
        </w:tc>
        <w:tc>
          <w:tcPr>
            <w:tcW w:w="0" w:type="auto"/>
            <w:vMerge/>
            <w:tcBorders>
              <w:top w:val="nil"/>
              <w:left w:val="single" w:sz="4" w:space="0" w:color="auto"/>
              <w:bottom w:val="single" w:sz="4" w:space="0" w:color="000000"/>
              <w:right w:val="single" w:sz="4" w:space="0" w:color="auto"/>
            </w:tcBorders>
            <w:vAlign w:val="center"/>
            <w:hideMark/>
          </w:tcPr>
          <w:p w14:paraId="002EFD93" w14:textId="77777777" w:rsidR="00CD2DCB" w:rsidRPr="009F2799" w:rsidRDefault="00CD2DCB" w:rsidP="00CD2DCB">
            <w:pPr>
              <w:pStyle w:val="BodyTextIndent"/>
              <w:ind w:firstLine="567"/>
              <w:rPr>
                <w:rFonts w:ascii="Arial Narrow" w:hAnsi="Arial Narrow"/>
                <w:sz w:val="18"/>
                <w:szCs w:val="18"/>
                <w:lang w:val="en-ID"/>
              </w:rPr>
            </w:pPr>
          </w:p>
        </w:tc>
      </w:tr>
      <w:tr w:rsidR="00CD2DCB" w:rsidRPr="009F2799" w14:paraId="1EF90646" w14:textId="77777777" w:rsidTr="009F2799">
        <w:trPr>
          <w:trHeight w:val="290"/>
        </w:trPr>
        <w:tc>
          <w:tcPr>
            <w:tcW w:w="0" w:type="auto"/>
            <w:vMerge/>
            <w:tcBorders>
              <w:top w:val="nil"/>
              <w:left w:val="single" w:sz="4" w:space="0" w:color="auto"/>
              <w:bottom w:val="single" w:sz="4" w:space="0" w:color="000000"/>
              <w:right w:val="single" w:sz="4" w:space="0" w:color="auto"/>
            </w:tcBorders>
            <w:vAlign w:val="center"/>
            <w:hideMark/>
          </w:tcPr>
          <w:p w14:paraId="3535B603" w14:textId="77777777" w:rsidR="00CD2DCB" w:rsidRPr="009F2799" w:rsidRDefault="00CD2DCB" w:rsidP="00CD2DCB">
            <w:pPr>
              <w:pStyle w:val="BodyTextIndent"/>
              <w:ind w:firstLine="567"/>
              <w:rPr>
                <w:rFonts w:ascii="Arial Narrow" w:hAnsi="Arial Narrow"/>
                <w:sz w:val="18"/>
                <w:szCs w:val="18"/>
                <w:lang w:val="en-ID"/>
              </w:rPr>
            </w:pPr>
          </w:p>
        </w:tc>
        <w:tc>
          <w:tcPr>
            <w:tcW w:w="0" w:type="auto"/>
            <w:tcBorders>
              <w:top w:val="nil"/>
              <w:left w:val="nil"/>
              <w:bottom w:val="single" w:sz="4" w:space="0" w:color="auto"/>
              <w:right w:val="single" w:sz="4" w:space="0" w:color="auto"/>
            </w:tcBorders>
            <w:shd w:val="clear" w:color="auto" w:fill="auto"/>
            <w:noWrap/>
            <w:vAlign w:val="bottom"/>
            <w:hideMark/>
          </w:tcPr>
          <w:p w14:paraId="6894502D"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2023</w:t>
            </w:r>
          </w:p>
        </w:tc>
        <w:tc>
          <w:tcPr>
            <w:tcW w:w="0" w:type="auto"/>
            <w:tcBorders>
              <w:top w:val="nil"/>
              <w:left w:val="nil"/>
              <w:bottom w:val="single" w:sz="4" w:space="0" w:color="auto"/>
              <w:right w:val="single" w:sz="4" w:space="0" w:color="auto"/>
            </w:tcBorders>
            <w:shd w:val="clear" w:color="auto" w:fill="auto"/>
            <w:noWrap/>
            <w:vAlign w:val="center"/>
          </w:tcPr>
          <w:p w14:paraId="1CD4CC4E" w14:textId="77777777" w:rsidR="00CD2DCB" w:rsidRPr="009F2799" w:rsidRDefault="00C652AE"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-5</w:t>
            </w:r>
          </w:p>
        </w:tc>
        <w:tc>
          <w:tcPr>
            <w:tcW w:w="0" w:type="auto"/>
            <w:vMerge/>
            <w:tcBorders>
              <w:top w:val="nil"/>
              <w:left w:val="single" w:sz="4" w:space="0" w:color="auto"/>
              <w:bottom w:val="single" w:sz="4" w:space="0" w:color="000000"/>
              <w:right w:val="single" w:sz="4" w:space="0" w:color="auto"/>
            </w:tcBorders>
            <w:vAlign w:val="center"/>
            <w:hideMark/>
          </w:tcPr>
          <w:p w14:paraId="2AAE8CC7" w14:textId="77777777" w:rsidR="00CD2DCB" w:rsidRPr="009F2799" w:rsidRDefault="00CD2DCB" w:rsidP="00CD2DCB">
            <w:pPr>
              <w:pStyle w:val="BodyTextIndent"/>
              <w:ind w:firstLine="567"/>
              <w:rPr>
                <w:rFonts w:ascii="Arial Narrow" w:hAnsi="Arial Narrow"/>
                <w:sz w:val="18"/>
                <w:szCs w:val="18"/>
                <w:lang w:val="en-ID"/>
              </w:rPr>
            </w:pPr>
          </w:p>
        </w:tc>
        <w:tc>
          <w:tcPr>
            <w:tcW w:w="0" w:type="auto"/>
            <w:vMerge/>
            <w:tcBorders>
              <w:top w:val="nil"/>
              <w:left w:val="single" w:sz="4" w:space="0" w:color="auto"/>
              <w:bottom w:val="single" w:sz="4" w:space="0" w:color="000000"/>
              <w:right w:val="single" w:sz="4" w:space="0" w:color="auto"/>
            </w:tcBorders>
            <w:vAlign w:val="center"/>
            <w:hideMark/>
          </w:tcPr>
          <w:p w14:paraId="055B69DD" w14:textId="77777777" w:rsidR="00CD2DCB" w:rsidRPr="009F2799" w:rsidRDefault="00CD2DCB" w:rsidP="00CD2DCB">
            <w:pPr>
              <w:pStyle w:val="BodyTextIndent"/>
              <w:ind w:firstLine="567"/>
              <w:rPr>
                <w:rFonts w:ascii="Arial Narrow" w:hAnsi="Arial Narrow"/>
                <w:sz w:val="18"/>
                <w:szCs w:val="18"/>
                <w:lang w:val="en-ID"/>
              </w:rPr>
            </w:pPr>
          </w:p>
        </w:tc>
      </w:tr>
      <w:tr w:rsidR="00CD2DCB" w:rsidRPr="009F2799" w14:paraId="72CC5E47" w14:textId="77777777" w:rsidTr="009F2799">
        <w:trPr>
          <w:trHeight w:val="29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726DBE" w14:textId="77777777" w:rsidR="00CD2DCB" w:rsidRPr="009F2799" w:rsidRDefault="00CD2DCB" w:rsidP="00CD2DCB">
            <w:pPr>
              <w:pStyle w:val="BodyTextIndent"/>
              <w:ind w:firstLine="567"/>
              <w:rPr>
                <w:rFonts w:ascii="Arial Narrow" w:hAnsi="Arial Narrow"/>
                <w:b/>
                <w:bCs/>
                <w:sz w:val="18"/>
                <w:szCs w:val="18"/>
                <w:lang w:val="en-ID"/>
              </w:rPr>
            </w:pPr>
            <w:r w:rsidRPr="009F2799">
              <w:rPr>
                <w:rFonts w:ascii="Arial Narrow" w:hAnsi="Arial Narrow"/>
                <w:b/>
                <w:bCs/>
                <w:sz w:val="18"/>
                <w:szCs w:val="18"/>
                <w:lang w:val="en-ID"/>
              </w:rPr>
              <w:t>Total observations (n ​​data)</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AE8E25A" w14:textId="77777777" w:rsidR="00CD2DCB" w:rsidRPr="009F2799" w:rsidRDefault="00CD2DCB" w:rsidP="00CD2DCB">
            <w:pPr>
              <w:pStyle w:val="BodyTextIndent"/>
              <w:ind w:firstLine="567"/>
              <w:rPr>
                <w:rFonts w:ascii="Arial Narrow" w:hAnsi="Arial Narrow"/>
                <w:sz w:val="18"/>
                <w:szCs w:val="18"/>
                <w:lang w:val="en-ID"/>
              </w:rPr>
            </w:pPr>
          </w:p>
        </w:tc>
        <w:tc>
          <w:tcPr>
            <w:tcW w:w="0" w:type="auto"/>
            <w:tcBorders>
              <w:top w:val="nil"/>
              <w:left w:val="nil"/>
              <w:bottom w:val="single" w:sz="4" w:space="0" w:color="auto"/>
              <w:right w:val="single" w:sz="4" w:space="0" w:color="auto"/>
            </w:tcBorders>
            <w:shd w:val="clear" w:color="auto" w:fill="auto"/>
            <w:noWrap/>
            <w:vAlign w:val="center"/>
            <w:hideMark/>
          </w:tcPr>
          <w:p w14:paraId="23403F62" w14:textId="77777777" w:rsidR="00CD2DCB" w:rsidRPr="009F2799" w:rsidRDefault="00CD2DCB" w:rsidP="00CD2DCB">
            <w:pPr>
              <w:pStyle w:val="BodyTextIndent"/>
              <w:ind w:firstLine="0"/>
              <w:rPr>
                <w:rFonts w:ascii="Arial Narrow" w:hAnsi="Arial Narrow"/>
                <w:sz w:val="18"/>
                <w:szCs w:val="18"/>
                <w:lang w:val="en-ID"/>
              </w:rPr>
            </w:pPr>
            <w:r w:rsidRPr="009F2799">
              <w:rPr>
                <w:rFonts w:ascii="Arial Narrow" w:hAnsi="Arial Narrow"/>
                <w:sz w:val="18"/>
                <w:szCs w:val="18"/>
                <w:lang w:val="en-ID"/>
              </w:rPr>
              <w:t>42</w:t>
            </w:r>
          </w:p>
        </w:tc>
      </w:tr>
    </w:tbl>
    <w:p w14:paraId="2549B52B" w14:textId="77777777" w:rsidR="009F2799" w:rsidRPr="009E36F3" w:rsidRDefault="009F2799" w:rsidP="009F2799">
      <w:pPr>
        <w:pStyle w:val="BodyTextIndent"/>
        <w:ind w:left="1440" w:firstLine="720"/>
        <w:rPr>
          <w:rFonts w:ascii="Arial Narrow" w:hAnsi="Arial Narrow"/>
          <w:lang w:val="en-ID"/>
        </w:rPr>
      </w:pPr>
      <w:r w:rsidRPr="009E36F3">
        <w:rPr>
          <w:rFonts w:ascii="Arial Narrow" w:hAnsi="Arial Narrow"/>
          <w:lang w:val="en-ID"/>
        </w:rPr>
        <w:t>Source: Processed Data (2024)</w:t>
      </w:r>
    </w:p>
    <w:p w14:paraId="17B7F157" w14:textId="77777777" w:rsidR="00614F02" w:rsidRPr="001932E1" w:rsidRDefault="00614F02" w:rsidP="009F2799">
      <w:pPr>
        <w:pStyle w:val="BodyTextIndent"/>
        <w:ind w:firstLine="0"/>
        <w:rPr>
          <w:rFonts w:ascii="Arial Narrow" w:hAnsi="Arial Narrow"/>
          <w:b/>
          <w:bCs/>
          <w:sz w:val="22"/>
          <w:lang w:val="id-ID"/>
        </w:rPr>
      </w:pPr>
      <w:r w:rsidRPr="001932E1">
        <w:rPr>
          <w:rFonts w:ascii="Arial Narrow" w:hAnsi="Arial Narrow"/>
          <w:b/>
          <w:bCs/>
          <w:sz w:val="22"/>
          <w:lang w:val="id-ID"/>
        </w:rPr>
        <w:t>Classical Assumptions</w:t>
      </w:r>
    </w:p>
    <w:p w14:paraId="292AD97E" w14:textId="77777777" w:rsidR="00BE0314" w:rsidRDefault="00BE0314" w:rsidP="00786FD0">
      <w:pPr>
        <w:pStyle w:val="BodyTextIndent"/>
        <w:ind w:firstLine="567"/>
        <w:rPr>
          <w:rFonts w:ascii="Arial Narrow" w:hAnsi="Arial Narrow"/>
          <w:sz w:val="22"/>
          <w:lang w:val="id-ID"/>
        </w:rPr>
      </w:pPr>
      <w:r w:rsidRPr="006C4B80">
        <w:rPr>
          <w:rFonts w:ascii="Arial Narrow" w:hAnsi="Arial Narrow"/>
          <w:sz w:val="22"/>
        </w:rPr>
        <w:t>To ensure that the results were unbiased, the study conducted a classical assumption test before testing the hypothesis. Normality, autocorrelation, heteroscedacity, and multicollinearity tests were used in the traditional assumption test of this study. The Kolmogorov Smirnov test is used to test the normality of research; If the significance value is greater than 0.05, the data is considered normally distributed. The data in this study were distributed normally, as indicated by the significance value of Kolmogorov Smirnov of 0.104. The Breusch-Godfrey Serial Correlation LM test was used in the autocorrelation analysis of this study. The regression model has no autocorrelation problem if the significance value is greater than 0.05; In this test, the significance value was 0.069, indicating that there was no autocorrelation. The Glejser test was used in the heteroscedasusity test of this study. The significance value in the Glejser test is more than 0.05 then there is no heteroscedasticity. There was no heteroscedasticity in this study because the significance value of the dependent variable was greater than 0.05. The VIF value and tolerance value were used in the multicollinearity test of this study. Multicollinearity does not occur if the tolerance value is less than 0.10 and the VIF value is less than 10. Multicollinearity did not occur in this study because the VIF value of each dependent variable was less than 10 and the tolerance value was less than 0.10.</w:t>
      </w:r>
    </w:p>
    <w:p w14:paraId="0101B71B" w14:textId="77777777" w:rsidR="00A139ED" w:rsidRPr="00614F02" w:rsidRDefault="00A139ED" w:rsidP="00614F02">
      <w:pPr>
        <w:pStyle w:val="BodyTextIndent"/>
        <w:ind w:firstLine="567"/>
        <w:rPr>
          <w:rFonts w:ascii="Arial Narrow" w:hAnsi="Arial Narrow"/>
          <w:sz w:val="22"/>
          <w:lang w:val="id-ID"/>
        </w:rPr>
      </w:pPr>
    </w:p>
    <w:p w14:paraId="39DA4081" w14:textId="77777777" w:rsidR="00614F02" w:rsidRPr="00A139ED" w:rsidRDefault="00614F02" w:rsidP="00A139ED">
      <w:pPr>
        <w:pStyle w:val="BodyTextIndent"/>
        <w:ind w:firstLine="567"/>
        <w:jc w:val="center"/>
        <w:rPr>
          <w:rFonts w:ascii="Arial Narrow" w:hAnsi="Arial Narrow"/>
          <w:b/>
          <w:bCs/>
          <w:lang w:val="id-ID"/>
        </w:rPr>
      </w:pPr>
      <w:r w:rsidRPr="00A139ED">
        <w:rPr>
          <w:rFonts w:ascii="Arial Narrow" w:hAnsi="Arial Narrow"/>
          <w:b/>
          <w:bCs/>
          <w:lang w:val="id-ID"/>
        </w:rPr>
        <w:t>Table 4. Classical Assumption Test</w:t>
      </w:r>
    </w:p>
    <w:tbl>
      <w:tblPr>
        <w:tblStyle w:val="TableGrid"/>
        <w:tblW w:w="0" w:type="auto"/>
        <w:jc w:val="center"/>
        <w:tblLook w:val="04A0" w:firstRow="1" w:lastRow="0" w:firstColumn="1" w:lastColumn="0" w:noHBand="0" w:noVBand="1"/>
      </w:tblPr>
      <w:tblGrid>
        <w:gridCol w:w="1496"/>
        <w:gridCol w:w="1119"/>
        <w:gridCol w:w="1710"/>
        <w:gridCol w:w="1702"/>
        <w:gridCol w:w="625"/>
        <w:gridCol w:w="880"/>
      </w:tblGrid>
      <w:tr w:rsidR="00C451AF" w:rsidRPr="00A139ED" w14:paraId="4FCFD375" w14:textId="77777777" w:rsidTr="00A139ED">
        <w:trPr>
          <w:jc w:val="center"/>
        </w:trPr>
        <w:tc>
          <w:tcPr>
            <w:tcW w:w="0" w:type="auto"/>
            <w:vMerge w:val="restart"/>
            <w:vAlign w:val="center"/>
          </w:tcPr>
          <w:p w14:paraId="04E96976" w14:textId="77777777" w:rsidR="00614F02" w:rsidRPr="00A139ED" w:rsidRDefault="00614F02" w:rsidP="00CF50CA">
            <w:pPr>
              <w:pStyle w:val="BodyTextIndent"/>
              <w:ind w:firstLine="0"/>
              <w:rPr>
                <w:rFonts w:ascii="Arial Narrow" w:hAnsi="Arial Narrow"/>
                <w:sz w:val="18"/>
                <w:szCs w:val="18"/>
                <w:lang w:val="id-ID"/>
              </w:rPr>
            </w:pPr>
            <w:r w:rsidRPr="00A139ED">
              <w:rPr>
                <w:rFonts w:ascii="Arial Narrow" w:hAnsi="Arial Narrow"/>
                <w:sz w:val="18"/>
                <w:szCs w:val="18"/>
                <w:lang w:val="id-ID"/>
              </w:rPr>
              <w:lastRenderedPageBreak/>
              <w:t>Variables</w:t>
            </w:r>
          </w:p>
        </w:tc>
        <w:tc>
          <w:tcPr>
            <w:tcW w:w="0" w:type="auto"/>
          </w:tcPr>
          <w:p w14:paraId="097F9595" w14:textId="77777777" w:rsidR="00614F02" w:rsidRPr="00A139ED" w:rsidRDefault="00614F02" w:rsidP="006F0E57">
            <w:pPr>
              <w:pStyle w:val="BodyTextIndent"/>
              <w:ind w:firstLine="0"/>
              <w:jc w:val="center"/>
              <w:rPr>
                <w:rFonts w:ascii="Arial Narrow" w:hAnsi="Arial Narrow"/>
                <w:sz w:val="18"/>
                <w:szCs w:val="18"/>
                <w:lang w:val="id-ID"/>
              </w:rPr>
            </w:pPr>
            <w:r w:rsidRPr="00A139ED">
              <w:rPr>
                <w:rFonts w:ascii="Arial Narrow" w:hAnsi="Arial Narrow"/>
                <w:sz w:val="18"/>
                <w:szCs w:val="18"/>
                <w:lang w:val="id-ID"/>
              </w:rPr>
              <w:t>Normality test</w:t>
            </w:r>
          </w:p>
        </w:tc>
        <w:tc>
          <w:tcPr>
            <w:tcW w:w="0" w:type="auto"/>
          </w:tcPr>
          <w:p w14:paraId="7E9A3411" w14:textId="77777777" w:rsidR="00614F02" w:rsidRPr="00A139ED" w:rsidRDefault="00614F02" w:rsidP="006F0E57">
            <w:pPr>
              <w:pStyle w:val="BodyTextIndent"/>
              <w:ind w:firstLine="0"/>
              <w:jc w:val="center"/>
              <w:rPr>
                <w:rFonts w:ascii="Arial Narrow" w:hAnsi="Arial Narrow"/>
                <w:sz w:val="18"/>
                <w:szCs w:val="18"/>
                <w:lang w:val="id-ID"/>
              </w:rPr>
            </w:pPr>
            <w:r w:rsidRPr="00A139ED">
              <w:rPr>
                <w:rFonts w:ascii="Arial Narrow" w:hAnsi="Arial Narrow"/>
                <w:sz w:val="18"/>
                <w:szCs w:val="18"/>
                <w:lang w:val="id-ID"/>
              </w:rPr>
              <w:t>Autocorrelation test</w:t>
            </w:r>
          </w:p>
          <w:p w14:paraId="7CCC6031" w14:textId="77777777" w:rsidR="006F0E57" w:rsidRPr="00A139ED" w:rsidRDefault="006F0E57" w:rsidP="006F0E57">
            <w:pPr>
              <w:pStyle w:val="BodyTextIndent"/>
              <w:ind w:firstLine="0"/>
              <w:jc w:val="center"/>
              <w:rPr>
                <w:rFonts w:ascii="Arial Narrow" w:hAnsi="Arial Narrow"/>
                <w:sz w:val="18"/>
                <w:szCs w:val="18"/>
                <w:lang w:val="id-ID"/>
              </w:rPr>
            </w:pPr>
            <w:r w:rsidRPr="00A139ED">
              <w:rPr>
                <w:rFonts w:ascii="Arial Narrow" w:hAnsi="Arial Narrow"/>
                <w:sz w:val="18"/>
                <w:szCs w:val="18"/>
              </w:rPr>
              <w:t>(Breusch-Godfrey test)</w:t>
            </w:r>
          </w:p>
        </w:tc>
        <w:tc>
          <w:tcPr>
            <w:tcW w:w="0" w:type="auto"/>
            <w:vMerge w:val="restart"/>
            <w:vAlign w:val="center"/>
          </w:tcPr>
          <w:p w14:paraId="479326EB" w14:textId="77777777" w:rsidR="00614F02" w:rsidRPr="00A139ED" w:rsidRDefault="00614F02" w:rsidP="006F0E57">
            <w:pPr>
              <w:pStyle w:val="BodyTextIndent"/>
              <w:ind w:firstLine="0"/>
              <w:jc w:val="center"/>
              <w:rPr>
                <w:rFonts w:ascii="Arial Narrow" w:hAnsi="Arial Narrow"/>
                <w:sz w:val="18"/>
                <w:szCs w:val="18"/>
                <w:lang w:val="id-ID"/>
              </w:rPr>
            </w:pPr>
            <w:r w:rsidRPr="00A139ED">
              <w:rPr>
                <w:rFonts w:ascii="Arial Narrow" w:hAnsi="Arial Narrow"/>
                <w:sz w:val="18"/>
                <w:szCs w:val="18"/>
                <w:lang w:val="id-ID"/>
              </w:rPr>
              <w:t>Heteroscedasticity test</w:t>
            </w:r>
          </w:p>
        </w:tc>
        <w:tc>
          <w:tcPr>
            <w:tcW w:w="0" w:type="auto"/>
            <w:gridSpan w:val="2"/>
          </w:tcPr>
          <w:p w14:paraId="7348ED98" w14:textId="77777777" w:rsidR="00614F02" w:rsidRPr="00A139ED" w:rsidRDefault="00614F02" w:rsidP="006F0E57">
            <w:pPr>
              <w:pStyle w:val="BodyTextIndent"/>
              <w:ind w:firstLine="0"/>
              <w:jc w:val="center"/>
              <w:rPr>
                <w:rFonts w:ascii="Arial Narrow" w:hAnsi="Arial Narrow"/>
                <w:sz w:val="18"/>
                <w:szCs w:val="18"/>
                <w:lang w:val="id-ID"/>
              </w:rPr>
            </w:pPr>
            <w:r w:rsidRPr="00A139ED">
              <w:rPr>
                <w:rFonts w:ascii="Arial Narrow" w:hAnsi="Arial Narrow"/>
                <w:sz w:val="18"/>
                <w:szCs w:val="18"/>
                <w:lang w:val="id-ID"/>
              </w:rPr>
              <w:t>Multicollinearity test</w:t>
            </w:r>
          </w:p>
        </w:tc>
      </w:tr>
      <w:tr w:rsidR="006F0E57" w:rsidRPr="00A139ED" w14:paraId="49A4F7B5" w14:textId="77777777" w:rsidTr="00A139ED">
        <w:trPr>
          <w:jc w:val="center"/>
        </w:trPr>
        <w:tc>
          <w:tcPr>
            <w:tcW w:w="0" w:type="auto"/>
            <w:vMerge/>
            <w:vAlign w:val="center"/>
          </w:tcPr>
          <w:p w14:paraId="72F0176D" w14:textId="77777777" w:rsidR="006F0E57" w:rsidRPr="00A139ED" w:rsidRDefault="006F0E57" w:rsidP="00CF50CA">
            <w:pPr>
              <w:pStyle w:val="BodyTextIndent"/>
              <w:ind w:firstLine="0"/>
              <w:rPr>
                <w:rFonts w:ascii="Arial Narrow" w:hAnsi="Arial Narrow"/>
                <w:sz w:val="18"/>
                <w:szCs w:val="18"/>
                <w:lang w:val="id-ID"/>
              </w:rPr>
            </w:pPr>
          </w:p>
        </w:tc>
        <w:tc>
          <w:tcPr>
            <w:tcW w:w="0" w:type="auto"/>
            <w:vAlign w:val="center"/>
          </w:tcPr>
          <w:p w14:paraId="7FBFAE53" w14:textId="77777777" w:rsidR="006F0E57" w:rsidRPr="00A139ED" w:rsidRDefault="006F0E57" w:rsidP="00CF50CA">
            <w:pPr>
              <w:pStyle w:val="BodyTextIndent"/>
              <w:ind w:firstLine="0"/>
              <w:rPr>
                <w:rFonts w:ascii="Arial Narrow" w:hAnsi="Arial Narrow"/>
                <w:sz w:val="18"/>
                <w:szCs w:val="18"/>
                <w:lang w:val="id-ID"/>
              </w:rPr>
            </w:pPr>
            <w:r w:rsidRPr="00A139ED">
              <w:rPr>
                <w:rFonts w:ascii="Arial Narrow" w:hAnsi="Arial Narrow"/>
                <w:sz w:val="18"/>
                <w:szCs w:val="18"/>
                <w:lang w:val="id-ID"/>
              </w:rPr>
              <w:t>(Asymp Sig.)</w:t>
            </w:r>
          </w:p>
        </w:tc>
        <w:tc>
          <w:tcPr>
            <w:tcW w:w="0" w:type="auto"/>
          </w:tcPr>
          <w:p w14:paraId="778F9E8F" w14:textId="77777777" w:rsidR="006F0E57" w:rsidRPr="00A139ED" w:rsidRDefault="006F0E57" w:rsidP="006F0E57">
            <w:pPr>
              <w:pStyle w:val="BodyTextIndent"/>
              <w:ind w:firstLine="0"/>
              <w:jc w:val="center"/>
              <w:rPr>
                <w:rFonts w:ascii="Arial Narrow" w:hAnsi="Arial Narrow"/>
                <w:sz w:val="18"/>
                <w:szCs w:val="18"/>
                <w:lang w:val="id-ID"/>
              </w:rPr>
            </w:pPr>
            <w:r w:rsidRPr="00A139ED">
              <w:rPr>
                <w:rFonts w:ascii="Arial Narrow" w:hAnsi="Arial Narrow"/>
                <w:sz w:val="18"/>
                <w:szCs w:val="18"/>
                <w:lang w:val="id-ID"/>
              </w:rPr>
              <w:t>Res_Lag</w:t>
            </w:r>
          </w:p>
        </w:tc>
        <w:tc>
          <w:tcPr>
            <w:tcW w:w="0" w:type="auto"/>
            <w:vMerge/>
          </w:tcPr>
          <w:p w14:paraId="5BC2D041" w14:textId="77777777" w:rsidR="006F0E57" w:rsidRPr="00A139ED" w:rsidRDefault="006F0E57" w:rsidP="00CF50CA">
            <w:pPr>
              <w:pStyle w:val="BodyTextIndent"/>
              <w:ind w:firstLine="0"/>
              <w:rPr>
                <w:rFonts w:ascii="Arial Narrow" w:hAnsi="Arial Narrow"/>
                <w:sz w:val="18"/>
                <w:szCs w:val="18"/>
                <w:lang w:val="id-ID"/>
              </w:rPr>
            </w:pPr>
          </w:p>
        </w:tc>
        <w:tc>
          <w:tcPr>
            <w:tcW w:w="0" w:type="auto"/>
          </w:tcPr>
          <w:p w14:paraId="5BBC34A3" w14:textId="77777777" w:rsidR="006F0E57" w:rsidRPr="00A139ED" w:rsidRDefault="006F0E57" w:rsidP="00CF50CA">
            <w:pPr>
              <w:pStyle w:val="BodyTextIndent"/>
              <w:ind w:firstLine="0"/>
              <w:rPr>
                <w:rFonts w:ascii="Arial Narrow" w:hAnsi="Arial Narrow"/>
                <w:sz w:val="18"/>
                <w:szCs w:val="18"/>
                <w:lang w:val="id-ID"/>
              </w:rPr>
            </w:pPr>
            <w:r w:rsidRPr="00A139ED">
              <w:rPr>
                <w:rFonts w:ascii="Arial Narrow" w:hAnsi="Arial Narrow"/>
                <w:sz w:val="18"/>
                <w:szCs w:val="18"/>
                <w:lang w:val="id-ID"/>
              </w:rPr>
              <w:t>VIF</w:t>
            </w:r>
          </w:p>
        </w:tc>
        <w:tc>
          <w:tcPr>
            <w:tcW w:w="0" w:type="auto"/>
          </w:tcPr>
          <w:p w14:paraId="5E3C480D" w14:textId="77777777" w:rsidR="006F0E57" w:rsidRPr="00A139ED" w:rsidRDefault="006F0E57" w:rsidP="00CF50CA">
            <w:pPr>
              <w:pStyle w:val="BodyTextIndent"/>
              <w:ind w:firstLine="0"/>
              <w:rPr>
                <w:rFonts w:ascii="Arial Narrow" w:hAnsi="Arial Narrow"/>
                <w:sz w:val="18"/>
                <w:szCs w:val="18"/>
                <w:lang w:val="id-ID"/>
              </w:rPr>
            </w:pPr>
            <w:r w:rsidRPr="00A139ED">
              <w:rPr>
                <w:rFonts w:ascii="Arial Narrow" w:hAnsi="Arial Narrow"/>
                <w:i/>
                <w:iCs/>
                <w:sz w:val="18"/>
                <w:szCs w:val="18"/>
                <w:lang w:val="id-ID"/>
              </w:rPr>
              <w:t>tolerance</w:t>
            </w:r>
          </w:p>
        </w:tc>
      </w:tr>
      <w:tr w:rsidR="006F0E57" w:rsidRPr="00A139ED" w14:paraId="77F58448" w14:textId="77777777" w:rsidTr="00A139ED">
        <w:trPr>
          <w:jc w:val="center"/>
        </w:trPr>
        <w:tc>
          <w:tcPr>
            <w:tcW w:w="0" w:type="auto"/>
            <w:vAlign w:val="center"/>
          </w:tcPr>
          <w:p w14:paraId="58BFC48D"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CED (X1)</w:t>
            </w:r>
          </w:p>
        </w:tc>
        <w:tc>
          <w:tcPr>
            <w:tcW w:w="0" w:type="auto"/>
            <w:vMerge w:val="restart"/>
            <w:vAlign w:val="center"/>
          </w:tcPr>
          <w:p w14:paraId="4FE44158" w14:textId="77777777" w:rsidR="006F0E57" w:rsidRPr="00A139ED" w:rsidRDefault="006F0E57" w:rsidP="006F0E57">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.104</w:t>
            </w:r>
          </w:p>
        </w:tc>
        <w:tc>
          <w:tcPr>
            <w:tcW w:w="0" w:type="auto"/>
            <w:vMerge w:val="restart"/>
            <w:vAlign w:val="center"/>
          </w:tcPr>
          <w:p w14:paraId="02ABAAEF" w14:textId="77777777" w:rsidR="006F0E57" w:rsidRPr="00A139ED" w:rsidRDefault="006F0E57" w:rsidP="006F0E57">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.069</w:t>
            </w:r>
          </w:p>
        </w:tc>
        <w:tc>
          <w:tcPr>
            <w:tcW w:w="0" w:type="auto"/>
          </w:tcPr>
          <w:p w14:paraId="0EC93DC3"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.118</w:t>
            </w:r>
          </w:p>
        </w:tc>
        <w:tc>
          <w:tcPr>
            <w:tcW w:w="0" w:type="auto"/>
          </w:tcPr>
          <w:p w14:paraId="59531864"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2,587</w:t>
            </w:r>
          </w:p>
        </w:tc>
        <w:tc>
          <w:tcPr>
            <w:tcW w:w="0" w:type="auto"/>
          </w:tcPr>
          <w:p w14:paraId="63DB87CC"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.387</w:t>
            </w:r>
          </w:p>
        </w:tc>
      </w:tr>
      <w:tr w:rsidR="006F0E57" w:rsidRPr="00A139ED" w14:paraId="062E28A8" w14:textId="77777777" w:rsidTr="00A139ED">
        <w:trPr>
          <w:jc w:val="center"/>
        </w:trPr>
        <w:tc>
          <w:tcPr>
            <w:tcW w:w="0" w:type="auto"/>
            <w:vAlign w:val="center"/>
          </w:tcPr>
          <w:p w14:paraId="20E0C2EE"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ROA (X2)</w:t>
            </w:r>
          </w:p>
        </w:tc>
        <w:tc>
          <w:tcPr>
            <w:tcW w:w="0" w:type="auto"/>
            <w:vMerge/>
          </w:tcPr>
          <w:p w14:paraId="69A2F934" w14:textId="77777777" w:rsidR="006F0E57" w:rsidRPr="00A139ED" w:rsidRDefault="006F0E57" w:rsidP="006F0E57">
            <w:pPr>
              <w:pStyle w:val="BodyTextIndent"/>
              <w:ind w:firstLine="0"/>
              <w:rPr>
                <w:rFonts w:ascii="Arial Narrow" w:hAnsi="Arial Narrow"/>
                <w:sz w:val="18"/>
                <w:szCs w:val="18"/>
                <w:lang w:val="id-ID"/>
              </w:rPr>
            </w:pPr>
          </w:p>
        </w:tc>
        <w:tc>
          <w:tcPr>
            <w:tcW w:w="0" w:type="auto"/>
            <w:vMerge/>
          </w:tcPr>
          <w:p w14:paraId="2C3F2A71" w14:textId="77777777" w:rsidR="006F0E57" w:rsidRPr="00A139ED" w:rsidRDefault="006F0E57" w:rsidP="006F0E57">
            <w:pPr>
              <w:pStyle w:val="BodyTextIndent"/>
              <w:ind w:firstLine="0"/>
              <w:rPr>
                <w:rFonts w:ascii="Arial Narrow" w:hAnsi="Arial Narrow"/>
                <w:sz w:val="18"/>
                <w:szCs w:val="18"/>
                <w:lang w:val="id-ID"/>
              </w:rPr>
            </w:pPr>
          </w:p>
        </w:tc>
        <w:tc>
          <w:tcPr>
            <w:tcW w:w="0" w:type="auto"/>
          </w:tcPr>
          <w:p w14:paraId="0E4BEFC5"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.601</w:t>
            </w:r>
          </w:p>
        </w:tc>
        <w:tc>
          <w:tcPr>
            <w:tcW w:w="0" w:type="auto"/>
          </w:tcPr>
          <w:p w14:paraId="123A0D52"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1,037</w:t>
            </w:r>
          </w:p>
        </w:tc>
        <w:tc>
          <w:tcPr>
            <w:tcW w:w="0" w:type="auto"/>
          </w:tcPr>
          <w:p w14:paraId="581DB178"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.965</w:t>
            </w:r>
          </w:p>
        </w:tc>
      </w:tr>
      <w:tr w:rsidR="006F0E57" w:rsidRPr="00A139ED" w14:paraId="6CEE5220" w14:textId="77777777" w:rsidTr="00A139ED">
        <w:trPr>
          <w:jc w:val="center"/>
        </w:trPr>
        <w:tc>
          <w:tcPr>
            <w:tcW w:w="0" w:type="auto"/>
            <w:vAlign w:val="center"/>
          </w:tcPr>
          <w:p w14:paraId="33DA6343"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X1*Z Moderation</w:t>
            </w:r>
          </w:p>
        </w:tc>
        <w:tc>
          <w:tcPr>
            <w:tcW w:w="0" w:type="auto"/>
            <w:vMerge/>
          </w:tcPr>
          <w:p w14:paraId="5C1EDDF3" w14:textId="77777777" w:rsidR="006F0E57" w:rsidRPr="00A139ED" w:rsidRDefault="006F0E57" w:rsidP="006F0E57">
            <w:pPr>
              <w:pStyle w:val="BodyTextIndent"/>
              <w:ind w:firstLine="0"/>
              <w:rPr>
                <w:rFonts w:ascii="Arial Narrow" w:hAnsi="Arial Narrow"/>
                <w:sz w:val="18"/>
                <w:szCs w:val="18"/>
                <w:lang w:val="id-ID"/>
              </w:rPr>
            </w:pPr>
          </w:p>
        </w:tc>
        <w:tc>
          <w:tcPr>
            <w:tcW w:w="0" w:type="auto"/>
            <w:vMerge/>
          </w:tcPr>
          <w:p w14:paraId="2735A099" w14:textId="77777777" w:rsidR="006F0E57" w:rsidRPr="00A139ED" w:rsidRDefault="006F0E57" w:rsidP="006F0E57">
            <w:pPr>
              <w:pStyle w:val="BodyTextIndent"/>
              <w:ind w:firstLine="0"/>
              <w:rPr>
                <w:rFonts w:ascii="Arial Narrow" w:hAnsi="Arial Narrow"/>
                <w:sz w:val="18"/>
                <w:szCs w:val="18"/>
                <w:lang w:val="id-ID"/>
              </w:rPr>
            </w:pPr>
          </w:p>
        </w:tc>
        <w:tc>
          <w:tcPr>
            <w:tcW w:w="0" w:type="auto"/>
          </w:tcPr>
          <w:p w14:paraId="4F5EE7F2"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.430</w:t>
            </w:r>
          </w:p>
        </w:tc>
        <w:tc>
          <w:tcPr>
            <w:tcW w:w="0" w:type="auto"/>
          </w:tcPr>
          <w:p w14:paraId="06F50B01"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2,540</w:t>
            </w:r>
          </w:p>
        </w:tc>
        <w:tc>
          <w:tcPr>
            <w:tcW w:w="0" w:type="auto"/>
          </w:tcPr>
          <w:p w14:paraId="01B3E1E9"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.394</w:t>
            </w:r>
          </w:p>
        </w:tc>
      </w:tr>
      <w:tr w:rsidR="006F0E57" w:rsidRPr="00A139ED" w14:paraId="49CBA85C" w14:textId="77777777" w:rsidTr="00A139ED">
        <w:trPr>
          <w:jc w:val="center"/>
        </w:trPr>
        <w:tc>
          <w:tcPr>
            <w:tcW w:w="0" w:type="auto"/>
            <w:vAlign w:val="center"/>
          </w:tcPr>
          <w:p w14:paraId="0DD19575"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Company Size (X3)</w:t>
            </w:r>
          </w:p>
        </w:tc>
        <w:tc>
          <w:tcPr>
            <w:tcW w:w="0" w:type="auto"/>
            <w:vMerge/>
          </w:tcPr>
          <w:p w14:paraId="3C5F6F6A" w14:textId="77777777" w:rsidR="006F0E57" w:rsidRPr="00A139ED" w:rsidRDefault="006F0E57" w:rsidP="006F0E57">
            <w:pPr>
              <w:pStyle w:val="BodyTextIndent"/>
              <w:ind w:firstLine="0"/>
              <w:rPr>
                <w:rFonts w:ascii="Arial Narrow" w:hAnsi="Arial Narrow"/>
                <w:sz w:val="18"/>
                <w:szCs w:val="18"/>
                <w:lang w:val="id-ID"/>
              </w:rPr>
            </w:pPr>
          </w:p>
        </w:tc>
        <w:tc>
          <w:tcPr>
            <w:tcW w:w="0" w:type="auto"/>
            <w:vMerge/>
          </w:tcPr>
          <w:p w14:paraId="3441FB0B" w14:textId="77777777" w:rsidR="006F0E57" w:rsidRPr="00A139ED" w:rsidRDefault="006F0E57" w:rsidP="006F0E57">
            <w:pPr>
              <w:pStyle w:val="BodyTextIndent"/>
              <w:ind w:firstLine="0"/>
              <w:rPr>
                <w:rFonts w:ascii="Arial Narrow" w:hAnsi="Arial Narrow"/>
                <w:sz w:val="18"/>
                <w:szCs w:val="18"/>
                <w:lang w:val="id-ID"/>
              </w:rPr>
            </w:pPr>
          </w:p>
        </w:tc>
        <w:tc>
          <w:tcPr>
            <w:tcW w:w="0" w:type="auto"/>
          </w:tcPr>
          <w:p w14:paraId="62489E0D"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.435</w:t>
            </w:r>
          </w:p>
        </w:tc>
        <w:tc>
          <w:tcPr>
            <w:tcW w:w="0" w:type="auto"/>
          </w:tcPr>
          <w:p w14:paraId="16E43663"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1,055</w:t>
            </w:r>
          </w:p>
        </w:tc>
        <w:tc>
          <w:tcPr>
            <w:tcW w:w="0" w:type="auto"/>
          </w:tcPr>
          <w:p w14:paraId="4C072963" w14:textId="77777777" w:rsidR="006F0E57" w:rsidRPr="00A139ED" w:rsidRDefault="006F0E57" w:rsidP="004F771C">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.948</w:t>
            </w:r>
          </w:p>
        </w:tc>
      </w:tr>
    </w:tbl>
    <w:p w14:paraId="2506B2C1" w14:textId="77777777" w:rsidR="00A139ED" w:rsidRDefault="00A139ED" w:rsidP="00A139ED">
      <w:pPr>
        <w:pStyle w:val="BodyTextIndent"/>
        <w:ind w:left="720" w:firstLine="0"/>
        <w:rPr>
          <w:rFonts w:ascii="Arial Narrow" w:hAnsi="Arial Narrow"/>
          <w:lang w:val="en-ID"/>
        </w:rPr>
      </w:pPr>
      <w:r w:rsidRPr="009E36F3">
        <w:rPr>
          <w:rFonts w:ascii="Arial Narrow" w:hAnsi="Arial Narrow"/>
          <w:lang w:val="en-ID"/>
        </w:rPr>
        <w:t>Source: Processed Data (2024)</w:t>
      </w:r>
    </w:p>
    <w:p w14:paraId="0D046E15" w14:textId="77777777" w:rsidR="00A139ED" w:rsidRDefault="00A139ED" w:rsidP="00A139ED">
      <w:pPr>
        <w:pStyle w:val="BodyTextIndent"/>
        <w:rPr>
          <w:rFonts w:ascii="Arial Narrow" w:hAnsi="Arial Narrow"/>
          <w:lang w:val="en-ID"/>
        </w:rPr>
      </w:pPr>
    </w:p>
    <w:p w14:paraId="7DFFD88B" w14:textId="77777777" w:rsidR="00614F02" w:rsidRPr="00A139ED" w:rsidRDefault="00614F02" w:rsidP="00A139ED">
      <w:pPr>
        <w:pStyle w:val="BodyTextIndent"/>
        <w:ind w:firstLine="0"/>
        <w:jc w:val="center"/>
        <w:rPr>
          <w:rFonts w:ascii="Arial Narrow" w:hAnsi="Arial Narrow"/>
          <w:b/>
          <w:bCs/>
          <w:lang w:val="id-ID"/>
        </w:rPr>
      </w:pPr>
      <w:r w:rsidRPr="00A139ED">
        <w:rPr>
          <w:rFonts w:ascii="Arial Narrow" w:hAnsi="Arial Narrow"/>
          <w:b/>
          <w:bCs/>
          <w:lang w:val="id-ID"/>
        </w:rPr>
        <w:t>Table 4. Hypothesis Test (t-test)</w:t>
      </w:r>
    </w:p>
    <w:tbl>
      <w:tblPr>
        <w:tblStyle w:val="TableGrid"/>
        <w:tblW w:w="0" w:type="auto"/>
        <w:jc w:val="center"/>
        <w:tblLook w:val="04A0" w:firstRow="1" w:lastRow="0" w:firstColumn="1" w:lastColumn="0" w:noHBand="0" w:noVBand="1"/>
      </w:tblPr>
      <w:tblGrid>
        <w:gridCol w:w="988"/>
        <w:gridCol w:w="2409"/>
        <w:gridCol w:w="1701"/>
        <w:gridCol w:w="1134"/>
      </w:tblGrid>
      <w:tr w:rsidR="00C451AF" w:rsidRPr="00A139ED" w14:paraId="20FB32F5" w14:textId="77777777" w:rsidTr="00205DBA">
        <w:trPr>
          <w:jc w:val="center"/>
        </w:trPr>
        <w:tc>
          <w:tcPr>
            <w:tcW w:w="988" w:type="dxa"/>
          </w:tcPr>
          <w:p w14:paraId="5B23402F" w14:textId="77777777" w:rsidR="00614F02" w:rsidRPr="00A139ED" w:rsidRDefault="00614F02" w:rsidP="0030363D">
            <w:pPr>
              <w:pStyle w:val="BodyTextIndent"/>
              <w:ind w:firstLine="0"/>
              <w:rPr>
                <w:rFonts w:ascii="Arial Narrow" w:hAnsi="Arial Narrow"/>
                <w:sz w:val="18"/>
                <w:szCs w:val="18"/>
                <w:lang w:val="id-ID"/>
              </w:rPr>
            </w:pPr>
            <w:r w:rsidRPr="00A139ED">
              <w:rPr>
                <w:rFonts w:ascii="Arial Narrow" w:hAnsi="Arial Narrow"/>
                <w:sz w:val="18"/>
                <w:szCs w:val="18"/>
                <w:lang w:val="id-ID"/>
              </w:rPr>
              <w:t>Hypothesis</w:t>
            </w:r>
          </w:p>
        </w:tc>
        <w:tc>
          <w:tcPr>
            <w:tcW w:w="2409" w:type="dxa"/>
          </w:tcPr>
          <w:p w14:paraId="7262364B" w14:textId="77777777" w:rsidR="00614F02" w:rsidRPr="00A139ED" w:rsidRDefault="00614F02" w:rsidP="0030363D">
            <w:pPr>
              <w:pStyle w:val="BodyTextIndent"/>
              <w:ind w:firstLine="0"/>
              <w:rPr>
                <w:rFonts w:ascii="Arial Narrow" w:hAnsi="Arial Narrow"/>
                <w:sz w:val="18"/>
                <w:szCs w:val="18"/>
                <w:lang w:val="id-ID"/>
              </w:rPr>
            </w:pPr>
            <w:r w:rsidRPr="00A139ED">
              <w:rPr>
                <w:rFonts w:ascii="Arial Narrow" w:hAnsi="Arial Narrow"/>
                <w:sz w:val="18"/>
                <w:szCs w:val="18"/>
                <w:lang w:val="id-ID"/>
              </w:rPr>
              <w:t>Variables</w:t>
            </w:r>
          </w:p>
        </w:tc>
        <w:tc>
          <w:tcPr>
            <w:tcW w:w="1701" w:type="dxa"/>
          </w:tcPr>
          <w:p w14:paraId="3CC9D8AD" w14:textId="77777777" w:rsidR="00614F02" w:rsidRPr="00A139ED" w:rsidRDefault="00614F02" w:rsidP="0030363D">
            <w:pPr>
              <w:pStyle w:val="BodyTextIndent"/>
              <w:ind w:firstLine="0"/>
              <w:rPr>
                <w:rFonts w:ascii="Arial Narrow" w:hAnsi="Arial Narrow"/>
                <w:sz w:val="18"/>
                <w:szCs w:val="18"/>
                <w:lang w:val="id-ID"/>
              </w:rPr>
            </w:pPr>
            <w:r w:rsidRPr="00A139ED">
              <w:rPr>
                <w:rFonts w:ascii="Arial Narrow" w:hAnsi="Arial Narrow"/>
                <w:sz w:val="18"/>
                <w:szCs w:val="18"/>
                <w:lang w:val="id-ID"/>
              </w:rPr>
              <w:t>Unstandardized B</w:t>
            </w:r>
          </w:p>
        </w:tc>
        <w:tc>
          <w:tcPr>
            <w:tcW w:w="1134" w:type="dxa"/>
          </w:tcPr>
          <w:p w14:paraId="268A4163" w14:textId="77777777" w:rsidR="00614F02" w:rsidRPr="00A139ED" w:rsidRDefault="00614F02" w:rsidP="0030363D">
            <w:pPr>
              <w:pStyle w:val="BodyTextIndent"/>
              <w:ind w:firstLine="0"/>
              <w:rPr>
                <w:rFonts w:ascii="Arial Narrow" w:hAnsi="Arial Narrow"/>
                <w:sz w:val="18"/>
                <w:szCs w:val="18"/>
                <w:lang w:val="id-ID"/>
              </w:rPr>
            </w:pPr>
            <w:r w:rsidRPr="00A139ED">
              <w:rPr>
                <w:rFonts w:ascii="Arial Narrow" w:hAnsi="Arial Narrow"/>
                <w:sz w:val="18"/>
                <w:szCs w:val="18"/>
                <w:lang w:val="id-ID"/>
              </w:rPr>
              <w:t>Significance</w:t>
            </w:r>
          </w:p>
        </w:tc>
      </w:tr>
      <w:tr w:rsidR="006F0E57" w:rsidRPr="00A139ED" w14:paraId="62A00CDD" w14:textId="77777777" w:rsidTr="00205DBA">
        <w:trPr>
          <w:jc w:val="center"/>
        </w:trPr>
        <w:tc>
          <w:tcPr>
            <w:tcW w:w="988" w:type="dxa"/>
          </w:tcPr>
          <w:p w14:paraId="5FDE9920"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H1</w:t>
            </w:r>
          </w:p>
        </w:tc>
        <w:tc>
          <w:tcPr>
            <w:tcW w:w="2409" w:type="dxa"/>
            <w:vAlign w:val="center"/>
          </w:tcPr>
          <w:p w14:paraId="79A53C56"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CED (X1)</w:t>
            </w:r>
          </w:p>
        </w:tc>
        <w:tc>
          <w:tcPr>
            <w:tcW w:w="1701" w:type="dxa"/>
          </w:tcPr>
          <w:p w14:paraId="530895AB" w14:textId="77777777" w:rsidR="006F0E57" w:rsidRPr="00A139ED" w:rsidRDefault="00D808D1" w:rsidP="00D808D1">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-.174</w:t>
            </w:r>
          </w:p>
        </w:tc>
        <w:tc>
          <w:tcPr>
            <w:tcW w:w="1134" w:type="dxa"/>
          </w:tcPr>
          <w:p w14:paraId="0B62A6A7"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cs="Arial"/>
                <w:color w:val="010205"/>
                <w:sz w:val="18"/>
                <w:szCs w:val="18"/>
              </w:rPr>
              <w:t>.629</w:t>
            </w:r>
          </w:p>
        </w:tc>
      </w:tr>
      <w:tr w:rsidR="006F0E57" w:rsidRPr="00A139ED" w14:paraId="70CF225D" w14:textId="77777777" w:rsidTr="00205DBA">
        <w:trPr>
          <w:jc w:val="center"/>
        </w:trPr>
        <w:tc>
          <w:tcPr>
            <w:tcW w:w="988" w:type="dxa"/>
          </w:tcPr>
          <w:p w14:paraId="311A5CF8"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H2</w:t>
            </w:r>
          </w:p>
        </w:tc>
        <w:tc>
          <w:tcPr>
            <w:tcW w:w="2409" w:type="dxa"/>
            <w:vAlign w:val="center"/>
          </w:tcPr>
          <w:p w14:paraId="5B6D5209"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X1*Z Moderation</w:t>
            </w:r>
          </w:p>
        </w:tc>
        <w:tc>
          <w:tcPr>
            <w:tcW w:w="1701" w:type="dxa"/>
          </w:tcPr>
          <w:p w14:paraId="0BF1091A" w14:textId="77777777" w:rsidR="006F0E57" w:rsidRPr="00A139ED" w:rsidRDefault="00D808D1" w:rsidP="00D808D1">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.340</w:t>
            </w:r>
          </w:p>
        </w:tc>
        <w:tc>
          <w:tcPr>
            <w:tcW w:w="1134" w:type="dxa"/>
          </w:tcPr>
          <w:p w14:paraId="38F6D827"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cs="Arial"/>
                <w:color w:val="010205"/>
                <w:sz w:val="18"/>
                <w:szCs w:val="18"/>
              </w:rPr>
              <w:t>.245</w:t>
            </w:r>
          </w:p>
        </w:tc>
      </w:tr>
      <w:tr w:rsidR="006F0E57" w:rsidRPr="00A139ED" w14:paraId="269CA867" w14:textId="77777777" w:rsidTr="00205DBA">
        <w:trPr>
          <w:jc w:val="center"/>
        </w:trPr>
        <w:tc>
          <w:tcPr>
            <w:tcW w:w="988" w:type="dxa"/>
          </w:tcPr>
          <w:p w14:paraId="55662D97"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H3</w:t>
            </w:r>
          </w:p>
        </w:tc>
        <w:tc>
          <w:tcPr>
            <w:tcW w:w="2409" w:type="dxa"/>
            <w:vAlign w:val="center"/>
          </w:tcPr>
          <w:p w14:paraId="4BEFD199"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ROA (X2)</w:t>
            </w:r>
          </w:p>
        </w:tc>
        <w:tc>
          <w:tcPr>
            <w:tcW w:w="1701" w:type="dxa"/>
          </w:tcPr>
          <w:p w14:paraId="4A48A8F5" w14:textId="77777777" w:rsidR="006F0E57" w:rsidRPr="00A139ED" w:rsidRDefault="00D808D1" w:rsidP="00D808D1">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-.263</w:t>
            </w:r>
          </w:p>
        </w:tc>
        <w:tc>
          <w:tcPr>
            <w:tcW w:w="1134" w:type="dxa"/>
          </w:tcPr>
          <w:p w14:paraId="608698B1"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cs="Arial"/>
                <w:color w:val="010205"/>
                <w:sz w:val="18"/>
                <w:szCs w:val="18"/>
              </w:rPr>
              <w:t>.257</w:t>
            </w:r>
          </w:p>
        </w:tc>
      </w:tr>
      <w:tr w:rsidR="006F0E57" w:rsidRPr="00A139ED" w14:paraId="0738D4E8" w14:textId="77777777" w:rsidTr="00205DBA">
        <w:trPr>
          <w:jc w:val="center"/>
        </w:trPr>
        <w:tc>
          <w:tcPr>
            <w:tcW w:w="988" w:type="dxa"/>
          </w:tcPr>
          <w:p w14:paraId="62F532AF"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H4</w:t>
            </w:r>
          </w:p>
        </w:tc>
        <w:tc>
          <w:tcPr>
            <w:tcW w:w="2409" w:type="dxa"/>
            <w:vAlign w:val="center"/>
          </w:tcPr>
          <w:p w14:paraId="73A65769"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sz w:val="18"/>
                <w:szCs w:val="18"/>
                <w:lang w:val="id-ID"/>
              </w:rPr>
              <w:t>Company Size (X3)</w:t>
            </w:r>
          </w:p>
        </w:tc>
        <w:tc>
          <w:tcPr>
            <w:tcW w:w="1701" w:type="dxa"/>
          </w:tcPr>
          <w:p w14:paraId="4F74504E" w14:textId="77777777" w:rsidR="006F0E57" w:rsidRPr="00A139ED" w:rsidRDefault="00D808D1" w:rsidP="00D808D1">
            <w:pPr>
              <w:pStyle w:val="BodyTextIndent"/>
              <w:ind w:firstLine="0"/>
              <w:jc w:val="center"/>
              <w:rPr>
                <w:rFonts w:ascii="Arial Narrow" w:hAnsi="Arial Narrow"/>
                <w:sz w:val="18"/>
                <w:szCs w:val="18"/>
                <w:lang w:val="id-ID"/>
              </w:rPr>
            </w:pPr>
            <w:r w:rsidRPr="00A139ED">
              <w:rPr>
                <w:rFonts w:ascii="Arial Narrow" w:hAnsi="Arial Narrow" w:cs="Arial"/>
                <w:color w:val="010205"/>
                <w:sz w:val="18"/>
                <w:szCs w:val="18"/>
              </w:rPr>
              <w:t>.010</w:t>
            </w:r>
          </w:p>
        </w:tc>
        <w:tc>
          <w:tcPr>
            <w:tcW w:w="1134" w:type="dxa"/>
          </w:tcPr>
          <w:p w14:paraId="3C398F3C" w14:textId="77777777" w:rsidR="006F0E57" w:rsidRPr="00A139ED" w:rsidRDefault="006F0E57" w:rsidP="006F0E57">
            <w:pPr>
              <w:pStyle w:val="BodyTextIndent"/>
              <w:ind w:firstLine="0"/>
              <w:rPr>
                <w:rFonts w:ascii="Arial Narrow" w:hAnsi="Arial Narrow"/>
                <w:sz w:val="18"/>
                <w:szCs w:val="18"/>
                <w:lang w:val="id-ID"/>
              </w:rPr>
            </w:pPr>
            <w:r w:rsidRPr="00A139ED">
              <w:rPr>
                <w:rFonts w:ascii="Arial Narrow" w:hAnsi="Arial Narrow" w:cs="Arial"/>
                <w:color w:val="010205"/>
                <w:sz w:val="18"/>
                <w:szCs w:val="18"/>
              </w:rPr>
              <w:t>.485</w:t>
            </w:r>
          </w:p>
        </w:tc>
      </w:tr>
    </w:tbl>
    <w:p w14:paraId="2A4C6F2C" w14:textId="77777777" w:rsidR="00A139ED" w:rsidRDefault="00A139ED" w:rsidP="00A139ED">
      <w:pPr>
        <w:pStyle w:val="BodyTextIndent"/>
        <w:ind w:left="720" w:firstLine="720"/>
        <w:rPr>
          <w:rFonts w:ascii="Arial Narrow" w:hAnsi="Arial Narrow"/>
          <w:lang w:val="en-ID"/>
        </w:rPr>
      </w:pPr>
      <w:r w:rsidRPr="009E36F3">
        <w:rPr>
          <w:rFonts w:ascii="Arial Narrow" w:hAnsi="Arial Narrow"/>
          <w:lang w:val="en-ID"/>
        </w:rPr>
        <w:t>Source: Processed Data (2024)</w:t>
      </w:r>
    </w:p>
    <w:p w14:paraId="5151A8E0" w14:textId="77777777" w:rsidR="00461DE8" w:rsidRPr="009E36F3" w:rsidRDefault="00461DE8" w:rsidP="00A139ED">
      <w:pPr>
        <w:pStyle w:val="BodyTextIndent"/>
        <w:ind w:left="720" w:firstLine="720"/>
        <w:rPr>
          <w:rFonts w:ascii="Arial Narrow" w:hAnsi="Arial Narrow"/>
          <w:lang w:val="en-ID"/>
        </w:rPr>
      </w:pPr>
    </w:p>
    <w:p w14:paraId="0C4469D1" w14:textId="500C30E9" w:rsidR="00780857" w:rsidRDefault="00780857" w:rsidP="004F29D3">
      <w:pPr>
        <w:ind w:firstLine="340"/>
        <w:rPr>
          <w:rFonts w:ascii="Arial Narrow" w:hAnsi="Arial Narrow"/>
          <w:kern w:val="28"/>
          <w:sz w:val="22"/>
          <w:szCs w:val="22"/>
          <w:lang w:val="en-US"/>
        </w:rPr>
      </w:pPr>
      <w:r w:rsidRPr="00817103">
        <w:rPr>
          <w:rFonts w:ascii="Arial Narrow" w:hAnsi="Arial Narrow"/>
          <w:sz w:val="22"/>
        </w:rPr>
        <w:t xml:space="preserve">The significance value in this study is greater than 0.05, which indicates that the hypothesis is not statistically supported, based on the data table of hypothesis test results. There is no evidence to support H1 stating that Capital Market Reactions are affected by </w:t>
      </w:r>
      <w:r w:rsidR="00956F10">
        <w:rPr>
          <w:rFonts w:ascii="Arial Narrow" w:hAnsi="Arial Narrow"/>
          <w:sz w:val="22"/>
        </w:rPr>
        <w:t>Carbon Emission Disclosure</w:t>
      </w:r>
      <w:r w:rsidRPr="00817103">
        <w:rPr>
          <w:rFonts w:ascii="Arial Narrow" w:hAnsi="Arial Narrow"/>
          <w:sz w:val="22"/>
        </w:rPr>
        <w:t xml:space="preserve"> (CED). Because stock prices in the market have not fully included information, this indicates that the Indonesian capital market is not yet efficient with a semi-strong form. If the price of an asset accurately represents all available information, including that contained in the financial statements of the company that issued the shares, then the market is said to be in a semi-robust efficient form.</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{"citationItems":[{"id":"ITEM-1","itemData":{"author":[{"dropping-particle":"","family":"Hartono","given":"Jogiyanto","non-dropping-particle":"","parse-names":false,"suffix":""}],"edition":"11","id":"ITEM-1","issued":{"date-parts":[["2017"]]},"publisher":"BPFE Universitas Gadjah Mada","publisher-place":"Yogyakarta","title":"Teori Portofolio dan Analisis Investasi","type":"book"},"uris":["http://www.mendeley.com/documents/?uuid=640d3a82-e699-4d61-85ff-431d187e56bd"]}],"mendeley":{"formattedCitation":"(Hartono, 2017)","plainTextFormattedCitation":"(Hartono, 2017)","previouslyFormattedCitation":"(Hartono, 2017)"},"properties":{"noteIndex":0},"schema":"https://github.com/citation-style-language/schema/raw/master/csl-citation.json"}</w:instrText>
      </w:r>
      <w:r>
        <w:rPr>
          <w:rFonts w:ascii="Arial Narrow" w:hAnsi="Arial Narrow"/>
          <w:kern w:val="28"/>
          <w:sz w:val="22"/>
          <w:szCs w:val="22"/>
        </w:rPr>
        <w:fldChar w:fldCharType="separate"/>
      </w:r>
      <w:r w:rsidRPr="00D524B7">
        <w:rPr>
          <w:rFonts w:ascii="Arial Narrow" w:hAnsi="Arial Narrow"/>
          <w:noProof/>
          <w:kern w:val="28"/>
          <w:sz w:val="22"/>
          <w:szCs w:val="22"/>
        </w:rPr>
        <w:t>(Hartono, 2017).</w:t>
      </w:r>
      <w:r>
        <w:rPr>
          <w:rFonts w:ascii="Arial Narrow" w:hAnsi="Arial Narrow"/>
          <w:kern w:val="28"/>
          <w:sz w:val="22"/>
          <w:szCs w:val="22"/>
        </w:rPr>
        <w:fldChar w:fldCharType="end"/>
      </w:r>
      <w:r>
        <w:rPr>
          <w:rFonts w:ascii="Arial Narrow" w:hAnsi="Arial Narrow"/>
          <w:kern w:val="28"/>
          <w:sz w:val="22"/>
          <w:szCs w:val="22"/>
        </w:rPr>
        <w:t xml:space="preserve"> However, in this study, the release of company reports did not affect the price of securities. This indicates that the Indonesian capital market is in a state of weak efficiency and the price of securities is not in accordance with the company's historical data. In making financial decisions, investors do not use historical data. This study supports the previous findings by</w:t>
      </w:r>
      <w:r w:rsidR="0027035A">
        <w:rPr>
          <w:rFonts w:ascii="Arial Narrow" w:hAnsi="Arial Narrow"/>
          <w:kern w:val="28"/>
          <w:sz w:val="22"/>
          <w:szCs w:val="22"/>
        </w:rPr>
        <w:t xml:space="preserve"> </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{"citationItems":[{"id":"ITEM-1","itemData":{"DOI":"10.53625/juremi.v2i1.2234","ISSN":"2798-6489","abstract":"Penelitian ini bertujuan untuk mengetahui serta menguji dampak invasi yang dilakukan negara Rusia ke Ukraina pada 24 Februari 2022, terhadap tingkat keuntungan yang diperoleh investor (yang diukur dengan average abnormal return) pada perusahaan-perusahaan industri energi yang tercatat di pasar modal Indonesia. Penelitian menggunakan uji beda (paired sample test) untuk mengetahui pergerakan average abnormal return 14 hari, 7 hari dan 3 hari sebelum dan sesudah invasi terjadi pada 24 Februari 2022. Hasil yang didapatkan berdasarkan uji beda mengatakan bahwa tidak ada pengaruh yang signifikan invasi Rusia ke Ukraina terhadap harga saham industri energi di pasar modal Indonesia. Hasil ini juga menunjukkan bahwa efficient market hypothesis (bentuk semi kuat) tidak terbukti dalam penelitian ini.","author":[{"dropping-particle":"","family":"Huka","given":"Christian Krisna Yonathan","non-dropping-particle":"","parse-names":false,"suffix":""},{"dropping-particle":"","family":"Kelen","given":"Lusianus Heronimus Sinyo","non-dropping-particle":"","parse-names":false,"suffix":""}],"container-title":"Juremi: Jurnal Riset Ekonomi","id":"ITEM-1","issue":"1","issued":{"date-parts":[["2022"]]},"page":"73-82","title":"Dampak Invasi Rusia Ke Ukraina Terhadap Average Abnormal Return Perusahaan Industri Energi Yang Terdaftar Di Bursa Efek Indonesia","type":"article-journal","volume":"2"},"uris":["http://www.mendeley.com/documents/?uuid=bf250496-c929-43db-a369-d5536b9fd4b9"]}],"mendeley":{"formattedCitation":"(Huka &amp; Kelen, 2022)","manualFormatting":"Huka &amp; Kelen (2022)","plainTextFormattedCitation":"(Huka &amp; Kelen, 2022)","previouslyFormattedCitation":"(Huka &amp; Kelen, 2022)"},"properties":{"noteIndex":0},"schema":"https://github.com/citation-style-language/schema/raw/master/csl-citation.json"}</w:instrText>
      </w:r>
      <w:r>
        <w:rPr>
          <w:rFonts w:ascii="Arial Narrow" w:hAnsi="Arial Narrow"/>
          <w:kern w:val="28"/>
          <w:sz w:val="22"/>
          <w:szCs w:val="22"/>
        </w:rPr>
        <w:fldChar w:fldCharType="separate"/>
      </w:r>
      <w:r w:rsidRPr="00494A3F">
        <w:rPr>
          <w:rFonts w:ascii="Arial Narrow" w:hAnsi="Arial Narrow"/>
          <w:noProof/>
          <w:kern w:val="28"/>
          <w:sz w:val="22"/>
          <w:szCs w:val="22"/>
        </w:rPr>
        <w:t>Huka &amp; Kelen (2022) and</w:t>
      </w:r>
      <w:r>
        <w:rPr>
          <w:rFonts w:ascii="Arial Narrow" w:hAnsi="Arial Narrow"/>
          <w:kern w:val="28"/>
          <w:sz w:val="22"/>
          <w:szCs w:val="22"/>
        </w:rPr>
        <w:fldChar w:fldCharType="end"/>
      </w:r>
      <w:r>
        <w:rPr>
          <w:rFonts w:ascii="Arial Narrow" w:hAnsi="Arial Narrow"/>
          <w:kern w:val="28"/>
          <w:sz w:val="22"/>
          <w:szCs w:val="22"/>
        </w:rPr>
        <w:t xml:space="preserve"> Sari</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{"citationItems":[{"id":"ITEM-1","itemData":{"DOI":"10.58784/mbkk.114","ISSN":"2988-6899","abstract":"The Indonesian capital market is one of the markets in Asia that has the potential to be influenced by various economic and other global issues. This study aims to examine market conditions in Indonesia in the context of the weak form efficient market hypothesis. The sample used is the rate of return from the composite index in Indonesia with an observation period from 2010 to 2023. This study finds that the average value throughout the observation period is quite small and almost close to zero although it has an optimum return. In further analysis, the finding shows that the market in Indonesia is consistent with the weak form efficient market hypothesis with a mean-reversion tendency.","author":[{"dropping-particle":"","family":"Sari","given":"Dian Purnama","non-dropping-particle":"","parse-names":false,"suffix":""},{"dropping-particle":"","family":"Maradesa","given":"Djeini","non-dropping-particle":"","parse-names":false,"suffix":""},{"dropping-particle":"","family":"Budiarso","given":"Novi Swandari","non-dropping-particle":"","parse-names":false,"suffix":""}],"container-title":"Manajemen Bisnis dan Keuangan Korporat","id":"ITEM-1","issue":"2","issued":{"date-parts":[["2024"]]},"page":"103-108","title":"Efisiensi pasar dan mean-reversion di Indonesia","type":"article-journal","volume":"2"},"uris":["http://www.mendeley.com/documents/?uuid=856b0ec0-79cf-4e12-99fb-0828b85c6c73"]}],"mendeley":{"formattedCitation":"(Sari et al., 2024)","manualFormatting":"Sari et al., (2024)","plainTextFormattedCitation":"(Sari et al., 2024)"},"properties":{"noteIndex":0},"schema":"https://github.com/citation-style-language/schema/raw/master/csl-citation.json"}</w:instrText>
      </w:r>
      <w:r>
        <w:rPr>
          <w:rFonts w:ascii="Arial Narrow" w:hAnsi="Arial Narrow"/>
          <w:kern w:val="28"/>
          <w:sz w:val="22"/>
          <w:szCs w:val="22"/>
        </w:rPr>
        <w:fldChar w:fldCharType="separate"/>
      </w:r>
      <w:r w:rsidRPr="00494A3F">
        <w:rPr>
          <w:rFonts w:ascii="Arial Narrow" w:hAnsi="Arial Narrow"/>
          <w:noProof/>
          <w:kern w:val="28"/>
          <w:sz w:val="22"/>
          <w:szCs w:val="22"/>
        </w:rPr>
        <w:t>et al., (2024)</w:t>
      </w:r>
      <w:r>
        <w:rPr>
          <w:rFonts w:ascii="Arial Narrow" w:hAnsi="Arial Narrow"/>
          <w:kern w:val="28"/>
          <w:sz w:val="22"/>
          <w:szCs w:val="22"/>
        </w:rPr>
        <w:fldChar w:fldCharType="end"/>
      </w:r>
      <w:r w:rsidRPr="00817103">
        <w:rPr>
          <w:rFonts w:ascii="Arial Narrow" w:hAnsi="Arial Narrow"/>
          <w:kern w:val="28"/>
          <w:sz w:val="22"/>
          <w:szCs w:val="22"/>
        </w:rPr>
        <w:t xml:space="preserve"> which stated that the Indonesian capital market is not yet semi-strong efficient.</w:t>
      </w:r>
    </w:p>
    <w:p w14:paraId="4754E4F7" w14:textId="12814478" w:rsidR="00780857" w:rsidRDefault="00780857" w:rsidP="004211D2">
      <w:pPr>
        <w:ind w:firstLine="340"/>
        <w:rPr>
          <w:rFonts w:ascii="Arial Narrow" w:hAnsi="Arial Narrow"/>
          <w:kern w:val="28"/>
          <w:sz w:val="22"/>
          <w:szCs w:val="22"/>
          <w:lang w:val="en-US"/>
        </w:rPr>
      </w:pPr>
      <w:r>
        <w:rPr>
          <w:rFonts w:ascii="Arial Narrow" w:hAnsi="Arial Narrow"/>
          <w:kern w:val="28"/>
          <w:sz w:val="22"/>
          <w:szCs w:val="22"/>
        </w:rPr>
        <w:t xml:space="preserve">The second hypothesis of this study which states that media coverage moderates the effect of </w:t>
      </w:r>
      <w:r w:rsidR="00956F10">
        <w:rPr>
          <w:rFonts w:ascii="Arial Narrow" w:hAnsi="Arial Narrow"/>
          <w:kern w:val="28"/>
          <w:sz w:val="22"/>
          <w:szCs w:val="22"/>
        </w:rPr>
        <w:t>Carbon Emission Disclosure</w:t>
      </w:r>
      <w:r>
        <w:rPr>
          <w:rFonts w:ascii="Arial Narrow" w:hAnsi="Arial Narrow"/>
          <w:kern w:val="28"/>
          <w:sz w:val="22"/>
          <w:szCs w:val="22"/>
        </w:rPr>
        <w:t xml:space="preserve"> (CED) on capital market reactions is not statistically supported. The presence of media coverage variables is not able to strengthen or weaken the influence of CED on capital market reactions. Media is seen as not an effective means of conveying information to investors, some of the reasons why media are not an effective means include information bias or different investor interests. Behavioral finance theory states that the market is not always efficient because it is influenced by investor psychology, biases, and emotional factors.</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author":[{"dropping-particle":"","family":"Gupta","given":"Yamini","non-dropping-particle":"","parse-names":false,"suffix":""},{"dropping-particle":"","family":"Ahmed","given":"Shahid","non-dropping-particle":"","parse-names":false,"suffix":""}],"id":"ITEM-1","issue":"38","issued":{"date-parts":[["2017"]]},"page":"37-40","title":"E- ISSN - 2349-6746 International Journal of Management and Social Science Research Review , Vol-1 , Issue-38 , August-2017 Page 37 Research Paper E- ISSN - 2349-6746 ISSN - 2349-6738 International Journal of Management and Social Science Research Review","type":"article-journal","volume":"1"},"uris":["http://www.mendeley.com/documents/?uuid=e6f07c15-2a46-4651-a0b7-963c4c2ec4b3"]}],"mendeley":{"formattedCitation":"(Gupta &amp; Ahmed, 2017)","manualFormatting":"Gupta &amp; Ahmed (2017)","plainTextFormattedCitation":"(Gupta &amp; Ahmed, 2017)","previouslyFormattedCitation":"(Gupta &amp; Ahmed, 2017)"},"properties":{"noteIndex":0},"schema":"https://github.com/citation-style-language/schema/raw/master/csl-citation.json"}</w:instrText>
      </w:r>
      <w:r>
        <w:rPr>
          <w:rFonts w:ascii="Arial Narrow" w:hAnsi="Arial Narrow"/>
          <w:kern w:val="28"/>
          <w:sz w:val="22"/>
          <w:szCs w:val="22"/>
        </w:rPr>
        <w:fldChar w:fldCharType="separate"/>
      </w:r>
      <w:r w:rsidRPr="00397E69">
        <w:rPr>
          <w:rFonts w:ascii="Arial Narrow" w:hAnsi="Arial Narrow"/>
          <w:noProof/>
          <w:kern w:val="28"/>
          <w:sz w:val="22"/>
          <w:szCs w:val="22"/>
        </w:rPr>
        <w:t xml:space="preserve">Gupta &amp; Ahmed (2017) </w:t>
      </w:r>
      <w:r>
        <w:rPr>
          <w:rFonts w:ascii="Arial Narrow" w:hAnsi="Arial Narrow"/>
          <w:kern w:val="28"/>
          <w:sz w:val="22"/>
          <w:szCs w:val="22"/>
        </w:rPr>
        <w:fldChar w:fldCharType="end"/>
      </w:r>
      <w:r>
        <w:rPr>
          <w:rFonts w:ascii="Arial Narrow" w:hAnsi="Arial Narrow"/>
          <w:kern w:val="28"/>
          <w:sz w:val="22"/>
          <w:szCs w:val="22"/>
        </w:rPr>
        <w:t>stated that investors are not always rational which leads to deviations in the price of securities from their fundamental value. Investors who are not always rational can make decisions based on the emotions or psychology of the investor in question.</w:t>
      </w:r>
    </w:p>
    <w:p w14:paraId="1EE0B3F8" w14:textId="77777777" w:rsidR="00780857" w:rsidRDefault="00780857" w:rsidP="004211D2">
      <w:pPr>
        <w:pStyle w:val="NormalIndent"/>
        <w:rPr>
          <w:rFonts w:ascii="Arial Narrow" w:hAnsi="Arial Narrow"/>
          <w:kern w:val="28"/>
          <w:sz w:val="22"/>
          <w:szCs w:val="22"/>
        </w:rPr>
      </w:pPr>
      <w:r>
        <w:rPr>
          <w:rFonts w:ascii="Arial Narrow" w:hAnsi="Arial Narrow"/>
          <w:kern w:val="28"/>
          <w:sz w:val="22"/>
          <w:szCs w:val="22"/>
        </w:rPr>
        <w:t>The third and fourth hypotheses related to financial variables that state that ROA and Company Size affect Capital Market Reaction are not statistically supported. ROA is one of the profitability indicators that fundamentally compares profit after tax and total assets. Fundamental value is or intrinsic value is the value that should be a security</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{"citationItems":[{"id":"ITEM-1","itemData":{"author":[{"dropping-particle":"","family":"Hartono","given":"Jogiyanto","non-dropping-particle":"","parse-names":false,"suffix":""}],"edition":"11","id":"ITEM-1","issued":{"date-parts":[["2017"]]},"publisher":"BPFE Universitas Gadjah Mada","publisher-place":"Yogyakarta","title":"Teori Portofolio dan Analisis Investasi","type":"book"},"uris":["http://www.mendeley.com/documents/?uuid=640d3a82-e699-4d61-85ff-431d187e56bd"]}],"mendeley":{"formattedCitation":"(Hartono, 2017)","plainTextFormattedCitation":"(Hartono, 2017)","previouslyFormattedCitation":"(Hartono, 2017)"},"properties":{"noteIndex":0},"schema":"https://github.com/citation-style-language/schema/raw/master/csl-citation.json"}</w:instrText>
      </w:r>
      <w:r>
        <w:rPr>
          <w:rFonts w:ascii="Arial Narrow" w:hAnsi="Arial Narrow"/>
          <w:kern w:val="28"/>
          <w:sz w:val="22"/>
          <w:szCs w:val="22"/>
        </w:rPr>
        <w:fldChar w:fldCharType="separate"/>
      </w:r>
      <w:r w:rsidRPr="0018692B">
        <w:rPr>
          <w:rFonts w:ascii="Arial Narrow" w:hAnsi="Arial Narrow"/>
          <w:noProof/>
          <w:kern w:val="28"/>
          <w:sz w:val="22"/>
          <w:szCs w:val="22"/>
        </w:rPr>
        <w:t xml:space="preserve"> (Hartono, 2017).</w:t>
      </w:r>
      <w:r>
        <w:rPr>
          <w:rFonts w:ascii="Arial Narrow" w:hAnsi="Arial Narrow"/>
          <w:kern w:val="28"/>
          <w:sz w:val="22"/>
          <w:szCs w:val="22"/>
        </w:rPr>
        <w:fldChar w:fldCharType="end"/>
      </w:r>
      <w:r>
        <w:rPr>
          <w:rFonts w:ascii="Arial Narrow" w:hAnsi="Arial Narrow"/>
          <w:kern w:val="28"/>
          <w:sz w:val="22"/>
          <w:szCs w:val="22"/>
        </w:rPr>
        <w:t xml:space="preserve"> The efficiency of the Indonesian capital market has not reflected past information, so investors are still following the trends that occur in the capital market, this is an advantage of securities technical analysis. Technical analysis uses market value in determining the price of securities, market value is the market price of the exchange at a certain time determined by market demand and supply. Based on behavioral finance theory, investors' decisions are influenced by psychological factors, so investors who are not always rational will take action according to current market trends. The results of this study are in line with previous research </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{"citationItems":[{"id":"ITEM-1","itemData":{"abstract":"Taxes are the largest source of income in the State of Indonesia. However, in practice the government's goal of increasing revenue in the tax sector is at odds with companies. Thus, the purpose of this study was to determine the effect of corporate governance, business strategy, sales growth, leverage, and profitability on tax avoidance. This research is an empirical research that uses quantitative methods. Sampling using purposive sampling technique in order to obtain a sample size of 173. The data source of this study was obtained from the annual financial statements of companies in the manufacturing sector. This study shows the results that business strategy, sales growth, leverage, and profitability affect tax avoidance. Meanwhile, corporate governance proxied by independent commissioners, institutional ownership, audit committee, and audit quality has no effect on tax avoidance.","author":[{"dropping-particle":"","family":"Agustin","given":"","non-dropping-particle":"","parse-names":false,"suffix":""},{"dropping-particle":"","family":"Sudaryanti","given":"Dwiyani","non-dropping-particle":"","parse-names":false,"suffix":""},{"dropping-particle":"","family":"Arista","given":"","non-dropping-particle":"","parse-names":false,"suffix":""}],"container-title":"E-Jra","id":"ITEM-1","issue":"06","issued":{"date-parts":[["2021"]]},"page":"129-141","title":"PENGARUH GOOD CORPORATE GOVERNANCE, PROFITABILITAS DAN STRUKTUR MODAL TERHADAP REAKSI INVESTOR PADA MASA PANDEMI (Studi Pada Perusahaan Manufaktur Yang Terdaftar di Bursa Efek Indonesia)","type":"article-journal","volume":"10"},"uris":["http://www.mendeley.com/documents/?uuid=39cc0202-d459-4fa9-8f65-2eff6bf8c2d1"]},{"id":"ITEM-2","itemData":{"ISSN":"0029-5582","abstract":"We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evaluation.","author":[{"dropping-particle":"","family":"Ciptaningrum","given":"Antonia Dyah Ayu","non-dropping-particle":"","parse-names":false,"suffix":""}],"container-title":"Universitas Atma Jaya Yogyakarta","id":"ITEM-2","issued":{"date-parts":[["2023"]]},"title":"PENGARUH KINERJA KEUANGAN TERHADAP REAKSI PASAR Studi Pada Perusahaan yang Terdaftar di IDX80 Skripsi","type":"thesis"},"uris":["http://www.mendeley.com/documents/?uuid=45f08ec9-1f38-417b-88a0-9e3a5659be01"]},{"id":"ITEM-3","itemData":{"abstract":"Page 1. PENGARUH KINERJA KEUANGAN DAN TINGKAT SUKU BUNGA TERHADAP REAKSI PASAR Bella Ayu Permatasari permatasariayubella@gmail.com Kurnia Sekolah Tinggi Ilmu Ekonomi Indonesia (STIESIA) Surabaya ABSTRACT …","author":[{"dropping-particle":"","family":"Permatasari","given":"Bella Ayu","non-dropping-particle":"","parse-names":false,"suffix":""}],"container-title":"Jurnal Ilmu Dan Riset Akuntansi","id":"ITEM-3","issue":"10","issued":{"date-parts":[["2017"]]},"title":"Pengaruh Kinerja Keuangan dan Tingkat Suku Bunga Tehadap Reaksi Pasar","type":"article-journal","volume":"6"},"uris":["http://www.mendeley.com/documents/?uuid=a47c0492-8311-4acb-a8a5-974ea7c9fd1a"]}],"mendeley":{"formattedCitation":"(Agustin et al., 2021; Ciptaningrum, 2023; Permatasari, 2017)","plainTextFormattedCitation":"(Agustin et al., 2021; Ciptaningrum, 2023; Permatasari, 2017)","previouslyFormattedCitation":"(Agustin et al., 2021; Ciptaningrum, 2023; Permatasari, 2017)"},"properties":{"noteIndex":0},"schema":"https://github.com/citation-style-language/schema/raw/master/csl-citation.json"}</w:instrText>
      </w:r>
      <w:r>
        <w:rPr>
          <w:rFonts w:ascii="Arial Narrow" w:hAnsi="Arial Narrow"/>
          <w:kern w:val="28"/>
          <w:sz w:val="22"/>
          <w:szCs w:val="22"/>
        </w:rPr>
        <w:fldChar w:fldCharType="separate"/>
      </w:r>
      <w:r w:rsidRPr="006C0A26">
        <w:rPr>
          <w:rFonts w:ascii="Arial Narrow" w:hAnsi="Arial Narrow"/>
          <w:noProof/>
          <w:kern w:val="28"/>
          <w:sz w:val="22"/>
          <w:szCs w:val="22"/>
        </w:rPr>
        <w:t>(Agustin et al., 2021; Ciptaningrum, 2023; Permatasari, 2017)</w:t>
      </w:r>
      <w:r>
        <w:rPr>
          <w:rFonts w:ascii="Arial Narrow" w:hAnsi="Arial Narrow"/>
          <w:kern w:val="28"/>
          <w:sz w:val="22"/>
          <w:szCs w:val="22"/>
        </w:rPr>
        <w:fldChar w:fldCharType="end"/>
      </w:r>
      <w:r>
        <w:rPr>
          <w:rFonts w:ascii="Arial Narrow" w:hAnsi="Arial Narrow"/>
          <w:kern w:val="28"/>
          <w:sz w:val="22"/>
          <w:szCs w:val="22"/>
        </w:rPr>
        <w:t xml:space="preserve"> that profitability does not affect the reaction of the capital market because the ROA indicator has a weakness, namely it tends to focus on the short-term rather than long-term goals.</w:t>
      </w:r>
    </w:p>
    <w:p w14:paraId="29620EA5" w14:textId="77777777" w:rsidR="00780857" w:rsidRDefault="00780857" w:rsidP="00BF40D1">
      <w:pPr>
        <w:pStyle w:val="NormalIndent"/>
        <w:rPr>
          <w:rFonts w:ascii="Arial Narrow" w:hAnsi="Arial Narrow"/>
          <w:kern w:val="28"/>
          <w:sz w:val="22"/>
          <w:szCs w:val="22"/>
          <w:lang w:val="en-ID"/>
        </w:rPr>
      </w:pPr>
      <w:r>
        <w:rPr>
          <w:rFonts w:ascii="Arial Narrow" w:hAnsi="Arial Narrow"/>
          <w:kern w:val="28"/>
          <w:sz w:val="22"/>
          <w:szCs w:val="22"/>
        </w:rPr>
        <w:t xml:space="preserve">The size of companies is not statistically supported by the reaction of the capital market, this indicates that it does not look at how big or small the size of companies in the transportation and logistics sectors is when making decisions to invest in the capital markets. The large size of the company reflects that the company has good financial or operational stability so that investors will be more confident if they invest in the company. However, the profit factor is also seen by potential investors, the term high risk high return so that investors will be more interested in companies that are growing and have high capital for their investment returns. Indonesia's capital market is </w:t>
      </w:r>
      <w:r>
        <w:rPr>
          <w:rFonts w:ascii="Arial Narrow" w:hAnsi="Arial Narrow"/>
          <w:kern w:val="28"/>
          <w:sz w:val="22"/>
          <w:szCs w:val="22"/>
        </w:rPr>
        <w:lastRenderedPageBreak/>
        <w:t>dominated by young people, including millennials and Gen Z</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{"citationItems":[{"id":"ITEM-1","itemData":{"author":[{"dropping-particle":"","family":"Annur","given":"Cindy Mutia","non-dropping-particle":"","parse-names":false,"suffix":""}],"container-title":"katadata","id":"ITEM-1","issued":{"date-parts":[["2023"]]},"title":"Proporsi Investor Pasar Modal Indonesia Berdasarkan Kelompok Usia (Agustus 2023)","type":"article-newspaper"},"uris":["http://www.mendeley.com/documents/?uuid=4c3ad505-8f83-4bf3-859a-6f913e8f7460"]}],"mendeley":{"formattedCitation":"(Annur, 2023)","plainTextFormattedCitation":"(Annur, 2023)","previouslyFormattedCitation":"(Annur, 2023)"},"properties":{"noteIndex":0},"schema":"https://github.com/citation-style-language/schema/raw/master/csl-citation.json"}</w:instrText>
      </w:r>
      <w:r>
        <w:rPr>
          <w:rFonts w:ascii="Arial Narrow" w:hAnsi="Arial Narrow"/>
          <w:kern w:val="28"/>
          <w:sz w:val="22"/>
          <w:szCs w:val="22"/>
        </w:rPr>
        <w:fldChar w:fldCharType="separate"/>
      </w:r>
      <w:r w:rsidRPr="009E2078">
        <w:rPr>
          <w:rFonts w:ascii="Arial Narrow" w:hAnsi="Arial Narrow"/>
          <w:noProof/>
          <w:kern w:val="28"/>
          <w:sz w:val="22"/>
          <w:szCs w:val="22"/>
        </w:rPr>
        <w:t xml:space="preserve"> (Annur, 2023),</w:t>
      </w:r>
      <w:r>
        <w:rPr>
          <w:rFonts w:ascii="Arial Narrow" w:hAnsi="Arial Narrow"/>
          <w:kern w:val="28"/>
          <w:sz w:val="22"/>
          <w:szCs w:val="22"/>
        </w:rPr>
        <w:fldChar w:fldCharType="end"/>
      </w:r>
      <w:r>
        <w:rPr>
          <w:rFonts w:ascii="Arial Narrow" w:hAnsi="Arial Narrow"/>
          <w:kern w:val="28"/>
          <w:sz w:val="22"/>
          <w:szCs w:val="22"/>
        </w:rPr>
        <w:t xml:space="preserve"> young investors have a high investment risk preference because they are still at productive age. This research is in line with the research</w:t>
      </w:r>
      <w:r>
        <w:rPr>
          <w:rFonts w:ascii="Arial Narrow" w:hAnsi="Arial Narrow"/>
          <w:kern w:val="28"/>
          <w:sz w:val="22"/>
          <w:szCs w:val="22"/>
        </w:rPr>
        <w:fldChar w:fldCharType="begin" w:fldLock="1"/>
      </w:r>
      <w:r>
        <w:rPr>
          <w:rFonts w:ascii="Arial Narrow" w:hAnsi="Arial Narrow"/>
          <w:kern w:val="28"/>
          <w:sz w:val="22"/>
          <w:szCs w:val="22"/>
        </w:rPr>
        <w:instrText>ADDIN CSL_CITATION {"citationItems":[{"id":"ITEM-1","itemData":{"abstract":"This research aimed to examine the effect of profitablility (ROA), leverage (DER), and firm size (SIZE) on the market reaction proxy with a stock return over the annual financial statement at property and real estate companies listed on the Indonesia Stock Exchange. The reaserch used a purposive sampling method at the property and real estate listed on Indonesia Stock Exchange (IDX) during the period of 2015-2019. Based on the determined criteria it obtained 27 samples of property and real estate companies. Furthermore, the analysis method used multiple linear regressions with the SPSS application. The result of this research used feasible test (F-test) showed that the research model was feasible to use. Meanwhile the hypothesis test (T-test) showed that profitability (ROA) had a negative effect on the market reaction with the t count was-2,351 and the significant value of 0,020. Leverage (DER) had positive effect on the market reaction with t count was 7,375 and the significant value was 0,000. Moreever, the firm size did not affect the market reaction with the T-count was 0,724 and the significant value was 0,470.","author":[{"dropping-particle":"","family":"Anwar","given":"Miftahol","non-dropping-particle":"","parse-names":false,"suffix":""},{"dropping-particle":"","family":"Fadjrih","given":"Nur","non-dropping-particle":"","parse-names":false,"suffix":""}],"container-title":"Jurnal Ilmu dan Riset Akuntansi","id":"ITEM-1","issue":"9","issued":{"date-parts":[["2021"]]},"number-of-pages":"1-23","title":"Pengaruh Profitabilitas, Leverage dan Ukuran Perusahaan terhadap Reaksi Pasar","type":"thesis","volume":"10"},"uris":["http://www.mendeley.com/documents/?uuid=80831669-0b28-49ad-9f8f-43c82b7d5a5c"]},{"id":"ITEM-2","itemData":{"author":[{"dropping-particle":"","family":"Cyntessa Nur Annisa Mukti","given":"Nur Fadjrih Asyik","non-dropping-particle":"","parse-names":false,"suffix":""}],"id":"ITEM-2","issued":{"date-parts":[["2017"]]},"title":"profitabilitas yang diukur menggunakan ROA memiliki pengaruh positif dan signifikan terhadap return saham .","type":"article-journal"},"uris":["http://www.mendeley.com/documents/?uuid=da7d66be-c5bf-431a-a016-e96db1d887b3"]}],"mendeley":{"formattedCitation":"(Anwar &amp; Fadjrih, 2021; Cyntessa Nur Annisa Mukti, 2017)","manualFormatting":"Anwar &amp; Fadjrih (2021) dan Cyntessa Nur Annisa Mukti (2017)","plainTextFormattedCitation":"(Anwar &amp; Fadjrih, 2021; Cyntessa Nur Annisa Mukti, 2017)","previouslyFormattedCitation":"(Anwar &amp; Fadjrih, 2021; Cyntessa Nur Annisa Mukti, 2017)"},"properties":{"noteIndex":0},"schema":"https://github.com/citation-style-language/schema/raw/master/csl-citation.json"}</w:instrText>
      </w:r>
      <w:r>
        <w:rPr>
          <w:rFonts w:ascii="Arial Narrow" w:hAnsi="Arial Narrow"/>
          <w:kern w:val="28"/>
          <w:sz w:val="22"/>
          <w:szCs w:val="22"/>
        </w:rPr>
        <w:fldChar w:fldCharType="separate"/>
      </w:r>
      <w:r w:rsidRPr="006754A0">
        <w:rPr>
          <w:rFonts w:ascii="Arial Narrow" w:hAnsi="Arial Narrow"/>
          <w:noProof/>
          <w:kern w:val="28"/>
          <w:sz w:val="22"/>
          <w:szCs w:val="22"/>
        </w:rPr>
        <w:t xml:space="preserve"> of Anwar &amp; Fadjrih (2021) and Cyntessa Nur Annisa Mukti (2017) </w:t>
      </w:r>
      <w:r>
        <w:rPr>
          <w:rFonts w:ascii="Arial Narrow" w:hAnsi="Arial Narrow"/>
          <w:kern w:val="28"/>
          <w:sz w:val="22"/>
          <w:szCs w:val="22"/>
        </w:rPr>
        <w:fldChar w:fldCharType="end"/>
      </w:r>
      <w:r>
        <w:rPr>
          <w:rFonts w:ascii="Arial Narrow" w:hAnsi="Arial Narrow"/>
          <w:kern w:val="28"/>
          <w:sz w:val="22"/>
          <w:szCs w:val="22"/>
        </w:rPr>
        <w:t>who stated that the size of the company does not affect the market reaction, the size of a large company does not always provide a large rate of return.</w:t>
      </w:r>
    </w:p>
    <w:p w14:paraId="1004A43F" w14:textId="77777777" w:rsidR="004434C8" w:rsidRPr="009E2078" w:rsidRDefault="004434C8" w:rsidP="00773B41">
      <w:pPr>
        <w:pStyle w:val="NormalIndent"/>
        <w:rPr>
          <w:rFonts w:ascii="Arial Narrow" w:hAnsi="Arial Narrow"/>
          <w:kern w:val="28"/>
          <w:sz w:val="22"/>
          <w:szCs w:val="22"/>
        </w:rPr>
      </w:pPr>
    </w:p>
    <w:p w14:paraId="1D1DB73E" w14:textId="77777777" w:rsidR="000D76CA" w:rsidRPr="00D751A2" w:rsidRDefault="00D751A2" w:rsidP="00D751A2">
      <w:pPr>
        <w:pStyle w:val="ListParagraph"/>
        <w:numPr>
          <w:ilvl w:val="0"/>
          <w:numId w:val="21"/>
        </w:numPr>
        <w:spacing w:before="120" w:after="120"/>
        <w:ind w:left="284" w:hanging="284"/>
        <w:rPr>
          <w:rFonts w:ascii="Arial Narrow" w:hAnsi="Arial Narrow"/>
          <w:b/>
          <w:color w:val="4472C4" w:themeColor="accent1"/>
          <w:sz w:val="22"/>
          <w:szCs w:val="22"/>
        </w:rPr>
      </w:pPr>
      <w:r w:rsidRPr="00D751A2">
        <w:rPr>
          <w:rFonts w:ascii="Arial Narrow" w:hAnsi="Arial Narrow"/>
          <w:b/>
          <w:bCs/>
          <w:color w:val="4472C4" w:themeColor="accent1"/>
          <w:sz w:val="22"/>
          <w:szCs w:val="22"/>
        </w:rPr>
        <w:t>Conclusion</w:t>
      </w:r>
      <w:r w:rsidR="00B86248" w:rsidRPr="00D751A2">
        <w:rPr>
          <w:rFonts w:ascii="Arial Narrow" w:hAnsi="Arial Narrow"/>
          <w:b/>
          <w:color w:val="4472C4" w:themeColor="accent1"/>
          <w:sz w:val="22"/>
          <w:szCs w:val="22"/>
        </w:rPr>
        <w:t xml:space="preserve"> </w:t>
      </w:r>
    </w:p>
    <w:p w14:paraId="6F8C0725" w14:textId="77777777" w:rsidR="00780857" w:rsidRDefault="00780857" w:rsidP="009B27C3">
      <w:pPr>
        <w:pStyle w:val="NormalIndent"/>
        <w:ind w:firstLine="0"/>
        <w:rPr>
          <w:rFonts w:ascii="Arial Narrow" w:hAnsi="Arial Narrow"/>
          <w:sz w:val="22"/>
          <w:szCs w:val="22"/>
          <w:lang w:val="en-ID"/>
        </w:rPr>
      </w:pPr>
      <w:r w:rsidRPr="00887ACA">
        <w:rPr>
          <w:rFonts w:ascii="Arial Narrow" w:hAnsi="Arial Narrow"/>
          <w:sz w:val="22"/>
          <w:szCs w:val="22"/>
        </w:rPr>
        <w:t>This study concludes that the hypothesis presented is not statistically supported. The capital market in semi-strong efficiency has also not been proven, the share price does not reflect the content of the information published by the company. This is related to behavioral financial theory because investors in deciding to invest are often irrational which is influenced by investor psychological factors. The limitation of this study is that the sample used is companies in the transportation and logistics sector, further research can use samples from companies in other sectors listed on the Indonesia Stock Exchange (IDX). Another limitation is that the study observation window uses 30 days, further research can use other observation window periods.</w:t>
      </w:r>
    </w:p>
    <w:p w14:paraId="69FAFA65" w14:textId="77777777" w:rsidR="00780857" w:rsidRPr="00614F02" w:rsidRDefault="00780857" w:rsidP="009B27C3">
      <w:pPr>
        <w:pStyle w:val="NormalIndent"/>
        <w:rPr>
          <w:rFonts w:ascii="Arial Narrow" w:hAnsi="Arial Narrow"/>
          <w:sz w:val="22"/>
          <w:szCs w:val="22"/>
          <w:lang w:val="en-ID"/>
        </w:rPr>
      </w:pPr>
    </w:p>
    <w:p w14:paraId="3EF8CA60" w14:textId="77777777" w:rsidR="00B852CA" w:rsidRDefault="00D751A2" w:rsidP="001F79AA">
      <w:pPr>
        <w:spacing w:before="120" w:after="120"/>
        <w:rPr>
          <w:rFonts w:ascii="Arial Narrow" w:hAnsi="Arial Narrow"/>
          <w:b/>
          <w:bCs/>
          <w:color w:val="4472C4" w:themeColor="accent1"/>
          <w:sz w:val="22"/>
          <w:szCs w:val="22"/>
        </w:rPr>
      </w:pPr>
      <w:r w:rsidRPr="00D751A2">
        <w:rPr>
          <w:rFonts w:ascii="Arial Narrow" w:hAnsi="Arial Narrow"/>
          <w:b/>
          <w:bCs/>
          <w:color w:val="4472C4" w:themeColor="accent1"/>
          <w:sz w:val="22"/>
          <w:szCs w:val="22"/>
        </w:rPr>
        <w:t>Bibliography</w:t>
      </w:r>
    </w:p>
    <w:p w14:paraId="57429CDD"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Agustin, Sudaryanti, D., &amp; Arista. (2021). PENGARUH GOOD CORPORATE GOVERNANCE, PROFITABILITAS DAN STRUKTUR MODAL TERHADAP REAKSI INVESTOR PADA MASA PANDEMI (Studi Pada Perusahaan Manufaktur Yang Terdaftar di Bursa Efek Indonesia). </w:t>
      </w:r>
      <w:r w:rsidRPr="00494A3F">
        <w:rPr>
          <w:i/>
          <w:iCs/>
          <w:noProof/>
          <w:szCs w:val="24"/>
        </w:rPr>
        <w:t>E-Jra</w:t>
      </w:r>
      <w:r w:rsidRPr="00494A3F">
        <w:rPr>
          <w:noProof/>
          <w:szCs w:val="24"/>
        </w:rPr>
        <w:t xml:space="preserve">, </w:t>
      </w:r>
      <w:r w:rsidRPr="00494A3F">
        <w:rPr>
          <w:i/>
          <w:iCs/>
          <w:noProof/>
          <w:szCs w:val="24"/>
        </w:rPr>
        <w:t>10</w:t>
      </w:r>
      <w:r w:rsidRPr="00494A3F">
        <w:rPr>
          <w:noProof/>
          <w:szCs w:val="24"/>
        </w:rPr>
        <w:t>(06), 129–141. http://www.riset.unisma.ac.id/index.php/jra/article/view/10849/8505</w:t>
      </w:r>
    </w:p>
    <w:p w14:paraId="3188A626"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Annur, C. M. (2023). Proporsi Investor Pasar Modal Indonesia Berdasarkan Kelompok Usia (Agustus 2023). </w:t>
      </w:r>
      <w:r w:rsidRPr="00494A3F">
        <w:rPr>
          <w:i/>
          <w:iCs/>
          <w:noProof/>
          <w:szCs w:val="24"/>
        </w:rPr>
        <w:t>Katadata</w:t>
      </w:r>
      <w:r w:rsidRPr="00494A3F">
        <w:rPr>
          <w:noProof/>
          <w:szCs w:val="24"/>
        </w:rPr>
        <w:t>.</w:t>
      </w:r>
    </w:p>
    <w:p w14:paraId="625ACDCE"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Anwar, M., &amp; Fadjrih, N. (2021). Pengaruh Profitabilitas, Leverage dan Ukuran Perusahaan terhadap Reaksi Pasar. In </w:t>
      </w:r>
      <w:r w:rsidRPr="00494A3F">
        <w:rPr>
          <w:i/>
          <w:iCs/>
          <w:noProof/>
          <w:szCs w:val="24"/>
        </w:rPr>
        <w:t>Jurnal Ilmu dan Riset Akuntansi</w:t>
      </w:r>
      <w:r w:rsidRPr="00494A3F">
        <w:rPr>
          <w:noProof/>
          <w:szCs w:val="24"/>
        </w:rPr>
        <w:t xml:space="preserve"> (Vol. 10, Issue 9).</w:t>
      </w:r>
    </w:p>
    <w:p w14:paraId="5096350C"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Asmaranti, Y., Lindrianasari, &amp; Putri, W. R. E. (2018). Pengaruh Pengungkapan Emisi Karbon Terhadap Reaksi Investor Dengan Kinerja Lingkungan Sebagai Variabel Moderasi Yuztitya. </w:t>
      </w:r>
      <w:r w:rsidRPr="00494A3F">
        <w:rPr>
          <w:i/>
          <w:iCs/>
          <w:noProof/>
          <w:szCs w:val="24"/>
        </w:rPr>
        <w:t>Pengabdian Kepada Masyarakat Melalui Diseminasi Hasil Penelitian Terapan</w:t>
      </w:r>
      <w:r w:rsidRPr="00494A3F">
        <w:rPr>
          <w:noProof/>
          <w:szCs w:val="24"/>
        </w:rPr>
        <w:t xml:space="preserve">, </w:t>
      </w:r>
      <w:r w:rsidRPr="00494A3F">
        <w:rPr>
          <w:i/>
          <w:iCs/>
          <w:noProof/>
          <w:szCs w:val="24"/>
        </w:rPr>
        <w:t>5</w:t>
      </w:r>
      <w:r w:rsidRPr="00494A3F">
        <w:rPr>
          <w:noProof/>
          <w:szCs w:val="24"/>
        </w:rPr>
        <w:t>(1), 244–252. https://revistas.ufrj.br/index.php/rce/article/download/1659/1508%0Ahttp://hipatiapress.com/hpjournals/index.php/qre/article/view/1348%5Cnhttp://www.tandfonline.com/doi/abs/10.1080/09500799708666915%5Cnhttps://mckinseyonsociety.com/downloads/reports/Educa</w:t>
      </w:r>
    </w:p>
    <w:p w14:paraId="2D7DE5B4"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Bae Choi, B., Lee, D., &amp; Psaros, J. (2013). An analysis of Australian company carbon emission disclosures. </w:t>
      </w:r>
      <w:r w:rsidRPr="00494A3F">
        <w:rPr>
          <w:i/>
          <w:iCs/>
          <w:noProof/>
          <w:szCs w:val="24"/>
        </w:rPr>
        <w:t>Pacific Accounting Review</w:t>
      </w:r>
      <w:r w:rsidRPr="00494A3F">
        <w:rPr>
          <w:noProof/>
          <w:szCs w:val="24"/>
        </w:rPr>
        <w:t xml:space="preserve">, </w:t>
      </w:r>
      <w:r w:rsidRPr="00494A3F">
        <w:rPr>
          <w:i/>
          <w:iCs/>
          <w:noProof/>
          <w:szCs w:val="24"/>
        </w:rPr>
        <w:t>25</w:t>
      </w:r>
      <w:r w:rsidRPr="00494A3F">
        <w:rPr>
          <w:noProof/>
          <w:szCs w:val="24"/>
        </w:rPr>
        <w:t>(1), 58–79. https://doi.org/10.1108/01140581311318968</w:t>
      </w:r>
    </w:p>
    <w:p w14:paraId="51E1E3C9"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Bimha, A., &amp; Nhamo, G. (2017). Sustainable Development, Share Price and Carbon Disclosure Interactions: Evidence From South Africa’s JSE 100 Companies. </w:t>
      </w:r>
      <w:r w:rsidRPr="00494A3F">
        <w:rPr>
          <w:i/>
          <w:iCs/>
          <w:noProof/>
          <w:szCs w:val="24"/>
        </w:rPr>
        <w:t>Sustainable Development</w:t>
      </w:r>
      <w:r w:rsidRPr="00494A3F">
        <w:rPr>
          <w:noProof/>
          <w:szCs w:val="24"/>
        </w:rPr>
        <w:t xml:space="preserve">, </w:t>
      </w:r>
      <w:r w:rsidRPr="00494A3F">
        <w:rPr>
          <w:i/>
          <w:iCs/>
          <w:noProof/>
          <w:szCs w:val="24"/>
        </w:rPr>
        <w:t>25</w:t>
      </w:r>
      <w:r w:rsidRPr="00494A3F">
        <w:rPr>
          <w:noProof/>
          <w:szCs w:val="24"/>
        </w:rPr>
        <w:t>(5), 400–413. https://doi.org/10.1002/sd.1670</w:t>
      </w:r>
    </w:p>
    <w:p w14:paraId="61EC751A"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Bintang, H. M. (2023). Mendukung Pengurangan Emisi di Sektor Transportasi. </w:t>
      </w:r>
      <w:r w:rsidRPr="00494A3F">
        <w:rPr>
          <w:i/>
          <w:iCs/>
          <w:noProof/>
          <w:szCs w:val="24"/>
        </w:rPr>
        <w:t>Instutute for Essential Services Reform (IESR)</w:t>
      </w:r>
      <w:r w:rsidRPr="00494A3F">
        <w:rPr>
          <w:noProof/>
          <w:szCs w:val="24"/>
        </w:rPr>
        <w:t>. https://iesr.or.id/mendukungpengurangan- emisi-di-sektor-transportasi</w:t>
      </w:r>
    </w:p>
    <w:p w14:paraId="4755538A"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Churatunnisa, I., &amp; Andayani, A. (2022). Pengaruh Profitabilitas Terhadap Respon Investor Dengan Komite Audit Sebagai Variabel Moderating. </w:t>
      </w:r>
      <w:r w:rsidRPr="00494A3F">
        <w:rPr>
          <w:i/>
          <w:iCs/>
          <w:noProof/>
          <w:szCs w:val="24"/>
        </w:rPr>
        <w:t>Jurnal Ilmu Dan …</w:t>
      </w:r>
      <w:r w:rsidRPr="00494A3F">
        <w:rPr>
          <w:noProof/>
          <w:szCs w:val="24"/>
        </w:rPr>
        <w:t>, 1–5. http://jurnalmahasiswa.stiesia.ac.id/index.php/jira/article/view/4825</w:t>
      </w:r>
    </w:p>
    <w:p w14:paraId="2F72C0F5"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Ciptaningrum, A. D. A. (2023). PENGARUH KINERJA KEUANGAN TERHADAP REAKSI PASAR Studi Pada Perusahaan yang Terdaftar di IDX80 Skripsi. In </w:t>
      </w:r>
      <w:r w:rsidRPr="00494A3F">
        <w:rPr>
          <w:i/>
          <w:iCs/>
          <w:noProof/>
          <w:szCs w:val="24"/>
        </w:rPr>
        <w:t>Universitas Atma Jaya Yogyakarta</w:t>
      </w:r>
      <w:r w:rsidRPr="00494A3F">
        <w:rPr>
          <w:noProof/>
          <w:szCs w:val="24"/>
        </w:rPr>
        <w:t>.</w:t>
      </w:r>
    </w:p>
    <w:p w14:paraId="60613917"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Cyntessa Nur Annisa Mukti, N. F. A. (2017). </w:t>
      </w:r>
      <w:r w:rsidRPr="00494A3F">
        <w:rPr>
          <w:i/>
          <w:iCs/>
          <w:noProof/>
          <w:szCs w:val="24"/>
        </w:rPr>
        <w:t>profitabilitas yang diukur menggunakan ROA memiliki pengaruh positif dan signifikan terhadap return saham .</w:t>
      </w:r>
    </w:p>
    <w:p w14:paraId="0CD80924"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Dimaggio, P. J., &amp; Powell, W. W. (1983). the Iron Cage Revisited: Institutional Isomorphism and Collective Rationality in Organizational Fields. </w:t>
      </w:r>
      <w:r w:rsidRPr="00494A3F">
        <w:rPr>
          <w:i/>
          <w:iCs/>
          <w:noProof/>
          <w:szCs w:val="24"/>
        </w:rPr>
        <w:t>The New Economic Sociology: A Reader</w:t>
      </w:r>
      <w:r w:rsidRPr="00494A3F">
        <w:rPr>
          <w:noProof/>
          <w:szCs w:val="24"/>
        </w:rPr>
        <w:t xml:space="preserve">, </w:t>
      </w:r>
      <w:r w:rsidRPr="00494A3F">
        <w:rPr>
          <w:i/>
          <w:iCs/>
          <w:noProof/>
          <w:szCs w:val="24"/>
        </w:rPr>
        <w:t>48</w:t>
      </w:r>
      <w:r w:rsidRPr="00494A3F">
        <w:rPr>
          <w:noProof/>
          <w:szCs w:val="24"/>
        </w:rPr>
        <w:t>(2). https://doi.org/10.2307/2095101</w:t>
      </w:r>
    </w:p>
    <w:p w14:paraId="56E35F20"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Febrian, M. H., &amp; Nazar, J. (2024). TRANSPARANSI DAN AKUNTABILITAS DALAM PASAR MODAL MELALUI ANALISIS HUKUM PERDATA KEWAJIBAN PENGUNGKAPAN INFORMASI. </w:t>
      </w:r>
      <w:r w:rsidRPr="00494A3F">
        <w:rPr>
          <w:i/>
          <w:iCs/>
          <w:noProof/>
          <w:szCs w:val="24"/>
        </w:rPr>
        <w:t>Journal OfLaw and Nation (JOLN)</w:t>
      </w:r>
      <w:r w:rsidRPr="00494A3F">
        <w:rPr>
          <w:noProof/>
          <w:szCs w:val="24"/>
        </w:rPr>
        <w:t xml:space="preserve">, </w:t>
      </w:r>
      <w:r w:rsidRPr="00494A3F">
        <w:rPr>
          <w:i/>
          <w:iCs/>
          <w:noProof/>
          <w:szCs w:val="24"/>
        </w:rPr>
        <w:t>3</w:t>
      </w:r>
      <w:r w:rsidRPr="00494A3F">
        <w:rPr>
          <w:noProof/>
          <w:szCs w:val="24"/>
        </w:rPr>
        <w:t>(3), 525–545.</w:t>
      </w:r>
    </w:p>
    <w:p w14:paraId="6BC53F8A"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Fuadah, L., L., Y., &amp; Safitri, R. H. (2018). </w:t>
      </w:r>
      <w:r w:rsidRPr="00494A3F">
        <w:rPr>
          <w:i/>
          <w:iCs/>
          <w:noProof/>
          <w:szCs w:val="24"/>
        </w:rPr>
        <w:t>Pengungkapan Sustainablity Reporting di Indonesia</w:t>
      </w:r>
      <w:r w:rsidRPr="00494A3F">
        <w:rPr>
          <w:noProof/>
          <w:szCs w:val="24"/>
        </w:rPr>
        <w:t xml:space="preserve"> (1st ed.). Citrabooks Indonesia.</w:t>
      </w:r>
    </w:p>
    <w:p w14:paraId="09238713"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Gupta, Y., &amp; Ahmed, S. (2017). </w:t>
      </w:r>
      <w:r w:rsidRPr="00494A3F">
        <w:rPr>
          <w:i/>
          <w:iCs/>
          <w:noProof/>
          <w:szCs w:val="24"/>
        </w:rPr>
        <w:t>E- ISSN - 2349-6746 International Journal of Management and Social Science Research Review , Vol-1 , Issue-38 , August-2017 Page 37 Research Paper E- ISSN - 2349-6746 ISSN - 2349-6738 International Journal of Management and Social Science Research Review</w:t>
      </w:r>
      <w:r w:rsidRPr="00494A3F">
        <w:rPr>
          <w:noProof/>
          <w:szCs w:val="24"/>
        </w:rPr>
        <w:t xml:space="preserve">. </w:t>
      </w:r>
      <w:r w:rsidRPr="00494A3F">
        <w:rPr>
          <w:i/>
          <w:iCs/>
          <w:noProof/>
          <w:szCs w:val="24"/>
        </w:rPr>
        <w:t>1</w:t>
      </w:r>
      <w:r w:rsidRPr="00494A3F">
        <w:rPr>
          <w:noProof/>
          <w:szCs w:val="24"/>
        </w:rPr>
        <w:t>(38), 37–40.</w:t>
      </w:r>
    </w:p>
    <w:p w14:paraId="330193C8"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Hartono, J. (2017). </w:t>
      </w:r>
      <w:r w:rsidRPr="00494A3F">
        <w:rPr>
          <w:i/>
          <w:iCs/>
          <w:noProof/>
          <w:szCs w:val="24"/>
        </w:rPr>
        <w:t>Teori Portofolio dan Analisis Investasi</w:t>
      </w:r>
      <w:r w:rsidRPr="00494A3F">
        <w:rPr>
          <w:noProof/>
          <w:szCs w:val="24"/>
        </w:rPr>
        <w:t xml:space="preserve"> (11th ed.). BPFE Universitas Gadjah Mada.</w:t>
      </w:r>
    </w:p>
    <w:p w14:paraId="5E8F3C1E"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Huka, C. K. Y., &amp; Kelen, L. H. S. (2022). Dampak Invasi Rusia Ke Ukraina Terhadap Average Abnormal Return Perusahaan Industri Energi Yang Terdaftar Di Bursa Efek Indonesia. </w:t>
      </w:r>
      <w:r w:rsidRPr="00494A3F">
        <w:rPr>
          <w:i/>
          <w:iCs/>
          <w:noProof/>
          <w:szCs w:val="24"/>
        </w:rPr>
        <w:t>Juremi: Jurnal Riset Ekonomi</w:t>
      </w:r>
      <w:r w:rsidRPr="00494A3F">
        <w:rPr>
          <w:noProof/>
          <w:szCs w:val="24"/>
        </w:rPr>
        <w:t xml:space="preserve">, </w:t>
      </w:r>
      <w:r w:rsidRPr="00494A3F">
        <w:rPr>
          <w:i/>
          <w:iCs/>
          <w:noProof/>
          <w:szCs w:val="24"/>
        </w:rPr>
        <w:t>2</w:t>
      </w:r>
      <w:r w:rsidRPr="00494A3F">
        <w:rPr>
          <w:noProof/>
          <w:szCs w:val="24"/>
        </w:rPr>
        <w:t xml:space="preserve">(1), </w:t>
      </w:r>
      <w:r w:rsidRPr="00494A3F">
        <w:rPr>
          <w:noProof/>
          <w:szCs w:val="24"/>
        </w:rPr>
        <w:lastRenderedPageBreak/>
        <w:t>73–82. https://doi.org/10.53625/juremi.v2i1.2234</w:t>
      </w:r>
    </w:p>
    <w:p w14:paraId="38022A48"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Jannah, R., &amp; Muid, D. (2014). Analysis of Factors that Influence Carbon Emission Disclosure in Companies in Indonesia (Empirical Study of Companies Listed on the Indonesian Stock Exchange for the 2010-2012 Period). </w:t>
      </w:r>
      <w:r w:rsidRPr="00494A3F">
        <w:rPr>
          <w:i/>
          <w:iCs/>
          <w:noProof/>
          <w:szCs w:val="24"/>
        </w:rPr>
        <w:t>Diponegoro Journal of Accounting</w:t>
      </w:r>
      <w:r w:rsidRPr="00494A3F">
        <w:rPr>
          <w:noProof/>
          <w:szCs w:val="24"/>
        </w:rPr>
        <w:t xml:space="preserve">, </w:t>
      </w:r>
      <w:r w:rsidRPr="00494A3F">
        <w:rPr>
          <w:i/>
          <w:iCs/>
          <w:noProof/>
          <w:szCs w:val="24"/>
        </w:rPr>
        <w:t>3</w:t>
      </w:r>
      <w:r w:rsidRPr="00494A3F">
        <w:rPr>
          <w:noProof/>
          <w:szCs w:val="24"/>
        </w:rPr>
        <w:t>(2), 1–11. https://ejournal3.undip.ac.id/index.php/accounting/article/view/6164</w:t>
      </w:r>
    </w:p>
    <w:p w14:paraId="461CEEC3" w14:textId="77777777" w:rsidR="008A41C7" w:rsidRPr="00494A3F" w:rsidRDefault="008A41C7" w:rsidP="008A41C7">
      <w:pPr>
        <w:widowControl w:val="0"/>
        <w:autoSpaceDE w:val="0"/>
        <w:autoSpaceDN w:val="0"/>
        <w:adjustRightInd w:val="0"/>
        <w:ind w:left="480" w:hanging="480"/>
        <w:rPr>
          <w:noProof/>
          <w:szCs w:val="24"/>
        </w:rPr>
      </w:pPr>
      <w:r w:rsidRPr="00494A3F">
        <w:rPr>
          <w:i/>
          <w:iCs/>
          <w:noProof/>
          <w:szCs w:val="24"/>
        </w:rPr>
        <w:t>Kamus Besar Bahasa Indonesia (KBBI)</w:t>
      </w:r>
      <w:r w:rsidRPr="00494A3F">
        <w:rPr>
          <w:noProof/>
          <w:szCs w:val="24"/>
        </w:rPr>
        <w:t>. (2019).</w:t>
      </w:r>
    </w:p>
    <w:p w14:paraId="5F008A2D"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Kusumaningtyas, S. A. (2019). Pengujian efisiensi pasar modal indonesia periode tahun 2015-2018 jurnal ilmiah. </w:t>
      </w:r>
      <w:r w:rsidRPr="00494A3F">
        <w:rPr>
          <w:i/>
          <w:iCs/>
          <w:noProof/>
          <w:szCs w:val="24"/>
        </w:rPr>
        <w:t>Jurnal Ilmiah Mahasiswa FEB Universitas Brawijaya Malang</w:t>
      </w:r>
      <w:r w:rsidRPr="00494A3F">
        <w:rPr>
          <w:noProof/>
          <w:szCs w:val="24"/>
        </w:rPr>
        <w:t xml:space="preserve">, </w:t>
      </w:r>
      <w:r w:rsidRPr="00494A3F">
        <w:rPr>
          <w:i/>
          <w:iCs/>
          <w:noProof/>
          <w:szCs w:val="24"/>
        </w:rPr>
        <w:t>7</w:t>
      </w:r>
      <w:r w:rsidRPr="00494A3F">
        <w:rPr>
          <w:noProof/>
          <w:szCs w:val="24"/>
        </w:rPr>
        <w:t>(2). https://jimfeb.ub.ac.id/index.php/jimfeb/article/view/6050/5324</w:t>
      </w:r>
    </w:p>
    <w:p w14:paraId="32C1CA4C"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Nur, M., &amp; Priantinah, D. (2012). Analisis Faktor-Faktor Yang Mempengaruhi Pengungkapancorporate Social Responsibility Di Indonesia (Studi Empiris Pada Perusahaan Berkategori High Profile Yang Listing Di Bursa Efek Indonesia). </w:t>
      </w:r>
      <w:r w:rsidRPr="00494A3F">
        <w:rPr>
          <w:i/>
          <w:iCs/>
          <w:noProof/>
          <w:szCs w:val="24"/>
        </w:rPr>
        <w:t>Nominal, Barometer Riset Akuntansi Dan Manajemen</w:t>
      </w:r>
      <w:r w:rsidRPr="00494A3F">
        <w:rPr>
          <w:noProof/>
          <w:szCs w:val="24"/>
        </w:rPr>
        <w:t xml:space="preserve">, </w:t>
      </w:r>
      <w:r w:rsidRPr="00494A3F">
        <w:rPr>
          <w:i/>
          <w:iCs/>
          <w:noProof/>
          <w:szCs w:val="24"/>
        </w:rPr>
        <w:t>1</w:t>
      </w:r>
      <w:r w:rsidRPr="00494A3F">
        <w:rPr>
          <w:noProof/>
          <w:szCs w:val="24"/>
        </w:rPr>
        <w:t>(2). https://doi.org/10.21831/nominal.v1i2.996</w:t>
      </w:r>
    </w:p>
    <w:p w14:paraId="4F7A994E"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Permatasari, B. A. (2017). Pengaruh Kinerja Keuangan dan Tingkat Suku Bunga Tehadap Reaksi Pasar. </w:t>
      </w:r>
      <w:r w:rsidRPr="00494A3F">
        <w:rPr>
          <w:i/>
          <w:iCs/>
          <w:noProof/>
          <w:szCs w:val="24"/>
        </w:rPr>
        <w:t>Jurnal Ilmu Dan Riset Akuntansi</w:t>
      </w:r>
      <w:r w:rsidRPr="00494A3F">
        <w:rPr>
          <w:noProof/>
          <w:szCs w:val="24"/>
        </w:rPr>
        <w:t xml:space="preserve">, </w:t>
      </w:r>
      <w:r w:rsidRPr="00494A3F">
        <w:rPr>
          <w:i/>
          <w:iCs/>
          <w:noProof/>
          <w:szCs w:val="24"/>
        </w:rPr>
        <w:t>6</w:t>
      </w:r>
      <w:r w:rsidRPr="00494A3F">
        <w:rPr>
          <w:noProof/>
          <w:szCs w:val="24"/>
        </w:rPr>
        <w:t>(10).</w:t>
      </w:r>
    </w:p>
    <w:p w14:paraId="2D581B0E"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Powell, W. W., &amp; DiMaggio, P. J. (1991). </w:t>
      </w:r>
      <w:r w:rsidRPr="00494A3F">
        <w:rPr>
          <w:i/>
          <w:iCs/>
          <w:noProof/>
          <w:szCs w:val="24"/>
        </w:rPr>
        <w:t>The new institutionalism in organizational analysis</w:t>
      </w:r>
      <w:r w:rsidRPr="00494A3F">
        <w:rPr>
          <w:noProof/>
          <w:szCs w:val="24"/>
        </w:rPr>
        <w:t>. The University of Chicago Press.</w:t>
      </w:r>
    </w:p>
    <w:p w14:paraId="2812BA22"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Pratiwi, P. C., &amp; Sari, V. F. (2016). Pengaruh Tipe Industri, Media Exposure dan Profitabilitas terhadap Carbon Emission Disclosure. </w:t>
      </w:r>
      <w:r w:rsidRPr="00494A3F">
        <w:rPr>
          <w:i/>
          <w:iCs/>
          <w:noProof/>
          <w:szCs w:val="24"/>
        </w:rPr>
        <w:t>Jurnal Wahana Penelitian Akuntansi</w:t>
      </w:r>
      <w:r w:rsidRPr="00494A3F">
        <w:rPr>
          <w:noProof/>
          <w:szCs w:val="24"/>
        </w:rPr>
        <w:t xml:space="preserve">, </w:t>
      </w:r>
      <w:r w:rsidRPr="00494A3F">
        <w:rPr>
          <w:i/>
          <w:iCs/>
          <w:noProof/>
          <w:szCs w:val="24"/>
        </w:rPr>
        <w:t>4</w:t>
      </w:r>
      <w:r w:rsidRPr="00494A3F">
        <w:rPr>
          <w:noProof/>
          <w:szCs w:val="24"/>
        </w:rPr>
        <w:t>(2), 28. file:///Users/andreataquez/Downloads/guia-plan-de-mejora-institucional.pdf%0Ahttp://salud.tabasco.gob.mx/content/revista%0Ahttp://www.revistaalad.com/pdfs/Guias_ALAD_11_Nov_2013.pdf%0Ahttp://dx.doi.org/10.15446/revfacmed.v66n3.60060.%0Ahttp://www.cenetec.</w:t>
      </w:r>
    </w:p>
    <w:p w14:paraId="717B8037"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Sari, D. P., Maradesa, D., &amp; Budiarso, N. S. (2024). Efisiensi pasar dan mean-reversion di Indonesia. </w:t>
      </w:r>
      <w:r w:rsidRPr="00494A3F">
        <w:rPr>
          <w:i/>
          <w:iCs/>
          <w:noProof/>
          <w:szCs w:val="24"/>
        </w:rPr>
        <w:t>Manajemen Bisnis Dan Keuangan Korporat</w:t>
      </w:r>
      <w:r w:rsidRPr="00494A3F">
        <w:rPr>
          <w:noProof/>
          <w:szCs w:val="24"/>
        </w:rPr>
        <w:t xml:space="preserve">, </w:t>
      </w:r>
      <w:r w:rsidRPr="00494A3F">
        <w:rPr>
          <w:i/>
          <w:iCs/>
          <w:noProof/>
          <w:szCs w:val="24"/>
        </w:rPr>
        <w:t>2</w:t>
      </w:r>
      <w:r w:rsidRPr="00494A3F">
        <w:rPr>
          <w:noProof/>
          <w:szCs w:val="24"/>
        </w:rPr>
        <w:t>(2), 103–108. https://doi.org/10.58784/mbkk.114</w:t>
      </w:r>
    </w:p>
    <w:p w14:paraId="29F2C454"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Sekaran, U., &amp; Roger, B. (2016). </w:t>
      </w:r>
      <w:r w:rsidRPr="00494A3F">
        <w:rPr>
          <w:i/>
          <w:iCs/>
          <w:noProof/>
          <w:szCs w:val="24"/>
        </w:rPr>
        <w:t>Research Methods for Business</w:t>
      </w:r>
      <w:r w:rsidRPr="00494A3F">
        <w:rPr>
          <w:noProof/>
          <w:szCs w:val="24"/>
        </w:rPr>
        <w:t>. John Wiley &amp; Sons.</w:t>
      </w:r>
    </w:p>
    <w:p w14:paraId="61629837"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Solekhah, &amp; Wahyudi, I. (2022). Pengaruh Profitabilitas, dan Leverage Terhadap Pengungkapan Emisi Karbon. </w:t>
      </w:r>
      <w:r w:rsidRPr="00494A3F">
        <w:rPr>
          <w:i/>
          <w:iCs/>
          <w:noProof/>
          <w:szCs w:val="24"/>
        </w:rPr>
        <w:t>Jurnal Multidisiplin Ilmu</w:t>
      </w:r>
      <w:r w:rsidRPr="00494A3F">
        <w:rPr>
          <w:noProof/>
          <w:szCs w:val="24"/>
        </w:rPr>
        <w:t xml:space="preserve">, </w:t>
      </w:r>
      <w:r w:rsidRPr="00494A3F">
        <w:rPr>
          <w:i/>
          <w:iCs/>
          <w:noProof/>
          <w:szCs w:val="24"/>
        </w:rPr>
        <w:t>1</w:t>
      </w:r>
      <w:r w:rsidRPr="00494A3F">
        <w:rPr>
          <w:noProof/>
          <w:szCs w:val="24"/>
        </w:rPr>
        <w:t>(4), 704–711.</w:t>
      </w:r>
    </w:p>
    <w:p w14:paraId="1E765DAF"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Statistik, B. P. (2023). </w:t>
      </w:r>
      <w:r w:rsidRPr="00494A3F">
        <w:rPr>
          <w:i/>
          <w:iCs/>
          <w:noProof/>
          <w:szCs w:val="24"/>
        </w:rPr>
        <w:t>Perkembangan Transportasi Nasional Agustus 2023</w:t>
      </w:r>
      <w:r w:rsidRPr="00494A3F">
        <w:rPr>
          <w:noProof/>
          <w:szCs w:val="24"/>
        </w:rPr>
        <w:t>. https://www.bps.go.id/id/pressrelease/2023/10/02/2043/perkembangan-transportasi-nasional-agustus-2023.html</w:t>
      </w:r>
    </w:p>
    <w:p w14:paraId="3DF4C509"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Sudana, I. M. (2015). </w:t>
      </w:r>
      <w:r w:rsidRPr="00494A3F">
        <w:rPr>
          <w:i/>
          <w:iCs/>
          <w:noProof/>
          <w:szCs w:val="24"/>
        </w:rPr>
        <w:t>Manajemen Keuangan Perusahaan</w:t>
      </w:r>
      <w:r w:rsidRPr="00494A3F">
        <w:rPr>
          <w:noProof/>
          <w:szCs w:val="24"/>
        </w:rPr>
        <w:t xml:space="preserve"> (2nd ed.). Erlangga.</w:t>
      </w:r>
    </w:p>
    <w:p w14:paraId="7237C887"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Suteja, J. (2020). </w:t>
      </w:r>
      <w:r w:rsidRPr="00494A3F">
        <w:rPr>
          <w:i/>
          <w:iCs/>
          <w:noProof/>
          <w:szCs w:val="24"/>
        </w:rPr>
        <w:t>Struktur Kepemilikan Perusahaan Master</w:t>
      </w:r>
      <w:r w:rsidRPr="00494A3F">
        <w:rPr>
          <w:noProof/>
          <w:szCs w:val="24"/>
        </w:rPr>
        <w:t>. Universitas Pasundan.</w:t>
      </w:r>
    </w:p>
    <w:p w14:paraId="6114D036"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Wang, J., Song, L., &amp; Yao, S. (2013). The determinants of corporate social responsibility disclosure: Evidence from China. </w:t>
      </w:r>
      <w:r w:rsidRPr="00494A3F">
        <w:rPr>
          <w:i/>
          <w:iCs/>
          <w:noProof/>
          <w:szCs w:val="24"/>
        </w:rPr>
        <w:t>Journal of Applied Business Research</w:t>
      </w:r>
      <w:r w:rsidRPr="00494A3F">
        <w:rPr>
          <w:noProof/>
          <w:szCs w:val="24"/>
        </w:rPr>
        <w:t xml:space="preserve">, </w:t>
      </w:r>
      <w:r w:rsidRPr="00494A3F">
        <w:rPr>
          <w:i/>
          <w:iCs/>
          <w:noProof/>
          <w:szCs w:val="24"/>
        </w:rPr>
        <w:t>29</w:t>
      </w:r>
      <w:r w:rsidRPr="00494A3F">
        <w:rPr>
          <w:noProof/>
          <w:szCs w:val="24"/>
        </w:rPr>
        <w:t>(6), 1833–1847. https://doi.org/10.19030/jabr.v29i6.8220</w:t>
      </w:r>
    </w:p>
    <w:p w14:paraId="76849A7B" w14:textId="77777777" w:rsidR="008A41C7" w:rsidRPr="00494A3F" w:rsidRDefault="008A41C7" w:rsidP="008A41C7">
      <w:pPr>
        <w:widowControl w:val="0"/>
        <w:autoSpaceDE w:val="0"/>
        <w:autoSpaceDN w:val="0"/>
        <w:adjustRightInd w:val="0"/>
        <w:ind w:left="480" w:hanging="480"/>
        <w:rPr>
          <w:noProof/>
          <w:szCs w:val="24"/>
        </w:rPr>
      </w:pPr>
      <w:r w:rsidRPr="00494A3F">
        <w:rPr>
          <w:noProof/>
          <w:szCs w:val="24"/>
        </w:rPr>
        <w:t xml:space="preserve">Wirawan, J., &amp; Setijaningsih, H. T. (2022). Analisis Pengungkapan Emisi Karbon Di Indonesia. </w:t>
      </w:r>
      <w:r w:rsidRPr="00494A3F">
        <w:rPr>
          <w:i/>
          <w:iCs/>
          <w:noProof/>
          <w:szCs w:val="24"/>
        </w:rPr>
        <w:t>Jurnal Muara Ilmu Ekonomi Dan Bisnis</w:t>
      </w:r>
      <w:r w:rsidRPr="00494A3F">
        <w:rPr>
          <w:noProof/>
          <w:szCs w:val="24"/>
        </w:rPr>
        <w:t xml:space="preserve">, </w:t>
      </w:r>
      <w:r w:rsidRPr="00494A3F">
        <w:rPr>
          <w:i/>
          <w:iCs/>
          <w:noProof/>
          <w:szCs w:val="24"/>
        </w:rPr>
        <w:t>6</w:t>
      </w:r>
      <w:r w:rsidRPr="00494A3F">
        <w:rPr>
          <w:noProof/>
          <w:szCs w:val="24"/>
        </w:rPr>
        <w:t>(1), 235. https://doi.org/10.24912/jmieb.v6i1.18398</w:t>
      </w:r>
    </w:p>
    <w:p w14:paraId="58274BFB" w14:textId="77777777" w:rsidR="008A41C7" w:rsidRPr="00494A3F" w:rsidRDefault="008A41C7" w:rsidP="008A41C7">
      <w:pPr>
        <w:widowControl w:val="0"/>
        <w:autoSpaceDE w:val="0"/>
        <w:autoSpaceDN w:val="0"/>
        <w:adjustRightInd w:val="0"/>
        <w:ind w:left="480" w:hanging="480"/>
        <w:rPr>
          <w:noProof/>
        </w:rPr>
      </w:pPr>
      <w:r w:rsidRPr="00494A3F">
        <w:rPr>
          <w:noProof/>
          <w:szCs w:val="24"/>
        </w:rPr>
        <w:t xml:space="preserve">Yuliani, A. M. (2020). Pengaruh Pengungkapan Emisi Karbon Terhadap Reaksi Investor Pada Perusahaan Tergolong Carbon-Intensive Industry Di Bei Periode 2016-2018. </w:t>
      </w:r>
      <w:r w:rsidRPr="00494A3F">
        <w:rPr>
          <w:i/>
          <w:iCs/>
          <w:noProof/>
          <w:szCs w:val="24"/>
        </w:rPr>
        <w:t>Univeritas Atma Jaya Yogyakarta</w:t>
      </w:r>
      <w:r w:rsidRPr="00494A3F">
        <w:rPr>
          <w:noProof/>
          <w:szCs w:val="24"/>
        </w:rPr>
        <w:t>. http://e-journal.uajy.ac.id/22649/</w:t>
      </w:r>
    </w:p>
    <w:p w14:paraId="633E347F" w14:textId="5EAF41B5" w:rsidR="00FF6054" w:rsidRPr="00FF6054" w:rsidRDefault="00FF6054" w:rsidP="00FF6054">
      <w:pPr>
        <w:pStyle w:val="NormalIndent"/>
      </w:pPr>
    </w:p>
    <w:p w14:paraId="6470DF73" w14:textId="77777777" w:rsidR="000D76CA" w:rsidRPr="00C451AF" w:rsidRDefault="000C2284" w:rsidP="001F79AA">
      <w:pPr>
        <w:spacing w:before="120" w:after="120"/>
        <w:rPr>
          <w:rFonts w:ascii="Arial Narrow" w:hAnsi="Arial Narrow"/>
          <w:sz w:val="22"/>
          <w:szCs w:val="22"/>
        </w:rPr>
      </w:pPr>
      <w:r w:rsidRPr="00C451AF">
        <w:rPr>
          <w:rFonts w:ascii="Arial Narrow" w:hAnsi="Arial Narrow"/>
          <w:sz w:val="22"/>
          <w:szCs w:val="22"/>
        </w:rPr>
        <w:t xml:space="preserve"> </w:t>
      </w:r>
    </w:p>
    <w:sectPr w:rsidR="000D76CA" w:rsidRPr="00C451AF">
      <w:headerReference w:type="even" r:id="rId9"/>
      <w:headerReference w:type="default" r:id="rId10"/>
      <w:footerReference w:type="even" r:id="rId11"/>
      <w:footerReference w:type="default" r:id="rId12"/>
      <w:headerReference w:type="first" r:id="rId13"/>
      <w:type w:val="continuous"/>
      <w:pgSz w:w="11880" w:h="16840" w:code="9"/>
      <w:pgMar w:top="1417" w:right="1417" w:bottom="1417" w:left="1417" w:header="936" w:footer="720"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97665" w14:textId="77777777" w:rsidR="004B6CA6" w:rsidRDefault="004B6CA6">
      <w:r>
        <w:separator/>
      </w:r>
    </w:p>
  </w:endnote>
  <w:endnote w:type="continuationSeparator" w:id="0">
    <w:p w14:paraId="7F7461F9" w14:textId="77777777" w:rsidR="004B6CA6" w:rsidRDefault="004B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32448" w14:textId="77777777" w:rsidR="000D76CA" w:rsidRDefault="000C228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23935B" w14:textId="77777777" w:rsidR="000D76CA" w:rsidRDefault="000D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8028F" w14:textId="77777777" w:rsidR="000D76CA" w:rsidRDefault="000C2284">
    <w:pPr>
      <w:pStyle w:val="Footer"/>
      <w:framePr w:wrap="none"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Pr>
        <w:rStyle w:val="PageNumber"/>
        <w:rFonts w:ascii="Arial Narrow" w:hAnsi="Arial Narrow"/>
        <w:noProof/>
      </w:rPr>
      <w:t>5</w:t>
    </w:r>
    <w:r>
      <w:rPr>
        <w:rStyle w:val="PageNumber"/>
        <w:rFonts w:ascii="Arial Narrow" w:hAnsi="Arial Narrow"/>
      </w:rPr>
      <w:fldChar w:fldCharType="end"/>
    </w:r>
  </w:p>
  <w:p w14:paraId="7F06D86D" w14:textId="77777777" w:rsidR="000D76CA" w:rsidRDefault="000D76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BC5B6" w14:textId="77777777" w:rsidR="004B6CA6" w:rsidRDefault="004B6CA6">
      <w:r>
        <w:separator/>
      </w:r>
    </w:p>
  </w:footnote>
  <w:footnote w:type="continuationSeparator" w:id="0">
    <w:p w14:paraId="4556E589" w14:textId="77777777" w:rsidR="004B6CA6" w:rsidRDefault="004B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19D4" w14:textId="77777777" w:rsidR="000D76CA" w:rsidRDefault="000C2284">
    <w:pPr>
      <w:pStyle w:val="Header"/>
      <w:jc w:val="right"/>
      <w:rPr>
        <w:rFonts w:ascii="Arial Narrow" w:hAnsi="Arial Narrow"/>
        <w:bCs/>
        <w:color w:val="0070C0"/>
        <w:sz w:val="22"/>
        <w:szCs w:val="22"/>
      </w:rPr>
    </w:pPr>
    <w:r>
      <w:rPr>
        <w:rStyle w:val="PageNumber"/>
        <w:sz w:val="18"/>
      </w:rPr>
      <w:tab/>
    </w:r>
    <w:r>
      <w:rPr>
        <w:rStyle w:val="PageNumber"/>
        <w:rFonts w:ascii="Arial Narrow" w:hAnsi="Arial Narrow"/>
        <w:bCs/>
        <w:color w:val="0070C0"/>
        <w:sz w:val="22"/>
        <w:szCs w:val="22"/>
      </w:rPr>
      <w:t>Volume 6, No 1 (xx), 2019</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rPr>
      <w:t xml:space="preserve"> </w:t>
    </w:r>
    <w:r>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61C0" w14:textId="77777777" w:rsidR="000D76CA" w:rsidRDefault="002B33CC">
    <w:pPr>
      <w:pStyle w:val="Header"/>
      <w:jc w:val="center"/>
      <w:rPr>
        <w:rStyle w:val="PageNumber"/>
        <w:rFonts w:ascii="Arial Narrow" w:hAnsi="Arial Narrow"/>
        <w:b/>
        <w:bCs/>
        <w:iCs/>
        <w:color w:val="008080"/>
        <w:sz w:val="28"/>
        <w:szCs w:val="22"/>
        <w:lang w:val="id-ID"/>
      </w:rPr>
    </w:pPr>
    <w:r>
      <w:rPr>
        <w:noProof/>
        <w:color w:val="008080"/>
      </w:rPr>
      <w:drawing>
        <wp:anchor distT="0" distB="0" distL="114300" distR="114300" simplePos="0" relativeHeight="251658240" behindDoc="0" locked="0" layoutInCell="1" allowOverlap="1" wp14:anchorId="078D5111" wp14:editId="536BAE73">
          <wp:simplePos x="0" y="0"/>
          <wp:positionH relativeFrom="column">
            <wp:posOffset>24130</wp:posOffset>
          </wp:positionH>
          <wp:positionV relativeFrom="paragraph">
            <wp:posOffset>-251460</wp:posOffset>
          </wp:positionV>
          <wp:extent cx="89979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rPr>
      <mc:AlternateContent>
        <mc:Choice Requires="wps">
          <w:drawing>
            <wp:anchor distT="0" distB="0" distL="114300" distR="114300" simplePos="0" relativeHeight="251657216" behindDoc="0" locked="0" layoutInCell="1" allowOverlap="1" wp14:anchorId="6510513C" wp14:editId="3E09545F">
              <wp:simplePos x="0" y="0"/>
              <wp:positionH relativeFrom="column">
                <wp:posOffset>4767580</wp:posOffset>
              </wp:positionH>
              <wp:positionV relativeFrom="paragraph">
                <wp:posOffset>-51435</wp:posOffset>
              </wp:positionV>
              <wp:extent cx="990600" cy="632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3CC99" w14:textId="77777777" w:rsidR="000D76CA" w:rsidRDefault="000C2284">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11 No 2 2024</w:t>
                          </w:r>
                        </w:p>
                        <w:p w14:paraId="4C3CF5A1" w14:textId="77777777" w:rsidR="000D76CA" w:rsidRDefault="000C2284">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Page xx - xx</w:t>
                          </w:r>
                        </w:p>
                        <w:p w14:paraId="59A7F87B" w14:textId="77777777" w:rsidR="000D76CA" w:rsidRDefault="000D7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0513C" id="_x0000_t202" coordsize="21600,21600" o:spt="202" path="m,l,21600r21600,l21600,xe">
              <v:stroke joinstyle="miter"/>
              <v:path gradientshapeok="t" o:connecttype="rect"/>
            </v:shapetype>
            <v:shape id="Text Box 2" o:spid="_x0000_s1026" type="#_x0000_t202" style="position:absolute;left:0;text-align:left;margin-left:375.4pt;margin-top:-4.05pt;width:78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" stroked="f">
              <v:textbox>
                <w:txbxContent>
                  <w:p w14:paraId="4633CC99" w14:textId="77777777" w:rsidR="000D76CA" w:rsidRDefault="000C2284">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11 No 2 2024</w:t>
                    </w:r>
                  </w:p>
                  <w:p w14:paraId="4C3CF5A1" w14:textId="77777777" w:rsidR="000D76CA" w:rsidRDefault="000C2284">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Page xx - xx</w:t>
                    </w:r>
                  </w:p>
                  <w:p w14:paraId="59A7F87B" w14:textId="77777777" w:rsidR="000D76CA" w:rsidRDefault="000D76CA"/>
                </w:txbxContent>
              </v:textbox>
            </v:shape>
          </w:pict>
        </mc:Fallback>
      </mc:AlternateContent>
    </w:r>
    <w:r>
      <w:rPr>
        <w:rStyle w:val="PageNumber"/>
        <w:rFonts w:ascii="Arial Narrow" w:hAnsi="Arial Narrow"/>
        <w:b/>
        <w:bCs/>
        <w:iCs/>
        <w:color w:val="008080"/>
        <w:sz w:val="28"/>
        <w:szCs w:val="22"/>
        <w:lang w:val="id-ID"/>
      </w:rPr>
      <w:t>Journal of Business and Management</w:t>
    </w:r>
  </w:p>
  <w:p w14:paraId="6BCFEAAC" w14:textId="77777777" w:rsidR="000D76CA" w:rsidRDefault="000D76CA">
    <w:pPr>
      <w:pStyle w:val="Header"/>
      <w:jc w:val="center"/>
    </w:pPr>
    <w:hyperlink r:id="rId2" w:history="1">
      <w:r>
        <w:rPr>
          <w:rStyle w:val="Hyperlink"/>
        </w:rPr>
        <w:t>http://jurnal.unmer.ac.id/index.php/jbm</w:t>
      </w:r>
    </w:hyperlink>
  </w:p>
  <w:p w14:paraId="226AC637" w14:textId="77777777" w:rsidR="000D76CA" w:rsidRDefault="000D76CA">
    <w:pPr>
      <w:pStyle w:val="Header"/>
      <w:jc w:val="center"/>
      <w:rPr>
        <w:rStyle w:val="PageNumber"/>
        <w:rFonts w:ascii="Arial Narrow" w:hAnsi="Arial Narrow"/>
        <w:b/>
        <w:bCs/>
        <w:iCs/>
        <w:color w:val="538135"/>
        <w:sz w:val="28"/>
        <w:szCs w:val="22"/>
        <w:lang w:val="id-ID"/>
      </w:rPr>
    </w:pPr>
  </w:p>
  <w:p w14:paraId="7542FE06" w14:textId="77777777" w:rsidR="000D76CA" w:rsidRDefault="000D76CA">
    <w:pPr>
      <w:pStyle w:val="Header"/>
      <w:jc w:val="center"/>
      <w:rPr>
        <w:rStyle w:val="PageNumber"/>
        <w:rFonts w:ascii="Arial Narrow" w:hAnsi="Arial Narrow"/>
        <w:b/>
        <w:bCs/>
        <w:iCs/>
        <w:color w:val="538135"/>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C2FB" w14:textId="77777777" w:rsidR="000D76CA" w:rsidRDefault="000C2284">
    <w:pPr>
      <w:pStyle w:val="Header"/>
      <w:tabs>
        <w:tab w:val="clear" w:pos="8306"/>
        <w:tab w:val="right" w:pos="9639"/>
      </w:tabs>
      <w:rPr>
        <w:lang w:val="sl-SI"/>
      </w:rPr>
    </w:pPr>
    <w:r>
      <w:rPr>
        <w:lang w:val="sl-SI"/>
      </w:rPr>
      <w:tab/>
    </w:r>
    <w:r>
      <w:rPr>
        <w:lang w:val="sl-SI"/>
      </w:rPr>
      <w:tab/>
      <w:t>Informatics</w:t>
    </w:r>
    <w:r>
      <w:rPr>
        <w:b/>
        <w:lang w:val="sl-SI"/>
      </w:rPr>
      <w:t>23</w:t>
    </w:r>
    <w:r>
      <w:rPr>
        <w:lang w:val="sl-SI"/>
      </w:rPr>
      <w:t>(1999)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1CB8"/>
    <w:multiLevelType w:val="multilevel"/>
    <w:tmpl w:val="5D0AC52E"/>
    <w:lvl w:ilvl="0">
      <w:start w:val="1"/>
      <w:numFmt w:val="decimal"/>
      <w:lvlText w:val="%1"/>
      <w:lvlJc w:val="left"/>
      <w:pPr>
        <w:tabs>
          <w:tab w:val="num" w:pos="5034"/>
        </w:tabs>
        <w:ind w:left="5034" w:hanging="432"/>
      </w:pPr>
    </w:lvl>
    <w:lvl w:ilvl="1">
      <w:start w:val="1"/>
      <w:numFmt w:val="decimal"/>
      <w:lvlText w:val="%1.%2"/>
      <w:lvlJc w:val="left"/>
      <w:pPr>
        <w:tabs>
          <w:tab w:val="num" w:pos="5178"/>
        </w:tabs>
        <w:ind w:left="5178" w:hanging="576"/>
      </w:pPr>
    </w:lvl>
    <w:lvl w:ilvl="2">
      <w:start w:val="1"/>
      <w:numFmt w:val="decimal"/>
      <w:lvlText w:val="%1.%2.%3"/>
      <w:lvlJc w:val="left"/>
      <w:pPr>
        <w:tabs>
          <w:tab w:val="num" w:pos="5322"/>
        </w:tabs>
        <w:ind w:left="5322" w:hanging="720"/>
      </w:pPr>
    </w:lvl>
    <w:lvl w:ilvl="3">
      <w:start w:val="1"/>
      <w:numFmt w:val="decimal"/>
      <w:lvlText w:val="%1.%2.%3.%4"/>
      <w:lvlJc w:val="left"/>
      <w:pPr>
        <w:tabs>
          <w:tab w:val="num" w:pos="5466"/>
        </w:tabs>
        <w:ind w:left="5466" w:hanging="864"/>
      </w:pPr>
    </w:lvl>
    <w:lvl w:ilvl="4">
      <w:start w:val="1"/>
      <w:numFmt w:val="decimal"/>
      <w:lvlText w:val="%1.%2.%3.%4.%5"/>
      <w:lvlJc w:val="left"/>
      <w:pPr>
        <w:tabs>
          <w:tab w:val="num" w:pos="6042"/>
        </w:tabs>
        <w:ind w:left="5610" w:hanging="1008"/>
      </w:pPr>
    </w:lvl>
    <w:lvl w:ilvl="5">
      <w:start w:val="1"/>
      <w:numFmt w:val="decimal"/>
      <w:lvlText w:val="%1.%2.%3.%4.%5.%6"/>
      <w:lvlJc w:val="left"/>
      <w:pPr>
        <w:tabs>
          <w:tab w:val="num" w:pos="5754"/>
        </w:tabs>
        <w:ind w:left="5754" w:hanging="1152"/>
      </w:pPr>
    </w:lvl>
    <w:lvl w:ilvl="6">
      <w:start w:val="1"/>
      <w:numFmt w:val="decimal"/>
      <w:lvlText w:val="%1.%2.%3.%4.%5.%6.%7"/>
      <w:lvlJc w:val="left"/>
      <w:pPr>
        <w:tabs>
          <w:tab w:val="num" w:pos="5898"/>
        </w:tabs>
        <w:ind w:left="5898" w:hanging="1296"/>
      </w:pPr>
    </w:lvl>
    <w:lvl w:ilvl="7">
      <w:start w:val="1"/>
      <w:numFmt w:val="decimal"/>
      <w:lvlText w:val="%1.%2.%3.%4.%5.%6.%7.%8"/>
      <w:lvlJc w:val="left"/>
      <w:pPr>
        <w:tabs>
          <w:tab w:val="num" w:pos="6042"/>
        </w:tabs>
        <w:ind w:left="6042" w:hanging="1440"/>
      </w:pPr>
    </w:lvl>
    <w:lvl w:ilvl="8">
      <w:start w:val="1"/>
      <w:numFmt w:val="decimal"/>
      <w:lvlText w:val="%1.%2.%3.%4.%5.%6.%7.%8.%9"/>
      <w:lvlJc w:val="left"/>
      <w:pPr>
        <w:tabs>
          <w:tab w:val="num" w:pos="6186"/>
        </w:tabs>
        <w:ind w:left="6186"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2A624A"/>
    <w:multiLevelType w:val="hybridMultilevel"/>
    <w:tmpl w:val="F41681F0"/>
    <w:lvl w:ilvl="0" w:tplc="7F66F2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4" w15:restartNumberingAfterBreak="0">
    <w:nsid w:val="0DD425E4"/>
    <w:multiLevelType w:val="hybridMultilevel"/>
    <w:tmpl w:val="5994E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B16A1"/>
    <w:multiLevelType w:val="hybridMultilevel"/>
    <w:tmpl w:val="0C324B52"/>
    <w:lvl w:ilvl="0" w:tplc="F96AF3D6">
      <w:start w:val="1"/>
      <w:numFmt w:val="upperLetter"/>
      <w:lvlText w:val="%1."/>
      <w:lvlJc w:val="left"/>
      <w:pPr>
        <w:ind w:left="977" w:hanging="360"/>
      </w:pPr>
      <w:rPr>
        <w:rFonts w:hint="default"/>
      </w:rPr>
    </w:lvl>
    <w:lvl w:ilvl="1" w:tplc="38090019" w:tentative="1">
      <w:start w:val="1"/>
      <w:numFmt w:val="lowerLetter"/>
      <w:lvlText w:val="%2."/>
      <w:lvlJc w:val="left"/>
      <w:pPr>
        <w:ind w:left="1697" w:hanging="360"/>
      </w:pPr>
    </w:lvl>
    <w:lvl w:ilvl="2" w:tplc="3809001B" w:tentative="1">
      <w:start w:val="1"/>
      <w:numFmt w:val="lowerRoman"/>
      <w:lvlText w:val="%3."/>
      <w:lvlJc w:val="right"/>
      <w:pPr>
        <w:ind w:left="2417" w:hanging="180"/>
      </w:pPr>
    </w:lvl>
    <w:lvl w:ilvl="3" w:tplc="3809000F" w:tentative="1">
      <w:start w:val="1"/>
      <w:numFmt w:val="decimal"/>
      <w:lvlText w:val="%4."/>
      <w:lvlJc w:val="left"/>
      <w:pPr>
        <w:ind w:left="3137" w:hanging="360"/>
      </w:pPr>
    </w:lvl>
    <w:lvl w:ilvl="4" w:tplc="38090019" w:tentative="1">
      <w:start w:val="1"/>
      <w:numFmt w:val="lowerLetter"/>
      <w:lvlText w:val="%5."/>
      <w:lvlJc w:val="left"/>
      <w:pPr>
        <w:ind w:left="3857" w:hanging="360"/>
      </w:pPr>
    </w:lvl>
    <w:lvl w:ilvl="5" w:tplc="3809001B" w:tentative="1">
      <w:start w:val="1"/>
      <w:numFmt w:val="lowerRoman"/>
      <w:lvlText w:val="%6."/>
      <w:lvlJc w:val="right"/>
      <w:pPr>
        <w:ind w:left="4577" w:hanging="180"/>
      </w:pPr>
    </w:lvl>
    <w:lvl w:ilvl="6" w:tplc="3809000F" w:tentative="1">
      <w:start w:val="1"/>
      <w:numFmt w:val="decimal"/>
      <w:lvlText w:val="%7."/>
      <w:lvlJc w:val="left"/>
      <w:pPr>
        <w:ind w:left="5297" w:hanging="360"/>
      </w:pPr>
    </w:lvl>
    <w:lvl w:ilvl="7" w:tplc="38090019" w:tentative="1">
      <w:start w:val="1"/>
      <w:numFmt w:val="lowerLetter"/>
      <w:lvlText w:val="%8."/>
      <w:lvlJc w:val="left"/>
      <w:pPr>
        <w:ind w:left="6017" w:hanging="360"/>
      </w:pPr>
    </w:lvl>
    <w:lvl w:ilvl="8" w:tplc="3809001B" w:tentative="1">
      <w:start w:val="1"/>
      <w:numFmt w:val="lowerRoman"/>
      <w:lvlText w:val="%9."/>
      <w:lvlJc w:val="right"/>
      <w:pPr>
        <w:ind w:left="6737" w:hanging="180"/>
      </w:pPr>
    </w:lvl>
  </w:abstractNum>
  <w:abstractNum w:abstractNumId="6" w15:restartNumberingAfterBreak="0">
    <w:nsid w:val="1484440A"/>
    <w:multiLevelType w:val="hybridMultilevel"/>
    <w:tmpl w:val="905A47FE"/>
    <w:lvl w:ilvl="0" w:tplc="A7E464E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640551A"/>
    <w:multiLevelType w:val="hybridMultilevel"/>
    <w:tmpl w:val="584E2A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46617"/>
    <w:multiLevelType w:val="hybridMultilevel"/>
    <w:tmpl w:val="14D6B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46A4A"/>
    <w:multiLevelType w:val="hybridMultilevel"/>
    <w:tmpl w:val="C372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3A47A7"/>
    <w:multiLevelType w:val="hybridMultilevel"/>
    <w:tmpl w:val="584E2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56676A"/>
    <w:multiLevelType w:val="hybridMultilevel"/>
    <w:tmpl w:val="C37268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F83535"/>
    <w:multiLevelType w:val="hybridMultilevel"/>
    <w:tmpl w:val="F2F07316"/>
    <w:lvl w:ilvl="0" w:tplc="AE5693AA">
      <w:start w:val="1"/>
      <w:numFmt w:val="bullet"/>
      <w:lvlText w:val="•"/>
      <w:lvlJc w:val="left"/>
      <w:pPr>
        <w:tabs>
          <w:tab w:val="num" w:pos="720"/>
        </w:tabs>
        <w:ind w:left="720" w:hanging="360"/>
      </w:pPr>
      <w:rPr>
        <w:rFonts w:ascii="Arial" w:hAnsi="Arial" w:hint="default"/>
      </w:rPr>
    </w:lvl>
    <w:lvl w:ilvl="1" w:tplc="8274446C" w:tentative="1">
      <w:start w:val="1"/>
      <w:numFmt w:val="bullet"/>
      <w:lvlText w:val="•"/>
      <w:lvlJc w:val="left"/>
      <w:pPr>
        <w:tabs>
          <w:tab w:val="num" w:pos="1440"/>
        </w:tabs>
        <w:ind w:left="1440" w:hanging="360"/>
      </w:pPr>
      <w:rPr>
        <w:rFonts w:ascii="Arial" w:hAnsi="Arial" w:hint="default"/>
      </w:rPr>
    </w:lvl>
    <w:lvl w:ilvl="2" w:tplc="5D5E3E5C">
      <w:start w:val="1"/>
      <w:numFmt w:val="bullet"/>
      <w:lvlText w:val="•"/>
      <w:lvlJc w:val="left"/>
      <w:pPr>
        <w:tabs>
          <w:tab w:val="num" w:pos="2160"/>
        </w:tabs>
        <w:ind w:left="2160" w:hanging="360"/>
      </w:pPr>
      <w:rPr>
        <w:rFonts w:ascii="Arial" w:hAnsi="Arial" w:hint="default"/>
      </w:rPr>
    </w:lvl>
    <w:lvl w:ilvl="3" w:tplc="BCD23844" w:tentative="1">
      <w:start w:val="1"/>
      <w:numFmt w:val="bullet"/>
      <w:lvlText w:val="•"/>
      <w:lvlJc w:val="left"/>
      <w:pPr>
        <w:tabs>
          <w:tab w:val="num" w:pos="2880"/>
        </w:tabs>
        <w:ind w:left="2880" w:hanging="360"/>
      </w:pPr>
      <w:rPr>
        <w:rFonts w:ascii="Arial" w:hAnsi="Arial" w:hint="default"/>
      </w:rPr>
    </w:lvl>
    <w:lvl w:ilvl="4" w:tplc="DBA6151C" w:tentative="1">
      <w:start w:val="1"/>
      <w:numFmt w:val="bullet"/>
      <w:lvlText w:val="•"/>
      <w:lvlJc w:val="left"/>
      <w:pPr>
        <w:tabs>
          <w:tab w:val="num" w:pos="3600"/>
        </w:tabs>
        <w:ind w:left="3600" w:hanging="360"/>
      </w:pPr>
      <w:rPr>
        <w:rFonts w:ascii="Arial" w:hAnsi="Arial" w:hint="default"/>
      </w:rPr>
    </w:lvl>
    <w:lvl w:ilvl="5" w:tplc="1A8E41AA" w:tentative="1">
      <w:start w:val="1"/>
      <w:numFmt w:val="bullet"/>
      <w:lvlText w:val="•"/>
      <w:lvlJc w:val="left"/>
      <w:pPr>
        <w:tabs>
          <w:tab w:val="num" w:pos="4320"/>
        </w:tabs>
        <w:ind w:left="4320" w:hanging="360"/>
      </w:pPr>
      <w:rPr>
        <w:rFonts w:ascii="Arial" w:hAnsi="Arial" w:hint="default"/>
      </w:rPr>
    </w:lvl>
    <w:lvl w:ilvl="6" w:tplc="8F60CEEA" w:tentative="1">
      <w:start w:val="1"/>
      <w:numFmt w:val="bullet"/>
      <w:lvlText w:val="•"/>
      <w:lvlJc w:val="left"/>
      <w:pPr>
        <w:tabs>
          <w:tab w:val="num" w:pos="5040"/>
        </w:tabs>
        <w:ind w:left="5040" w:hanging="360"/>
      </w:pPr>
      <w:rPr>
        <w:rFonts w:ascii="Arial" w:hAnsi="Arial" w:hint="default"/>
      </w:rPr>
    </w:lvl>
    <w:lvl w:ilvl="7" w:tplc="A20C0FD2" w:tentative="1">
      <w:start w:val="1"/>
      <w:numFmt w:val="bullet"/>
      <w:lvlText w:val="•"/>
      <w:lvlJc w:val="left"/>
      <w:pPr>
        <w:tabs>
          <w:tab w:val="num" w:pos="5760"/>
        </w:tabs>
        <w:ind w:left="5760" w:hanging="360"/>
      </w:pPr>
      <w:rPr>
        <w:rFonts w:ascii="Arial" w:hAnsi="Arial" w:hint="default"/>
      </w:rPr>
    </w:lvl>
    <w:lvl w:ilvl="8" w:tplc="41B4E4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814712"/>
    <w:multiLevelType w:val="hybridMultilevel"/>
    <w:tmpl w:val="B6B84A20"/>
    <w:lvl w:ilvl="0" w:tplc="64F482F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B771FC"/>
    <w:multiLevelType w:val="hybridMultilevel"/>
    <w:tmpl w:val="C372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67621F"/>
    <w:multiLevelType w:val="hybridMultilevel"/>
    <w:tmpl w:val="C372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F14393"/>
    <w:multiLevelType w:val="hybridMultilevel"/>
    <w:tmpl w:val="B6BA780A"/>
    <w:lvl w:ilvl="0" w:tplc="7F66F2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A2B30DA"/>
    <w:multiLevelType w:val="hybridMultilevel"/>
    <w:tmpl w:val="CB7E447C"/>
    <w:lvl w:ilvl="0" w:tplc="38FEBA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C7346E4"/>
    <w:multiLevelType w:val="hybridMultilevel"/>
    <w:tmpl w:val="DFA42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A54315"/>
    <w:multiLevelType w:val="hybridMultilevel"/>
    <w:tmpl w:val="08506196"/>
    <w:lvl w:ilvl="0" w:tplc="38090019">
      <w:start w:val="1"/>
      <w:numFmt w:val="lowerLetter"/>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21" w15:restartNumberingAfterBreak="0">
    <w:nsid w:val="525306FF"/>
    <w:multiLevelType w:val="hybridMultilevel"/>
    <w:tmpl w:val="584E2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7AC24E1"/>
    <w:multiLevelType w:val="hybridMultilevel"/>
    <w:tmpl w:val="1CECDC78"/>
    <w:lvl w:ilvl="0" w:tplc="38090011">
      <w:start w:val="1"/>
      <w:numFmt w:val="decimal"/>
      <w:lvlText w:val="%1)"/>
      <w:lvlJc w:val="left"/>
      <w:pPr>
        <w:ind w:left="106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25" w15:restartNumberingAfterBreak="0">
    <w:nsid w:val="58980ABA"/>
    <w:multiLevelType w:val="hybridMultilevel"/>
    <w:tmpl w:val="DFA42B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B05297A"/>
    <w:multiLevelType w:val="hybridMultilevel"/>
    <w:tmpl w:val="C372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124781E"/>
    <w:multiLevelType w:val="hybridMultilevel"/>
    <w:tmpl w:val="584E2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C865BD"/>
    <w:multiLevelType w:val="hybridMultilevel"/>
    <w:tmpl w:val="2C38C02E"/>
    <w:lvl w:ilvl="0" w:tplc="9A32E0D4">
      <w:start w:val="1"/>
      <w:numFmt w:val="decimal"/>
      <w:lvlText w:val="%1."/>
      <w:lvlJc w:val="left"/>
      <w:pPr>
        <w:ind w:left="720" w:hanging="360"/>
      </w:pPr>
      <w:rPr>
        <w:rFonts w:hint="default"/>
        <w:b/>
        <w:color w:val="0070C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4931E09"/>
    <w:multiLevelType w:val="hybridMultilevel"/>
    <w:tmpl w:val="5994E1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8856473"/>
    <w:multiLevelType w:val="hybridMultilevel"/>
    <w:tmpl w:val="A746D2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AD17492"/>
    <w:multiLevelType w:val="multilevel"/>
    <w:tmpl w:val="9D16DCC8"/>
    <w:lvl w:ilvl="0">
      <w:start w:val="1"/>
      <w:numFmt w:val="decimal"/>
      <w:lvlText w:val="3.%1."/>
      <w:lvlJc w:val="left"/>
      <w:pPr>
        <w:ind w:left="720" w:hanging="360"/>
      </w:pPr>
      <w:rPr>
        <w:rFonts w:hint="default"/>
        <w:sz w:val="20"/>
        <w:szCs w:val="2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5" w15:restartNumberingAfterBreak="0">
    <w:nsid w:val="7FCB6B8C"/>
    <w:multiLevelType w:val="hybridMultilevel"/>
    <w:tmpl w:val="14D6BC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1401285">
    <w:abstractNumId w:val="3"/>
  </w:num>
  <w:num w:numId="2" w16cid:durableId="793795498">
    <w:abstractNumId w:val="28"/>
  </w:num>
  <w:num w:numId="3" w16cid:durableId="532229269">
    <w:abstractNumId w:val="27"/>
  </w:num>
  <w:num w:numId="4" w16cid:durableId="1168714365">
    <w:abstractNumId w:val="0"/>
  </w:num>
  <w:num w:numId="5" w16cid:durableId="189294961">
    <w:abstractNumId w:val="32"/>
  </w:num>
  <w:num w:numId="6" w16cid:durableId="1559508557">
    <w:abstractNumId w:val="23"/>
  </w:num>
  <w:num w:numId="7" w16cid:durableId="1153180958">
    <w:abstractNumId w:val="1"/>
  </w:num>
  <w:num w:numId="8" w16cid:durableId="239414889">
    <w:abstractNumId w:val="23"/>
  </w:num>
  <w:num w:numId="9" w16cid:durableId="1023246313">
    <w:abstractNumId w:val="23"/>
  </w:num>
  <w:num w:numId="10" w16cid:durableId="230773088">
    <w:abstractNumId w:val="23"/>
  </w:num>
  <w:num w:numId="11" w16cid:durableId="1879513655">
    <w:abstractNumId w:val="23"/>
  </w:num>
  <w:num w:numId="12" w16cid:durableId="658387298">
    <w:abstractNumId w:val="23"/>
  </w:num>
  <w:num w:numId="13" w16cid:durableId="1120418892">
    <w:abstractNumId w:val="8"/>
  </w:num>
  <w:num w:numId="14" w16cid:durableId="1269119130">
    <w:abstractNumId w:val="22"/>
  </w:num>
  <w:num w:numId="15" w16cid:durableId="1979450919">
    <w:abstractNumId w:val="2"/>
  </w:num>
  <w:num w:numId="16" w16cid:durableId="1698241318">
    <w:abstractNumId w:val="17"/>
  </w:num>
  <w:num w:numId="17" w16cid:durableId="621884740">
    <w:abstractNumId w:val="14"/>
  </w:num>
  <w:num w:numId="18" w16cid:durableId="2053383091">
    <w:abstractNumId w:val="33"/>
  </w:num>
  <w:num w:numId="19" w16cid:durableId="344332580">
    <w:abstractNumId w:val="6"/>
  </w:num>
  <w:num w:numId="20" w16cid:durableId="1568422207">
    <w:abstractNumId w:val="34"/>
  </w:num>
  <w:num w:numId="21" w16cid:durableId="253516098">
    <w:abstractNumId w:val="30"/>
  </w:num>
  <w:num w:numId="22" w16cid:durableId="810632384">
    <w:abstractNumId w:val="13"/>
  </w:num>
  <w:num w:numId="23" w16cid:durableId="1918905295">
    <w:abstractNumId w:val="18"/>
  </w:num>
  <w:num w:numId="24" w16cid:durableId="1654406366">
    <w:abstractNumId w:val="31"/>
  </w:num>
  <w:num w:numId="25" w16cid:durableId="2115401629">
    <w:abstractNumId w:val="4"/>
  </w:num>
  <w:num w:numId="26" w16cid:durableId="841703156">
    <w:abstractNumId w:val="12"/>
  </w:num>
  <w:num w:numId="27" w16cid:durableId="1161894830">
    <w:abstractNumId w:val="16"/>
  </w:num>
  <w:num w:numId="28" w16cid:durableId="1340811204">
    <w:abstractNumId w:val="15"/>
  </w:num>
  <w:num w:numId="29" w16cid:durableId="1647008849">
    <w:abstractNumId w:val="10"/>
  </w:num>
  <w:num w:numId="30" w16cid:durableId="105807627">
    <w:abstractNumId w:val="26"/>
  </w:num>
  <w:num w:numId="31" w16cid:durableId="917783908">
    <w:abstractNumId w:val="35"/>
  </w:num>
  <w:num w:numId="32" w16cid:durableId="694690560">
    <w:abstractNumId w:val="9"/>
  </w:num>
  <w:num w:numId="33" w16cid:durableId="243031376">
    <w:abstractNumId w:val="7"/>
  </w:num>
  <w:num w:numId="34" w16cid:durableId="731927016">
    <w:abstractNumId w:val="21"/>
  </w:num>
  <w:num w:numId="35" w16cid:durableId="1097754669">
    <w:abstractNumId w:val="11"/>
  </w:num>
  <w:num w:numId="36" w16cid:durableId="990329380">
    <w:abstractNumId w:val="29"/>
  </w:num>
  <w:num w:numId="37" w16cid:durableId="1237714627">
    <w:abstractNumId w:val="25"/>
  </w:num>
  <w:num w:numId="38" w16cid:durableId="626668085">
    <w:abstractNumId w:val="19"/>
  </w:num>
  <w:num w:numId="39" w16cid:durableId="1699116424">
    <w:abstractNumId w:val="5"/>
  </w:num>
  <w:num w:numId="40" w16cid:durableId="979841768">
    <w:abstractNumId w:val="20"/>
  </w:num>
  <w:num w:numId="41" w16cid:durableId="3513401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iJzM1MzMzNTS0MTMyUdpeDU4uLM/DyQApNaAJIcOSosAAAA"/>
  </w:docVars>
  <w:rsids>
    <w:rsidRoot w:val="002B33CC"/>
    <w:rsid w:val="000014E3"/>
    <w:rsid w:val="000022FF"/>
    <w:rsid w:val="00022786"/>
    <w:rsid w:val="00023009"/>
    <w:rsid w:val="0002629A"/>
    <w:rsid w:val="0002683C"/>
    <w:rsid w:val="00033510"/>
    <w:rsid w:val="00037E56"/>
    <w:rsid w:val="00061F19"/>
    <w:rsid w:val="000666CF"/>
    <w:rsid w:val="0008105B"/>
    <w:rsid w:val="00081370"/>
    <w:rsid w:val="00090EB7"/>
    <w:rsid w:val="000950BC"/>
    <w:rsid w:val="000A2E03"/>
    <w:rsid w:val="000B1D6C"/>
    <w:rsid w:val="000C2284"/>
    <w:rsid w:val="000C49FC"/>
    <w:rsid w:val="000D76CA"/>
    <w:rsid w:val="000E30B4"/>
    <w:rsid w:val="000E351C"/>
    <w:rsid w:val="000E696C"/>
    <w:rsid w:val="000F57AB"/>
    <w:rsid w:val="000F7838"/>
    <w:rsid w:val="00100DCF"/>
    <w:rsid w:val="00106B73"/>
    <w:rsid w:val="001160F4"/>
    <w:rsid w:val="00121FAF"/>
    <w:rsid w:val="00126191"/>
    <w:rsid w:val="00130112"/>
    <w:rsid w:val="0014161E"/>
    <w:rsid w:val="00152663"/>
    <w:rsid w:val="00164FB1"/>
    <w:rsid w:val="001731DB"/>
    <w:rsid w:val="0018692B"/>
    <w:rsid w:val="001932E1"/>
    <w:rsid w:val="00193A28"/>
    <w:rsid w:val="001B1EC8"/>
    <w:rsid w:val="001B2DED"/>
    <w:rsid w:val="001D60E4"/>
    <w:rsid w:val="001D6ED6"/>
    <w:rsid w:val="001E151E"/>
    <w:rsid w:val="001E4E81"/>
    <w:rsid w:val="001E593E"/>
    <w:rsid w:val="001F79AA"/>
    <w:rsid w:val="00205DBA"/>
    <w:rsid w:val="00213196"/>
    <w:rsid w:val="00216540"/>
    <w:rsid w:val="00223AEF"/>
    <w:rsid w:val="00225EF2"/>
    <w:rsid w:val="002341B2"/>
    <w:rsid w:val="002376A5"/>
    <w:rsid w:val="0027035A"/>
    <w:rsid w:val="002719A9"/>
    <w:rsid w:val="00274364"/>
    <w:rsid w:val="00286B0D"/>
    <w:rsid w:val="00295B8E"/>
    <w:rsid w:val="002A2A85"/>
    <w:rsid w:val="002A2AD9"/>
    <w:rsid w:val="002A493D"/>
    <w:rsid w:val="002B184E"/>
    <w:rsid w:val="002B33CC"/>
    <w:rsid w:val="002B75DA"/>
    <w:rsid w:val="002B7797"/>
    <w:rsid w:val="002C4AFC"/>
    <w:rsid w:val="002C54EA"/>
    <w:rsid w:val="002D2816"/>
    <w:rsid w:val="002D44B7"/>
    <w:rsid w:val="002D6A55"/>
    <w:rsid w:val="0030331D"/>
    <w:rsid w:val="0030363D"/>
    <w:rsid w:val="00314D58"/>
    <w:rsid w:val="00321C50"/>
    <w:rsid w:val="00325A24"/>
    <w:rsid w:val="00350F77"/>
    <w:rsid w:val="00350F95"/>
    <w:rsid w:val="00361FCF"/>
    <w:rsid w:val="00370232"/>
    <w:rsid w:val="00380675"/>
    <w:rsid w:val="003834DC"/>
    <w:rsid w:val="00397E69"/>
    <w:rsid w:val="003A7BBE"/>
    <w:rsid w:val="003D3396"/>
    <w:rsid w:val="003D6685"/>
    <w:rsid w:val="003E2F16"/>
    <w:rsid w:val="003E7C2D"/>
    <w:rsid w:val="003F6FAF"/>
    <w:rsid w:val="004014EC"/>
    <w:rsid w:val="004110AB"/>
    <w:rsid w:val="00412BA2"/>
    <w:rsid w:val="0042044B"/>
    <w:rsid w:val="00420902"/>
    <w:rsid w:val="004375B0"/>
    <w:rsid w:val="0044032E"/>
    <w:rsid w:val="004434C8"/>
    <w:rsid w:val="00451A66"/>
    <w:rsid w:val="00461AC5"/>
    <w:rsid w:val="00461DE8"/>
    <w:rsid w:val="004746FC"/>
    <w:rsid w:val="004905AE"/>
    <w:rsid w:val="00494A3F"/>
    <w:rsid w:val="004A3A0B"/>
    <w:rsid w:val="004B6CA6"/>
    <w:rsid w:val="004C4A1F"/>
    <w:rsid w:val="004C718D"/>
    <w:rsid w:val="004D1377"/>
    <w:rsid w:val="004E4091"/>
    <w:rsid w:val="004E60D7"/>
    <w:rsid w:val="004F5AD5"/>
    <w:rsid w:val="004F771C"/>
    <w:rsid w:val="0050093F"/>
    <w:rsid w:val="0050122B"/>
    <w:rsid w:val="00501E2A"/>
    <w:rsid w:val="00502582"/>
    <w:rsid w:val="00516916"/>
    <w:rsid w:val="0052044D"/>
    <w:rsid w:val="00522933"/>
    <w:rsid w:val="00522E3E"/>
    <w:rsid w:val="0052659C"/>
    <w:rsid w:val="00533653"/>
    <w:rsid w:val="005346D9"/>
    <w:rsid w:val="005563FC"/>
    <w:rsid w:val="0055657D"/>
    <w:rsid w:val="00567890"/>
    <w:rsid w:val="00571E3E"/>
    <w:rsid w:val="005725FD"/>
    <w:rsid w:val="005744AF"/>
    <w:rsid w:val="0058054E"/>
    <w:rsid w:val="00585837"/>
    <w:rsid w:val="005A0677"/>
    <w:rsid w:val="005A534F"/>
    <w:rsid w:val="005B54D7"/>
    <w:rsid w:val="005C3BB6"/>
    <w:rsid w:val="005D03A1"/>
    <w:rsid w:val="005D62F8"/>
    <w:rsid w:val="005E1594"/>
    <w:rsid w:val="005E22CD"/>
    <w:rsid w:val="005E77B2"/>
    <w:rsid w:val="006118F3"/>
    <w:rsid w:val="00614F02"/>
    <w:rsid w:val="00624675"/>
    <w:rsid w:val="0062552A"/>
    <w:rsid w:val="00637376"/>
    <w:rsid w:val="00640A99"/>
    <w:rsid w:val="006467D8"/>
    <w:rsid w:val="00654484"/>
    <w:rsid w:val="00666DBF"/>
    <w:rsid w:val="00667DD6"/>
    <w:rsid w:val="006754A0"/>
    <w:rsid w:val="00683A74"/>
    <w:rsid w:val="00686250"/>
    <w:rsid w:val="006A7114"/>
    <w:rsid w:val="006B7A49"/>
    <w:rsid w:val="006C0A1A"/>
    <w:rsid w:val="006C0A26"/>
    <w:rsid w:val="006C3892"/>
    <w:rsid w:val="006C46AF"/>
    <w:rsid w:val="006C4B80"/>
    <w:rsid w:val="006C70F1"/>
    <w:rsid w:val="006D7576"/>
    <w:rsid w:val="006F0E57"/>
    <w:rsid w:val="006F1D85"/>
    <w:rsid w:val="006F61CA"/>
    <w:rsid w:val="006F7C74"/>
    <w:rsid w:val="00716CDA"/>
    <w:rsid w:val="00717FAD"/>
    <w:rsid w:val="00743332"/>
    <w:rsid w:val="00760E27"/>
    <w:rsid w:val="00770433"/>
    <w:rsid w:val="00773B41"/>
    <w:rsid w:val="00780857"/>
    <w:rsid w:val="0078256C"/>
    <w:rsid w:val="00782E1D"/>
    <w:rsid w:val="0079277C"/>
    <w:rsid w:val="007936A5"/>
    <w:rsid w:val="007A4928"/>
    <w:rsid w:val="007A7D51"/>
    <w:rsid w:val="007B7835"/>
    <w:rsid w:val="007E021E"/>
    <w:rsid w:val="007F4167"/>
    <w:rsid w:val="0080241C"/>
    <w:rsid w:val="00805BB0"/>
    <w:rsid w:val="00807A01"/>
    <w:rsid w:val="00811CA8"/>
    <w:rsid w:val="00817103"/>
    <w:rsid w:val="0082145D"/>
    <w:rsid w:val="008347A3"/>
    <w:rsid w:val="00837A35"/>
    <w:rsid w:val="00840112"/>
    <w:rsid w:val="00841779"/>
    <w:rsid w:val="00881D3C"/>
    <w:rsid w:val="00887952"/>
    <w:rsid w:val="00887ACA"/>
    <w:rsid w:val="008933E4"/>
    <w:rsid w:val="00897BC6"/>
    <w:rsid w:val="008A17EC"/>
    <w:rsid w:val="008A41C7"/>
    <w:rsid w:val="008D7270"/>
    <w:rsid w:val="008E1923"/>
    <w:rsid w:val="008E668C"/>
    <w:rsid w:val="008F5762"/>
    <w:rsid w:val="009037E5"/>
    <w:rsid w:val="00910829"/>
    <w:rsid w:val="00922685"/>
    <w:rsid w:val="00926B06"/>
    <w:rsid w:val="00926EF3"/>
    <w:rsid w:val="0095339E"/>
    <w:rsid w:val="00953816"/>
    <w:rsid w:val="00956F10"/>
    <w:rsid w:val="00957C3F"/>
    <w:rsid w:val="00964179"/>
    <w:rsid w:val="009733E7"/>
    <w:rsid w:val="00974714"/>
    <w:rsid w:val="009874C3"/>
    <w:rsid w:val="00995B4E"/>
    <w:rsid w:val="009A714F"/>
    <w:rsid w:val="009B2788"/>
    <w:rsid w:val="009B53E1"/>
    <w:rsid w:val="009D663C"/>
    <w:rsid w:val="009D7D84"/>
    <w:rsid w:val="009E2078"/>
    <w:rsid w:val="009E36F3"/>
    <w:rsid w:val="009E370C"/>
    <w:rsid w:val="009E65E3"/>
    <w:rsid w:val="009E681B"/>
    <w:rsid w:val="009F1E3D"/>
    <w:rsid w:val="009F2799"/>
    <w:rsid w:val="009F76E0"/>
    <w:rsid w:val="00A10457"/>
    <w:rsid w:val="00A139ED"/>
    <w:rsid w:val="00A33013"/>
    <w:rsid w:val="00A502E6"/>
    <w:rsid w:val="00A63B88"/>
    <w:rsid w:val="00A658B1"/>
    <w:rsid w:val="00A70A64"/>
    <w:rsid w:val="00A827EB"/>
    <w:rsid w:val="00AB5B57"/>
    <w:rsid w:val="00AB7883"/>
    <w:rsid w:val="00AD0CCC"/>
    <w:rsid w:val="00AE1258"/>
    <w:rsid w:val="00AE3F1D"/>
    <w:rsid w:val="00AF0796"/>
    <w:rsid w:val="00B14F36"/>
    <w:rsid w:val="00B264F9"/>
    <w:rsid w:val="00B31DCD"/>
    <w:rsid w:val="00B528BA"/>
    <w:rsid w:val="00B55D54"/>
    <w:rsid w:val="00B57DFF"/>
    <w:rsid w:val="00B67F24"/>
    <w:rsid w:val="00B819D4"/>
    <w:rsid w:val="00B852CA"/>
    <w:rsid w:val="00B86248"/>
    <w:rsid w:val="00B9198E"/>
    <w:rsid w:val="00B94897"/>
    <w:rsid w:val="00BC6907"/>
    <w:rsid w:val="00BD4105"/>
    <w:rsid w:val="00BE0314"/>
    <w:rsid w:val="00BE70E9"/>
    <w:rsid w:val="00BE7991"/>
    <w:rsid w:val="00BF2B45"/>
    <w:rsid w:val="00BF3428"/>
    <w:rsid w:val="00BF4CE1"/>
    <w:rsid w:val="00C01F1F"/>
    <w:rsid w:val="00C1173D"/>
    <w:rsid w:val="00C26EC6"/>
    <w:rsid w:val="00C30335"/>
    <w:rsid w:val="00C451AF"/>
    <w:rsid w:val="00C46A0E"/>
    <w:rsid w:val="00C652AE"/>
    <w:rsid w:val="00C6563F"/>
    <w:rsid w:val="00C65D9D"/>
    <w:rsid w:val="00C85026"/>
    <w:rsid w:val="00C878B5"/>
    <w:rsid w:val="00C928D9"/>
    <w:rsid w:val="00C93CD6"/>
    <w:rsid w:val="00CA2E1F"/>
    <w:rsid w:val="00CB1108"/>
    <w:rsid w:val="00CD2DCB"/>
    <w:rsid w:val="00CD788E"/>
    <w:rsid w:val="00CE1B1A"/>
    <w:rsid w:val="00CE6DB2"/>
    <w:rsid w:val="00CF2A67"/>
    <w:rsid w:val="00CF4ED1"/>
    <w:rsid w:val="00CF50CA"/>
    <w:rsid w:val="00D078BE"/>
    <w:rsid w:val="00D266E0"/>
    <w:rsid w:val="00D30931"/>
    <w:rsid w:val="00D40099"/>
    <w:rsid w:val="00D50AB9"/>
    <w:rsid w:val="00D524B7"/>
    <w:rsid w:val="00D72312"/>
    <w:rsid w:val="00D7255C"/>
    <w:rsid w:val="00D751A2"/>
    <w:rsid w:val="00D808D1"/>
    <w:rsid w:val="00DB7EAB"/>
    <w:rsid w:val="00DC1A68"/>
    <w:rsid w:val="00DC597D"/>
    <w:rsid w:val="00DD06FA"/>
    <w:rsid w:val="00DE111F"/>
    <w:rsid w:val="00DF080F"/>
    <w:rsid w:val="00E12B29"/>
    <w:rsid w:val="00E1759E"/>
    <w:rsid w:val="00E2027E"/>
    <w:rsid w:val="00E448DD"/>
    <w:rsid w:val="00E46075"/>
    <w:rsid w:val="00E5781C"/>
    <w:rsid w:val="00E60D8A"/>
    <w:rsid w:val="00E63070"/>
    <w:rsid w:val="00E64BF6"/>
    <w:rsid w:val="00E6744B"/>
    <w:rsid w:val="00E708F1"/>
    <w:rsid w:val="00E83C07"/>
    <w:rsid w:val="00E87B42"/>
    <w:rsid w:val="00EC08D1"/>
    <w:rsid w:val="00EC10E1"/>
    <w:rsid w:val="00ED1841"/>
    <w:rsid w:val="00EE19E7"/>
    <w:rsid w:val="00EE20AA"/>
    <w:rsid w:val="00EF42D4"/>
    <w:rsid w:val="00F10022"/>
    <w:rsid w:val="00F12EDE"/>
    <w:rsid w:val="00F1532C"/>
    <w:rsid w:val="00F25932"/>
    <w:rsid w:val="00F32716"/>
    <w:rsid w:val="00F35A95"/>
    <w:rsid w:val="00F401F1"/>
    <w:rsid w:val="00F454CC"/>
    <w:rsid w:val="00F47542"/>
    <w:rsid w:val="00F74E7B"/>
    <w:rsid w:val="00F7645C"/>
    <w:rsid w:val="00F7724C"/>
    <w:rsid w:val="00F8588B"/>
    <w:rsid w:val="00F90480"/>
    <w:rsid w:val="00F90951"/>
    <w:rsid w:val="00F9700D"/>
    <w:rsid w:val="00FB4AED"/>
    <w:rsid w:val="00FC1CCD"/>
    <w:rsid w:val="00FC1FF4"/>
    <w:rsid w:val="00FE742E"/>
    <w:rsid w:val="00FF60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75241"/>
  <w15:chartTrackingRefBased/>
  <w15:docId w15:val="{78C1CCA9-4D9C-407F-9F68-FDDDEF5B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EC10E1"/>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ind w:left="0" w:firstLine="0"/>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59"/>
    <w:rsid w:val="00EC10E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9A9"/>
    <w:pPr>
      <w:ind w:left="720"/>
      <w:contextualSpacing/>
    </w:pPr>
  </w:style>
  <w:style w:type="character" w:styleId="PlaceholderText">
    <w:name w:val="Placeholder Text"/>
    <w:basedOn w:val="DefaultParagraphFont"/>
    <w:uiPriority w:val="99"/>
    <w:unhideWhenUsed/>
    <w:rsid w:val="00995B4E"/>
    <w:rPr>
      <w:color w:val="666666"/>
    </w:rPr>
  </w:style>
  <w:style w:type="table" w:styleId="TableGridLight">
    <w:name w:val="Grid Table Light"/>
    <w:basedOn w:val="TableNormal"/>
    <w:uiPriority w:val="40"/>
    <w:rsid w:val="004014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rsid w:val="00412BA2"/>
  </w:style>
  <w:style w:type="character" w:customStyle="1" w:styleId="EndnoteTextChar">
    <w:name w:val="Endnote Text Char"/>
    <w:basedOn w:val="DefaultParagraphFont"/>
    <w:link w:val="EndnoteText"/>
    <w:rsid w:val="00412BA2"/>
    <w:rPr>
      <w:lang w:val="en-GB" w:eastAsia="en-US"/>
    </w:rPr>
  </w:style>
  <w:style w:type="character" w:styleId="EndnoteReference">
    <w:name w:val="endnote reference"/>
    <w:basedOn w:val="DefaultParagraphFont"/>
    <w:rsid w:val="00412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9442">
      <w:bodyDiv w:val="1"/>
      <w:marLeft w:val="0"/>
      <w:marRight w:val="0"/>
      <w:marTop w:val="0"/>
      <w:marBottom w:val="0"/>
      <w:divBdr>
        <w:top w:val="none" w:sz="0" w:space="0" w:color="auto"/>
        <w:left w:val="none" w:sz="0" w:space="0" w:color="auto"/>
        <w:bottom w:val="none" w:sz="0" w:space="0" w:color="auto"/>
        <w:right w:val="none" w:sz="0" w:space="0" w:color="auto"/>
      </w:divBdr>
      <w:divsChild>
        <w:div w:id="817651527">
          <w:marLeft w:val="0"/>
          <w:marRight w:val="0"/>
          <w:marTop w:val="0"/>
          <w:marBottom w:val="0"/>
          <w:divBdr>
            <w:top w:val="none" w:sz="0" w:space="0" w:color="auto"/>
            <w:left w:val="none" w:sz="0" w:space="0" w:color="auto"/>
            <w:bottom w:val="none" w:sz="0" w:space="0" w:color="auto"/>
            <w:right w:val="none" w:sz="0" w:space="0" w:color="auto"/>
          </w:divBdr>
          <w:divsChild>
            <w:div w:id="1765570620">
              <w:marLeft w:val="0"/>
              <w:marRight w:val="0"/>
              <w:marTop w:val="0"/>
              <w:marBottom w:val="0"/>
              <w:divBdr>
                <w:top w:val="none" w:sz="0" w:space="0" w:color="auto"/>
                <w:left w:val="none" w:sz="0" w:space="0" w:color="auto"/>
                <w:bottom w:val="none" w:sz="0" w:space="0" w:color="auto"/>
                <w:right w:val="none" w:sz="0" w:space="0" w:color="auto"/>
              </w:divBdr>
              <w:divsChild>
                <w:div w:id="1310286077">
                  <w:marLeft w:val="0"/>
                  <w:marRight w:val="0"/>
                  <w:marTop w:val="0"/>
                  <w:marBottom w:val="0"/>
                  <w:divBdr>
                    <w:top w:val="none" w:sz="0" w:space="0" w:color="auto"/>
                    <w:left w:val="none" w:sz="0" w:space="0" w:color="auto"/>
                    <w:bottom w:val="none" w:sz="0" w:space="0" w:color="auto"/>
                    <w:right w:val="none" w:sz="0" w:space="0" w:color="auto"/>
                  </w:divBdr>
                  <w:divsChild>
                    <w:div w:id="153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1483">
          <w:marLeft w:val="0"/>
          <w:marRight w:val="0"/>
          <w:marTop w:val="0"/>
          <w:marBottom w:val="0"/>
          <w:divBdr>
            <w:top w:val="none" w:sz="0" w:space="0" w:color="auto"/>
            <w:left w:val="none" w:sz="0" w:space="0" w:color="auto"/>
            <w:bottom w:val="none" w:sz="0" w:space="0" w:color="auto"/>
            <w:right w:val="none" w:sz="0" w:space="0" w:color="auto"/>
          </w:divBdr>
          <w:divsChild>
            <w:div w:id="492841598">
              <w:marLeft w:val="0"/>
              <w:marRight w:val="0"/>
              <w:marTop w:val="0"/>
              <w:marBottom w:val="0"/>
              <w:divBdr>
                <w:top w:val="none" w:sz="0" w:space="0" w:color="auto"/>
                <w:left w:val="none" w:sz="0" w:space="0" w:color="auto"/>
                <w:bottom w:val="none" w:sz="0" w:space="0" w:color="auto"/>
                <w:right w:val="none" w:sz="0" w:space="0" w:color="auto"/>
              </w:divBdr>
              <w:divsChild>
                <w:div w:id="1903100138">
                  <w:marLeft w:val="0"/>
                  <w:marRight w:val="0"/>
                  <w:marTop w:val="0"/>
                  <w:marBottom w:val="0"/>
                  <w:divBdr>
                    <w:top w:val="none" w:sz="0" w:space="0" w:color="auto"/>
                    <w:left w:val="none" w:sz="0" w:space="0" w:color="auto"/>
                    <w:bottom w:val="none" w:sz="0" w:space="0" w:color="auto"/>
                    <w:right w:val="none" w:sz="0" w:space="0" w:color="auto"/>
                  </w:divBdr>
                  <w:divsChild>
                    <w:div w:id="10213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2047">
      <w:bodyDiv w:val="1"/>
      <w:marLeft w:val="0"/>
      <w:marRight w:val="0"/>
      <w:marTop w:val="0"/>
      <w:marBottom w:val="0"/>
      <w:divBdr>
        <w:top w:val="none" w:sz="0" w:space="0" w:color="auto"/>
        <w:left w:val="none" w:sz="0" w:space="0" w:color="auto"/>
        <w:bottom w:val="none" w:sz="0" w:space="0" w:color="auto"/>
        <w:right w:val="none" w:sz="0" w:space="0" w:color="auto"/>
      </w:divBdr>
    </w:div>
    <w:div w:id="340281835">
      <w:bodyDiv w:val="1"/>
      <w:marLeft w:val="0"/>
      <w:marRight w:val="0"/>
      <w:marTop w:val="0"/>
      <w:marBottom w:val="0"/>
      <w:divBdr>
        <w:top w:val="none" w:sz="0" w:space="0" w:color="auto"/>
        <w:left w:val="none" w:sz="0" w:space="0" w:color="auto"/>
        <w:bottom w:val="none" w:sz="0" w:space="0" w:color="auto"/>
        <w:right w:val="none" w:sz="0" w:space="0" w:color="auto"/>
      </w:divBdr>
      <w:divsChild>
        <w:div w:id="507477126">
          <w:marLeft w:val="0"/>
          <w:marRight w:val="0"/>
          <w:marTop w:val="0"/>
          <w:marBottom w:val="0"/>
          <w:divBdr>
            <w:top w:val="none" w:sz="0" w:space="0" w:color="auto"/>
            <w:left w:val="none" w:sz="0" w:space="0" w:color="auto"/>
            <w:bottom w:val="none" w:sz="0" w:space="0" w:color="auto"/>
            <w:right w:val="none" w:sz="0" w:space="0" w:color="auto"/>
          </w:divBdr>
        </w:div>
        <w:div w:id="1368793474">
          <w:marLeft w:val="0"/>
          <w:marRight w:val="0"/>
          <w:marTop w:val="0"/>
          <w:marBottom w:val="0"/>
          <w:divBdr>
            <w:top w:val="none" w:sz="0" w:space="0" w:color="auto"/>
            <w:left w:val="none" w:sz="0" w:space="0" w:color="auto"/>
            <w:bottom w:val="none" w:sz="0" w:space="0" w:color="auto"/>
            <w:right w:val="none" w:sz="0" w:space="0" w:color="auto"/>
          </w:divBdr>
        </w:div>
        <w:div w:id="1939873575">
          <w:marLeft w:val="0"/>
          <w:marRight w:val="0"/>
          <w:marTop w:val="0"/>
          <w:marBottom w:val="0"/>
          <w:divBdr>
            <w:top w:val="none" w:sz="0" w:space="0" w:color="auto"/>
            <w:left w:val="none" w:sz="0" w:space="0" w:color="auto"/>
            <w:bottom w:val="none" w:sz="0" w:space="0" w:color="auto"/>
            <w:right w:val="none" w:sz="0" w:space="0" w:color="auto"/>
          </w:divBdr>
        </w:div>
      </w:divsChild>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08574">
      <w:bodyDiv w:val="1"/>
      <w:marLeft w:val="0"/>
      <w:marRight w:val="0"/>
      <w:marTop w:val="0"/>
      <w:marBottom w:val="0"/>
      <w:divBdr>
        <w:top w:val="none" w:sz="0" w:space="0" w:color="auto"/>
        <w:left w:val="none" w:sz="0" w:space="0" w:color="auto"/>
        <w:bottom w:val="none" w:sz="0" w:space="0" w:color="auto"/>
        <w:right w:val="none" w:sz="0" w:space="0" w:color="auto"/>
      </w:divBdr>
    </w:div>
    <w:div w:id="460080765">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5333">
      <w:bodyDiv w:val="1"/>
      <w:marLeft w:val="0"/>
      <w:marRight w:val="0"/>
      <w:marTop w:val="0"/>
      <w:marBottom w:val="0"/>
      <w:divBdr>
        <w:top w:val="none" w:sz="0" w:space="0" w:color="auto"/>
        <w:left w:val="none" w:sz="0" w:space="0" w:color="auto"/>
        <w:bottom w:val="none" w:sz="0" w:space="0" w:color="auto"/>
        <w:right w:val="none" w:sz="0" w:space="0" w:color="auto"/>
      </w:divBdr>
    </w:div>
    <w:div w:id="629018353">
      <w:bodyDiv w:val="1"/>
      <w:marLeft w:val="0"/>
      <w:marRight w:val="0"/>
      <w:marTop w:val="0"/>
      <w:marBottom w:val="0"/>
      <w:divBdr>
        <w:top w:val="none" w:sz="0" w:space="0" w:color="auto"/>
        <w:left w:val="none" w:sz="0" w:space="0" w:color="auto"/>
        <w:bottom w:val="none" w:sz="0" w:space="0" w:color="auto"/>
        <w:right w:val="none" w:sz="0" w:space="0" w:color="auto"/>
      </w:divBdr>
    </w:div>
    <w:div w:id="678310398">
      <w:bodyDiv w:val="1"/>
      <w:marLeft w:val="0"/>
      <w:marRight w:val="0"/>
      <w:marTop w:val="0"/>
      <w:marBottom w:val="0"/>
      <w:divBdr>
        <w:top w:val="none" w:sz="0" w:space="0" w:color="auto"/>
        <w:left w:val="none" w:sz="0" w:space="0" w:color="auto"/>
        <w:bottom w:val="none" w:sz="0" w:space="0" w:color="auto"/>
        <w:right w:val="none" w:sz="0" w:space="0" w:color="auto"/>
      </w:divBdr>
      <w:divsChild>
        <w:div w:id="409544531">
          <w:marLeft w:val="0"/>
          <w:marRight w:val="0"/>
          <w:marTop w:val="0"/>
          <w:marBottom w:val="0"/>
          <w:divBdr>
            <w:top w:val="none" w:sz="0" w:space="0" w:color="auto"/>
            <w:left w:val="none" w:sz="0" w:space="0" w:color="auto"/>
            <w:bottom w:val="none" w:sz="0" w:space="0" w:color="auto"/>
            <w:right w:val="none" w:sz="0" w:space="0" w:color="auto"/>
          </w:divBdr>
        </w:div>
        <w:div w:id="853231643">
          <w:marLeft w:val="0"/>
          <w:marRight w:val="0"/>
          <w:marTop w:val="0"/>
          <w:marBottom w:val="0"/>
          <w:divBdr>
            <w:top w:val="none" w:sz="0" w:space="0" w:color="auto"/>
            <w:left w:val="none" w:sz="0" w:space="0" w:color="auto"/>
            <w:bottom w:val="none" w:sz="0" w:space="0" w:color="auto"/>
            <w:right w:val="none" w:sz="0" w:space="0" w:color="auto"/>
          </w:divBdr>
        </w:div>
        <w:div w:id="1444612431">
          <w:marLeft w:val="0"/>
          <w:marRight w:val="0"/>
          <w:marTop w:val="0"/>
          <w:marBottom w:val="0"/>
          <w:divBdr>
            <w:top w:val="none" w:sz="0" w:space="0" w:color="auto"/>
            <w:left w:val="none" w:sz="0" w:space="0" w:color="auto"/>
            <w:bottom w:val="none" w:sz="0" w:space="0" w:color="auto"/>
            <w:right w:val="none" w:sz="0" w:space="0" w:color="auto"/>
          </w:divBdr>
        </w:div>
      </w:divsChild>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5909">
      <w:bodyDiv w:val="1"/>
      <w:marLeft w:val="0"/>
      <w:marRight w:val="0"/>
      <w:marTop w:val="0"/>
      <w:marBottom w:val="0"/>
      <w:divBdr>
        <w:top w:val="none" w:sz="0" w:space="0" w:color="auto"/>
        <w:left w:val="none" w:sz="0" w:space="0" w:color="auto"/>
        <w:bottom w:val="none" w:sz="0" w:space="0" w:color="auto"/>
        <w:right w:val="none" w:sz="0" w:space="0" w:color="auto"/>
      </w:divBdr>
      <w:divsChild>
        <w:div w:id="387732266">
          <w:marLeft w:val="0"/>
          <w:marRight w:val="0"/>
          <w:marTop w:val="0"/>
          <w:marBottom w:val="0"/>
          <w:divBdr>
            <w:top w:val="none" w:sz="0" w:space="0" w:color="auto"/>
            <w:left w:val="none" w:sz="0" w:space="0" w:color="auto"/>
            <w:bottom w:val="none" w:sz="0" w:space="0" w:color="auto"/>
            <w:right w:val="none" w:sz="0" w:space="0" w:color="auto"/>
          </w:divBdr>
          <w:divsChild>
            <w:div w:id="1372415384">
              <w:marLeft w:val="0"/>
              <w:marRight w:val="0"/>
              <w:marTop w:val="0"/>
              <w:marBottom w:val="0"/>
              <w:divBdr>
                <w:top w:val="none" w:sz="0" w:space="0" w:color="auto"/>
                <w:left w:val="none" w:sz="0" w:space="0" w:color="auto"/>
                <w:bottom w:val="none" w:sz="0" w:space="0" w:color="auto"/>
                <w:right w:val="none" w:sz="0" w:space="0" w:color="auto"/>
              </w:divBdr>
              <w:divsChild>
                <w:div w:id="1149251533">
                  <w:marLeft w:val="0"/>
                  <w:marRight w:val="0"/>
                  <w:marTop w:val="0"/>
                  <w:marBottom w:val="0"/>
                  <w:divBdr>
                    <w:top w:val="none" w:sz="0" w:space="0" w:color="auto"/>
                    <w:left w:val="none" w:sz="0" w:space="0" w:color="auto"/>
                    <w:bottom w:val="none" w:sz="0" w:space="0" w:color="auto"/>
                    <w:right w:val="none" w:sz="0" w:space="0" w:color="auto"/>
                  </w:divBdr>
                  <w:divsChild>
                    <w:div w:id="997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237">
          <w:marLeft w:val="0"/>
          <w:marRight w:val="0"/>
          <w:marTop w:val="0"/>
          <w:marBottom w:val="0"/>
          <w:divBdr>
            <w:top w:val="none" w:sz="0" w:space="0" w:color="auto"/>
            <w:left w:val="none" w:sz="0" w:space="0" w:color="auto"/>
            <w:bottom w:val="none" w:sz="0" w:space="0" w:color="auto"/>
            <w:right w:val="none" w:sz="0" w:space="0" w:color="auto"/>
          </w:divBdr>
          <w:divsChild>
            <w:div w:id="303586795">
              <w:marLeft w:val="0"/>
              <w:marRight w:val="0"/>
              <w:marTop w:val="0"/>
              <w:marBottom w:val="0"/>
              <w:divBdr>
                <w:top w:val="none" w:sz="0" w:space="0" w:color="auto"/>
                <w:left w:val="none" w:sz="0" w:space="0" w:color="auto"/>
                <w:bottom w:val="none" w:sz="0" w:space="0" w:color="auto"/>
                <w:right w:val="none" w:sz="0" w:space="0" w:color="auto"/>
              </w:divBdr>
              <w:divsChild>
                <w:div w:id="2001494714">
                  <w:marLeft w:val="0"/>
                  <w:marRight w:val="0"/>
                  <w:marTop w:val="0"/>
                  <w:marBottom w:val="0"/>
                  <w:divBdr>
                    <w:top w:val="none" w:sz="0" w:space="0" w:color="auto"/>
                    <w:left w:val="none" w:sz="0" w:space="0" w:color="auto"/>
                    <w:bottom w:val="none" w:sz="0" w:space="0" w:color="auto"/>
                    <w:right w:val="none" w:sz="0" w:space="0" w:color="auto"/>
                  </w:divBdr>
                  <w:divsChild>
                    <w:div w:id="5627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97927">
      <w:bodyDiv w:val="1"/>
      <w:marLeft w:val="0"/>
      <w:marRight w:val="0"/>
      <w:marTop w:val="0"/>
      <w:marBottom w:val="0"/>
      <w:divBdr>
        <w:top w:val="none" w:sz="0" w:space="0" w:color="auto"/>
        <w:left w:val="none" w:sz="0" w:space="0" w:color="auto"/>
        <w:bottom w:val="none" w:sz="0" w:space="0" w:color="auto"/>
        <w:right w:val="none" w:sz="0" w:space="0" w:color="auto"/>
      </w:divBdr>
    </w:div>
    <w:div w:id="1096365593">
      <w:bodyDiv w:val="1"/>
      <w:marLeft w:val="0"/>
      <w:marRight w:val="0"/>
      <w:marTop w:val="0"/>
      <w:marBottom w:val="0"/>
      <w:divBdr>
        <w:top w:val="none" w:sz="0" w:space="0" w:color="auto"/>
        <w:left w:val="none" w:sz="0" w:space="0" w:color="auto"/>
        <w:bottom w:val="none" w:sz="0" w:space="0" w:color="auto"/>
        <w:right w:val="none" w:sz="0" w:space="0" w:color="auto"/>
      </w:divBdr>
    </w:div>
    <w:div w:id="1135415619">
      <w:bodyDiv w:val="1"/>
      <w:marLeft w:val="0"/>
      <w:marRight w:val="0"/>
      <w:marTop w:val="0"/>
      <w:marBottom w:val="0"/>
      <w:divBdr>
        <w:top w:val="none" w:sz="0" w:space="0" w:color="auto"/>
        <w:left w:val="none" w:sz="0" w:space="0" w:color="auto"/>
        <w:bottom w:val="none" w:sz="0" w:space="0" w:color="auto"/>
        <w:right w:val="none" w:sz="0" w:space="0" w:color="auto"/>
      </w:divBdr>
    </w:div>
    <w:div w:id="1253974775">
      <w:bodyDiv w:val="1"/>
      <w:marLeft w:val="0"/>
      <w:marRight w:val="0"/>
      <w:marTop w:val="0"/>
      <w:marBottom w:val="0"/>
      <w:divBdr>
        <w:top w:val="none" w:sz="0" w:space="0" w:color="auto"/>
        <w:left w:val="none" w:sz="0" w:space="0" w:color="auto"/>
        <w:bottom w:val="none" w:sz="0" w:space="0" w:color="auto"/>
        <w:right w:val="none" w:sz="0" w:space="0" w:color="auto"/>
      </w:divBdr>
    </w:div>
    <w:div w:id="1317802849">
      <w:bodyDiv w:val="1"/>
      <w:marLeft w:val="0"/>
      <w:marRight w:val="0"/>
      <w:marTop w:val="0"/>
      <w:marBottom w:val="0"/>
      <w:divBdr>
        <w:top w:val="none" w:sz="0" w:space="0" w:color="auto"/>
        <w:left w:val="none" w:sz="0" w:space="0" w:color="auto"/>
        <w:bottom w:val="none" w:sz="0" w:space="0" w:color="auto"/>
        <w:right w:val="none" w:sz="0" w:space="0" w:color="auto"/>
      </w:divBdr>
    </w:div>
    <w:div w:id="1487548691">
      <w:bodyDiv w:val="1"/>
      <w:marLeft w:val="0"/>
      <w:marRight w:val="0"/>
      <w:marTop w:val="0"/>
      <w:marBottom w:val="0"/>
      <w:divBdr>
        <w:top w:val="none" w:sz="0" w:space="0" w:color="auto"/>
        <w:left w:val="none" w:sz="0" w:space="0" w:color="auto"/>
        <w:bottom w:val="none" w:sz="0" w:space="0" w:color="auto"/>
        <w:right w:val="none" w:sz="0" w:space="0" w:color="auto"/>
      </w:divBdr>
      <w:divsChild>
        <w:div w:id="2023705157">
          <w:marLeft w:val="1440"/>
          <w:marRight w:val="0"/>
          <w:marTop w:val="106"/>
          <w:marBottom w:val="0"/>
          <w:divBdr>
            <w:top w:val="none" w:sz="0" w:space="0" w:color="auto"/>
            <w:left w:val="none" w:sz="0" w:space="0" w:color="auto"/>
            <w:bottom w:val="none" w:sz="0" w:space="0" w:color="auto"/>
            <w:right w:val="none" w:sz="0" w:space="0" w:color="auto"/>
          </w:divBdr>
        </w:div>
      </w:divsChild>
    </w:div>
    <w:div w:id="1572423739">
      <w:bodyDiv w:val="1"/>
      <w:marLeft w:val="0"/>
      <w:marRight w:val="0"/>
      <w:marTop w:val="0"/>
      <w:marBottom w:val="0"/>
      <w:divBdr>
        <w:top w:val="none" w:sz="0" w:space="0" w:color="auto"/>
        <w:left w:val="none" w:sz="0" w:space="0" w:color="auto"/>
        <w:bottom w:val="none" w:sz="0" w:space="0" w:color="auto"/>
        <w:right w:val="none" w:sz="0" w:space="0" w:color="auto"/>
      </w:divBdr>
    </w:div>
    <w:div w:id="1574581499">
      <w:bodyDiv w:val="1"/>
      <w:marLeft w:val="0"/>
      <w:marRight w:val="0"/>
      <w:marTop w:val="0"/>
      <w:marBottom w:val="0"/>
      <w:divBdr>
        <w:top w:val="none" w:sz="0" w:space="0" w:color="auto"/>
        <w:left w:val="none" w:sz="0" w:space="0" w:color="auto"/>
        <w:bottom w:val="none" w:sz="0" w:space="0" w:color="auto"/>
        <w:right w:val="none" w:sz="0" w:space="0" w:color="auto"/>
      </w:divBdr>
    </w:div>
    <w:div w:id="2010980104">
      <w:bodyDiv w:val="1"/>
      <w:marLeft w:val="0"/>
      <w:marRight w:val="0"/>
      <w:marTop w:val="0"/>
      <w:marBottom w:val="0"/>
      <w:divBdr>
        <w:top w:val="none" w:sz="0" w:space="0" w:color="auto"/>
        <w:left w:val="none" w:sz="0" w:space="0" w:color="auto"/>
        <w:bottom w:val="none" w:sz="0" w:space="0" w:color="auto"/>
        <w:right w:val="none" w:sz="0" w:space="0" w:color="auto"/>
      </w:divBdr>
    </w:div>
    <w:div w:id="2069069291">
      <w:bodyDiv w:val="1"/>
      <w:marLeft w:val="0"/>
      <w:marRight w:val="0"/>
      <w:marTop w:val="0"/>
      <w:marBottom w:val="0"/>
      <w:divBdr>
        <w:top w:val="none" w:sz="0" w:space="0" w:color="auto"/>
        <w:left w:val="none" w:sz="0" w:space="0" w:color="auto"/>
        <w:bottom w:val="none" w:sz="0" w:space="0" w:color="auto"/>
        <w:right w:val="none" w:sz="0" w:space="0" w:color="auto"/>
      </w:divBdr>
    </w:div>
    <w:div w:id="2079984331">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jurnal.unmer.ac.id/index.php/jb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2145D5-C161-4CB5-B42A-8E0E2D3B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1</TotalTime>
  <Pages>9</Pages>
  <Words>7512</Words>
  <Characters>42824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50236</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dc:description/>
  <cp:lastModifiedBy>arfianadewi2612@outlook.com</cp:lastModifiedBy>
  <cp:revision>2</cp:revision>
  <cp:lastPrinted>1999-12-01T10:08:00Z</cp:lastPrinted>
  <dcterms:created xsi:type="dcterms:W3CDTF">2024-11-12T01:44:00Z</dcterms:created>
  <dcterms:modified xsi:type="dcterms:W3CDTF">2024-11-12T01:44:00Z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876b5134-bcd7-3521-a0c6-c1150c0a5d67</vt:lpwstr>
  </property>
  <property fmtid="{D5CDD505-2E9C-101B-9397-08002B2CF9AE}" pid="25" name="Mendeley Citation Style_1">
    <vt:lpwstr>http://www.zotero.org/styles/apa</vt:lpwstr>
  </property>
</Properties>
</file>