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C47F0" w14:textId="44A403ED" w:rsidR="007934C8" w:rsidRPr="000D1D54" w:rsidRDefault="000D5E39" w:rsidP="004A7032">
      <w:pPr>
        <w:spacing w:after="0" w:line="240" w:lineRule="auto"/>
        <w:rPr>
          <w:rFonts w:ascii="Book Antiqua" w:hAnsi="Book Antiqua" w:cs="Times New Roman"/>
          <w:i/>
          <w:iCs/>
          <w:lang w:val="id-ID"/>
        </w:rPr>
      </w:pPr>
      <w:r w:rsidRPr="000D1D54">
        <w:rPr>
          <w:noProof/>
          <w:lang w:val="id-ID"/>
        </w:rPr>
        <w:drawing>
          <wp:anchor distT="0" distB="0" distL="114300" distR="114300" simplePos="0" relativeHeight="251661312" behindDoc="0" locked="0" layoutInCell="1" allowOverlap="1" wp14:anchorId="358AFA07" wp14:editId="4B2FC867">
            <wp:simplePos x="0" y="0"/>
            <wp:positionH relativeFrom="margin">
              <wp:posOffset>4463415</wp:posOffset>
            </wp:positionH>
            <wp:positionV relativeFrom="paragraph">
              <wp:posOffset>5715</wp:posOffset>
            </wp:positionV>
            <wp:extent cx="958618" cy="7334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618"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34C8" w:rsidRPr="000D1D54">
        <w:rPr>
          <w:rFonts w:ascii="Book Antiqua" w:hAnsi="Book Antiqua" w:cs="Times New Roman"/>
          <w:i/>
          <w:iCs/>
          <w:lang w:val="id-ID"/>
        </w:rPr>
        <w:t>Peer-Reviewed Article</w:t>
      </w:r>
    </w:p>
    <w:p w14:paraId="00C0A2FE" w14:textId="6F788BE1" w:rsidR="007934C8" w:rsidRPr="000D1D54" w:rsidRDefault="007934C8" w:rsidP="004A7032">
      <w:pPr>
        <w:spacing w:after="0" w:line="240" w:lineRule="auto"/>
        <w:rPr>
          <w:rFonts w:ascii="Book Antiqua" w:hAnsi="Book Antiqua" w:cs="Times New Roman"/>
          <w:i/>
          <w:iCs/>
          <w:lang w:val="id-ID"/>
        </w:rPr>
      </w:pPr>
    </w:p>
    <w:p w14:paraId="628C809D" w14:textId="4D3EB1C2" w:rsidR="006D139D" w:rsidRPr="000D1D54" w:rsidRDefault="006D139D" w:rsidP="004A7032">
      <w:pPr>
        <w:spacing w:after="0" w:line="240" w:lineRule="auto"/>
        <w:rPr>
          <w:rFonts w:ascii="Book Antiqua" w:hAnsi="Book Antiqua" w:cs="Times New Roman"/>
          <w:i/>
          <w:iCs/>
          <w:sz w:val="20"/>
          <w:szCs w:val="20"/>
          <w:lang w:val="id-ID"/>
        </w:rPr>
      </w:pPr>
      <w:r w:rsidRPr="000D1D54">
        <w:rPr>
          <w:rFonts w:ascii="Book Antiqua" w:hAnsi="Book Antiqua" w:cs="Times New Roman"/>
          <w:i/>
          <w:iCs/>
          <w:sz w:val="20"/>
          <w:szCs w:val="20"/>
          <w:lang w:val="id-ID"/>
        </w:rPr>
        <w:t>Jurnal Keuangan dan Perbankan</w:t>
      </w:r>
    </w:p>
    <w:p w14:paraId="3430DFB1" w14:textId="2273F751" w:rsidR="006D139D" w:rsidRPr="000D1D54" w:rsidRDefault="006D139D" w:rsidP="004A7032">
      <w:pPr>
        <w:spacing w:after="0" w:line="240" w:lineRule="auto"/>
        <w:rPr>
          <w:rFonts w:ascii="Book Antiqua" w:hAnsi="Book Antiqua" w:cs="Times New Roman"/>
          <w:sz w:val="20"/>
          <w:szCs w:val="20"/>
          <w:lang w:val="id-ID"/>
        </w:rPr>
      </w:pPr>
      <w:r w:rsidRPr="000D1D54">
        <w:rPr>
          <w:rFonts w:ascii="Book Antiqua" w:hAnsi="Book Antiqua" w:cs="Times New Roman"/>
          <w:sz w:val="20"/>
          <w:szCs w:val="20"/>
          <w:lang w:val="id-ID"/>
        </w:rPr>
        <w:t xml:space="preserve">Volume 25, Issue 1 </w:t>
      </w:r>
      <w:r w:rsidR="004A7032" w:rsidRPr="000D1D54">
        <w:rPr>
          <w:rFonts w:ascii="Book Antiqua" w:hAnsi="Book Antiqua" w:cs="Times New Roman"/>
          <w:sz w:val="20"/>
          <w:szCs w:val="20"/>
          <w:lang w:val="id-ID"/>
        </w:rPr>
        <w:t>202</w:t>
      </w:r>
      <w:r w:rsidR="008B4327" w:rsidRPr="000D1D54">
        <w:rPr>
          <w:rFonts w:ascii="Book Antiqua" w:hAnsi="Book Antiqua" w:cs="Times New Roman"/>
          <w:sz w:val="20"/>
          <w:szCs w:val="20"/>
          <w:lang w:val="id-ID"/>
        </w:rPr>
        <w:t>3</w:t>
      </w:r>
      <w:r w:rsidR="004A7032" w:rsidRPr="000D1D54">
        <w:rPr>
          <w:rFonts w:ascii="Book Antiqua" w:hAnsi="Book Antiqua" w:cs="Times New Roman"/>
          <w:sz w:val="20"/>
          <w:szCs w:val="20"/>
          <w:lang w:val="id-ID"/>
        </w:rPr>
        <w:t xml:space="preserve">, page. </w:t>
      </w:r>
      <w:r w:rsidR="008B4327" w:rsidRPr="000D1D54">
        <w:rPr>
          <w:rFonts w:ascii="Book Antiqua" w:hAnsi="Book Antiqua" w:cs="Times New Roman"/>
          <w:sz w:val="20"/>
          <w:szCs w:val="20"/>
          <w:lang w:val="id-ID"/>
        </w:rPr>
        <w:t>xxx-xxx</w:t>
      </w:r>
    </w:p>
    <w:p w14:paraId="6E7CC0F5" w14:textId="706A52B0" w:rsidR="004A7032" w:rsidRPr="000D1D54" w:rsidRDefault="004A7032" w:rsidP="004A7032">
      <w:pPr>
        <w:spacing w:after="0" w:line="240" w:lineRule="auto"/>
        <w:rPr>
          <w:rFonts w:ascii="Book Antiqua" w:hAnsi="Book Antiqua" w:cs="Times New Roman"/>
          <w:sz w:val="20"/>
          <w:szCs w:val="20"/>
          <w:lang w:val="id-ID"/>
        </w:rPr>
      </w:pPr>
      <w:r w:rsidRPr="000D1D54">
        <w:rPr>
          <w:rFonts w:ascii="Book Antiqua" w:hAnsi="Book Antiqua" w:cs="Times New Roman"/>
          <w:sz w:val="20"/>
          <w:szCs w:val="20"/>
          <w:lang w:val="id-ID"/>
        </w:rPr>
        <w:t>ISSN: 1410-8089 (Print), 2443-2687 (Online)</w:t>
      </w:r>
    </w:p>
    <w:p w14:paraId="1F7FBA40" w14:textId="2038F88D" w:rsidR="004A7032" w:rsidRPr="000D1D54" w:rsidRDefault="004A7032" w:rsidP="004A7032">
      <w:pPr>
        <w:spacing w:after="0" w:line="240" w:lineRule="auto"/>
        <w:rPr>
          <w:rFonts w:ascii="Book Antiqua" w:hAnsi="Book Antiqua" w:cs="Times New Roman"/>
          <w:sz w:val="20"/>
          <w:szCs w:val="20"/>
          <w:lang w:val="id-ID"/>
        </w:rPr>
      </w:pPr>
      <w:r w:rsidRPr="000D1D54">
        <w:rPr>
          <w:rFonts w:ascii="Book Antiqua" w:hAnsi="Book Antiqua" w:cs="Times New Roman"/>
          <w:sz w:val="20"/>
          <w:szCs w:val="20"/>
          <w:lang w:val="id-ID"/>
        </w:rPr>
        <w:t xml:space="preserve">DOI: </w:t>
      </w:r>
      <w:r w:rsidR="006B7442" w:rsidRPr="000D1D54">
        <w:rPr>
          <w:rFonts w:ascii="Book Antiqua" w:hAnsi="Book Antiqua" w:cs="Times New Roman"/>
          <w:sz w:val="20"/>
          <w:szCs w:val="20"/>
          <w:lang w:val="id-ID"/>
        </w:rPr>
        <w:t>12356.doi.789.12345678</w:t>
      </w:r>
    </w:p>
    <w:p w14:paraId="2CAA3281" w14:textId="23A1BDF6" w:rsidR="006D139D" w:rsidRPr="000D1D54" w:rsidRDefault="006D139D" w:rsidP="004A7032">
      <w:pPr>
        <w:spacing w:line="240" w:lineRule="auto"/>
        <w:rPr>
          <w:rFonts w:ascii="Book Antiqua" w:hAnsi="Book Antiqua" w:cs="Times New Roman"/>
          <w:b/>
          <w:bCs/>
          <w:sz w:val="36"/>
          <w:szCs w:val="36"/>
          <w:lang w:val="id-ID"/>
        </w:rPr>
      </w:pPr>
    </w:p>
    <w:p w14:paraId="3DE8B015" w14:textId="7B29D9A1" w:rsidR="006D139D" w:rsidRPr="000D1D54" w:rsidRDefault="008B4327" w:rsidP="006D139D">
      <w:pPr>
        <w:spacing w:line="240" w:lineRule="auto"/>
        <w:jc w:val="center"/>
        <w:rPr>
          <w:rFonts w:ascii="Book Antiqua" w:hAnsi="Book Antiqua" w:cs="Times New Roman"/>
          <w:b/>
          <w:bCs/>
          <w:sz w:val="36"/>
          <w:szCs w:val="36"/>
          <w:lang w:val="id-ID"/>
        </w:rPr>
      </w:pPr>
      <w:r w:rsidRPr="000D1D54">
        <w:rPr>
          <w:rFonts w:ascii="Book Antiqua" w:hAnsi="Book Antiqua" w:cs="Times New Roman"/>
          <w:b/>
          <w:bCs/>
          <w:sz w:val="36"/>
          <w:szCs w:val="36"/>
          <w:lang w:val="id-ID"/>
        </w:rPr>
        <w:t>Share Price Trigger in Manufacturing Companies on The Indonesia Stock Exchange</w:t>
      </w:r>
    </w:p>
    <w:p w14:paraId="277C0F4B" w14:textId="42C4F45D" w:rsidR="00177CF2" w:rsidRPr="000D1D54" w:rsidRDefault="008B4327" w:rsidP="009439E9">
      <w:pPr>
        <w:spacing w:after="0" w:line="276" w:lineRule="auto"/>
        <w:jc w:val="center"/>
        <w:rPr>
          <w:rFonts w:ascii="Book Antiqua" w:hAnsi="Book Antiqua" w:cs="Times New Roman"/>
          <w:sz w:val="24"/>
          <w:szCs w:val="24"/>
          <w:vertAlign w:val="superscript"/>
          <w:lang w:val="id-ID"/>
        </w:rPr>
      </w:pPr>
      <w:r w:rsidRPr="000D1D54">
        <w:rPr>
          <w:rFonts w:ascii="Book Antiqua" w:hAnsi="Book Antiqua" w:cs="Times New Roman"/>
          <w:sz w:val="24"/>
          <w:szCs w:val="24"/>
          <w:lang w:val="id-ID"/>
        </w:rPr>
        <w:t>Ni Nyoman Juli Nuryani</w:t>
      </w:r>
      <w:r w:rsidR="0031734D" w:rsidRPr="000D1D54">
        <w:rPr>
          <w:rFonts w:ascii="Book Antiqua" w:hAnsi="Book Antiqua" w:cs="Times New Roman"/>
          <w:sz w:val="24"/>
          <w:szCs w:val="24"/>
          <w:vertAlign w:val="superscript"/>
          <w:lang w:val="id-ID"/>
        </w:rPr>
        <w:t>1</w:t>
      </w:r>
      <w:r w:rsidR="0031734D" w:rsidRPr="000D1D54">
        <w:rPr>
          <w:rFonts w:ascii="Book Antiqua" w:hAnsi="Book Antiqua" w:cs="Times New Roman"/>
          <w:sz w:val="24"/>
          <w:szCs w:val="24"/>
          <w:lang w:val="id-ID"/>
        </w:rPr>
        <w:t xml:space="preserve">, </w:t>
      </w:r>
      <w:r w:rsidRPr="000D1D54">
        <w:rPr>
          <w:rFonts w:ascii="Book Antiqua" w:hAnsi="Book Antiqua" w:cs="Times New Roman"/>
          <w:sz w:val="24"/>
          <w:szCs w:val="24"/>
          <w:lang w:val="id-ID"/>
        </w:rPr>
        <w:t>A. A.N. Oka Suryadinatha Gorda</w:t>
      </w:r>
      <w:r w:rsidR="0031734D" w:rsidRPr="000D1D54">
        <w:rPr>
          <w:rFonts w:ascii="Book Antiqua" w:hAnsi="Book Antiqua" w:cs="Times New Roman"/>
          <w:sz w:val="24"/>
          <w:szCs w:val="24"/>
          <w:vertAlign w:val="superscript"/>
          <w:lang w:val="id-ID"/>
        </w:rPr>
        <w:t>2</w:t>
      </w:r>
      <w:r w:rsidR="0012256E" w:rsidRPr="000D1D54">
        <w:rPr>
          <w:rFonts w:ascii="Book Antiqua" w:hAnsi="Book Antiqua" w:cs="Times New Roman"/>
          <w:sz w:val="24"/>
          <w:szCs w:val="24"/>
          <w:vertAlign w:val="superscript"/>
          <w:lang w:val="id-ID"/>
        </w:rPr>
        <w:t>*</w:t>
      </w:r>
    </w:p>
    <w:p w14:paraId="61346D04" w14:textId="0B2D6C35" w:rsidR="008B4327" w:rsidRPr="000D1D54" w:rsidRDefault="008B4327" w:rsidP="008B4327">
      <w:pPr>
        <w:spacing w:after="0" w:line="240" w:lineRule="auto"/>
        <w:jc w:val="center"/>
        <w:rPr>
          <w:rFonts w:ascii="Book Antiqua" w:hAnsi="Book Antiqua" w:cs="Times New Roman"/>
          <w:i/>
          <w:iCs/>
          <w:lang w:val="id-ID"/>
        </w:rPr>
      </w:pPr>
      <w:r w:rsidRPr="000D1D54">
        <w:rPr>
          <w:rFonts w:ascii="Book Antiqua" w:hAnsi="Book Antiqua" w:cs="Times New Roman"/>
          <w:i/>
          <w:iCs/>
          <w:vertAlign w:val="superscript"/>
          <w:lang w:val="id-ID"/>
        </w:rPr>
        <w:t>1</w:t>
      </w:r>
      <w:r w:rsidRPr="000D1D54">
        <w:rPr>
          <w:rFonts w:ascii="Book Antiqua" w:hAnsi="Book Antiqua" w:cs="Times New Roman"/>
          <w:i/>
          <w:iCs/>
          <w:lang w:val="id-ID"/>
        </w:rPr>
        <w:t>Management Study Program, STIE Satya Dharma Singaraja, Bali, Indonesia</w:t>
      </w:r>
    </w:p>
    <w:p w14:paraId="4B80C732" w14:textId="39BB49ED" w:rsidR="008B4327" w:rsidRPr="000D1D54" w:rsidRDefault="008B4327" w:rsidP="008B4327">
      <w:pPr>
        <w:spacing w:after="0" w:line="240" w:lineRule="auto"/>
        <w:jc w:val="center"/>
        <w:rPr>
          <w:rFonts w:ascii="Book Antiqua" w:hAnsi="Book Antiqua" w:cs="Times New Roman"/>
          <w:i/>
          <w:iCs/>
          <w:lang w:val="id-ID"/>
        </w:rPr>
      </w:pPr>
      <w:r w:rsidRPr="000D1D54">
        <w:rPr>
          <w:rFonts w:ascii="Book Antiqua" w:hAnsi="Book Antiqua" w:cs="Times New Roman"/>
          <w:i/>
          <w:iCs/>
          <w:vertAlign w:val="superscript"/>
          <w:lang w:val="id-ID"/>
        </w:rPr>
        <w:t>2</w:t>
      </w:r>
      <w:r w:rsidRPr="000D1D54">
        <w:rPr>
          <w:rFonts w:ascii="Book Antiqua" w:hAnsi="Book Antiqua" w:cs="Times New Roman"/>
          <w:i/>
          <w:iCs/>
          <w:lang w:val="id-ID"/>
        </w:rPr>
        <w:t>Department of Management, Universitas Pendidikan Nasional, Denpasar, Bali, Indonesia</w:t>
      </w:r>
    </w:p>
    <w:p w14:paraId="2850D6C6" w14:textId="5C095F5A" w:rsidR="004A7032" w:rsidRPr="000D1D54" w:rsidRDefault="004A7032" w:rsidP="004A7032">
      <w:pPr>
        <w:spacing w:after="0" w:line="240" w:lineRule="auto"/>
        <w:jc w:val="center"/>
        <w:rPr>
          <w:rFonts w:ascii="Book Antiqua" w:hAnsi="Book Antiqua" w:cs="Times New Roman"/>
          <w:lang w:val="id-ID"/>
        </w:rPr>
      </w:pPr>
    </w:p>
    <w:p w14:paraId="1F7DD6F8" w14:textId="09CD56AC" w:rsidR="00836249" w:rsidRPr="000D1D54" w:rsidRDefault="0012256E" w:rsidP="00EF468C">
      <w:pPr>
        <w:spacing w:after="0" w:line="240" w:lineRule="auto"/>
        <w:rPr>
          <w:rFonts w:ascii="Book Antiqua" w:hAnsi="Book Antiqua" w:cs="Times New Roman"/>
          <w:sz w:val="20"/>
          <w:szCs w:val="20"/>
          <w:lang w:val="id-ID"/>
        </w:rPr>
      </w:pPr>
      <w:r w:rsidRPr="000D1D54">
        <w:rPr>
          <w:rFonts w:ascii="Book Antiqua" w:hAnsi="Book Antiqua" w:cs="Times New Roman"/>
          <w:sz w:val="20"/>
          <w:szCs w:val="20"/>
          <w:lang w:val="id-ID"/>
        </w:rPr>
        <w:t>*</w:t>
      </w:r>
      <w:r w:rsidR="00836249" w:rsidRPr="000D1D54">
        <w:rPr>
          <w:rFonts w:ascii="Book Antiqua" w:hAnsi="Book Antiqua" w:cs="Times New Roman"/>
          <w:sz w:val="20"/>
          <w:szCs w:val="20"/>
          <w:lang w:val="id-ID"/>
        </w:rPr>
        <w:t>Corresponding Author:</w:t>
      </w:r>
      <w:r w:rsidR="000D5E39" w:rsidRPr="000D1D54">
        <w:rPr>
          <w:rFonts w:ascii="Book Antiqua" w:hAnsi="Book Antiqua" w:cs="Times New Roman"/>
          <w:sz w:val="20"/>
          <w:szCs w:val="20"/>
          <w:lang w:val="id-ID"/>
        </w:rPr>
        <w:t xml:space="preserve"> </w:t>
      </w:r>
      <w:r w:rsidR="008B4327" w:rsidRPr="000D1D54">
        <w:rPr>
          <w:rFonts w:ascii="Book Antiqua" w:hAnsi="Book Antiqua" w:cs="Times New Roman"/>
          <w:sz w:val="20"/>
          <w:szCs w:val="20"/>
          <w:lang w:val="id-ID"/>
        </w:rPr>
        <w:t>Ni Nyoman Juli Nuryani</w:t>
      </w:r>
    </w:p>
    <w:p w14:paraId="68AC6348" w14:textId="785C10E9" w:rsidR="00737EBB" w:rsidRPr="000D1D54" w:rsidRDefault="000D5E39" w:rsidP="00EF468C">
      <w:pPr>
        <w:pBdr>
          <w:bottom w:val="single" w:sz="4" w:space="1" w:color="auto"/>
        </w:pBdr>
        <w:tabs>
          <w:tab w:val="left" w:pos="567"/>
        </w:tabs>
        <w:spacing w:after="0" w:line="240" w:lineRule="auto"/>
        <w:rPr>
          <w:rFonts w:ascii="Book Antiqua" w:hAnsi="Book Antiqua" w:cs="Times New Roman"/>
          <w:color w:val="0563C1" w:themeColor="hyperlink"/>
          <w:sz w:val="20"/>
          <w:szCs w:val="20"/>
          <w:lang w:val="id-ID"/>
        </w:rPr>
      </w:pPr>
      <w:r w:rsidRPr="000D1D54">
        <w:rPr>
          <w:rFonts w:ascii="Book Antiqua" w:hAnsi="Book Antiqua" w:cs="Times New Roman"/>
          <w:sz w:val="20"/>
          <w:szCs w:val="20"/>
          <w:lang w:val="id-ID"/>
        </w:rPr>
        <w:tab/>
      </w:r>
      <w:r w:rsidRPr="000D1D54">
        <w:rPr>
          <w:rFonts w:ascii="Book Antiqua" w:hAnsi="Book Antiqua" w:cs="Times New Roman"/>
          <w:sz w:val="20"/>
          <w:szCs w:val="20"/>
          <w:lang w:val="id-ID"/>
        </w:rPr>
        <w:tab/>
      </w:r>
      <w:r w:rsidRPr="000D1D54">
        <w:rPr>
          <w:rFonts w:ascii="Book Antiqua" w:hAnsi="Book Antiqua" w:cs="Times New Roman"/>
          <w:sz w:val="20"/>
          <w:szCs w:val="20"/>
          <w:lang w:val="id-ID"/>
        </w:rPr>
        <w:tab/>
      </w:r>
      <w:r w:rsidRPr="000D1D54">
        <w:rPr>
          <w:rFonts w:ascii="Book Antiqua" w:hAnsi="Book Antiqua" w:cs="Times New Roman"/>
          <w:sz w:val="20"/>
          <w:szCs w:val="20"/>
          <w:lang w:val="id-ID"/>
        </w:rPr>
        <w:tab/>
        <w:t xml:space="preserve"> </w:t>
      </w:r>
      <w:hyperlink r:id="rId9" w:history="1">
        <w:r w:rsidR="00E2000C" w:rsidRPr="000D1D54">
          <w:rPr>
            <w:rStyle w:val="Hyperlink"/>
            <w:rFonts w:ascii="Book Antiqua" w:hAnsi="Book Antiqua" w:cs="Times New Roman"/>
            <w:sz w:val="20"/>
            <w:szCs w:val="20"/>
            <w:lang w:val="id-ID"/>
          </w:rPr>
          <w:t>nijuli.nuryani07@gmail.com</w:t>
        </w:r>
      </w:hyperlink>
    </w:p>
    <w:p w14:paraId="7A253863" w14:textId="77777777" w:rsidR="00737EBB" w:rsidRPr="000D1D54" w:rsidRDefault="00737EBB" w:rsidP="00737EBB">
      <w:pPr>
        <w:spacing w:after="0" w:line="240" w:lineRule="auto"/>
        <w:jc w:val="center"/>
        <w:rPr>
          <w:rFonts w:ascii="Book Antiqua" w:hAnsi="Book Antiqua" w:cs="Times New Roman"/>
          <w:b/>
          <w:bCs/>
          <w:lang w:val="id-ID"/>
        </w:rPr>
      </w:pPr>
    </w:p>
    <w:p w14:paraId="27558F6A" w14:textId="0B2734E7" w:rsidR="00836249" w:rsidRPr="000D1D54" w:rsidRDefault="00836249" w:rsidP="00737EBB">
      <w:pPr>
        <w:spacing w:after="0" w:line="240" w:lineRule="auto"/>
        <w:jc w:val="center"/>
        <w:rPr>
          <w:rFonts w:ascii="Book Antiqua" w:hAnsi="Book Antiqua" w:cs="Times New Roman"/>
          <w:b/>
          <w:bCs/>
          <w:lang w:val="id-ID"/>
        </w:rPr>
      </w:pPr>
      <w:r w:rsidRPr="000D1D54">
        <w:rPr>
          <w:rFonts w:ascii="Book Antiqua" w:hAnsi="Book Antiqua" w:cs="Times New Roman"/>
          <w:b/>
          <w:bCs/>
          <w:lang w:val="id-ID"/>
        </w:rPr>
        <w:t>Abstract</w:t>
      </w:r>
    </w:p>
    <w:p w14:paraId="1967C095" w14:textId="425F39F5" w:rsidR="00E2000C" w:rsidRPr="000D1D54" w:rsidRDefault="00E2000C" w:rsidP="00737EBB">
      <w:pPr>
        <w:spacing w:line="240" w:lineRule="auto"/>
        <w:jc w:val="both"/>
        <w:rPr>
          <w:rFonts w:ascii="Book Antiqua" w:hAnsi="Book Antiqua" w:cs="Times New Roman"/>
          <w:lang w:val="id-ID"/>
        </w:rPr>
      </w:pPr>
      <w:r w:rsidRPr="000D1D54">
        <w:rPr>
          <w:rFonts w:ascii="Book Antiqua" w:hAnsi="Book Antiqua" w:cs="Times New Roman"/>
          <w:lang w:val="id-ID"/>
        </w:rPr>
        <w:t xml:space="preserve">This study aims to examine the effect of Earning Per Share (EPS), Net Profit Margin (NPM), Gross Profit Margin (GPM), and Total Asset Turnover (TATO) on stock prices in manufacturing companies in the food and beverages sector listed on the Indonesia Stock Exchange (IDX) with an observation period of 2018-2022. The population and sample in this study are the quarterly financial statements of manufacturing companies in the food and beverage sector listed on the Indonesia Stock Exchange. The sampling method used is </w:t>
      </w:r>
      <w:r w:rsidR="00AE4B02">
        <w:rPr>
          <w:rFonts w:ascii="Book Antiqua" w:hAnsi="Book Antiqua" w:cs="Times New Roman"/>
          <w:lang w:val="id-ID"/>
        </w:rPr>
        <w:t>purposive sampling</w:t>
      </w:r>
      <w:r w:rsidRPr="000D1D54">
        <w:rPr>
          <w:rFonts w:ascii="Book Antiqua" w:hAnsi="Book Antiqua" w:cs="Times New Roman"/>
          <w:lang w:val="id-ID"/>
        </w:rPr>
        <w:t>, with a total sample of 252 quarterly financial statements from 12 companies. The data used in this research is secondary data. Then, the data collected was tested by multiple linear regression analysis</w:t>
      </w:r>
      <w:r w:rsidR="00AE4B02">
        <w:rPr>
          <w:rFonts w:ascii="Book Antiqua" w:hAnsi="Book Antiqua" w:cs="Times New Roman"/>
          <w:lang w:val="id-ID"/>
        </w:rPr>
        <w:t>,</w:t>
      </w:r>
      <w:r w:rsidRPr="000D1D54">
        <w:rPr>
          <w:rFonts w:ascii="Book Antiqua" w:hAnsi="Book Antiqua" w:cs="Times New Roman"/>
          <w:lang w:val="id-ID"/>
        </w:rPr>
        <w:t xml:space="preserve"> which was processed using the SPSS version 18 application. The results showed that EPS and NPM have a positive and significant effect on stock prices, while GPM ha</w:t>
      </w:r>
      <w:r w:rsidR="00AE4B02">
        <w:rPr>
          <w:rFonts w:ascii="Book Antiqua" w:hAnsi="Book Antiqua" w:cs="Times New Roman"/>
          <w:lang w:val="id-ID"/>
        </w:rPr>
        <w:t>s</w:t>
      </w:r>
      <w:r w:rsidRPr="000D1D54">
        <w:rPr>
          <w:rFonts w:ascii="Book Antiqua" w:hAnsi="Book Antiqua" w:cs="Times New Roman"/>
          <w:lang w:val="id-ID"/>
        </w:rPr>
        <w:t xml:space="preserve"> no significant effect on stock prices, and TATO ha</w:t>
      </w:r>
      <w:r w:rsidR="00AE4B02">
        <w:rPr>
          <w:rFonts w:ascii="Book Antiqua" w:hAnsi="Book Antiqua" w:cs="Times New Roman"/>
          <w:lang w:val="id-ID"/>
        </w:rPr>
        <w:t>s</w:t>
      </w:r>
      <w:r w:rsidRPr="000D1D54">
        <w:rPr>
          <w:rFonts w:ascii="Book Antiqua" w:hAnsi="Book Antiqua" w:cs="Times New Roman"/>
          <w:lang w:val="id-ID"/>
        </w:rPr>
        <w:t xml:space="preserve"> a negative and significant </w:t>
      </w:r>
      <w:r w:rsidR="00AE4B02">
        <w:rPr>
          <w:rFonts w:ascii="Book Antiqua" w:hAnsi="Book Antiqua" w:cs="Times New Roman"/>
          <w:lang w:val="id-ID"/>
        </w:rPr>
        <w:t>impa</w:t>
      </w:r>
      <w:r w:rsidRPr="000D1D54">
        <w:rPr>
          <w:rFonts w:ascii="Book Antiqua" w:hAnsi="Book Antiqua" w:cs="Times New Roman"/>
          <w:lang w:val="id-ID"/>
        </w:rPr>
        <w:t xml:space="preserve">ct on stock prices. </w:t>
      </w:r>
      <w:r w:rsidR="00AE4B02">
        <w:rPr>
          <w:rFonts w:ascii="Book Antiqua" w:hAnsi="Book Antiqua" w:cs="Times New Roman"/>
          <w:lang w:val="id-ID"/>
        </w:rPr>
        <w:t>Simultaneously,</w:t>
      </w:r>
      <w:r w:rsidRPr="000D1D54">
        <w:rPr>
          <w:rFonts w:ascii="Book Antiqua" w:hAnsi="Book Antiqua" w:cs="Times New Roman"/>
          <w:lang w:val="id-ID"/>
        </w:rPr>
        <w:t xml:space="preserve"> EPS, NPM, GPM, and TATO </w:t>
      </w:r>
      <w:r w:rsidR="00AE4B02">
        <w:rPr>
          <w:rFonts w:ascii="Book Antiqua" w:hAnsi="Book Antiqua" w:cs="Times New Roman"/>
          <w:lang w:val="id-ID"/>
        </w:rPr>
        <w:t>positively and significantly affect</w:t>
      </w:r>
      <w:r w:rsidRPr="000D1D54">
        <w:rPr>
          <w:rFonts w:ascii="Book Antiqua" w:hAnsi="Book Antiqua" w:cs="Times New Roman"/>
          <w:lang w:val="id-ID"/>
        </w:rPr>
        <w:t xml:space="preserve"> stock prices with a coefficient of determination of 67.4%.</w:t>
      </w:r>
    </w:p>
    <w:p w14:paraId="1CE52AB9" w14:textId="68AE72D3" w:rsidR="00836249" w:rsidRPr="000D1D54" w:rsidRDefault="00836249" w:rsidP="00737EBB">
      <w:pPr>
        <w:pBdr>
          <w:bottom w:val="single" w:sz="4" w:space="1" w:color="auto"/>
        </w:pBdr>
        <w:spacing w:line="240" w:lineRule="auto"/>
        <w:rPr>
          <w:rFonts w:ascii="Book Antiqua" w:hAnsi="Book Antiqua" w:cs="Times New Roman"/>
          <w:b/>
          <w:bCs/>
          <w:lang w:val="id-ID"/>
        </w:rPr>
      </w:pPr>
      <w:r w:rsidRPr="000D1D54">
        <w:rPr>
          <w:rFonts w:ascii="Book Antiqua" w:hAnsi="Book Antiqua" w:cs="Times New Roman"/>
          <w:b/>
          <w:bCs/>
          <w:lang w:val="id-ID"/>
        </w:rPr>
        <w:t>Keywords:</w:t>
      </w:r>
      <w:r w:rsidR="00D01222" w:rsidRPr="000D1D54">
        <w:rPr>
          <w:rFonts w:ascii="Book Antiqua" w:hAnsi="Book Antiqua" w:cs="Times New Roman"/>
          <w:b/>
          <w:bCs/>
          <w:lang w:val="id-ID"/>
        </w:rPr>
        <w:t xml:space="preserve"> </w:t>
      </w:r>
      <w:r w:rsidR="00E2000C" w:rsidRPr="000D1D54">
        <w:rPr>
          <w:rFonts w:ascii="Book Antiqua" w:hAnsi="Book Antiqua" w:cs="Times New Roman"/>
          <w:bCs/>
          <w:lang w:val="id-ID"/>
        </w:rPr>
        <w:t>Stock Prices, Manufacturing Companies, Stock Exchanges</w:t>
      </w:r>
    </w:p>
    <w:p w14:paraId="0263965A" w14:textId="3D5E5A3F" w:rsidR="00017BC7" w:rsidRPr="000D1D54" w:rsidRDefault="00D800FA" w:rsidP="00017BC7">
      <w:pPr>
        <w:pStyle w:val="DaftarParagraf"/>
        <w:numPr>
          <w:ilvl w:val="0"/>
          <w:numId w:val="1"/>
        </w:numPr>
        <w:tabs>
          <w:tab w:val="left" w:pos="567"/>
        </w:tabs>
        <w:spacing w:line="240" w:lineRule="auto"/>
        <w:ind w:left="0" w:firstLine="0"/>
        <w:rPr>
          <w:rFonts w:ascii="Book Antiqua" w:hAnsi="Book Antiqua" w:cs="Times New Roman"/>
          <w:b/>
          <w:bCs/>
          <w:sz w:val="24"/>
          <w:szCs w:val="24"/>
          <w:lang w:val="id-ID"/>
        </w:rPr>
      </w:pPr>
      <w:r w:rsidRPr="000D1D54">
        <w:rPr>
          <w:rFonts w:ascii="Book Antiqua" w:hAnsi="Book Antiqua" w:cs="Times New Roman"/>
          <w:b/>
          <w:bCs/>
          <w:sz w:val="24"/>
          <w:szCs w:val="24"/>
          <w:lang w:val="id-ID"/>
        </w:rPr>
        <w:t>Introduction</w:t>
      </w:r>
    </w:p>
    <w:p w14:paraId="621AC0AF" w14:textId="0A9BBDF4" w:rsidR="00017BC7" w:rsidRPr="000D1D54" w:rsidRDefault="00017BC7" w:rsidP="00017BC7">
      <w:pPr>
        <w:spacing w:line="240" w:lineRule="auto"/>
        <w:ind w:firstLine="540"/>
        <w:jc w:val="both"/>
        <w:rPr>
          <w:rFonts w:ascii="Book Antiqua" w:hAnsi="Book Antiqua" w:cs="Times New Roman"/>
          <w:lang w:val="id-ID"/>
        </w:rPr>
      </w:pPr>
      <w:r w:rsidRPr="000D1D54">
        <w:rPr>
          <w:rFonts w:ascii="Book Antiqua" w:hAnsi="Book Antiqua" w:cs="Times New Roman"/>
          <w:lang w:val="id-ID"/>
        </w:rPr>
        <w:t xml:space="preserve">The global economy, including Indonesia, which was sluggish due to the COVID-19 pandemic, is starting to show positive movement with </w:t>
      </w:r>
      <w:r w:rsidR="00AE4B02">
        <w:rPr>
          <w:rFonts w:ascii="Book Antiqua" w:hAnsi="Book Antiqua" w:cs="Times New Roman"/>
          <w:lang w:val="id-ID"/>
        </w:rPr>
        <w:t>several</w:t>
      </w:r>
      <w:r w:rsidRPr="000D1D54">
        <w:rPr>
          <w:rFonts w:ascii="Book Antiqua" w:hAnsi="Book Antiqua" w:cs="Times New Roman"/>
          <w:lang w:val="id-ID"/>
        </w:rPr>
        <w:t xml:space="preserve"> adjustments. Last December 2019, when the COVID-19 pandemic first appeared in Wuhan, China, economic conditions were still </w:t>
      </w:r>
      <w:r w:rsidR="00AE4B02">
        <w:rPr>
          <w:rFonts w:ascii="Book Antiqua" w:hAnsi="Book Antiqua" w:cs="Times New Roman"/>
          <w:lang w:val="id-ID"/>
        </w:rPr>
        <w:t>optimistic</w:t>
      </w:r>
      <w:r w:rsidRPr="000D1D54">
        <w:rPr>
          <w:rFonts w:ascii="Book Antiqua" w:hAnsi="Book Antiqua" w:cs="Times New Roman"/>
          <w:lang w:val="id-ID"/>
        </w:rPr>
        <w:t>. However, around mid-March 2020</w:t>
      </w:r>
      <w:r w:rsidR="00AE4B02">
        <w:rPr>
          <w:rFonts w:ascii="Book Antiqua" w:hAnsi="Book Antiqua" w:cs="Times New Roman"/>
          <w:lang w:val="id-ID"/>
        </w:rPr>
        <w:t>, the economy began to decline, along with the spread of the pandemic throughout the world, including</w:t>
      </w:r>
      <w:r w:rsidRPr="000D1D54">
        <w:rPr>
          <w:rFonts w:ascii="Book Antiqua" w:hAnsi="Book Antiqua" w:cs="Times New Roman"/>
          <w:lang w:val="id-ID"/>
        </w:rPr>
        <w:t xml:space="preserve"> Indonesia. </w:t>
      </w:r>
      <w:r w:rsidR="00AE4B02">
        <w:rPr>
          <w:rFonts w:ascii="Book Antiqua" w:hAnsi="Book Antiqua" w:cs="Times New Roman"/>
          <w:lang w:val="id-ID"/>
        </w:rPr>
        <w:t>Many people have lost their income and</w:t>
      </w:r>
      <w:r w:rsidRPr="000D1D54">
        <w:rPr>
          <w:rFonts w:ascii="Book Antiqua" w:hAnsi="Book Antiqua" w:cs="Times New Roman"/>
          <w:lang w:val="id-ID"/>
        </w:rPr>
        <w:t xml:space="preserve"> jobs due to the weakening national economy. Loss of income </w:t>
      </w:r>
      <w:r w:rsidR="00AE4B02">
        <w:rPr>
          <w:rFonts w:ascii="Book Antiqua" w:hAnsi="Book Antiqua" w:cs="Times New Roman"/>
          <w:lang w:val="id-ID"/>
        </w:rPr>
        <w:t>dramatical</w:t>
      </w:r>
      <w:r w:rsidRPr="000D1D54">
        <w:rPr>
          <w:rFonts w:ascii="Book Antiqua" w:hAnsi="Book Antiqua" w:cs="Times New Roman"/>
          <w:lang w:val="id-ID"/>
        </w:rPr>
        <w:t xml:space="preserve">ly affects the </w:t>
      </w:r>
      <w:r w:rsidR="00AE4B02">
        <w:rPr>
          <w:rFonts w:ascii="Book Antiqua" w:hAnsi="Book Antiqua" w:cs="Times New Roman"/>
          <w:lang w:val="id-ID"/>
        </w:rPr>
        <w:t>community's difficul</w:t>
      </w:r>
      <w:r w:rsidRPr="000D1D54">
        <w:rPr>
          <w:rFonts w:ascii="Book Antiqua" w:hAnsi="Book Antiqua" w:cs="Times New Roman"/>
          <w:lang w:val="id-ID"/>
        </w:rPr>
        <w:t xml:space="preserve">ty in meeting their daily needs. In conditions like this, investment is </w:t>
      </w:r>
      <w:r w:rsidR="00AE4B02">
        <w:rPr>
          <w:rFonts w:ascii="Book Antiqua" w:hAnsi="Book Antiqua" w:cs="Times New Roman"/>
          <w:lang w:val="id-ID"/>
        </w:rPr>
        <w:t>signific</w:t>
      </w:r>
      <w:r w:rsidRPr="000D1D54">
        <w:rPr>
          <w:rFonts w:ascii="Book Antiqua" w:hAnsi="Book Antiqua" w:cs="Times New Roman"/>
          <w:lang w:val="id-ID"/>
        </w:rPr>
        <w:t>ant because investment can be used as an alternative to get</w:t>
      </w:r>
      <w:r w:rsidR="00AE4B02">
        <w:rPr>
          <w:rFonts w:ascii="Book Antiqua" w:hAnsi="Book Antiqua" w:cs="Times New Roman"/>
          <w:lang w:val="id-ID"/>
        </w:rPr>
        <w:t>ting</w:t>
      </w:r>
      <w:r w:rsidRPr="000D1D54">
        <w:rPr>
          <w:rFonts w:ascii="Book Antiqua" w:hAnsi="Book Antiqua" w:cs="Times New Roman"/>
          <w:lang w:val="id-ID"/>
        </w:rPr>
        <w:t xml:space="preserve"> additional income beyond the monthly salary </w:t>
      </w:r>
      <w:r w:rsidR="00AE4B02">
        <w:rPr>
          <w:rFonts w:ascii="Book Antiqua" w:hAnsi="Book Antiqua" w:cs="Times New Roman"/>
          <w:lang w:val="id-ID"/>
        </w:rPr>
        <w:t>to meet daily needs</w:t>
      </w:r>
      <w:r w:rsidRPr="000D1D54">
        <w:rPr>
          <w:rFonts w:ascii="Book Antiqua" w:hAnsi="Book Antiqua" w:cs="Times New Roman"/>
          <w:lang w:val="id-ID"/>
        </w:rPr>
        <w:t>.</w:t>
      </w:r>
    </w:p>
    <w:p w14:paraId="51F8C1F8" w14:textId="103FC66E" w:rsidR="00017BC7" w:rsidRPr="000D1D54" w:rsidRDefault="00017BC7" w:rsidP="00017BC7">
      <w:pPr>
        <w:spacing w:line="240" w:lineRule="auto"/>
        <w:ind w:firstLine="567"/>
        <w:jc w:val="both"/>
        <w:rPr>
          <w:rFonts w:ascii="Book Antiqua" w:hAnsi="Book Antiqua" w:cs="Times New Roman"/>
          <w:lang w:val="id-ID"/>
        </w:rPr>
      </w:pPr>
      <w:r w:rsidRPr="000D1D54">
        <w:rPr>
          <w:rFonts w:ascii="Book Antiqua" w:hAnsi="Book Antiqua" w:cs="Times New Roman"/>
          <w:lang w:val="id-ID"/>
        </w:rPr>
        <w:t>According to Badruzaman (2017)</w:t>
      </w:r>
      <w:r w:rsidR="00AE4B02">
        <w:rPr>
          <w:rFonts w:ascii="Book Antiqua" w:hAnsi="Book Antiqua" w:cs="Times New Roman"/>
          <w:lang w:val="id-ID"/>
        </w:rPr>
        <w:t>,</w:t>
      </w:r>
      <w:r w:rsidRPr="000D1D54">
        <w:rPr>
          <w:rFonts w:ascii="Book Antiqua" w:hAnsi="Book Antiqua" w:cs="Times New Roman"/>
          <w:lang w:val="id-ID"/>
        </w:rPr>
        <w:t xml:space="preserve"> </w:t>
      </w:r>
      <w:r w:rsidR="00AE4B02">
        <w:rPr>
          <w:rFonts w:ascii="Book Antiqua" w:hAnsi="Book Antiqua" w:cs="Times New Roman"/>
          <w:lang w:val="id-ID"/>
        </w:rPr>
        <w:t>investing in stocks is one of the investment alternatives that investors are interested in</w:t>
      </w:r>
      <w:r w:rsidRPr="000D1D54">
        <w:rPr>
          <w:rFonts w:ascii="Book Antiqua" w:hAnsi="Book Antiqua" w:cs="Times New Roman"/>
          <w:lang w:val="id-ID"/>
        </w:rPr>
        <w:t>. Stocks are known to have high</w:t>
      </w:r>
      <w:r w:rsidR="00AE4B02">
        <w:rPr>
          <w:rFonts w:ascii="Book Antiqua" w:hAnsi="Book Antiqua" w:cs="Times New Roman"/>
          <w:lang w:val="id-ID"/>
        </w:rPr>
        <w:t>-</w:t>
      </w:r>
      <w:r w:rsidRPr="000D1D54">
        <w:rPr>
          <w:rFonts w:ascii="Book Antiqua" w:hAnsi="Book Antiqua" w:cs="Times New Roman"/>
          <w:lang w:val="id-ID"/>
        </w:rPr>
        <w:t xml:space="preserve">risk-high return </w:t>
      </w:r>
      <w:r w:rsidRPr="000D1D54">
        <w:rPr>
          <w:rFonts w:ascii="Book Antiqua" w:hAnsi="Book Antiqua" w:cs="Times New Roman"/>
          <w:lang w:val="id-ID"/>
        </w:rPr>
        <w:lastRenderedPageBreak/>
        <w:t xml:space="preserve">characteristics. This means that stocks are a type of investment that is quite high risk even though it promises relatively large profits. </w:t>
      </w:r>
      <w:r w:rsidR="00AE4B02">
        <w:rPr>
          <w:rFonts w:ascii="Book Antiqua" w:hAnsi="Book Antiqua" w:cs="Times New Roman"/>
          <w:lang w:val="id-ID"/>
        </w:rPr>
        <w:t>Stock prices are an essential factor in investing in stocks</w:t>
      </w:r>
      <w:r w:rsidRPr="000D1D54">
        <w:rPr>
          <w:rFonts w:ascii="Book Antiqua" w:hAnsi="Book Antiqua" w:cs="Times New Roman"/>
          <w:lang w:val="id-ID"/>
        </w:rPr>
        <w:t xml:space="preserve"> and must be considered because the price of shares traded on the stock exchange is closely related to the company's achievements (Sanjaya, 2018). Fundamental analysis tries to predict future stock prices by estimating the value of the </w:t>
      </w:r>
      <w:r w:rsidR="00AE4B02">
        <w:rPr>
          <w:rFonts w:ascii="Book Antiqua" w:hAnsi="Book Antiqua" w:cs="Times New Roman"/>
          <w:lang w:val="id-ID"/>
        </w:rPr>
        <w:t>essenti</w:t>
      </w:r>
      <w:r w:rsidRPr="000D1D54">
        <w:rPr>
          <w:rFonts w:ascii="Book Antiqua" w:hAnsi="Book Antiqua" w:cs="Times New Roman"/>
          <w:lang w:val="id-ID"/>
        </w:rPr>
        <w:t xml:space="preserve">al factors that affect stock prices in the future and applying the relationship between these variables to obtain an estimated stock price. The fundamental factors that influence stock prices are micro fundamentals (sales and company financial performance) and macro </w:t>
      </w:r>
      <w:r w:rsidR="00AE4B02">
        <w:rPr>
          <w:rFonts w:ascii="Book Antiqua" w:hAnsi="Book Antiqua" w:cs="Times New Roman"/>
          <w:lang w:val="id-ID"/>
        </w:rPr>
        <w:t>essenti</w:t>
      </w:r>
      <w:r w:rsidRPr="000D1D54">
        <w:rPr>
          <w:rFonts w:ascii="Book Antiqua" w:hAnsi="Book Antiqua" w:cs="Times New Roman"/>
          <w:lang w:val="id-ID"/>
        </w:rPr>
        <w:t>al factors (government policies, inflation, interest rate growth, and so on (Mujiono, 2018).</w:t>
      </w:r>
    </w:p>
    <w:p w14:paraId="45B66E30" w14:textId="1779046A" w:rsidR="00017BC7" w:rsidRPr="000D1D54" w:rsidRDefault="00017BC7" w:rsidP="00017BC7">
      <w:pPr>
        <w:spacing w:line="240" w:lineRule="auto"/>
        <w:ind w:firstLine="567"/>
        <w:jc w:val="both"/>
        <w:rPr>
          <w:rFonts w:ascii="Book Antiqua" w:hAnsi="Book Antiqua" w:cs="Times New Roman"/>
          <w:lang w:val="id-ID"/>
        </w:rPr>
      </w:pPr>
      <w:r w:rsidRPr="000D1D54">
        <w:rPr>
          <w:rFonts w:ascii="Book Antiqua" w:hAnsi="Book Antiqua" w:cs="Times New Roman"/>
          <w:lang w:val="id-ID"/>
        </w:rPr>
        <w:t xml:space="preserve">Moreover, </w:t>
      </w:r>
      <w:r w:rsidR="00AE4B02">
        <w:rPr>
          <w:rFonts w:ascii="Book Antiqua" w:hAnsi="Book Antiqua" w:cs="Times New Roman"/>
          <w:lang w:val="id-ID"/>
        </w:rPr>
        <w:t>this study</w:t>
      </w:r>
      <w:r w:rsidRPr="000D1D54">
        <w:rPr>
          <w:rFonts w:ascii="Book Antiqua" w:hAnsi="Book Antiqua" w:cs="Times New Roman"/>
          <w:lang w:val="id-ID"/>
        </w:rPr>
        <w:t xml:space="preserve"> will discuss the micro factors of the company's financial performance aspects as measured using financial ratios. The company's financial performance that can affect stock prices include Earning per Share (EPS), Net Profit Margin (NPM), Gross Profit Margin (GPM), and Total Asset Turnover (TATO). Arifian and Hardi (2017) explain </w:t>
      </w:r>
      <w:r w:rsidR="00AE4B02">
        <w:rPr>
          <w:rFonts w:ascii="Book Antiqua" w:hAnsi="Book Antiqua" w:cs="Times New Roman"/>
          <w:lang w:val="id-ID"/>
        </w:rPr>
        <w:t>that earnings per share or earnings per Share (EPS) is a company's ability to distribute profits earned</w:t>
      </w:r>
      <w:r w:rsidRPr="000D1D54">
        <w:rPr>
          <w:rFonts w:ascii="Book Antiqua" w:hAnsi="Book Antiqua" w:cs="Times New Roman"/>
          <w:lang w:val="id-ID"/>
        </w:rPr>
        <w:t xml:space="preserve"> to shareholders. Earnings per share can be used as important information for investors. </w:t>
      </w:r>
      <w:r w:rsidR="00AE4B02">
        <w:rPr>
          <w:rFonts w:ascii="Book Antiqua" w:hAnsi="Book Antiqua" w:cs="Times New Roman"/>
          <w:lang w:val="id-ID"/>
        </w:rPr>
        <w:t>A h</w:t>
      </w:r>
      <w:r w:rsidRPr="000D1D54">
        <w:rPr>
          <w:rFonts w:ascii="Book Antiqua" w:hAnsi="Book Antiqua" w:cs="Times New Roman"/>
          <w:lang w:val="id-ID"/>
        </w:rPr>
        <w:t xml:space="preserve">igh EPS indicates that the company can provide a </w:t>
      </w:r>
      <w:r w:rsidR="00AE4B02">
        <w:rPr>
          <w:rFonts w:ascii="Book Antiqua" w:hAnsi="Book Antiqua" w:cs="Times New Roman"/>
          <w:lang w:val="id-ID"/>
        </w:rPr>
        <w:t>profit level to shareholders, whereas a lower EPS offers a low profit level for</w:t>
      </w:r>
      <w:r w:rsidRPr="000D1D54">
        <w:rPr>
          <w:rFonts w:ascii="Book Antiqua" w:hAnsi="Book Antiqua" w:cs="Times New Roman"/>
          <w:lang w:val="id-ID"/>
        </w:rPr>
        <w:t xml:space="preserve"> shareholders. EPS describes the rupiah earned for each common share and the company's future earnings prospects. An increase in EPS will encourage investors to increase the amount of capital invested in the company so that the demand for these shares increases</w:t>
      </w:r>
      <w:r w:rsidR="00AE4B02">
        <w:rPr>
          <w:rFonts w:ascii="Book Antiqua" w:hAnsi="Book Antiqua" w:cs="Times New Roman"/>
          <w:lang w:val="id-ID"/>
        </w:rPr>
        <w:t>, boosting</w:t>
      </w:r>
      <w:r w:rsidRPr="000D1D54">
        <w:rPr>
          <w:rFonts w:ascii="Book Antiqua" w:hAnsi="Book Antiqua" w:cs="Times New Roman"/>
          <w:lang w:val="id-ID"/>
        </w:rPr>
        <w:t xml:space="preserve"> share prices. Hery (2017) Net Profit Margin is the ratio used to measure the percentage of net profit on net sales. The higher the NPM value, the better</w:t>
      </w:r>
      <w:r w:rsidR="00AE4B02">
        <w:rPr>
          <w:rFonts w:ascii="Book Antiqua" w:hAnsi="Book Antiqua" w:cs="Times New Roman"/>
          <w:lang w:val="id-ID"/>
        </w:rPr>
        <w:t>;</w:t>
      </w:r>
      <w:r w:rsidRPr="000D1D54">
        <w:rPr>
          <w:rFonts w:ascii="Book Antiqua" w:hAnsi="Book Antiqua" w:cs="Times New Roman"/>
          <w:lang w:val="id-ID"/>
        </w:rPr>
        <w:t xml:space="preserve"> high profits will attract investors to invest their capital</w:t>
      </w:r>
      <w:r w:rsidR="00AE4B02">
        <w:rPr>
          <w:rFonts w:ascii="Book Antiqua" w:hAnsi="Book Antiqua" w:cs="Times New Roman"/>
          <w:lang w:val="id-ID"/>
        </w:rPr>
        <w:t>,</w:t>
      </w:r>
      <w:r w:rsidRPr="000D1D54">
        <w:rPr>
          <w:rFonts w:ascii="Book Antiqua" w:hAnsi="Book Antiqua" w:cs="Times New Roman"/>
          <w:lang w:val="id-ID"/>
        </w:rPr>
        <w:t xml:space="preserve"> which causes stock prices to increase. This ratio is </w:t>
      </w:r>
      <w:r w:rsidR="00AE4B02">
        <w:rPr>
          <w:rFonts w:ascii="Book Antiqua" w:hAnsi="Book Antiqua" w:cs="Times New Roman"/>
          <w:lang w:val="id-ID"/>
        </w:rPr>
        <w:t>signific</w:t>
      </w:r>
      <w:r w:rsidRPr="000D1D54">
        <w:rPr>
          <w:rFonts w:ascii="Book Antiqua" w:hAnsi="Book Antiqua" w:cs="Times New Roman"/>
          <w:lang w:val="id-ID"/>
        </w:rPr>
        <w:t xml:space="preserve">ant for operations managers because it reflects the </w:t>
      </w:r>
      <w:r w:rsidR="00AE4B02">
        <w:rPr>
          <w:rFonts w:ascii="Book Antiqua" w:hAnsi="Book Antiqua" w:cs="Times New Roman"/>
          <w:lang w:val="id-ID"/>
        </w:rPr>
        <w:t>company's sales pricing strategy and</w:t>
      </w:r>
      <w:r w:rsidRPr="000D1D54">
        <w:rPr>
          <w:rFonts w:ascii="Book Antiqua" w:hAnsi="Book Antiqua" w:cs="Times New Roman"/>
          <w:lang w:val="id-ID"/>
        </w:rPr>
        <w:t xml:space="preserve"> ability to control operating expenses. The greater the NPM, the more productive the company's performance will be, thereby increasing investor confidence to invest. Gross Profit Margin shows the profit relative to the company by way of net sales minus </w:t>
      </w:r>
      <w:r w:rsidR="00AE4B02">
        <w:rPr>
          <w:rFonts w:ascii="Book Antiqua" w:hAnsi="Book Antiqua" w:cs="Times New Roman"/>
          <w:lang w:val="id-ID"/>
        </w:rPr>
        <w:t xml:space="preserve">the </w:t>
      </w:r>
      <w:r w:rsidRPr="000D1D54">
        <w:rPr>
          <w:rFonts w:ascii="Book Antiqua" w:hAnsi="Book Antiqua" w:cs="Times New Roman"/>
          <w:lang w:val="id-ID"/>
        </w:rPr>
        <w:t>cost of goods sold. This ratio is a way to apply the cost of goods sold (Septiana, 2019). A high GPM value indicates the company's ability to generate profits at a certain level of sales. The higher the GPM, the higher the profits or profits generated by the company</w:t>
      </w:r>
      <w:r w:rsidR="00AE4B02">
        <w:rPr>
          <w:rFonts w:ascii="Book Antiqua" w:hAnsi="Book Antiqua" w:cs="Times New Roman"/>
          <w:lang w:val="id-ID"/>
        </w:rPr>
        <w:t>;</w:t>
      </w:r>
      <w:r w:rsidRPr="000D1D54">
        <w:rPr>
          <w:rFonts w:ascii="Book Antiqua" w:hAnsi="Book Antiqua" w:cs="Times New Roman"/>
          <w:lang w:val="id-ID"/>
        </w:rPr>
        <w:t xml:space="preserve"> this can increase investor confidence in the company, </w:t>
      </w:r>
      <w:r w:rsidR="00AE4B02">
        <w:rPr>
          <w:rFonts w:ascii="Book Antiqua" w:hAnsi="Book Antiqua" w:cs="Times New Roman"/>
          <w:lang w:val="id-ID"/>
        </w:rPr>
        <w:t>ultimately raising</w:t>
      </w:r>
      <w:r w:rsidRPr="000D1D54">
        <w:rPr>
          <w:rFonts w:ascii="Book Antiqua" w:hAnsi="Book Antiqua" w:cs="Times New Roman"/>
          <w:lang w:val="id-ID"/>
        </w:rPr>
        <w:t xml:space="preserve"> stock prices and vice vers</w:t>
      </w:r>
      <w:r w:rsidR="00AE4B02">
        <w:rPr>
          <w:rFonts w:ascii="Book Antiqua" w:hAnsi="Book Antiqua" w:cs="Times New Roman"/>
          <w:lang w:val="id-ID"/>
        </w:rPr>
        <w:t>a</w:t>
      </w:r>
      <w:r w:rsidRPr="000D1D54">
        <w:rPr>
          <w:rFonts w:ascii="Book Antiqua" w:hAnsi="Book Antiqua" w:cs="Times New Roman"/>
          <w:lang w:val="id-ID"/>
        </w:rPr>
        <w:t>.</w:t>
      </w:r>
    </w:p>
    <w:p w14:paraId="53769B1E" w14:textId="2E7F603E" w:rsidR="00790F76" w:rsidRPr="000D1D54" w:rsidRDefault="00017BC7" w:rsidP="00790F76">
      <w:pPr>
        <w:spacing w:line="240" w:lineRule="auto"/>
        <w:ind w:firstLine="567"/>
        <w:jc w:val="both"/>
        <w:rPr>
          <w:rFonts w:ascii="Book Antiqua" w:hAnsi="Book Antiqua" w:cs="Times New Roman"/>
          <w:lang w:val="id-ID"/>
        </w:rPr>
      </w:pPr>
      <w:r w:rsidRPr="000D1D54">
        <w:rPr>
          <w:rFonts w:ascii="Book Antiqua" w:hAnsi="Book Antiqua" w:cs="Times New Roman"/>
          <w:lang w:val="id-ID"/>
        </w:rPr>
        <w:tab/>
        <w:t xml:space="preserve">Total Asset Turnover (TATO) is a ratio used to see </w:t>
      </w:r>
      <w:r w:rsidR="00AE4B02">
        <w:rPr>
          <w:rFonts w:ascii="Book Antiqua" w:hAnsi="Book Antiqua" w:cs="Times New Roman"/>
          <w:lang w:val="id-ID"/>
        </w:rPr>
        <w:t>how much a company can</w:t>
      </w:r>
      <w:r w:rsidRPr="000D1D54">
        <w:rPr>
          <w:rFonts w:ascii="Book Antiqua" w:hAnsi="Book Antiqua" w:cs="Times New Roman"/>
          <w:lang w:val="id-ID"/>
        </w:rPr>
        <w:t xml:space="preserve"> generate sales us</w:t>
      </w:r>
      <w:r w:rsidR="00AE4B02">
        <w:rPr>
          <w:rFonts w:ascii="Book Antiqua" w:hAnsi="Book Antiqua" w:cs="Times New Roman"/>
          <w:lang w:val="id-ID"/>
        </w:rPr>
        <w:t>ing</w:t>
      </w:r>
      <w:r w:rsidRPr="000D1D54">
        <w:rPr>
          <w:rFonts w:ascii="Book Antiqua" w:hAnsi="Book Antiqua" w:cs="Times New Roman"/>
          <w:lang w:val="id-ID"/>
        </w:rPr>
        <w:t xml:space="preserve"> its assets. A good asset turnover is an asset turnover that increases every year. Increased asset turnover means that the company </w:t>
      </w:r>
      <w:r w:rsidR="00AE4B02">
        <w:rPr>
          <w:rFonts w:ascii="Book Antiqua" w:hAnsi="Book Antiqua" w:cs="Times New Roman"/>
          <w:lang w:val="id-ID"/>
        </w:rPr>
        <w:t>can manage assets properly, resulting</w:t>
      </w:r>
      <w:r w:rsidRPr="000D1D54">
        <w:rPr>
          <w:rFonts w:ascii="Book Antiqua" w:hAnsi="Book Antiqua" w:cs="Times New Roman"/>
          <w:lang w:val="id-ID"/>
        </w:rPr>
        <w:t xml:space="preserve"> in high sales. Conversely, if asset turnover tends to be </w:t>
      </w:r>
      <w:r w:rsidR="00AE4B02">
        <w:rPr>
          <w:rFonts w:ascii="Book Antiqua" w:hAnsi="Book Antiqua" w:cs="Times New Roman"/>
          <w:lang w:val="id-ID"/>
        </w:rPr>
        <w:t>minor</w:t>
      </w:r>
      <w:r w:rsidRPr="000D1D54">
        <w:rPr>
          <w:rFonts w:ascii="Book Antiqua" w:hAnsi="Book Antiqua" w:cs="Times New Roman"/>
          <w:lang w:val="id-ID"/>
        </w:rPr>
        <w:t>, th</w:t>
      </w:r>
      <w:r w:rsidR="00AE4B02">
        <w:rPr>
          <w:rFonts w:ascii="Book Antiqua" w:hAnsi="Book Antiqua" w:cs="Times New Roman"/>
          <w:lang w:val="id-ID"/>
        </w:rPr>
        <w:t>e company cannot</w:t>
      </w:r>
      <w:r w:rsidRPr="000D1D54">
        <w:rPr>
          <w:rFonts w:ascii="Book Antiqua" w:hAnsi="Book Antiqua" w:cs="Times New Roman"/>
          <w:lang w:val="id-ID"/>
        </w:rPr>
        <w:t xml:space="preserve"> manage assets to generate sales (Sari, 2020). A high TATO value indicates </w:t>
      </w:r>
      <w:r w:rsidR="00AE4B02">
        <w:rPr>
          <w:rFonts w:ascii="Book Antiqua" w:hAnsi="Book Antiqua" w:cs="Times New Roman"/>
          <w:lang w:val="id-ID"/>
        </w:rPr>
        <w:t>that</w:t>
      </w:r>
      <w:r w:rsidRPr="000D1D54">
        <w:rPr>
          <w:rFonts w:ascii="Book Antiqua" w:hAnsi="Book Antiqua" w:cs="Times New Roman"/>
          <w:lang w:val="id-ID"/>
        </w:rPr>
        <w:t xml:space="preserve"> a company is in good condition </w:t>
      </w:r>
      <w:r w:rsidR="00AE4B02">
        <w:rPr>
          <w:rFonts w:ascii="Book Antiqua" w:hAnsi="Book Antiqua" w:cs="Times New Roman"/>
          <w:lang w:val="id-ID"/>
        </w:rPr>
        <w:t>to</w:t>
      </w:r>
      <w:r w:rsidRPr="000D1D54">
        <w:rPr>
          <w:rFonts w:ascii="Book Antiqua" w:hAnsi="Book Antiqua" w:cs="Times New Roman"/>
          <w:lang w:val="id-ID"/>
        </w:rPr>
        <w:t xml:space="preserve"> attract investors to buy shares. </w:t>
      </w:r>
      <w:r w:rsidR="00AE4B02">
        <w:rPr>
          <w:rFonts w:ascii="Book Antiqua" w:hAnsi="Book Antiqua" w:cs="Times New Roman"/>
          <w:lang w:val="id-ID"/>
        </w:rPr>
        <w:t>I</w:t>
      </w:r>
      <w:r w:rsidRPr="000D1D54">
        <w:rPr>
          <w:rFonts w:ascii="Book Antiqua" w:hAnsi="Book Antiqua" w:cs="Times New Roman"/>
          <w:lang w:val="id-ID"/>
        </w:rPr>
        <w:t xml:space="preserve">n this study, one </w:t>
      </w:r>
      <w:r w:rsidR="00AE4B02">
        <w:rPr>
          <w:rFonts w:ascii="Book Antiqua" w:hAnsi="Book Antiqua" w:cs="Times New Roman"/>
          <w:lang w:val="id-ID"/>
        </w:rPr>
        <w:t>company sector</w:t>
      </w:r>
      <w:r w:rsidRPr="000D1D54">
        <w:rPr>
          <w:rFonts w:ascii="Book Antiqua" w:hAnsi="Book Antiqua" w:cs="Times New Roman"/>
          <w:lang w:val="id-ID"/>
        </w:rPr>
        <w:t xml:space="preserve"> was chosen</w:t>
      </w:r>
      <w:r w:rsidR="00AE4B02">
        <w:rPr>
          <w:rFonts w:ascii="Book Antiqua" w:hAnsi="Book Antiqua" w:cs="Times New Roman"/>
          <w:lang w:val="id-ID"/>
        </w:rPr>
        <w:t>,</w:t>
      </w:r>
      <w:r w:rsidRPr="000D1D54">
        <w:rPr>
          <w:rFonts w:ascii="Book Antiqua" w:hAnsi="Book Antiqua" w:cs="Times New Roman"/>
          <w:lang w:val="id-ID"/>
        </w:rPr>
        <w:t xml:space="preserve"> which is included in the Consumer Goods Industry category listed on the Indonesia Stock Exchange. Companies that fall into this category are stable companies despite the global crisis. This can be seen from the company's stock price index</w:t>
      </w:r>
      <w:r w:rsidR="00AE4B02">
        <w:rPr>
          <w:rFonts w:ascii="Book Antiqua" w:hAnsi="Book Antiqua" w:cs="Times New Roman"/>
          <w:lang w:val="id-ID"/>
        </w:rPr>
        <w:t>,</w:t>
      </w:r>
      <w:r w:rsidRPr="000D1D54">
        <w:rPr>
          <w:rFonts w:ascii="Book Antiqua" w:hAnsi="Book Antiqua" w:cs="Times New Roman"/>
          <w:lang w:val="id-ID"/>
        </w:rPr>
        <w:t xml:space="preserve"> one of the five sectoral indices on the Indonesia Stock Exchange</w:t>
      </w:r>
      <w:r w:rsidR="00AE4B02">
        <w:rPr>
          <w:rFonts w:ascii="Book Antiqua" w:hAnsi="Book Antiqua" w:cs="Times New Roman"/>
          <w:lang w:val="id-ID"/>
        </w:rPr>
        <w:t>,</w:t>
      </w:r>
      <w:r w:rsidRPr="000D1D54">
        <w:rPr>
          <w:rFonts w:ascii="Book Antiqua" w:hAnsi="Book Antiqua" w:cs="Times New Roman"/>
          <w:lang w:val="id-ID"/>
        </w:rPr>
        <w:t xml:space="preserve"> w</w:t>
      </w:r>
      <w:r w:rsidR="00AE4B02">
        <w:rPr>
          <w:rFonts w:ascii="Book Antiqua" w:hAnsi="Book Antiqua" w:cs="Times New Roman"/>
          <w:lang w:val="id-ID"/>
        </w:rPr>
        <w:t>hich has</w:t>
      </w:r>
      <w:r w:rsidRPr="000D1D54">
        <w:rPr>
          <w:rFonts w:ascii="Book Antiqua" w:hAnsi="Book Antiqua" w:cs="Times New Roman"/>
          <w:lang w:val="id-ID"/>
        </w:rPr>
        <w:t xml:space="preserve"> a </w:t>
      </w:r>
      <w:r w:rsidR="00AE4B02">
        <w:rPr>
          <w:rFonts w:ascii="Book Antiqua" w:hAnsi="Book Antiqua" w:cs="Times New Roman"/>
          <w:lang w:val="id-ID"/>
        </w:rPr>
        <w:t>reasonab</w:t>
      </w:r>
      <w:r w:rsidRPr="000D1D54">
        <w:rPr>
          <w:rFonts w:ascii="Book Antiqua" w:hAnsi="Book Antiqua" w:cs="Times New Roman"/>
          <w:lang w:val="id-ID"/>
        </w:rPr>
        <w:t xml:space="preserve">ly high stock price level. However, the fluctuating economic conditions resulted in the instability of the company's financial performance and stock prices. It can be seen in </w:t>
      </w:r>
      <w:r w:rsidR="00ED71D4" w:rsidRPr="000D1D54">
        <w:rPr>
          <w:rFonts w:ascii="Book Antiqua" w:hAnsi="Book Antiqua" w:cs="Times New Roman"/>
          <w:lang w:val="id-ID"/>
        </w:rPr>
        <w:t>t</w:t>
      </w:r>
      <w:r w:rsidRPr="000D1D54">
        <w:rPr>
          <w:rFonts w:ascii="Book Antiqua" w:hAnsi="Book Antiqua" w:cs="Times New Roman"/>
          <w:lang w:val="id-ID"/>
        </w:rPr>
        <w:t xml:space="preserve">able </w:t>
      </w:r>
      <w:r w:rsidR="00ED71D4" w:rsidRPr="000D1D54">
        <w:rPr>
          <w:rFonts w:ascii="Book Antiqua" w:hAnsi="Book Antiqua" w:cs="Times New Roman"/>
          <w:lang w:val="id-ID"/>
        </w:rPr>
        <w:t>1</w:t>
      </w:r>
      <w:r w:rsidRPr="000D1D54">
        <w:rPr>
          <w:rFonts w:ascii="Book Antiqua" w:hAnsi="Book Antiqua" w:cs="Times New Roman"/>
          <w:lang w:val="id-ID"/>
        </w:rPr>
        <w:t>.</w:t>
      </w:r>
    </w:p>
    <w:tbl>
      <w:tblPr>
        <w:tblStyle w:val="TabelBiasa2"/>
        <w:tblpPr w:leftFromText="180" w:rightFromText="180" w:vertAnchor="text" w:horzAnchor="margin" w:tblpY="822"/>
        <w:tblW w:w="5000" w:type="pct"/>
        <w:tblLook w:val="04A0" w:firstRow="1" w:lastRow="0" w:firstColumn="1" w:lastColumn="0" w:noHBand="0" w:noVBand="1"/>
      </w:tblPr>
      <w:tblGrid>
        <w:gridCol w:w="2276"/>
        <w:gridCol w:w="1417"/>
        <w:gridCol w:w="1418"/>
        <w:gridCol w:w="1260"/>
        <w:gridCol w:w="1211"/>
        <w:gridCol w:w="1183"/>
      </w:tblGrid>
      <w:tr w:rsidR="00790F76" w:rsidRPr="000D1D54" w14:paraId="0ACACDF9" w14:textId="77777777" w:rsidTr="00790F76">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98" w:type="pct"/>
            <w:vMerge w:val="restart"/>
            <w:noWrap/>
            <w:hideMark/>
          </w:tcPr>
          <w:p w14:paraId="54559506" w14:textId="16BF1E06" w:rsidR="00790F76" w:rsidRPr="000D1D54" w:rsidRDefault="00790F76" w:rsidP="00790F76">
            <w:pPr>
              <w:contextualSpacing/>
              <w:rPr>
                <w:rFonts w:ascii="Book Antiqua" w:eastAsia="Times New Roman" w:hAnsi="Book Antiqua"/>
                <w:b w:val="0"/>
                <w:bCs w:val="0"/>
                <w:color w:val="000000"/>
                <w:sz w:val="20"/>
                <w:szCs w:val="20"/>
                <w:lang w:val="id-ID"/>
              </w:rPr>
            </w:pPr>
            <w:r w:rsidRPr="000D1D54">
              <w:rPr>
                <w:rFonts w:ascii="Book Antiqua" w:eastAsia="Times New Roman" w:hAnsi="Book Antiqua"/>
                <w:color w:val="000000"/>
                <w:sz w:val="20"/>
                <w:szCs w:val="20"/>
                <w:lang w:val="id-ID"/>
              </w:rPr>
              <w:lastRenderedPageBreak/>
              <w:t>Variabl</w:t>
            </w:r>
            <w:r w:rsidRPr="000D1D54">
              <w:rPr>
                <w:rFonts w:ascii="Book Antiqua" w:eastAsia="Times New Roman" w:hAnsi="Book Antiqua"/>
                <w:b w:val="0"/>
                <w:bCs w:val="0"/>
                <w:color w:val="000000"/>
                <w:sz w:val="20"/>
                <w:szCs w:val="20"/>
                <w:lang w:val="id-ID"/>
              </w:rPr>
              <w:t>e</w:t>
            </w:r>
            <w:r w:rsidRPr="000D1D54">
              <w:rPr>
                <w:rFonts w:ascii="Book Antiqua" w:eastAsia="Times New Roman" w:hAnsi="Book Antiqua"/>
                <w:color w:val="000000"/>
                <w:sz w:val="20"/>
                <w:szCs w:val="20"/>
                <w:lang w:val="id-ID"/>
              </w:rPr>
              <w:t xml:space="preserve"> </w:t>
            </w:r>
          </w:p>
        </w:tc>
        <w:tc>
          <w:tcPr>
            <w:tcW w:w="3702" w:type="pct"/>
            <w:gridSpan w:val="5"/>
            <w:noWrap/>
            <w:hideMark/>
          </w:tcPr>
          <w:p w14:paraId="7242E151" w14:textId="2EDB88F9" w:rsidR="00790F76" w:rsidRPr="000D1D54" w:rsidRDefault="00790F76" w:rsidP="00790F76">
            <w:pPr>
              <w:contextualSpacing/>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b w:val="0"/>
                <w:bCs w:val="0"/>
                <w:color w:val="000000"/>
                <w:sz w:val="20"/>
                <w:szCs w:val="20"/>
                <w:lang w:val="id-ID"/>
              </w:rPr>
            </w:pPr>
            <w:r w:rsidRPr="000D1D54">
              <w:rPr>
                <w:rFonts w:ascii="Book Antiqua" w:eastAsia="Times New Roman" w:hAnsi="Book Antiqua"/>
                <w:b w:val="0"/>
                <w:bCs w:val="0"/>
                <w:color w:val="000000"/>
                <w:sz w:val="20"/>
                <w:szCs w:val="20"/>
                <w:lang w:val="id-ID"/>
              </w:rPr>
              <w:t>Average</w:t>
            </w:r>
          </w:p>
        </w:tc>
      </w:tr>
      <w:tr w:rsidR="00790F76" w:rsidRPr="000D1D54" w14:paraId="65509811" w14:textId="77777777" w:rsidTr="00790F7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98" w:type="pct"/>
            <w:vMerge/>
            <w:hideMark/>
          </w:tcPr>
          <w:p w14:paraId="214C9284" w14:textId="77777777" w:rsidR="00790F76" w:rsidRPr="000D1D54" w:rsidRDefault="00790F76" w:rsidP="00790F76">
            <w:pPr>
              <w:contextualSpacing/>
              <w:rPr>
                <w:rFonts w:ascii="Book Antiqua" w:eastAsia="Times New Roman" w:hAnsi="Book Antiqua"/>
                <w:b w:val="0"/>
                <w:bCs w:val="0"/>
                <w:color w:val="000000"/>
                <w:sz w:val="20"/>
                <w:szCs w:val="20"/>
                <w:lang w:val="id-ID"/>
              </w:rPr>
            </w:pPr>
          </w:p>
        </w:tc>
        <w:tc>
          <w:tcPr>
            <w:tcW w:w="808" w:type="pct"/>
            <w:noWrap/>
            <w:hideMark/>
          </w:tcPr>
          <w:p w14:paraId="119D8941"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b/>
                <w:bCs/>
                <w:color w:val="000000"/>
                <w:sz w:val="20"/>
                <w:szCs w:val="20"/>
                <w:lang w:val="id-ID"/>
              </w:rPr>
            </w:pPr>
            <w:r w:rsidRPr="000D1D54">
              <w:rPr>
                <w:rFonts w:ascii="Book Antiqua" w:eastAsia="Times New Roman" w:hAnsi="Book Antiqua"/>
                <w:b/>
                <w:bCs/>
                <w:color w:val="000000"/>
                <w:sz w:val="20"/>
                <w:szCs w:val="20"/>
                <w:lang w:val="id-ID"/>
              </w:rPr>
              <w:t>2018</w:t>
            </w:r>
          </w:p>
        </w:tc>
        <w:tc>
          <w:tcPr>
            <w:tcW w:w="809" w:type="pct"/>
            <w:noWrap/>
            <w:hideMark/>
          </w:tcPr>
          <w:p w14:paraId="63A73809"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b/>
                <w:bCs/>
                <w:color w:val="000000"/>
                <w:sz w:val="20"/>
                <w:szCs w:val="20"/>
                <w:lang w:val="id-ID"/>
              </w:rPr>
            </w:pPr>
            <w:r w:rsidRPr="000D1D54">
              <w:rPr>
                <w:rFonts w:ascii="Book Antiqua" w:eastAsia="Times New Roman" w:hAnsi="Book Antiqua"/>
                <w:b/>
                <w:bCs/>
                <w:color w:val="000000"/>
                <w:sz w:val="20"/>
                <w:szCs w:val="20"/>
                <w:lang w:val="id-ID"/>
              </w:rPr>
              <w:t>2019</w:t>
            </w:r>
          </w:p>
        </w:tc>
        <w:tc>
          <w:tcPr>
            <w:tcW w:w="719" w:type="pct"/>
            <w:noWrap/>
            <w:hideMark/>
          </w:tcPr>
          <w:p w14:paraId="211D9EAB"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b/>
                <w:bCs/>
                <w:color w:val="000000"/>
                <w:sz w:val="20"/>
                <w:szCs w:val="20"/>
                <w:lang w:val="id-ID"/>
              </w:rPr>
            </w:pPr>
            <w:r w:rsidRPr="000D1D54">
              <w:rPr>
                <w:rFonts w:ascii="Book Antiqua" w:eastAsia="Times New Roman" w:hAnsi="Book Antiqua"/>
                <w:b/>
                <w:bCs/>
                <w:color w:val="000000"/>
                <w:sz w:val="20"/>
                <w:szCs w:val="20"/>
                <w:lang w:val="id-ID"/>
              </w:rPr>
              <w:t>2020</w:t>
            </w:r>
          </w:p>
        </w:tc>
        <w:tc>
          <w:tcPr>
            <w:tcW w:w="691" w:type="pct"/>
            <w:noWrap/>
            <w:hideMark/>
          </w:tcPr>
          <w:p w14:paraId="085CC118"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b/>
                <w:bCs/>
                <w:color w:val="000000"/>
                <w:sz w:val="20"/>
                <w:szCs w:val="20"/>
                <w:lang w:val="id-ID"/>
              </w:rPr>
            </w:pPr>
            <w:r w:rsidRPr="000D1D54">
              <w:rPr>
                <w:rFonts w:ascii="Book Antiqua" w:eastAsia="Times New Roman" w:hAnsi="Book Antiqua"/>
                <w:b/>
                <w:bCs/>
                <w:color w:val="000000"/>
                <w:sz w:val="20"/>
                <w:szCs w:val="20"/>
                <w:lang w:val="id-ID"/>
              </w:rPr>
              <w:t>2021</w:t>
            </w:r>
          </w:p>
        </w:tc>
        <w:tc>
          <w:tcPr>
            <w:tcW w:w="675" w:type="pct"/>
            <w:noWrap/>
            <w:hideMark/>
          </w:tcPr>
          <w:p w14:paraId="69686752"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b/>
                <w:bCs/>
                <w:color w:val="000000"/>
                <w:sz w:val="20"/>
                <w:szCs w:val="20"/>
                <w:lang w:val="id-ID"/>
              </w:rPr>
            </w:pPr>
            <w:r w:rsidRPr="000D1D54">
              <w:rPr>
                <w:rFonts w:ascii="Book Antiqua" w:eastAsia="Times New Roman" w:hAnsi="Book Antiqua"/>
                <w:b/>
                <w:bCs/>
                <w:color w:val="000000"/>
                <w:sz w:val="20"/>
                <w:szCs w:val="20"/>
                <w:lang w:val="id-ID"/>
              </w:rPr>
              <w:t>2022</w:t>
            </w:r>
          </w:p>
        </w:tc>
      </w:tr>
      <w:tr w:rsidR="00790F76" w:rsidRPr="000D1D54" w14:paraId="7F0D15D0" w14:textId="77777777" w:rsidTr="00790F76">
        <w:trPr>
          <w:trHeight w:val="373"/>
        </w:trPr>
        <w:tc>
          <w:tcPr>
            <w:cnfStyle w:val="001000000000" w:firstRow="0" w:lastRow="0" w:firstColumn="1" w:lastColumn="0" w:oddVBand="0" w:evenVBand="0" w:oddHBand="0" w:evenHBand="0" w:firstRowFirstColumn="0" w:firstRowLastColumn="0" w:lastRowFirstColumn="0" w:lastRowLastColumn="0"/>
            <w:tcW w:w="1298" w:type="pct"/>
            <w:noWrap/>
            <w:hideMark/>
          </w:tcPr>
          <w:p w14:paraId="5FE6B7DD" w14:textId="77777777" w:rsidR="00790F76" w:rsidRPr="000D1D54" w:rsidRDefault="00790F76" w:rsidP="00790F76">
            <w:pPr>
              <w:contextualSpacing/>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EPS</w:t>
            </w:r>
          </w:p>
        </w:tc>
        <w:tc>
          <w:tcPr>
            <w:tcW w:w="808" w:type="pct"/>
            <w:noWrap/>
            <w:hideMark/>
          </w:tcPr>
          <w:p w14:paraId="31288482"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228,69</w:t>
            </w:r>
          </w:p>
        </w:tc>
        <w:tc>
          <w:tcPr>
            <w:tcW w:w="809" w:type="pct"/>
            <w:noWrap/>
            <w:hideMark/>
          </w:tcPr>
          <w:p w14:paraId="7A70464A"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206,40</w:t>
            </w:r>
          </w:p>
        </w:tc>
        <w:tc>
          <w:tcPr>
            <w:tcW w:w="719" w:type="pct"/>
            <w:noWrap/>
            <w:hideMark/>
          </w:tcPr>
          <w:p w14:paraId="404587A2"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218,83</w:t>
            </w:r>
          </w:p>
        </w:tc>
        <w:tc>
          <w:tcPr>
            <w:tcW w:w="691" w:type="pct"/>
            <w:noWrap/>
            <w:hideMark/>
          </w:tcPr>
          <w:p w14:paraId="46712A58"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272,69</w:t>
            </w:r>
          </w:p>
        </w:tc>
        <w:tc>
          <w:tcPr>
            <w:tcW w:w="675" w:type="pct"/>
            <w:noWrap/>
            <w:hideMark/>
          </w:tcPr>
          <w:p w14:paraId="7E72394C"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269,33</w:t>
            </w:r>
          </w:p>
        </w:tc>
      </w:tr>
      <w:tr w:rsidR="00790F76" w:rsidRPr="000D1D54" w14:paraId="11B3649C" w14:textId="77777777" w:rsidTr="00790F7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98" w:type="pct"/>
            <w:noWrap/>
            <w:hideMark/>
          </w:tcPr>
          <w:p w14:paraId="340ABA7C" w14:textId="77777777" w:rsidR="00790F76" w:rsidRPr="000D1D54" w:rsidRDefault="00790F76" w:rsidP="00790F76">
            <w:pPr>
              <w:contextualSpacing/>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 xml:space="preserve">NPM </w:t>
            </w:r>
          </w:p>
        </w:tc>
        <w:tc>
          <w:tcPr>
            <w:tcW w:w="808" w:type="pct"/>
            <w:noWrap/>
            <w:hideMark/>
          </w:tcPr>
          <w:p w14:paraId="1AA0EC82"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0,12</w:t>
            </w:r>
          </w:p>
        </w:tc>
        <w:tc>
          <w:tcPr>
            <w:tcW w:w="809" w:type="pct"/>
            <w:noWrap/>
            <w:hideMark/>
          </w:tcPr>
          <w:p w14:paraId="2A9DF951"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0,12</w:t>
            </w:r>
          </w:p>
        </w:tc>
        <w:tc>
          <w:tcPr>
            <w:tcW w:w="719" w:type="pct"/>
            <w:noWrap/>
            <w:hideMark/>
          </w:tcPr>
          <w:p w14:paraId="097253D9"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0,12</w:t>
            </w:r>
          </w:p>
        </w:tc>
        <w:tc>
          <w:tcPr>
            <w:tcW w:w="691" w:type="pct"/>
            <w:noWrap/>
            <w:hideMark/>
          </w:tcPr>
          <w:p w14:paraId="020760E3"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0,13</w:t>
            </w:r>
          </w:p>
        </w:tc>
        <w:tc>
          <w:tcPr>
            <w:tcW w:w="675" w:type="pct"/>
            <w:noWrap/>
            <w:hideMark/>
          </w:tcPr>
          <w:p w14:paraId="701C88A7"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0,12</w:t>
            </w:r>
          </w:p>
        </w:tc>
      </w:tr>
      <w:tr w:rsidR="00790F76" w:rsidRPr="000D1D54" w14:paraId="3CF2BBCF" w14:textId="77777777" w:rsidTr="00790F76">
        <w:trPr>
          <w:trHeight w:val="373"/>
        </w:trPr>
        <w:tc>
          <w:tcPr>
            <w:cnfStyle w:val="001000000000" w:firstRow="0" w:lastRow="0" w:firstColumn="1" w:lastColumn="0" w:oddVBand="0" w:evenVBand="0" w:oddHBand="0" w:evenHBand="0" w:firstRowFirstColumn="0" w:firstRowLastColumn="0" w:lastRowFirstColumn="0" w:lastRowLastColumn="0"/>
            <w:tcW w:w="1298" w:type="pct"/>
            <w:noWrap/>
            <w:hideMark/>
          </w:tcPr>
          <w:p w14:paraId="2A277B7B" w14:textId="77777777" w:rsidR="00790F76" w:rsidRPr="000D1D54" w:rsidRDefault="00790F76" w:rsidP="00790F76">
            <w:pPr>
              <w:contextualSpacing/>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 xml:space="preserve">GPM </w:t>
            </w:r>
          </w:p>
        </w:tc>
        <w:tc>
          <w:tcPr>
            <w:tcW w:w="808" w:type="pct"/>
            <w:noWrap/>
            <w:hideMark/>
          </w:tcPr>
          <w:p w14:paraId="47B8EA1C"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0,36</w:t>
            </w:r>
          </w:p>
        </w:tc>
        <w:tc>
          <w:tcPr>
            <w:tcW w:w="809" w:type="pct"/>
            <w:noWrap/>
            <w:hideMark/>
          </w:tcPr>
          <w:p w14:paraId="1BFA1881"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0,36</w:t>
            </w:r>
          </w:p>
        </w:tc>
        <w:tc>
          <w:tcPr>
            <w:tcW w:w="719" w:type="pct"/>
            <w:noWrap/>
            <w:hideMark/>
          </w:tcPr>
          <w:p w14:paraId="648AC8A7"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0,36</w:t>
            </w:r>
          </w:p>
        </w:tc>
        <w:tc>
          <w:tcPr>
            <w:tcW w:w="691" w:type="pct"/>
            <w:noWrap/>
            <w:hideMark/>
          </w:tcPr>
          <w:p w14:paraId="3B40ACEC"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0,37</w:t>
            </w:r>
          </w:p>
        </w:tc>
        <w:tc>
          <w:tcPr>
            <w:tcW w:w="675" w:type="pct"/>
            <w:noWrap/>
            <w:hideMark/>
          </w:tcPr>
          <w:p w14:paraId="3B36B60C"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0,36</w:t>
            </w:r>
          </w:p>
        </w:tc>
      </w:tr>
      <w:tr w:rsidR="00790F76" w:rsidRPr="000D1D54" w14:paraId="320A5B34" w14:textId="77777777" w:rsidTr="00790F7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98" w:type="pct"/>
            <w:noWrap/>
            <w:hideMark/>
          </w:tcPr>
          <w:p w14:paraId="471BB8AF" w14:textId="77777777" w:rsidR="00790F76" w:rsidRPr="000D1D54" w:rsidRDefault="00790F76" w:rsidP="00790F76">
            <w:pPr>
              <w:contextualSpacing/>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TATO</w:t>
            </w:r>
          </w:p>
        </w:tc>
        <w:tc>
          <w:tcPr>
            <w:tcW w:w="808" w:type="pct"/>
            <w:noWrap/>
            <w:hideMark/>
          </w:tcPr>
          <w:p w14:paraId="0D88EC2A"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1,25</w:t>
            </w:r>
          </w:p>
        </w:tc>
        <w:tc>
          <w:tcPr>
            <w:tcW w:w="809" w:type="pct"/>
            <w:noWrap/>
            <w:hideMark/>
          </w:tcPr>
          <w:p w14:paraId="58D8D1E3"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1,19</w:t>
            </w:r>
          </w:p>
        </w:tc>
        <w:tc>
          <w:tcPr>
            <w:tcW w:w="719" w:type="pct"/>
            <w:noWrap/>
            <w:hideMark/>
          </w:tcPr>
          <w:p w14:paraId="10F8C803"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1,17</w:t>
            </w:r>
          </w:p>
        </w:tc>
        <w:tc>
          <w:tcPr>
            <w:tcW w:w="691" w:type="pct"/>
            <w:noWrap/>
            <w:hideMark/>
          </w:tcPr>
          <w:p w14:paraId="331DC6B3"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1,15</w:t>
            </w:r>
          </w:p>
        </w:tc>
        <w:tc>
          <w:tcPr>
            <w:tcW w:w="675" w:type="pct"/>
            <w:noWrap/>
            <w:hideMark/>
          </w:tcPr>
          <w:p w14:paraId="185C8FEE" w14:textId="77777777" w:rsidR="00790F76" w:rsidRPr="000D1D54" w:rsidRDefault="00790F76" w:rsidP="00790F76">
            <w:pPr>
              <w:contextualSpacing/>
              <w:jc w:val="right"/>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0,95</w:t>
            </w:r>
          </w:p>
        </w:tc>
      </w:tr>
      <w:tr w:rsidR="00790F76" w:rsidRPr="000D1D54" w14:paraId="37266BB6" w14:textId="77777777" w:rsidTr="00790F76">
        <w:trPr>
          <w:trHeight w:val="373"/>
        </w:trPr>
        <w:tc>
          <w:tcPr>
            <w:cnfStyle w:val="001000000000" w:firstRow="0" w:lastRow="0" w:firstColumn="1" w:lastColumn="0" w:oddVBand="0" w:evenVBand="0" w:oddHBand="0" w:evenHBand="0" w:firstRowFirstColumn="0" w:firstRowLastColumn="0" w:lastRowFirstColumn="0" w:lastRowLastColumn="0"/>
            <w:tcW w:w="1298" w:type="pct"/>
            <w:noWrap/>
            <w:hideMark/>
          </w:tcPr>
          <w:p w14:paraId="5259A724" w14:textId="77777777" w:rsidR="00790F76" w:rsidRPr="000D1D54" w:rsidRDefault="00790F76" w:rsidP="00790F76">
            <w:pPr>
              <w:contextualSpacing/>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SHARE PRICE</w:t>
            </w:r>
          </w:p>
        </w:tc>
        <w:tc>
          <w:tcPr>
            <w:tcW w:w="808" w:type="pct"/>
            <w:noWrap/>
            <w:hideMark/>
          </w:tcPr>
          <w:p w14:paraId="546DF455"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3.917</w:t>
            </w:r>
          </w:p>
        </w:tc>
        <w:tc>
          <w:tcPr>
            <w:tcW w:w="809" w:type="pct"/>
            <w:noWrap/>
            <w:hideMark/>
          </w:tcPr>
          <w:p w14:paraId="19433C12"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3.926</w:t>
            </w:r>
          </w:p>
        </w:tc>
        <w:tc>
          <w:tcPr>
            <w:tcW w:w="719" w:type="pct"/>
            <w:noWrap/>
            <w:hideMark/>
          </w:tcPr>
          <w:p w14:paraId="43643430"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4.351</w:t>
            </w:r>
          </w:p>
        </w:tc>
        <w:tc>
          <w:tcPr>
            <w:tcW w:w="691" w:type="pct"/>
            <w:noWrap/>
            <w:hideMark/>
          </w:tcPr>
          <w:p w14:paraId="7632F15F"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4.611</w:t>
            </w:r>
          </w:p>
        </w:tc>
        <w:tc>
          <w:tcPr>
            <w:tcW w:w="675" w:type="pct"/>
            <w:noWrap/>
            <w:hideMark/>
          </w:tcPr>
          <w:p w14:paraId="1B62C4D9" w14:textId="77777777" w:rsidR="00790F76" w:rsidRPr="000D1D54" w:rsidRDefault="00790F76" w:rsidP="00790F76">
            <w:pPr>
              <w:contextualSpacing/>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000000"/>
                <w:sz w:val="20"/>
                <w:szCs w:val="20"/>
                <w:lang w:val="id-ID"/>
              </w:rPr>
            </w:pPr>
            <w:r w:rsidRPr="000D1D54">
              <w:rPr>
                <w:rFonts w:ascii="Book Antiqua" w:eastAsia="Times New Roman" w:hAnsi="Book Antiqua"/>
                <w:color w:val="000000"/>
                <w:sz w:val="20"/>
                <w:szCs w:val="20"/>
                <w:lang w:val="id-ID"/>
              </w:rPr>
              <w:t>4.217</w:t>
            </w:r>
          </w:p>
        </w:tc>
      </w:tr>
    </w:tbl>
    <w:p w14:paraId="686902C0" w14:textId="59DE0C8C" w:rsidR="00ED71D4" w:rsidRPr="000D1D54" w:rsidRDefault="00790F76" w:rsidP="00790F76">
      <w:pPr>
        <w:spacing w:line="240" w:lineRule="auto"/>
        <w:jc w:val="both"/>
        <w:rPr>
          <w:rFonts w:ascii="Book Antiqua" w:hAnsi="Book Antiqua" w:cs="Times New Roman"/>
          <w:sz w:val="20"/>
          <w:szCs w:val="20"/>
          <w:lang w:val="id-ID"/>
        </w:rPr>
      </w:pPr>
      <w:r w:rsidRPr="000D1D54">
        <w:rPr>
          <w:rFonts w:ascii="Book Antiqua" w:hAnsi="Book Antiqua" w:cs="Times New Roman"/>
          <w:b/>
          <w:bCs/>
          <w:sz w:val="20"/>
          <w:szCs w:val="20"/>
          <w:lang w:val="id-ID"/>
        </w:rPr>
        <w:t>Table 1.</w:t>
      </w:r>
      <w:r w:rsidRPr="000D1D54">
        <w:rPr>
          <w:rFonts w:ascii="Book Antiqua" w:hAnsi="Book Antiqua" w:cs="Times New Roman"/>
          <w:sz w:val="20"/>
          <w:szCs w:val="20"/>
          <w:lang w:val="id-ID"/>
        </w:rPr>
        <w:t xml:space="preserve"> Average Development of Financial Performance and Share Prices of Manufacturing Companies in the Food and Beverages Sector in 2018-2022.</w:t>
      </w:r>
    </w:p>
    <w:p w14:paraId="5BC06FBC" w14:textId="12F22FF9" w:rsidR="00790F76" w:rsidRPr="000D1D54" w:rsidRDefault="00B43755" w:rsidP="00B43755">
      <w:pPr>
        <w:spacing w:line="240" w:lineRule="auto"/>
        <w:jc w:val="both"/>
        <w:rPr>
          <w:rFonts w:ascii="Book Antiqua" w:hAnsi="Book Antiqua" w:cs="Times New Roman"/>
          <w:sz w:val="16"/>
          <w:szCs w:val="16"/>
          <w:lang w:val="id-ID"/>
        </w:rPr>
      </w:pPr>
      <w:r w:rsidRPr="000D1D54">
        <w:rPr>
          <w:rFonts w:ascii="Book Antiqua" w:hAnsi="Book Antiqua" w:cs="Times New Roman"/>
          <w:b/>
          <w:bCs/>
          <w:sz w:val="16"/>
          <w:szCs w:val="16"/>
          <w:lang w:val="id-ID"/>
        </w:rPr>
        <w:t>Source:</w:t>
      </w:r>
      <w:r w:rsidRPr="000D1D54">
        <w:rPr>
          <w:rFonts w:ascii="Book Antiqua" w:hAnsi="Book Antiqua" w:cs="Times New Roman"/>
          <w:sz w:val="16"/>
          <w:szCs w:val="16"/>
          <w:lang w:val="id-ID"/>
        </w:rPr>
        <w:t xml:space="preserve"> www.idx.co.id (Data processed, 2022)</w:t>
      </w:r>
    </w:p>
    <w:p w14:paraId="4F1F1BEE" w14:textId="03E47A85" w:rsidR="00256A65" w:rsidRPr="000D1D54" w:rsidRDefault="00AE4B02" w:rsidP="00256A65">
      <w:pPr>
        <w:spacing w:line="240" w:lineRule="auto"/>
        <w:ind w:firstLine="567"/>
        <w:jc w:val="both"/>
        <w:rPr>
          <w:rFonts w:ascii="Book Antiqua" w:hAnsi="Book Antiqua" w:cs="Times New Roman"/>
          <w:lang w:val="id-ID"/>
        </w:rPr>
      </w:pPr>
      <w:r>
        <w:rPr>
          <w:rFonts w:ascii="Book Antiqua" w:hAnsi="Book Antiqua" w:cs="Times New Roman"/>
          <w:lang w:val="id-ID"/>
        </w:rPr>
        <w:t>The data in Table 1</w:t>
      </w:r>
      <w:r w:rsidR="00501D6F" w:rsidRPr="000D1D54">
        <w:rPr>
          <w:rFonts w:ascii="Book Antiqua" w:hAnsi="Book Antiqua" w:cs="Times New Roman"/>
          <w:lang w:val="id-ID"/>
        </w:rPr>
        <w:t xml:space="preserve"> shows that the financial performance and stock prices experienced by manufacturing companies in the food and beverages sector experienced fluctuations from 2018-2022. This can be seen in the company's first financial ratio, namely EPS, which initially 2018 obtained a value of IDR 228.69. Then, in 2019</w:t>
      </w:r>
      <w:r>
        <w:rPr>
          <w:rFonts w:ascii="Book Antiqua" w:hAnsi="Book Antiqua" w:cs="Times New Roman"/>
          <w:lang w:val="id-ID"/>
        </w:rPr>
        <w:t>,</w:t>
      </w:r>
      <w:r w:rsidR="00501D6F" w:rsidRPr="000D1D54">
        <w:rPr>
          <w:rFonts w:ascii="Book Antiqua" w:hAnsi="Book Antiqua" w:cs="Times New Roman"/>
          <w:lang w:val="id-ID"/>
        </w:rPr>
        <w:t xml:space="preserve"> it experienced a significant decrease of IDR 206.40. </w:t>
      </w:r>
      <w:r>
        <w:rPr>
          <w:rFonts w:ascii="Book Antiqua" w:hAnsi="Book Antiqua" w:cs="Times New Roman"/>
          <w:lang w:val="id-ID"/>
        </w:rPr>
        <w:t>From 2020 to 2021, EPS increased successively, but in 2022, EPS</w:t>
      </w:r>
      <w:r w:rsidR="00501D6F" w:rsidRPr="000D1D54">
        <w:rPr>
          <w:rFonts w:ascii="Book Antiqua" w:hAnsi="Book Antiqua" w:cs="Times New Roman"/>
          <w:lang w:val="id-ID"/>
        </w:rPr>
        <w:t xml:space="preserve"> again decreased by IDR 269.33. Next </w:t>
      </w:r>
      <w:r>
        <w:rPr>
          <w:rFonts w:ascii="Book Antiqua" w:hAnsi="Book Antiqua" w:cs="Times New Roman"/>
          <w:lang w:val="id-ID"/>
        </w:rPr>
        <w:t>are</w:t>
      </w:r>
      <w:r w:rsidR="00501D6F" w:rsidRPr="000D1D54">
        <w:rPr>
          <w:rFonts w:ascii="Book Antiqua" w:hAnsi="Book Antiqua" w:cs="Times New Roman"/>
          <w:lang w:val="id-ID"/>
        </w:rPr>
        <w:t xml:space="preserve"> the financial ratios of NPM and GPM. Both ratios experienced the same trend of increasing and decreasing. </w:t>
      </w:r>
      <w:r>
        <w:rPr>
          <w:rFonts w:ascii="Book Antiqua" w:hAnsi="Book Antiqua" w:cs="Times New Roman"/>
          <w:lang w:val="id-ID"/>
        </w:rPr>
        <w:t>From 2018-2020, NPM and GPM showed stable values of 0.12 and 0.36, respectively</w:t>
      </w:r>
      <w:r w:rsidR="00501D6F" w:rsidRPr="000D1D54">
        <w:rPr>
          <w:rFonts w:ascii="Book Antiqua" w:hAnsi="Book Antiqua" w:cs="Times New Roman"/>
          <w:lang w:val="id-ID"/>
        </w:rPr>
        <w:t>. However, in 2021</w:t>
      </w:r>
      <w:r>
        <w:rPr>
          <w:rFonts w:ascii="Book Antiqua" w:hAnsi="Book Antiqua" w:cs="Times New Roman"/>
          <w:lang w:val="id-ID"/>
        </w:rPr>
        <w:t>,</w:t>
      </w:r>
      <w:r w:rsidR="00501D6F" w:rsidRPr="000D1D54">
        <w:rPr>
          <w:rFonts w:ascii="Book Antiqua" w:hAnsi="Book Antiqua" w:cs="Times New Roman"/>
          <w:lang w:val="id-ID"/>
        </w:rPr>
        <w:t xml:space="preserve"> there will be an increase of 1%</w:t>
      </w:r>
      <w:r>
        <w:rPr>
          <w:rFonts w:ascii="Book Antiqua" w:hAnsi="Book Antiqua" w:cs="Times New Roman"/>
          <w:lang w:val="id-ID"/>
        </w:rPr>
        <w:t>,</w:t>
      </w:r>
      <w:r w:rsidR="00501D6F" w:rsidRPr="000D1D54">
        <w:rPr>
          <w:rFonts w:ascii="Book Antiqua" w:hAnsi="Book Antiqua" w:cs="Times New Roman"/>
          <w:lang w:val="id-ID"/>
        </w:rPr>
        <w:t xml:space="preserve"> and in 2022</w:t>
      </w:r>
      <w:r>
        <w:rPr>
          <w:rFonts w:ascii="Book Antiqua" w:hAnsi="Book Antiqua" w:cs="Times New Roman"/>
          <w:lang w:val="id-ID"/>
        </w:rPr>
        <w:t>,</w:t>
      </w:r>
      <w:r w:rsidR="00501D6F" w:rsidRPr="000D1D54">
        <w:rPr>
          <w:rFonts w:ascii="Book Antiqua" w:hAnsi="Book Antiqua" w:cs="Times New Roman"/>
          <w:lang w:val="id-ID"/>
        </w:rPr>
        <w:t xml:space="preserve"> it will again experience a decrease in the value of the initial ratio, namely 0.12 and 0.36. Then, in TATO's financial ratios, it can be seen that there has been a significant decline from year to year. </w:t>
      </w:r>
      <w:r>
        <w:rPr>
          <w:rFonts w:ascii="Book Antiqua" w:hAnsi="Book Antiqua" w:cs="Times New Roman"/>
          <w:lang w:val="id-ID"/>
        </w:rPr>
        <w:t>I</w:t>
      </w:r>
      <w:r w:rsidR="00501D6F" w:rsidRPr="000D1D54">
        <w:rPr>
          <w:rFonts w:ascii="Book Antiqua" w:hAnsi="Book Antiqua" w:cs="Times New Roman"/>
          <w:lang w:val="id-ID"/>
        </w:rPr>
        <w:t>n 2018, the TATO value was 1.25 times and then decreased to 0.95 times in 2022. Finally, the stock prices of manufacturing companies in the food and beverages sector experienced fluctuations. This can be seen in 2018</w:t>
      </w:r>
      <w:r>
        <w:rPr>
          <w:rFonts w:ascii="Book Antiqua" w:hAnsi="Book Antiqua" w:cs="Times New Roman"/>
          <w:lang w:val="id-ID"/>
        </w:rPr>
        <w:t xml:space="preserve"> when</w:t>
      </w:r>
      <w:r w:rsidR="00501D6F" w:rsidRPr="000D1D54">
        <w:rPr>
          <w:rFonts w:ascii="Book Antiqua" w:hAnsi="Book Antiqua" w:cs="Times New Roman"/>
          <w:lang w:val="id-ID"/>
        </w:rPr>
        <w:t xml:space="preserve"> the average share price </w:t>
      </w:r>
      <w:r>
        <w:rPr>
          <w:rFonts w:ascii="Book Antiqua" w:hAnsi="Book Antiqua" w:cs="Times New Roman"/>
          <w:lang w:val="id-ID"/>
        </w:rPr>
        <w:t>wa</w:t>
      </w:r>
      <w:r w:rsidR="00501D6F" w:rsidRPr="000D1D54">
        <w:rPr>
          <w:rFonts w:ascii="Book Antiqua" w:hAnsi="Book Antiqua" w:cs="Times New Roman"/>
          <w:lang w:val="id-ID"/>
        </w:rPr>
        <w:t>s Rp. 3,917, then has increased until 2020 to Rp. 4,611</w:t>
      </w:r>
      <w:r w:rsidR="00256A65" w:rsidRPr="000D1D54">
        <w:rPr>
          <w:rFonts w:ascii="Book Antiqua" w:hAnsi="Book Antiqua" w:cs="Times New Roman"/>
          <w:lang w:val="id-ID"/>
        </w:rPr>
        <w:t>, a</w:t>
      </w:r>
      <w:r w:rsidR="00501D6F" w:rsidRPr="000D1D54">
        <w:rPr>
          <w:rFonts w:ascii="Book Antiqua" w:hAnsi="Book Antiqua" w:cs="Times New Roman"/>
          <w:lang w:val="id-ID"/>
        </w:rPr>
        <w:t>nd in 2022</w:t>
      </w:r>
      <w:r>
        <w:rPr>
          <w:rFonts w:ascii="Book Antiqua" w:hAnsi="Book Antiqua" w:cs="Times New Roman"/>
          <w:lang w:val="id-ID"/>
        </w:rPr>
        <w:t>,</w:t>
      </w:r>
      <w:r w:rsidR="00501D6F" w:rsidRPr="000D1D54">
        <w:rPr>
          <w:rFonts w:ascii="Book Antiqua" w:hAnsi="Book Antiqua" w:cs="Times New Roman"/>
          <w:lang w:val="id-ID"/>
        </w:rPr>
        <w:t xml:space="preserve"> the price will decrease to 4,217.</w:t>
      </w:r>
    </w:p>
    <w:p w14:paraId="47FAE087" w14:textId="6EDB1A8A" w:rsidR="00AE7078" w:rsidRPr="000D1D54" w:rsidRDefault="00256A65" w:rsidP="007934C8">
      <w:pPr>
        <w:pStyle w:val="DaftarParagraf"/>
        <w:numPr>
          <w:ilvl w:val="0"/>
          <w:numId w:val="1"/>
        </w:numPr>
        <w:tabs>
          <w:tab w:val="left" w:pos="567"/>
        </w:tabs>
        <w:spacing w:line="240" w:lineRule="auto"/>
        <w:ind w:left="0" w:firstLine="0"/>
        <w:jc w:val="both"/>
        <w:rPr>
          <w:rFonts w:ascii="Book Antiqua" w:hAnsi="Book Antiqua" w:cs="Times New Roman"/>
          <w:b/>
          <w:bCs/>
          <w:sz w:val="24"/>
          <w:szCs w:val="24"/>
          <w:lang w:val="id-ID"/>
        </w:rPr>
      </w:pPr>
      <w:r w:rsidRPr="000D1D54">
        <w:rPr>
          <w:rFonts w:ascii="Book Antiqua" w:hAnsi="Book Antiqua" w:cs="Times New Roman"/>
          <w:b/>
          <w:bCs/>
          <w:sz w:val="24"/>
          <w:szCs w:val="24"/>
          <w:lang w:val="id-ID"/>
        </w:rPr>
        <w:t>Research Methodology</w:t>
      </w:r>
    </w:p>
    <w:p w14:paraId="28D37006" w14:textId="0B2C3C23" w:rsidR="00256A65" w:rsidRPr="000D1D54" w:rsidRDefault="00256A65" w:rsidP="00617F10">
      <w:pPr>
        <w:spacing w:line="240" w:lineRule="auto"/>
        <w:ind w:firstLine="567"/>
        <w:jc w:val="both"/>
        <w:rPr>
          <w:rFonts w:ascii="Book Antiqua" w:hAnsi="Book Antiqua" w:cs="Times New Roman"/>
          <w:lang w:val="id-ID"/>
        </w:rPr>
      </w:pPr>
      <w:r w:rsidRPr="000D1D54">
        <w:rPr>
          <w:rFonts w:ascii="Book Antiqua" w:hAnsi="Book Antiqua" w:cs="Times New Roman"/>
          <w:lang w:val="id-ID"/>
        </w:rPr>
        <w:t xml:space="preserve">This research uses empirical data </w:t>
      </w:r>
      <w:r w:rsidR="00AE4B02">
        <w:rPr>
          <w:rFonts w:ascii="Book Antiqua" w:hAnsi="Book Antiqua" w:cs="Times New Roman"/>
          <w:lang w:val="id-ID"/>
        </w:rPr>
        <w:t>from the Indonesia Stock Exchange (www.idx.co.id), which focuses on manufacturing companies in the food and beverage sector</w:t>
      </w:r>
      <w:r w:rsidRPr="000D1D54">
        <w:rPr>
          <w:rFonts w:ascii="Book Antiqua" w:hAnsi="Book Antiqua" w:cs="Times New Roman"/>
          <w:lang w:val="id-ID"/>
        </w:rPr>
        <w:t xml:space="preserve"> listed on the Indonesia Stock Exchange. The data taken from this research is data from 2018 to 2022. The reason for choosing this research location is that researchers want to do </w:t>
      </w:r>
      <w:r w:rsidR="00AE4B02">
        <w:rPr>
          <w:rFonts w:ascii="Book Antiqua" w:hAnsi="Book Antiqua" w:cs="Times New Roman"/>
          <w:lang w:val="id-ID"/>
        </w:rPr>
        <w:t>more</w:t>
      </w:r>
      <w:r w:rsidRPr="000D1D54">
        <w:rPr>
          <w:rFonts w:ascii="Book Antiqua" w:hAnsi="Book Antiqua" w:cs="Times New Roman"/>
          <w:lang w:val="id-ID"/>
        </w:rPr>
        <w:t xml:space="preserve"> research related to variables that can affect stock prices. This is because </w:t>
      </w:r>
      <w:r w:rsidR="00AE4B02">
        <w:rPr>
          <w:rFonts w:ascii="Book Antiqua" w:hAnsi="Book Antiqua" w:cs="Times New Roman"/>
          <w:lang w:val="id-ID"/>
        </w:rPr>
        <w:t>previous research</w:t>
      </w:r>
      <w:r w:rsidRPr="000D1D54">
        <w:rPr>
          <w:rFonts w:ascii="Book Antiqua" w:hAnsi="Book Antiqua" w:cs="Times New Roman"/>
          <w:lang w:val="id-ID"/>
        </w:rPr>
        <w:t xml:space="preserve"> found that there were still many differences in research results regarding the variables that could affect stock prices. The type of data used in this study consists of quantitative data, namely </w:t>
      </w:r>
      <w:r w:rsidR="00AE4B02">
        <w:rPr>
          <w:rFonts w:ascii="Book Antiqua" w:hAnsi="Book Antiqua" w:cs="Times New Roman"/>
          <w:lang w:val="id-ID"/>
        </w:rPr>
        <w:t>figures derived from stock price data and financial reports from</w:t>
      </w:r>
      <w:r w:rsidRPr="000D1D54">
        <w:rPr>
          <w:rFonts w:ascii="Book Antiqua" w:hAnsi="Book Antiqua" w:cs="Times New Roman"/>
          <w:lang w:val="id-ID"/>
        </w:rPr>
        <w:t xml:space="preserve"> quarter</w:t>
      </w:r>
      <w:r w:rsidR="00AE4B02">
        <w:rPr>
          <w:rFonts w:ascii="Book Antiqua" w:hAnsi="Book Antiqua" w:cs="Times New Roman"/>
          <w:lang w:val="id-ID"/>
        </w:rPr>
        <w:t>s 1 to</w:t>
      </w:r>
      <w:r w:rsidRPr="000D1D54">
        <w:rPr>
          <w:rFonts w:ascii="Book Antiqua" w:hAnsi="Book Antiqua" w:cs="Times New Roman"/>
          <w:lang w:val="id-ID"/>
        </w:rPr>
        <w:t xml:space="preserve"> 4 of manufacturing companies in the food and beverages sector for 2018-2022. This study uses secondary data in the form of documents and written information related to the object of </w:t>
      </w:r>
      <w:proofErr w:type="spellStart"/>
      <w:r w:rsidRPr="000D1D54">
        <w:rPr>
          <w:rFonts w:ascii="Book Antiqua" w:hAnsi="Book Antiqua" w:cs="Times New Roman"/>
          <w:lang w:val="id-ID"/>
        </w:rPr>
        <w:t>research</w:t>
      </w:r>
      <w:proofErr w:type="spellEnd"/>
      <w:r w:rsidRPr="000D1D54">
        <w:rPr>
          <w:rFonts w:ascii="Book Antiqua" w:hAnsi="Book Antiqua" w:cs="Times New Roman"/>
          <w:lang w:val="id-ID"/>
        </w:rPr>
        <w:t xml:space="preserve"> </w:t>
      </w:r>
      <w:proofErr w:type="spellStart"/>
      <w:r w:rsidRPr="000D1D54">
        <w:rPr>
          <w:rFonts w:ascii="Book Antiqua" w:hAnsi="Book Antiqua" w:cs="Times New Roman"/>
          <w:lang w:val="id-ID"/>
        </w:rPr>
        <w:t>obtained</w:t>
      </w:r>
      <w:proofErr w:type="spellEnd"/>
      <w:r w:rsidRPr="000D1D54">
        <w:rPr>
          <w:rFonts w:ascii="Book Antiqua" w:hAnsi="Book Antiqua" w:cs="Times New Roman"/>
          <w:lang w:val="id-ID"/>
        </w:rPr>
        <w:t xml:space="preserve"> </w:t>
      </w:r>
      <w:proofErr w:type="spellStart"/>
      <w:r w:rsidRPr="000D1D54">
        <w:rPr>
          <w:rFonts w:ascii="Book Antiqua" w:hAnsi="Book Antiqua" w:cs="Times New Roman"/>
          <w:lang w:val="id-ID"/>
        </w:rPr>
        <w:t>from</w:t>
      </w:r>
      <w:proofErr w:type="spellEnd"/>
      <w:r w:rsidRPr="000D1D54">
        <w:rPr>
          <w:rFonts w:ascii="Book Antiqua" w:hAnsi="Book Antiqua" w:cs="Times New Roman"/>
          <w:lang w:val="id-ID"/>
        </w:rPr>
        <w:t xml:space="preserve"> </w:t>
      </w:r>
      <w:hyperlink r:id="rId10" w:history="1">
        <w:r w:rsidR="00617F10" w:rsidRPr="000D1D54">
          <w:rPr>
            <w:rStyle w:val="Hyperlink"/>
            <w:rFonts w:ascii="Book Antiqua" w:hAnsi="Book Antiqua" w:cs="Times New Roman"/>
            <w:lang w:val="id-ID"/>
          </w:rPr>
          <w:t>www.idx.co.id</w:t>
        </w:r>
      </w:hyperlink>
      <w:r w:rsidRPr="000D1D54">
        <w:rPr>
          <w:rFonts w:ascii="Book Antiqua" w:hAnsi="Book Antiqua" w:cs="Times New Roman"/>
          <w:lang w:val="id-ID"/>
        </w:rPr>
        <w:t>.</w:t>
      </w:r>
      <w:r w:rsidR="00617F10" w:rsidRPr="000D1D54">
        <w:rPr>
          <w:rFonts w:ascii="Book Antiqua" w:hAnsi="Book Antiqua" w:cs="Times New Roman"/>
          <w:lang w:val="id-ID"/>
        </w:rPr>
        <w:t xml:space="preserve"> </w:t>
      </w:r>
      <w:r w:rsidRPr="000D1D54">
        <w:rPr>
          <w:rFonts w:ascii="Book Antiqua" w:hAnsi="Book Antiqua" w:cs="Times New Roman"/>
          <w:lang w:val="id-ID"/>
        </w:rPr>
        <w:t>Population is a generaliz</w:t>
      </w:r>
      <w:r w:rsidR="00AE4B02">
        <w:rPr>
          <w:rFonts w:ascii="Book Antiqua" w:hAnsi="Book Antiqua" w:cs="Times New Roman"/>
          <w:lang w:val="id-ID"/>
        </w:rPr>
        <w:t>ed</w:t>
      </w:r>
      <w:r w:rsidRPr="000D1D54">
        <w:rPr>
          <w:rFonts w:ascii="Book Antiqua" w:hAnsi="Book Antiqua" w:cs="Times New Roman"/>
          <w:lang w:val="id-ID"/>
        </w:rPr>
        <w:t xml:space="preserve"> area consisting of </w:t>
      </w:r>
      <w:r w:rsidR="00AE4B02">
        <w:rPr>
          <w:rFonts w:ascii="Book Antiqua" w:hAnsi="Book Antiqua" w:cs="Times New Roman"/>
          <w:lang w:val="id-ID"/>
        </w:rPr>
        <w:t>thing</w:t>
      </w:r>
      <w:r w:rsidRPr="000D1D54">
        <w:rPr>
          <w:rFonts w:ascii="Book Antiqua" w:hAnsi="Book Antiqua" w:cs="Times New Roman"/>
          <w:lang w:val="id-ID"/>
        </w:rPr>
        <w:t xml:space="preserve">s/subjects </w:t>
      </w:r>
      <w:r w:rsidR="00AE4B02">
        <w:rPr>
          <w:rFonts w:ascii="Book Antiqua" w:hAnsi="Book Antiqua" w:cs="Times New Roman"/>
          <w:lang w:val="id-ID"/>
        </w:rPr>
        <w:t>with</w:t>
      </w:r>
      <w:r w:rsidRPr="000D1D54">
        <w:rPr>
          <w:rFonts w:ascii="Book Antiqua" w:hAnsi="Book Antiqua" w:cs="Times New Roman"/>
          <w:lang w:val="id-ID"/>
        </w:rPr>
        <w:t xml:space="preserve"> certain qualities and characteristics determined by researchers to be studied and then conclusions drawn (Sugiyono, 2019). The population in this study was 546 quarterly financial reports for the 2018-2022 period from 26 manufacturing companies in the food and beverage sector </w:t>
      </w:r>
      <w:r w:rsidR="00AE4B02">
        <w:rPr>
          <w:rFonts w:ascii="Book Antiqua" w:hAnsi="Book Antiqua" w:cs="Times New Roman"/>
          <w:lang w:val="id-ID"/>
        </w:rPr>
        <w:t>i</w:t>
      </w:r>
      <w:r w:rsidRPr="000D1D54">
        <w:rPr>
          <w:rFonts w:ascii="Book Antiqua" w:hAnsi="Book Antiqua" w:cs="Times New Roman"/>
          <w:lang w:val="id-ID"/>
        </w:rPr>
        <w:t>n Indonesia.</w:t>
      </w:r>
      <w:r w:rsidR="00AE4B02">
        <w:rPr>
          <w:rFonts w:ascii="Book Antiqua" w:hAnsi="Book Antiqua" w:cs="Times New Roman"/>
          <w:lang w:val="id-ID"/>
        </w:rPr>
        <w:t xml:space="preserve"> </w:t>
      </w:r>
      <w:r w:rsidRPr="000D1D54">
        <w:rPr>
          <w:rFonts w:ascii="Book Antiqua" w:hAnsi="Book Antiqua" w:cs="Times New Roman"/>
          <w:lang w:val="id-ID"/>
        </w:rPr>
        <w:t>The sample is part of the number and characteristics possessed by the population. In this study</w:t>
      </w:r>
      <w:r w:rsidR="00AE4B02">
        <w:rPr>
          <w:rFonts w:ascii="Book Antiqua" w:hAnsi="Book Antiqua" w:cs="Times New Roman"/>
          <w:lang w:val="id-ID"/>
        </w:rPr>
        <w:t>,</w:t>
      </w:r>
      <w:r w:rsidRPr="000D1D54">
        <w:rPr>
          <w:rFonts w:ascii="Book Antiqua" w:hAnsi="Book Antiqua" w:cs="Times New Roman"/>
          <w:lang w:val="id-ID"/>
        </w:rPr>
        <w:t xml:space="preserve"> purposive sampling. Purposive sampling is a sampling technique with certain considerations </w:t>
      </w:r>
      <w:r w:rsidRPr="000D1D54">
        <w:rPr>
          <w:rFonts w:ascii="Book Antiqua" w:hAnsi="Book Antiqua" w:cs="Times New Roman"/>
          <w:lang w:val="id-ID"/>
        </w:rPr>
        <w:lastRenderedPageBreak/>
        <w:t xml:space="preserve">Sugiyono (2019). The sampling criteria are as follows. </w:t>
      </w:r>
      <w:r w:rsidR="00E37DCF" w:rsidRPr="000D1D54">
        <w:rPr>
          <w:rFonts w:ascii="Book Antiqua" w:hAnsi="Book Antiqua" w:cs="Times New Roman"/>
          <w:lang w:val="id-ID"/>
        </w:rPr>
        <w:t xml:space="preserve">Moreover, </w:t>
      </w:r>
      <w:r w:rsidRPr="000D1D54">
        <w:rPr>
          <w:rFonts w:ascii="Book Antiqua" w:hAnsi="Book Antiqua" w:cs="Times New Roman"/>
          <w:lang w:val="id-ID"/>
        </w:rPr>
        <w:t>Table 2</w:t>
      </w:r>
      <w:r w:rsidR="00E37DCF" w:rsidRPr="000D1D54">
        <w:rPr>
          <w:rFonts w:ascii="Book Antiqua" w:hAnsi="Book Antiqua" w:cs="Times New Roman"/>
          <w:lang w:val="id-ID"/>
        </w:rPr>
        <w:t xml:space="preserve"> </w:t>
      </w:r>
      <w:r w:rsidR="00AE4B02">
        <w:rPr>
          <w:rFonts w:ascii="Book Antiqua" w:hAnsi="Book Antiqua" w:cs="Times New Roman"/>
          <w:lang w:val="id-ID"/>
        </w:rPr>
        <w:t>shows the quarterly financial statements of food and beverage companies used as research samples for the 2018 -2022 period</w:t>
      </w:r>
      <w:r w:rsidRPr="000D1D54">
        <w:rPr>
          <w:rFonts w:ascii="Book Antiqua" w:hAnsi="Book Antiqua" w:cs="Times New Roman"/>
          <w:lang w:val="id-ID"/>
        </w:rPr>
        <w:t>.</w:t>
      </w:r>
    </w:p>
    <w:p w14:paraId="096B4797" w14:textId="77777777" w:rsidR="000A3A39" w:rsidRPr="000D1D54" w:rsidRDefault="000A3A39" w:rsidP="00617F10">
      <w:pPr>
        <w:spacing w:line="240" w:lineRule="auto"/>
        <w:ind w:firstLine="567"/>
        <w:jc w:val="both"/>
        <w:rPr>
          <w:rFonts w:ascii="Book Antiqua" w:hAnsi="Book Antiqua" w:cs="Times New Roman"/>
          <w:lang w:val="id-ID"/>
        </w:rPr>
      </w:pPr>
    </w:p>
    <w:p w14:paraId="754313D4" w14:textId="77777777" w:rsidR="000A3A39" w:rsidRPr="000D1D54" w:rsidRDefault="000A3A39" w:rsidP="000A3A39">
      <w:pPr>
        <w:pStyle w:val="HTMLSudahDiformat"/>
        <w:shd w:val="clear" w:color="auto" w:fill="F8F9FA"/>
        <w:contextualSpacing/>
        <w:jc w:val="both"/>
        <w:rPr>
          <w:rFonts w:ascii="Book Antiqua" w:hAnsi="Book Antiqua" w:cs="Times New Roman"/>
          <w:lang w:val="id-ID"/>
        </w:rPr>
      </w:pPr>
      <w:r w:rsidRPr="000D1D54">
        <w:rPr>
          <w:rStyle w:val="y2iqfc"/>
          <w:rFonts w:ascii="Book Antiqua" w:hAnsi="Book Antiqua" w:cs="Times New Roman"/>
          <w:b/>
          <w:bCs/>
          <w:lang w:val="id-ID"/>
        </w:rPr>
        <w:t>Table 2.</w:t>
      </w:r>
      <w:r w:rsidRPr="000D1D54">
        <w:rPr>
          <w:rStyle w:val="y2iqfc"/>
          <w:rFonts w:ascii="Book Antiqua" w:hAnsi="Book Antiqua" w:cs="Times New Roman"/>
          <w:lang w:val="id-ID"/>
        </w:rPr>
        <w:t xml:space="preserve"> Number of Quarterly Financial Statements of Food and Beverage Companies for the 2018 -2022 Period Used as Research Samples.</w:t>
      </w:r>
    </w:p>
    <w:tbl>
      <w:tblPr>
        <w:tblStyle w:val="TabelBiasa2"/>
        <w:tblpPr w:leftFromText="180" w:rightFromText="180" w:vertAnchor="text" w:horzAnchor="margin" w:tblpXSpec="center" w:tblpY="199"/>
        <w:tblW w:w="0" w:type="auto"/>
        <w:tblLook w:val="04A0" w:firstRow="1" w:lastRow="0" w:firstColumn="1" w:lastColumn="0" w:noHBand="0" w:noVBand="1"/>
      </w:tblPr>
      <w:tblGrid>
        <w:gridCol w:w="494"/>
        <w:gridCol w:w="4907"/>
        <w:gridCol w:w="1810"/>
        <w:gridCol w:w="1554"/>
      </w:tblGrid>
      <w:tr w:rsidR="000A3A39" w:rsidRPr="000D1D54" w14:paraId="5752060A" w14:textId="77777777" w:rsidTr="000A3A39">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0" w:type="auto"/>
          </w:tcPr>
          <w:p w14:paraId="295C9FDB" w14:textId="77777777" w:rsidR="000A3A39" w:rsidRPr="000D1D54" w:rsidRDefault="000A3A39" w:rsidP="002F2700">
            <w:pPr>
              <w:pStyle w:val="DaftarParagraf"/>
              <w:ind w:left="0"/>
              <w:rPr>
                <w:rFonts w:ascii="Book Antiqua" w:hAnsi="Book Antiqua"/>
                <w:b w:val="0"/>
                <w:sz w:val="20"/>
                <w:szCs w:val="20"/>
                <w:lang w:val="id-ID"/>
              </w:rPr>
            </w:pPr>
            <w:r w:rsidRPr="000D1D54">
              <w:rPr>
                <w:rFonts w:ascii="Book Antiqua" w:hAnsi="Book Antiqua"/>
                <w:sz w:val="20"/>
                <w:szCs w:val="20"/>
                <w:lang w:val="id-ID"/>
              </w:rPr>
              <w:t>No</w:t>
            </w:r>
          </w:p>
        </w:tc>
        <w:tc>
          <w:tcPr>
            <w:tcW w:w="0" w:type="auto"/>
          </w:tcPr>
          <w:p w14:paraId="616D6781" w14:textId="77777777" w:rsidR="000A3A39" w:rsidRPr="000D1D54" w:rsidRDefault="000A3A39" w:rsidP="002F2700">
            <w:pPr>
              <w:pStyle w:val="HTMLSudahDiformat"/>
              <w:shd w:val="clear" w:color="auto" w:fill="F8F9FA"/>
              <w:contextualSpacing/>
              <w:cnfStyle w:val="100000000000" w:firstRow="1" w:lastRow="0" w:firstColumn="0" w:lastColumn="0" w:oddVBand="0" w:evenVBand="0" w:oddHBand="0" w:evenHBand="0" w:firstRowFirstColumn="0" w:firstRowLastColumn="0" w:lastRowFirstColumn="0" w:lastRowLastColumn="0"/>
              <w:rPr>
                <w:rFonts w:ascii="Book Antiqua" w:hAnsi="Book Antiqua" w:cs="Times New Roman"/>
                <w:lang w:val="id-ID"/>
              </w:rPr>
            </w:pPr>
            <w:r w:rsidRPr="000D1D54">
              <w:rPr>
                <w:rStyle w:val="y2iqfc"/>
                <w:rFonts w:ascii="Book Antiqua" w:hAnsi="Book Antiqua" w:cs="Times New Roman"/>
                <w:lang w:val="id-ID"/>
              </w:rPr>
              <w:t>Criteria</w:t>
            </w:r>
          </w:p>
          <w:p w14:paraId="3D289CA0" w14:textId="77777777" w:rsidR="000A3A39" w:rsidRPr="000D1D54" w:rsidRDefault="000A3A39" w:rsidP="002F2700">
            <w:pPr>
              <w:pStyle w:val="DaftarParagraf"/>
              <w:ind w:left="0"/>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id-ID"/>
              </w:rPr>
            </w:pPr>
          </w:p>
        </w:tc>
        <w:tc>
          <w:tcPr>
            <w:tcW w:w="0" w:type="auto"/>
          </w:tcPr>
          <w:p w14:paraId="5A0D7B04" w14:textId="77777777" w:rsidR="000A3A39" w:rsidRPr="000D1D54" w:rsidRDefault="000A3A39" w:rsidP="002F2700">
            <w:pPr>
              <w:pStyle w:val="HTMLSudahDiformat"/>
              <w:shd w:val="clear" w:color="auto" w:fill="F8F9FA"/>
              <w:contextualSpacing/>
              <w:cnfStyle w:val="100000000000" w:firstRow="1" w:lastRow="0" w:firstColumn="0" w:lastColumn="0" w:oddVBand="0" w:evenVBand="0" w:oddHBand="0" w:evenHBand="0" w:firstRowFirstColumn="0" w:firstRowLastColumn="0" w:lastRowFirstColumn="0" w:lastRowLastColumn="0"/>
              <w:rPr>
                <w:rFonts w:ascii="Book Antiqua" w:hAnsi="Book Antiqua" w:cs="Times New Roman"/>
                <w:lang w:val="id-ID"/>
              </w:rPr>
            </w:pPr>
            <w:r w:rsidRPr="000D1D54">
              <w:rPr>
                <w:rStyle w:val="y2iqfc"/>
                <w:rFonts w:ascii="Book Antiqua" w:hAnsi="Book Antiqua" w:cs="Times New Roman"/>
                <w:lang w:val="id-ID"/>
              </w:rPr>
              <w:t>Number of Companies</w:t>
            </w:r>
          </w:p>
          <w:p w14:paraId="523540F0" w14:textId="77777777" w:rsidR="000A3A39" w:rsidRPr="000D1D54" w:rsidRDefault="000A3A39" w:rsidP="002F2700">
            <w:pPr>
              <w:pStyle w:val="DaftarParagraf"/>
              <w:ind w:left="0"/>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id-ID"/>
              </w:rPr>
            </w:pPr>
          </w:p>
        </w:tc>
        <w:tc>
          <w:tcPr>
            <w:tcW w:w="0" w:type="auto"/>
          </w:tcPr>
          <w:p w14:paraId="60091406" w14:textId="77777777" w:rsidR="000A3A39" w:rsidRPr="000D1D54" w:rsidRDefault="000A3A39" w:rsidP="002F2700">
            <w:pPr>
              <w:pStyle w:val="HTMLSudahDiformat"/>
              <w:shd w:val="clear" w:color="auto" w:fill="F8F9FA"/>
              <w:contextualSpacing/>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lang w:val="id-ID"/>
              </w:rPr>
            </w:pPr>
            <w:r w:rsidRPr="000D1D54">
              <w:rPr>
                <w:rStyle w:val="y2iqfc"/>
                <w:rFonts w:ascii="Book Antiqua" w:hAnsi="Book Antiqua" w:cs="Times New Roman"/>
                <w:lang w:val="id-ID"/>
              </w:rPr>
              <w:t>Number of Samples</w:t>
            </w:r>
          </w:p>
        </w:tc>
      </w:tr>
      <w:tr w:rsidR="000A3A39" w:rsidRPr="000D1D54" w14:paraId="4AC3D929" w14:textId="77777777" w:rsidTr="000A3A3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00BEA200" w14:textId="77777777" w:rsidR="000A3A39" w:rsidRPr="000D1D54" w:rsidRDefault="000A3A39" w:rsidP="002F2700">
            <w:pPr>
              <w:pStyle w:val="DaftarParagraf"/>
              <w:ind w:left="0"/>
              <w:jc w:val="center"/>
              <w:rPr>
                <w:rFonts w:ascii="Book Antiqua" w:hAnsi="Book Antiqua"/>
                <w:sz w:val="20"/>
                <w:szCs w:val="20"/>
                <w:lang w:val="id-ID"/>
              </w:rPr>
            </w:pPr>
            <w:r w:rsidRPr="000D1D54">
              <w:rPr>
                <w:rFonts w:ascii="Book Antiqua" w:hAnsi="Book Antiqua"/>
                <w:sz w:val="20"/>
                <w:szCs w:val="20"/>
                <w:lang w:val="id-ID"/>
              </w:rPr>
              <w:t>1.</w:t>
            </w:r>
          </w:p>
        </w:tc>
        <w:tc>
          <w:tcPr>
            <w:tcW w:w="0" w:type="auto"/>
          </w:tcPr>
          <w:p w14:paraId="2C5990D9" w14:textId="77777777" w:rsidR="000A3A39" w:rsidRPr="000D1D54" w:rsidRDefault="000A3A39" w:rsidP="002F2700">
            <w:pPr>
              <w:pStyle w:val="HTMLSudahDiformat"/>
              <w:shd w:val="clear" w:color="auto" w:fill="F8F9FA"/>
              <w:contextualSpacing/>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0D1D54">
              <w:rPr>
                <w:rStyle w:val="y2iqfc"/>
                <w:rFonts w:ascii="Book Antiqua" w:hAnsi="Book Antiqua" w:cs="Times New Roman"/>
                <w:lang w:val="id-ID"/>
              </w:rPr>
              <w:t>Food and beverage companies listed on the IDX from 2018-2022.</w:t>
            </w:r>
          </w:p>
          <w:p w14:paraId="0316AD2D" w14:textId="77777777" w:rsidR="000A3A39" w:rsidRPr="000D1D54" w:rsidRDefault="000A3A39" w:rsidP="002F2700">
            <w:pPr>
              <w:pStyle w:val="DaftarParagraf"/>
              <w:ind w:left="0"/>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lang w:val="id-ID"/>
              </w:rPr>
            </w:pPr>
          </w:p>
        </w:tc>
        <w:tc>
          <w:tcPr>
            <w:tcW w:w="0" w:type="auto"/>
          </w:tcPr>
          <w:p w14:paraId="17FE5C3F" w14:textId="77777777" w:rsidR="000A3A39" w:rsidRPr="000D1D54" w:rsidRDefault="000A3A39" w:rsidP="002F2700">
            <w:pPr>
              <w:pStyle w:val="DaftarParagraf"/>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lang w:val="id-ID"/>
              </w:rPr>
            </w:pPr>
            <w:r w:rsidRPr="000D1D54">
              <w:rPr>
                <w:rFonts w:ascii="Book Antiqua" w:hAnsi="Book Antiqua"/>
                <w:sz w:val="20"/>
                <w:szCs w:val="20"/>
                <w:lang w:val="id-ID"/>
              </w:rPr>
              <w:t>26</w:t>
            </w:r>
          </w:p>
        </w:tc>
        <w:tc>
          <w:tcPr>
            <w:tcW w:w="0" w:type="auto"/>
          </w:tcPr>
          <w:p w14:paraId="1425A443" w14:textId="77777777" w:rsidR="000A3A39" w:rsidRPr="000D1D54" w:rsidRDefault="000A3A39" w:rsidP="002F2700">
            <w:pPr>
              <w:contextualSpacing/>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lang w:val="id-ID"/>
              </w:rPr>
            </w:pPr>
            <w:r w:rsidRPr="000D1D54">
              <w:rPr>
                <w:rFonts w:ascii="Book Antiqua" w:hAnsi="Book Antiqua" w:cs="Times New Roman"/>
                <w:sz w:val="20"/>
                <w:szCs w:val="20"/>
                <w:lang w:val="id-ID"/>
              </w:rPr>
              <w:t>546</w:t>
            </w:r>
          </w:p>
          <w:p w14:paraId="031B5621" w14:textId="77777777" w:rsidR="000A3A39" w:rsidRPr="000D1D54" w:rsidRDefault="000A3A39" w:rsidP="002F2700">
            <w:pPr>
              <w:contextualSpacing/>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lang w:val="id-ID"/>
              </w:rPr>
            </w:pPr>
          </w:p>
        </w:tc>
      </w:tr>
      <w:tr w:rsidR="000A3A39" w:rsidRPr="000D1D54" w14:paraId="64CAFE1D" w14:textId="77777777" w:rsidTr="000A3A39">
        <w:trPr>
          <w:trHeight w:val="703"/>
        </w:trPr>
        <w:tc>
          <w:tcPr>
            <w:cnfStyle w:val="001000000000" w:firstRow="0" w:lastRow="0" w:firstColumn="1" w:lastColumn="0" w:oddVBand="0" w:evenVBand="0" w:oddHBand="0" w:evenHBand="0" w:firstRowFirstColumn="0" w:firstRowLastColumn="0" w:lastRowFirstColumn="0" w:lastRowLastColumn="0"/>
            <w:tcW w:w="0" w:type="auto"/>
          </w:tcPr>
          <w:p w14:paraId="566EDFB0" w14:textId="77777777" w:rsidR="000A3A39" w:rsidRPr="000D1D54" w:rsidRDefault="000A3A39" w:rsidP="002F2700">
            <w:pPr>
              <w:pStyle w:val="DaftarParagraf"/>
              <w:ind w:left="0"/>
              <w:jc w:val="both"/>
              <w:rPr>
                <w:rFonts w:ascii="Book Antiqua" w:hAnsi="Book Antiqua"/>
                <w:sz w:val="20"/>
                <w:szCs w:val="20"/>
                <w:lang w:val="id-ID"/>
              </w:rPr>
            </w:pPr>
            <w:r w:rsidRPr="000D1D54">
              <w:rPr>
                <w:rFonts w:ascii="Book Antiqua" w:hAnsi="Book Antiqua"/>
                <w:sz w:val="20"/>
                <w:szCs w:val="20"/>
                <w:lang w:val="id-ID"/>
              </w:rPr>
              <w:t>2.</w:t>
            </w:r>
          </w:p>
        </w:tc>
        <w:tc>
          <w:tcPr>
            <w:tcW w:w="0" w:type="auto"/>
          </w:tcPr>
          <w:p w14:paraId="7688374E" w14:textId="77777777" w:rsidR="000A3A39" w:rsidRPr="000D1D54" w:rsidRDefault="000A3A39" w:rsidP="002F2700">
            <w:pPr>
              <w:pStyle w:val="HTMLSudahDiformat"/>
              <w:shd w:val="clear" w:color="auto" w:fill="F8F9FA"/>
              <w:contextualSpacing/>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0D1D54">
              <w:rPr>
                <w:rStyle w:val="y2iqfc"/>
                <w:rFonts w:ascii="Book Antiqua" w:hAnsi="Book Antiqua" w:cs="Times New Roman"/>
                <w:lang w:val="id-ID"/>
              </w:rPr>
              <w:t>Companies that do not have complete quarterly financial reports for the 2018-2022 period.</w:t>
            </w:r>
          </w:p>
          <w:p w14:paraId="62BE9967" w14:textId="77777777" w:rsidR="000A3A39" w:rsidRPr="000D1D54" w:rsidRDefault="000A3A39" w:rsidP="002F2700">
            <w:pPr>
              <w:pStyle w:val="DaftarParagraf"/>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id-ID"/>
              </w:rPr>
            </w:pPr>
          </w:p>
        </w:tc>
        <w:tc>
          <w:tcPr>
            <w:tcW w:w="0" w:type="auto"/>
          </w:tcPr>
          <w:p w14:paraId="450FFE2D" w14:textId="77777777" w:rsidR="000A3A39" w:rsidRPr="000D1D54" w:rsidRDefault="000A3A39" w:rsidP="002F2700">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id-ID"/>
              </w:rPr>
            </w:pPr>
            <w:r w:rsidRPr="000D1D54">
              <w:rPr>
                <w:rFonts w:ascii="Book Antiqua" w:hAnsi="Book Antiqua"/>
                <w:sz w:val="20"/>
                <w:szCs w:val="20"/>
                <w:lang w:val="id-ID"/>
              </w:rPr>
              <w:t>(1)</w:t>
            </w:r>
          </w:p>
        </w:tc>
        <w:tc>
          <w:tcPr>
            <w:tcW w:w="0" w:type="auto"/>
          </w:tcPr>
          <w:p w14:paraId="1196E48F" w14:textId="77777777" w:rsidR="000A3A39" w:rsidRPr="000D1D54" w:rsidRDefault="000A3A39" w:rsidP="002F2700">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id-ID"/>
              </w:rPr>
            </w:pPr>
            <w:r w:rsidRPr="000D1D54">
              <w:rPr>
                <w:rFonts w:ascii="Book Antiqua" w:hAnsi="Book Antiqua"/>
                <w:sz w:val="20"/>
                <w:szCs w:val="20"/>
                <w:lang w:val="id-ID"/>
              </w:rPr>
              <w:t>(21)</w:t>
            </w:r>
          </w:p>
        </w:tc>
      </w:tr>
      <w:tr w:rsidR="000A3A39" w:rsidRPr="000D1D54" w14:paraId="0E15A1CF" w14:textId="77777777" w:rsidTr="000A3A39">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0" w:type="auto"/>
          </w:tcPr>
          <w:p w14:paraId="5A839944" w14:textId="77777777" w:rsidR="000A3A39" w:rsidRPr="000D1D54" w:rsidRDefault="000A3A39" w:rsidP="002F2700">
            <w:pPr>
              <w:pStyle w:val="DaftarParagraf"/>
              <w:ind w:left="0"/>
              <w:jc w:val="both"/>
              <w:rPr>
                <w:rFonts w:ascii="Book Antiqua" w:hAnsi="Book Antiqua"/>
                <w:sz w:val="20"/>
                <w:szCs w:val="20"/>
                <w:lang w:val="id-ID"/>
              </w:rPr>
            </w:pPr>
            <w:r w:rsidRPr="000D1D54">
              <w:rPr>
                <w:rFonts w:ascii="Book Antiqua" w:hAnsi="Book Antiqua"/>
                <w:sz w:val="20"/>
                <w:szCs w:val="20"/>
                <w:lang w:val="id-ID"/>
              </w:rPr>
              <w:t>3.</w:t>
            </w:r>
          </w:p>
        </w:tc>
        <w:tc>
          <w:tcPr>
            <w:tcW w:w="0" w:type="auto"/>
          </w:tcPr>
          <w:p w14:paraId="059BB3C7" w14:textId="77777777" w:rsidR="000A3A39" w:rsidRPr="000D1D54" w:rsidRDefault="000A3A39" w:rsidP="002F2700">
            <w:pPr>
              <w:pStyle w:val="HTMLSudahDiformat"/>
              <w:shd w:val="clear" w:color="auto" w:fill="F8F9FA"/>
              <w:contextualSpacing/>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0D1D54">
              <w:rPr>
                <w:rStyle w:val="y2iqfc"/>
                <w:rFonts w:ascii="Book Antiqua" w:hAnsi="Book Antiqua" w:cs="Times New Roman"/>
                <w:lang w:val="id-ID"/>
              </w:rPr>
              <w:t>Companies that do not have complete data related to research variables</w:t>
            </w:r>
          </w:p>
          <w:p w14:paraId="414C8640" w14:textId="77777777" w:rsidR="000A3A39" w:rsidRPr="000D1D54" w:rsidRDefault="000A3A39" w:rsidP="002F2700">
            <w:pPr>
              <w:pStyle w:val="DaftarParagraf"/>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lang w:val="id-ID"/>
              </w:rPr>
            </w:pPr>
          </w:p>
        </w:tc>
        <w:tc>
          <w:tcPr>
            <w:tcW w:w="0" w:type="auto"/>
          </w:tcPr>
          <w:p w14:paraId="2FC71E7E" w14:textId="77777777" w:rsidR="000A3A39" w:rsidRPr="000D1D54" w:rsidRDefault="000A3A39" w:rsidP="002F2700">
            <w:pPr>
              <w:pStyle w:val="DaftarParagraf"/>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lang w:val="id-ID"/>
              </w:rPr>
            </w:pPr>
            <w:r w:rsidRPr="000D1D54">
              <w:rPr>
                <w:rFonts w:ascii="Book Antiqua" w:hAnsi="Book Antiqua"/>
                <w:sz w:val="20"/>
                <w:szCs w:val="20"/>
                <w:lang w:val="id-ID"/>
              </w:rPr>
              <w:t>(5)</w:t>
            </w:r>
          </w:p>
        </w:tc>
        <w:tc>
          <w:tcPr>
            <w:tcW w:w="0" w:type="auto"/>
          </w:tcPr>
          <w:p w14:paraId="04E98811" w14:textId="77777777" w:rsidR="000A3A39" w:rsidRPr="000D1D54" w:rsidRDefault="000A3A39" w:rsidP="002F2700">
            <w:pPr>
              <w:pStyle w:val="DaftarParagraf"/>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lang w:val="id-ID"/>
              </w:rPr>
            </w:pPr>
            <w:r w:rsidRPr="000D1D54">
              <w:rPr>
                <w:rFonts w:ascii="Book Antiqua" w:hAnsi="Book Antiqua"/>
                <w:sz w:val="20"/>
                <w:szCs w:val="20"/>
                <w:lang w:val="id-ID"/>
              </w:rPr>
              <w:t>(105)</w:t>
            </w:r>
          </w:p>
        </w:tc>
      </w:tr>
      <w:tr w:rsidR="000A3A39" w:rsidRPr="000D1D54" w14:paraId="54E4DBB5" w14:textId="77777777" w:rsidTr="000A3A39">
        <w:trPr>
          <w:trHeight w:val="114"/>
        </w:trPr>
        <w:tc>
          <w:tcPr>
            <w:cnfStyle w:val="001000000000" w:firstRow="0" w:lastRow="0" w:firstColumn="1" w:lastColumn="0" w:oddVBand="0" w:evenVBand="0" w:oddHBand="0" w:evenHBand="0" w:firstRowFirstColumn="0" w:firstRowLastColumn="0" w:lastRowFirstColumn="0" w:lastRowLastColumn="0"/>
            <w:tcW w:w="0" w:type="auto"/>
          </w:tcPr>
          <w:p w14:paraId="6EED4D6D" w14:textId="77777777" w:rsidR="000A3A39" w:rsidRPr="000D1D54" w:rsidRDefault="000A3A39" w:rsidP="002F2700">
            <w:pPr>
              <w:pStyle w:val="DaftarParagraf"/>
              <w:ind w:left="0"/>
              <w:jc w:val="both"/>
              <w:rPr>
                <w:rFonts w:ascii="Book Antiqua" w:hAnsi="Book Antiqua"/>
                <w:sz w:val="20"/>
                <w:szCs w:val="20"/>
                <w:lang w:val="id-ID"/>
              </w:rPr>
            </w:pPr>
            <w:r w:rsidRPr="000D1D54">
              <w:rPr>
                <w:rFonts w:ascii="Book Antiqua" w:hAnsi="Book Antiqua"/>
                <w:sz w:val="20"/>
                <w:szCs w:val="20"/>
                <w:lang w:val="id-ID"/>
              </w:rPr>
              <w:t>4.</w:t>
            </w:r>
          </w:p>
        </w:tc>
        <w:tc>
          <w:tcPr>
            <w:tcW w:w="0" w:type="auto"/>
          </w:tcPr>
          <w:p w14:paraId="20C03687" w14:textId="77777777" w:rsidR="000A3A39" w:rsidRPr="000D1D54" w:rsidRDefault="000A3A39" w:rsidP="002F2700">
            <w:pPr>
              <w:pStyle w:val="HTMLSudahDiformat"/>
              <w:shd w:val="clear" w:color="auto" w:fill="F8F9FA"/>
              <w:contextualSpacing/>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0D1D54">
              <w:rPr>
                <w:rStyle w:val="y2iqfc"/>
                <w:rFonts w:ascii="Book Antiqua" w:hAnsi="Book Antiqua" w:cs="Times New Roman"/>
                <w:lang w:val="id-ID"/>
              </w:rPr>
              <w:t>Companies that experience losses</w:t>
            </w:r>
          </w:p>
          <w:p w14:paraId="08F88A20" w14:textId="77777777" w:rsidR="000A3A39" w:rsidRPr="000D1D54" w:rsidRDefault="000A3A39" w:rsidP="002F2700">
            <w:pPr>
              <w:pStyle w:val="DaftarParagraf"/>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id-ID"/>
              </w:rPr>
            </w:pPr>
          </w:p>
        </w:tc>
        <w:tc>
          <w:tcPr>
            <w:tcW w:w="0" w:type="auto"/>
          </w:tcPr>
          <w:p w14:paraId="41D7A020" w14:textId="77777777" w:rsidR="000A3A39" w:rsidRPr="000D1D54" w:rsidRDefault="000A3A39" w:rsidP="002F2700">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id-ID"/>
              </w:rPr>
            </w:pPr>
            <w:r w:rsidRPr="000D1D54">
              <w:rPr>
                <w:rFonts w:ascii="Book Antiqua" w:hAnsi="Book Antiqua"/>
                <w:sz w:val="20"/>
                <w:szCs w:val="20"/>
                <w:lang w:val="id-ID"/>
              </w:rPr>
              <w:t>(8)</w:t>
            </w:r>
          </w:p>
        </w:tc>
        <w:tc>
          <w:tcPr>
            <w:tcW w:w="0" w:type="auto"/>
          </w:tcPr>
          <w:p w14:paraId="0826D5CD" w14:textId="77777777" w:rsidR="000A3A39" w:rsidRPr="000D1D54" w:rsidRDefault="000A3A39" w:rsidP="002F2700">
            <w:pPr>
              <w:pStyle w:val="DaftarParagraf"/>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id-ID"/>
              </w:rPr>
            </w:pPr>
            <w:r w:rsidRPr="000D1D54">
              <w:rPr>
                <w:rFonts w:ascii="Book Antiqua" w:hAnsi="Book Antiqua"/>
                <w:sz w:val="20"/>
                <w:szCs w:val="20"/>
                <w:lang w:val="id-ID"/>
              </w:rPr>
              <w:t>(168)</w:t>
            </w:r>
          </w:p>
        </w:tc>
      </w:tr>
      <w:tr w:rsidR="000A3A39" w:rsidRPr="000D1D54" w14:paraId="26C664DA" w14:textId="77777777" w:rsidTr="000A3A3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0" w:type="auto"/>
          </w:tcPr>
          <w:p w14:paraId="6ACD9E78" w14:textId="77777777" w:rsidR="000A3A39" w:rsidRPr="000D1D54" w:rsidRDefault="000A3A39" w:rsidP="002F2700">
            <w:pPr>
              <w:pStyle w:val="DaftarParagraf"/>
              <w:ind w:left="0"/>
              <w:jc w:val="both"/>
              <w:rPr>
                <w:rFonts w:ascii="Book Antiqua" w:hAnsi="Book Antiqua"/>
                <w:sz w:val="20"/>
                <w:szCs w:val="20"/>
                <w:lang w:val="id-ID"/>
              </w:rPr>
            </w:pPr>
          </w:p>
        </w:tc>
        <w:tc>
          <w:tcPr>
            <w:tcW w:w="0" w:type="auto"/>
          </w:tcPr>
          <w:p w14:paraId="6D455B20" w14:textId="77777777" w:rsidR="000A3A39" w:rsidRPr="000D1D54" w:rsidRDefault="000A3A39" w:rsidP="002F2700">
            <w:pPr>
              <w:pStyle w:val="HTMLSudahDiformat"/>
              <w:shd w:val="clear" w:color="auto" w:fill="F8F9FA"/>
              <w:contextualSpacing/>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0D1D54">
              <w:rPr>
                <w:rStyle w:val="y2iqfc"/>
                <w:rFonts w:ascii="Book Antiqua" w:hAnsi="Book Antiqua" w:cs="Times New Roman"/>
                <w:lang w:val="id-ID"/>
              </w:rPr>
              <w:t>Amount</w:t>
            </w:r>
          </w:p>
          <w:p w14:paraId="18C5CC72" w14:textId="77777777" w:rsidR="000A3A39" w:rsidRPr="000D1D54" w:rsidRDefault="000A3A39" w:rsidP="002F2700">
            <w:pPr>
              <w:pStyle w:val="DaftarParagraf"/>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b/>
                <w:sz w:val="20"/>
                <w:szCs w:val="20"/>
                <w:lang w:val="id-ID"/>
              </w:rPr>
            </w:pPr>
          </w:p>
        </w:tc>
        <w:tc>
          <w:tcPr>
            <w:tcW w:w="0" w:type="auto"/>
          </w:tcPr>
          <w:p w14:paraId="7740E197" w14:textId="77777777" w:rsidR="000A3A39" w:rsidRPr="000D1D54" w:rsidRDefault="000A3A39" w:rsidP="002F2700">
            <w:pPr>
              <w:pStyle w:val="DaftarParagraf"/>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0"/>
                <w:szCs w:val="20"/>
                <w:lang w:val="id-ID"/>
              </w:rPr>
            </w:pPr>
            <w:r w:rsidRPr="000D1D54">
              <w:rPr>
                <w:rFonts w:ascii="Book Antiqua" w:hAnsi="Book Antiqua"/>
                <w:b/>
                <w:sz w:val="20"/>
                <w:szCs w:val="20"/>
                <w:lang w:val="id-ID"/>
              </w:rPr>
              <w:t>12</w:t>
            </w:r>
          </w:p>
        </w:tc>
        <w:tc>
          <w:tcPr>
            <w:tcW w:w="0" w:type="auto"/>
          </w:tcPr>
          <w:p w14:paraId="0F1B5632" w14:textId="77777777" w:rsidR="000A3A39" w:rsidRPr="000D1D54" w:rsidRDefault="000A3A39" w:rsidP="002F2700">
            <w:pPr>
              <w:pStyle w:val="DaftarParagraf"/>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0"/>
                <w:szCs w:val="20"/>
                <w:lang w:val="id-ID"/>
              </w:rPr>
            </w:pPr>
            <w:r w:rsidRPr="000D1D54">
              <w:rPr>
                <w:rFonts w:ascii="Book Antiqua" w:hAnsi="Book Antiqua"/>
                <w:b/>
                <w:sz w:val="20"/>
                <w:szCs w:val="20"/>
                <w:lang w:val="id-ID"/>
              </w:rPr>
              <w:t>252</w:t>
            </w:r>
          </w:p>
        </w:tc>
      </w:tr>
    </w:tbl>
    <w:p w14:paraId="4D011BDB" w14:textId="77777777" w:rsidR="000A3A39" w:rsidRPr="000D1D54" w:rsidRDefault="000A3A39" w:rsidP="000A3A39">
      <w:pPr>
        <w:pStyle w:val="HTMLSudahDiformat"/>
        <w:shd w:val="clear" w:color="auto" w:fill="F8F9FA"/>
        <w:contextualSpacing/>
        <w:jc w:val="both"/>
        <w:rPr>
          <w:rStyle w:val="y2iqfc"/>
          <w:rFonts w:ascii="Book Antiqua" w:hAnsi="Book Antiqua" w:cs="Times New Roman"/>
          <w:sz w:val="16"/>
          <w:szCs w:val="16"/>
          <w:lang w:val="id-ID"/>
        </w:rPr>
      </w:pPr>
    </w:p>
    <w:p w14:paraId="6056F8BE" w14:textId="59EBFACB" w:rsidR="000A3A39" w:rsidRPr="000D1D54" w:rsidRDefault="000A3A39" w:rsidP="000A3A39">
      <w:pPr>
        <w:pStyle w:val="HTMLSudahDiformat"/>
        <w:shd w:val="clear" w:color="auto" w:fill="F8F9FA"/>
        <w:contextualSpacing/>
        <w:jc w:val="both"/>
        <w:rPr>
          <w:rStyle w:val="y2iqfc"/>
          <w:rFonts w:ascii="Book Antiqua" w:hAnsi="Book Antiqua" w:cs="Times New Roman"/>
          <w:sz w:val="16"/>
          <w:szCs w:val="16"/>
          <w:lang w:val="id-ID"/>
        </w:rPr>
      </w:pPr>
      <w:r w:rsidRPr="000D1D54">
        <w:rPr>
          <w:rStyle w:val="y2iqfc"/>
          <w:rFonts w:ascii="Book Antiqua" w:hAnsi="Book Antiqua" w:cs="Times New Roman"/>
          <w:sz w:val="16"/>
          <w:szCs w:val="16"/>
          <w:lang w:val="id-ID"/>
        </w:rPr>
        <w:t>Source: www.idx.co.id (Data processed, 2022)</w:t>
      </w:r>
    </w:p>
    <w:p w14:paraId="219FB45E" w14:textId="77777777" w:rsidR="00256A65" w:rsidRPr="000D1D54" w:rsidRDefault="00256A65" w:rsidP="00256A65">
      <w:pPr>
        <w:spacing w:line="240" w:lineRule="auto"/>
        <w:ind w:firstLine="567"/>
        <w:jc w:val="both"/>
        <w:rPr>
          <w:rFonts w:ascii="Book Antiqua" w:hAnsi="Book Antiqua" w:cs="Times New Roman"/>
          <w:lang w:val="id-ID"/>
        </w:rPr>
      </w:pPr>
    </w:p>
    <w:p w14:paraId="4DCFB306" w14:textId="6F197CAC" w:rsidR="005A7FD8" w:rsidRPr="000D1D54" w:rsidRDefault="00893BC5" w:rsidP="007D77B7">
      <w:pPr>
        <w:spacing w:line="240" w:lineRule="auto"/>
        <w:ind w:firstLine="567"/>
        <w:jc w:val="both"/>
        <w:rPr>
          <w:rFonts w:ascii="Book Antiqua" w:hAnsi="Book Antiqua" w:cs="Times New Roman"/>
          <w:lang w:val="id-ID"/>
        </w:rPr>
      </w:pPr>
      <w:r w:rsidRPr="000D1D54">
        <w:rPr>
          <w:rFonts w:ascii="Book Antiqua" w:hAnsi="Book Antiqua" w:cs="Times New Roman"/>
          <w:lang w:val="id-ID"/>
        </w:rPr>
        <w:t xml:space="preserve">Based on </w:t>
      </w:r>
      <w:r w:rsidR="00AE4B02">
        <w:rPr>
          <w:rFonts w:ascii="Book Antiqua" w:hAnsi="Book Antiqua" w:cs="Times New Roman"/>
          <w:lang w:val="id-ID"/>
        </w:rPr>
        <w:t>T</w:t>
      </w:r>
      <w:r w:rsidRPr="000D1D54">
        <w:rPr>
          <w:rFonts w:ascii="Book Antiqua" w:hAnsi="Book Antiqua" w:cs="Times New Roman"/>
          <w:lang w:val="id-ID"/>
        </w:rPr>
        <w:t xml:space="preserve">able 2, 252 quarterly financial reports from 12 </w:t>
      </w:r>
      <w:r w:rsidR="00AE4B02">
        <w:rPr>
          <w:rFonts w:ascii="Book Antiqua" w:hAnsi="Book Antiqua" w:cs="Times New Roman"/>
          <w:lang w:val="id-ID"/>
        </w:rPr>
        <w:t>food and beverage manufacturing companies</w:t>
      </w:r>
      <w:r w:rsidRPr="000D1D54">
        <w:rPr>
          <w:rFonts w:ascii="Book Antiqua" w:hAnsi="Book Antiqua" w:cs="Times New Roman"/>
          <w:lang w:val="id-ID"/>
        </w:rPr>
        <w:t xml:space="preserve"> listed on the Indonesia Stock Exchange (IDX) meet the </w:t>
      </w:r>
      <w:r w:rsidR="00AE4B02">
        <w:rPr>
          <w:rFonts w:ascii="Book Antiqua" w:hAnsi="Book Antiqua" w:cs="Times New Roman"/>
          <w:lang w:val="id-ID"/>
        </w:rPr>
        <w:t>c</w:t>
      </w:r>
      <w:r w:rsidRPr="000D1D54">
        <w:rPr>
          <w:rFonts w:ascii="Book Antiqua" w:hAnsi="Book Antiqua" w:cs="Times New Roman"/>
          <w:lang w:val="id-ID"/>
        </w:rPr>
        <w:t>riteria for being sampled</w:t>
      </w:r>
      <w:r w:rsidR="007D77B7" w:rsidRPr="000D1D54">
        <w:rPr>
          <w:rFonts w:ascii="Book Antiqua" w:hAnsi="Book Antiqua" w:cs="Times New Roman"/>
          <w:lang w:val="id-ID"/>
        </w:rPr>
        <w:t xml:space="preserve">. </w:t>
      </w:r>
      <w:r w:rsidRPr="000D1D54">
        <w:rPr>
          <w:rFonts w:ascii="Book Antiqua" w:hAnsi="Book Antiqua" w:cs="Times New Roman"/>
          <w:lang w:val="id-ID"/>
        </w:rPr>
        <w:t xml:space="preserve">The data collection technique in this study is a documentation technique. Documentation </w:t>
      </w:r>
      <w:r w:rsidR="00AE4B02">
        <w:rPr>
          <w:rFonts w:ascii="Book Antiqua" w:hAnsi="Book Antiqua" w:cs="Times New Roman"/>
          <w:lang w:val="id-ID"/>
        </w:rPr>
        <w:t>is a technique in which researchers record and collect secondary data</w:t>
      </w:r>
      <w:r w:rsidRPr="000D1D54">
        <w:rPr>
          <w:rFonts w:ascii="Book Antiqua" w:hAnsi="Book Antiqua" w:cs="Times New Roman"/>
          <w:lang w:val="id-ID"/>
        </w:rPr>
        <w:t xml:space="preserve"> from the quarterly financial reports of food and beverage manufacturing companies listed on the Indonesia Stock Exchange (IDX). Financial report data is obtained through the official website of the Indonesia </w:t>
      </w:r>
      <w:proofErr w:type="spellStart"/>
      <w:r w:rsidRPr="000D1D54">
        <w:rPr>
          <w:rFonts w:ascii="Book Antiqua" w:hAnsi="Book Antiqua" w:cs="Times New Roman"/>
          <w:lang w:val="id-ID"/>
        </w:rPr>
        <w:t>Stock</w:t>
      </w:r>
      <w:proofErr w:type="spellEnd"/>
      <w:r w:rsidRPr="000D1D54">
        <w:rPr>
          <w:rFonts w:ascii="Book Antiqua" w:hAnsi="Book Antiqua" w:cs="Times New Roman"/>
          <w:lang w:val="id-ID"/>
        </w:rPr>
        <w:t xml:space="preserve"> Exchange, </w:t>
      </w:r>
      <w:proofErr w:type="spellStart"/>
      <w:r w:rsidRPr="000D1D54">
        <w:rPr>
          <w:rFonts w:ascii="Book Antiqua" w:hAnsi="Book Antiqua" w:cs="Times New Roman"/>
          <w:lang w:val="id-ID"/>
        </w:rPr>
        <w:t>namely</w:t>
      </w:r>
      <w:proofErr w:type="spellEnd"/>
      <w:r w:rsidRPr="000D1D54">
        <w:rPr>
          <w:rFonts w:ascii="Book Antiqua" w:hAnsi="Book Antiqua" w:cs="Times New Roman"/>
          <w:lang w:val="id-ID"/>
        </w:rPr>
        <w:t xml:space="preserve"> </w:t>
      </w:r>
      <w:hyperlink r:id="rId11" w:history="1">
        <w:r w:rsidR="00E847E1" w:rsidRPr="000D1D54">
          <w:rPr>
            <w:rStyle w:val="Hyperlink"/>
            <w:rFonts w:ascii="Book Antiqua" w:hAnsi="Book Antiqua" w:cs="Times New Roman"/>
            <w:lang w:val="id-ID"/>
          </w:rPr>
          <w:t>www.idx.co.id</w:t>
        </w:r>
      </w:hyperlink>
      <w:r w:rsidR="00E847E1" w:rsidRPr="000D1D54">
        <w:rPr>
          <w:rFonts w:ascii="Book Antiqua" w:hAnsi="Book Antiqua" w:cs="Times New Roman"/>
          <w:lang w:val="id-ID"/>
        </w:rPr>
        <w:t>.</w:t>
      </w:r>
    </w:p>
    <w:p w14:paraId="5E5BA144" w14:textId="087EE67A" w:rsidR="006B21B5" w:rsidRPr="000D1D54" w:rsidRDefault="006B21B5" w:rsidP="006B21B5">
      <w:pPr>
        <w:spacing w:line="240" w:lineRule="auto"/>
        <w:ind w:firstLine="567"/>
        <w:jc w:val="both"/>
        <w:rPr>
          <w:rFonts w:ascii="Book Antiqua" w:hAnsi="Book Antiqua" w:cs="Times New Roman"/>
          <w:lang w:val="id-ID"/>
        </w:rPr>
      </w:pPr>
      <w:r w:rsidRPr="000D1D54">
        <w:rPr>
          <w:rFonts w:ascii="Book Antiqua" w:hAnsi="Book Antiqua" w:cs="Times New Roman"/>
          <w:lang w:val="id-ID"/>
        </w:rPr>
        <w:t>Furthermore, The data analysis technique used is multiple linear regression analysis. Multiple linear regression analysis is an extension of simple linear regression, which increases the number of independent variables from one to two or more. Data analysis will be carried out with the help of the SPSS version 18 program. The regression model is used to determine the effect of the independent variables, namely Earning Per Share (EPS), Net Profit Margin (NPM), Gross Profit Margin (GPM), and Total Asset Turnover (TATO) on stock prices as the dependent variable. The equation used is as follow</w:t>
      </w:r>
      <w:r w:rsidR="00AE4B02">
        <w:rPr>
          <w:rFonts w:ascii="Book Antiqua" w:hAnsi="Book Antiqua" w:cs="Times New Roman"/>
          <w:lang w:val="id-ID"/>
        </w:rPr>
        <w:t>s:</w:t>
      </w:r>
      <w:r w:rsidRPr="000D1D54">
        <w:rPr>
          <w:rFonts w:ascii="Book Antiqua" w:hAnsi="Book Antiqua" w:cs="Times New Roman"/>
          <w:lang w:val="id-ID"/>
        </w:rPr>
        <w:t xml:space="preserve"> equation 1.</w:t>
      </w:r>
    </w:p>
    <w:p w14:paraId="08699146" w14:textId="3C04148C" w:rsidR="00742293" w:rsidRPr="000D1D54" w:rsidRDefault="00742293" w:rsidP="00742293">
      <w:pPr>
        <w:pStyle w:val="HTMLSudahDiformat"/>
        <w:shd w:val="clear" w:color="auto" w:fill="F8F9FA"/>
        <w:contextualSpacing/>
        <w:jc w:val="right"/>
        <w:rPr>
          <w:rStyle w:val="y2iqfc"/>
          <w:rFonts w:ascii="Book Antiqua" w:hAnsi="Book Antiqua" w:cs="Times New Roman"/>
          <w:color w:val="202124"/>
          <w:sz w:val="22"/>
          <w:szCs w:val="22"/>
          <w:lang w:val="id-ID"/>
        </w:rPr>
      </w:pPr>
      <w:r w:rsidRPr="000D1D54">
        <w:rPr>
          <w:rStyle w:val="y2iqfc"/>
          <w:rFonts w:ascii="Book Antiqua" w:hAnsi="Book Antiqua" w:cs="Times New Roman"/>
          <w:color w:val="202124"/>
          <w:sz w:val="22"/>
          <w:szCs w:val="22"/>
          <w:lang w:val="id-ID"/>
        </w:rPr>
        <w:t xml:space="preserve">Y = α + β1(X1) + β2(X2) + β3(X3) + β4(X4) + e </w:t>
      </w:r>
      <w:r w:rsidRPr="000D1D54">
        <w:rPr>
          <w:rStyle w:val="y2iqfc"/>
          <w:rFonts w:ascii="Book Antiqua" w:hAnsi="Book Antiqua" w:cs="Times New Roman"/>
          <w:color w:val="202124"/>
          <w:sz w:val="22"/>
          <w:szCs w:val="22"/>
          <w:lang w:val="id-ID"/>
        </w:rPr>
        <w:tab/>
      </w:r>
      <w:r w:rsidRPr="000D1D54">
        <w:rPr>
          <w:rStyle w:val="y2iqfc"/>
          <w:rFonts w:ascii="Book Antiqua" w:hAnsi="Book Antiqua" w:cs="Times New Roman"/>
          <w:color w:val="202124"/>
          <w:sz w:val="22"/>
          <w:szCs w:val="22"/>
          <w:lang w:val="id-ID"/>
        </w:rPr>
        <w:tab/>
      </w:r>
      <w:r w:rsidRPr="000D1D54">
        <w:rPr>
          <w:rStyle w:val="y2iqfc"/>
          <w:rFonts w:ascii="Book Antiqua" w:hAnsi="Book Antiqua" w:cs="Times New Roman"/>
          <w:color w:val="202124"/>
          <w:sz w:val="22"/>
          <w:szCs w:val="22"/>
          <w:lang w:val="id-ID"/>
        </w:rPr>
        <w:tab/>
        <w:t>(1)</w:t>
      </w:r>
    </w:p>
    <w:p w14:paraId="40EFD055" w14:textId="77777777" w:rsidR="008576ED" w:rsidRPr="000D1D54" w:rsidRDefault="008576ED" w:rsidP="00742293">
      <w:pPr>
        <w:pStyle w:val="HTMLSudahDiformat"/>
        <w:shd w:val="clear" w:color="auto" w:fill="F8F9FA"/>
        <w:contextualSpacing/>
        <w:jc w:val="right"/>
        <w:rPr>
          <w:rStyle w:val="y2iqfc"/>
          <w:rFonts w:ascii="Book Antiqua" w:hAnsi="Book Antiqua" w:cs="Times New Roman"/>
          <w:color w:val="202124"/>
          <w:sz w:val="22"/>
          <w:szCs w:val="22"/>
          <w:lang w:val="id-ID"/>
        </w:rPr>
      </w:pPr>
    </w:p>
    <w:p w14:paraId="108E4487" w14:textId="77777777" w:rsidR="006B21B5" w:rsidRPr="000D1D54" w:rsidRDefault="006B21B5" w:rsidP="006B21B5">
      <w:pPr>
        <w:pStyle w:val="HTMLSudahDiformat"/>
        <w:shd w:val="clear" w:color="auto" w:fill="F8F9FA"/>
        <w:contextualSpacing/>
        <w:jc w:val="both"/>
        <w:rPr>
          <w:rStyle w:val="y2iqfc"/>
          <w:rFonts w:ascii="Book Antiqua" w:hAnsi="Book Antiqua" w:cs="Times New Roman"/>
          <w:color w:val="202124"/>
          <w:sz w:val="22"/>
          <w:szCs w:val="22"/>
          <w:lang w:val="id-ID"/>
        </w:rPr>
      </w:pPr>
      <w:r w:rsidRPr="000D1D54">
        <w:rPr>
          <w:rStyle w:val="y2iqfc"/>
          <w:rFonts w:ascii="Book Antiqua" w:hAnsi="Book Antiqua" w:cs="Times New Roman"/>
          <w:color w:val="202124"/>
          <w:sz w:val="22"/>
          <w:szCs w:val="22"/>
          <w:lang w:val="id-ID"/>
        </w:rPr>
        <w:t>where,  Y = Stock Price, α = Constant, β1-β4 = Regression coefficient of variable X1 – X4</w:t>
      </w:r>
    </w:p>
    <w:p w14:paraId="4B734A40" w14:textId="3CE7AB83" w:rsidR="006B21B5" w:rsidRPr="000D1D54" w:rsidRDefault="006B21B5" w:rsidP="006B21B5">
      <w:pPr>
        <w:pStyle w:val="HTMLSudahDiformat"/>
        <w:shd w:val="clear" w:color="auto" w:fill="F8F9FA"/>
        <w:contextualSpacing/>
        <w:jc w:val="both"/>
        <w:rPr>
          <w:rStyle w:val="y2iqfc"/>
          <w:rFonts w:ascii="Book Antiqua" w:hAnsi="Book Antiqua" w:cs="Times New Roman"/>
          <w:color w:val="202124"/>
          <w:sz w:val="22"/>
          <w:szCs w:val="22"/>
          <w:lang w:val="id-ID"/>
        </w:rPr>
      </w:pPr>
      <w:r w:rsidRPr="000D1D54">
        <w:rPr>
          <w:rStyle w:val="y2iqfc"/>
          <w:rFonts w:ascii="Book Antiqua" w:hAnsi="Book Antiqua" w:cs="Times New Roman"/>
          <w:color w:val="202124"/>
          <w:sz w:val="22"/>
          <w:szCs w:val="22"/>
          <w:lang w:val="id-ID"/>
        </w:rPr>
        <w:t>X1 = Earning Per Share (EPS), X2 = Net Profit Margin (NPM), X3 = Gross Profit Margin (GPM), X4 = Total Asset Turnover (TATO), and e = errors</w:t>
      </w:r>
      <w:r w:rsidR="00742293" w:rsidRPr="000D1D54">
        <w:rPr>
          <w:rStyle w:val="y2iqfc"/>
          <w:rFonts w:ascii="Book Antiqua" w:hAnsi="Book Antiqua" w:cs="Times New Roman"/>
          <w:color w:val="202124"/>
          <w:sz w:val="22"/>
          <w:szCs w:val="22"/>
          <w:lang w:val="id-ID"/>
        </w:rPr>
        <w:tab/>
      </w:r>
    </w:p>
    <w:p w14:paraId="67A37CB0" w14:textId="49E161B6" w:rsidR="00742293" w:rsidRPr="000D1D54" w:rsidRDefault="00742293" w:rsidP="00D86B33">
      <w:pPr>
        <w:pStyle w:val="HTMLSudahDiformat"/>
        <w:shd w:val="clear" w:color="auto" w:fill="F8F9FA"/>
        <w:contextualSpacing/>
        <w:jc w:val="both"/>
        <w:rPr>
          <w:rStyle w:val="y2iqfc"/>
          <w:rFonts w:ascii="Book Antiqua" w:hAnsi="Book Antiqua" w:cs="Times New Roman"/>
          <w:color w:val="202124"/>
          <w:sz w:val="22"/>
          <w:szCs w:val="22"/>
          <w:lang w:val="id-ID"/>
        </w:rPr>
      </w:pPr>
      <w:r w:rsidRPr="000D1D54">
        <w:rPr>
          <w:rStyle w:val="y2iqfc"/>
          <w:rFonts w:ascii="Book Antiqua" w:hAnsi="Book Antiqua" w:cs="Times New Roman"/>
          <w:color w:val="202124"/>
          <w:sz w:val="22"/>
          <w:szCs w:val="22"/>
          <w:lang w:val="id-ID"/>
        </w:rPr>
        <w:t xml:space="preserve">The regression model used in testing the hypothesis must avoid the possibility of classic assumption deviations. The </w:t>
      </w:r>
      <w:r w:rsidR="00AE4B02">
        <w:rPr>
          <w:rStyle w:val="y2iqfc"/>
          <w:rFonts w:ascii="Book Antiqua" w:hAnsi="Book Antiqua" w:cs="Times New Roman"/>
          <w:color w:val="202124"/>
          <w:sz w:val="22"/>
          <w:szCs w:val="22"/>
          <w:lang w:val="id-ID"/>
        </w:rPr>
        <w:t>traditional</w:t>
      </w:r>
      <w:r w:rsidRPr="000D1D54">
        <w:rPr>
          <w:rStyle w:val="y2iqfc"/>
          <w:rFonts w:ascii="Book Antiqua" w:hAnsi="Book Antiqua" w:cs="Times New Roman"/>
          <w:color w:val="202124"/>
          <w:sz w:val="22"/>
          <w:szCs w:val="22"/>
          <w:lang w:val="id-ID"/>
        </w:rPr>
        <w:t xml:space="preserve"> regression assumptions in this study consist of normality, multicollinearity, heteroscedasticity, and autocorrelation tests</w:t>
      </w:r>
      <w:r w:rsidR="00E714A1" w:rsidRPr="000D1D54">
        <w:rPr>
          <w:rStyle w:val="y2iqfc"/>
          <w:rFonts w:ascii="Book Antiqua" w:hAnsi="Book Antiqua" w:cs="Times New Roman"/>
          <w:color w:val="202124"/>
          <w:sz w:val="22"/>
          <w:szCs w:val="22"/>
          <w:lang w:val="id-ID"/>
        </w:rPr>
        <w:t xml:space="preserve">. </w:t>
      </w:r>
      <w:r w:rsidRPr="000D1D54">
        <w:rPr>
          <w:rStyle w:val="y2iqfc"/>
          <w:rFonts w:ascii="Book Antiqua" w:hAnsi="Book Antiqua" w:cs="Times New Roman"/>
          <w:color w:val="202124"/>
          <w:sz w:val="22"/>
          <w:szCs w:val="22"/>
          <w:lang w:val="id-ID"/>
        </w:rPr>
        <w:t xml:space="preserve">The design of the </w:t>
      </w:r>
      <w:r w:rsidRPr="000D1D54">
        <w:rPr>
          <w:rStyle w:val="y2iqfc"/>
          <w:rFonts w:ascii="Book Antiqua" w:hAnsi="Book Antiqua" w:cs="Times New Roman"/>
          <w:color w:val="202124"/>
          <w:sz w:val="22"/>
          <w:szCs w:val="22"/>
          <w:lang w:val="id-ID"/>
        </w:rPr>
        <w:lastRenderedPageBreak/>
        <w:t>regression model test in this study uses analysis of the coefficient of determination (R2), simultaneous significance test (F test), and partial significant test (t</w:t>
      </w:r>
      <w:r w:rsidR="00AE4B02">
        <w:rPr>
          <w:rStyle w:val="y2iqfc"/>
          <w:rFonts w:ascii="Book Antiqua" w:hAnsi="Book Antiqua" w:cs="Times New Roman"/>
          <w:color w:val="202124"/>
          <w:sz w:val="22"/>
          <w:szCs w:val="22"/>
          <w:lang w:val="id-ID"/>
        </w:rPr>
        <w:t>-</w:t>
      </w:r>
      <w:r w:rsidRPr="000D1D54">
        <w:rPr>
          <w:rStyle w:val="y2iqfc"/>
          <w:rFonts w:ascii="Book Antiqua" w:hAnsi="Book Antiqua" w:cs="Times New Roman"/>
          <w:color w:val="202124"/>
          <w:sz w:val="22"/>
          <w:szCs w:val="22"/>
          <w:lang w:val="id-ID"/>
        </w:rPr>
        <w:t>test).</w:t>
      </w:r>
    </w:p>
    <w:p w14:paraId="6EC92E11" w14:textId="77777777" w:rsidR="00E714A1" w:rsidRPr="000D1D54" w:rsidRDefault="00E714A1" w:rsidP="00742293">
      <w:pPr>
        <w:pStyle w:val="HTMLSudahDiformat"/>
        <w:shd w:val="clear" w:color="auto" w:fill="F8F9FA"/>
        <w:contextualSpacing/>
        <w:jc w:val="both"/>
        <w:rPr>
          <w:rFonts w:ascii="Book Antiqua" w:hAnsi="Book Antiqua" w:cs="Times New Roman"/>
          <w:b/>
          <w:bCs/>
          <w:lang w:val="id-ID"/>
        </w:rPr>
      </w:pPr>
    </w:p>
    <w:p w14:paraId="24C404EC" w14:textId="74835E65" w:rsidR="00E714A1" w:rsidRPr="000D1D54" w:rsidRDefault="00E714A1" w:rsidP="00742293">
      <w:pPr>
        <w:pStyle w:val="HTMLSudahDiformat"/>
        <w:shd w:val="clear" w:color="auto" w:fill="F8F9FA"/>
        <w:contextualSpacing/>
        <w:jc w:val="both"/>
        <w:rPr>
          <w:rStyle w:val="y2iqfc"/>
          <w:rFonts w:ascii="Book Antiqua" w:hAnsi="Book Antiqua" w:cs="Times New Roman"/>
          <w:color w:val="202124"/>
          <w:sz w:val="22"/>
          <w:szCs w:val="22"/>
          <w:lang w:val="id-ID"/>
        </w:rPr>
      </w:pPr>
      <w:r w:rsidRPr="000D1D54">
        <w:rPr>
          <w:rFonts w:ascii="Book Antiqua" w:hAnsi="Book Antiqua" w:cs="Times New Roman"/>
          <w:b/>
          <w:bCs/>
          <w:lang w:val="id-ID"/>
        </w:rPr>
        <w:t>Table 3.</w:t>
      </w:r>
      <w:r w:rsidRPr="000D1D54">
        <w:rPr>
          <w:rFonts w:ascii="Book Antiqua" w:hAnsi="Book Antiqua" w:cs="Times New Roman"/>
          <w:lang w:val="id-ID"/>
        </w:rPr>
        <w:t xml:space="preserve"> Research Variables and Operational Definitions</w:t>
      </w:r>
    </w:p>
    <w:tbl>
      <w:tblPr>
        <w:tblpPr w:leftFromText="180" w:rightFromText="180" w:vertAnchor="page" w:horzAnchor="margin" w:tblpY="3829"/>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94"/>
        <w:gridCol w:w="1005"/>
        <w:gridCol w:w="3815"/>
        <w:gridCol w:w="3451"/>
      </w:tblGrid>
      <w:tr w:rsidR="006B21B5" w:rsidRPr="000D1D54" w14:paraId="0EA1DDB2" w14:textId="77777777" w:rsidTr="006B21B5">
        <w:trPr>
          <w:trHeight w:val="352"/>
        </w:trPr>
        <w:tc>
          <w:tcPr>
            <w:tcW w:w="0" w:type="auto"/>
          </w:tcPr>
          <w:p w14:paraId="44D54025" w14:textId="77777777" w:rsidR="006B21B5" w:rsidRPr="000D1D54" w:rsidRDefault="006B21B5" w:rsidP="006B21B5">
            <w:pPr>
              <w:pStyle w:val="DaftarParagraf"/>
              <w:spacing w:after="0" w:line="240" w:lineRule="auto"/>
              <w:ind w:left="0"/>
              <w:jc w:val="center"/>
              <w:rPr>
                <w:rFonts w:ascii="Book Antiqua" w:hAnsi="Book Antiqua"/>
                <w:b/>
                <w:sz w:val="20"/>
                <w:szCs w:val="20"/>
                <w:lang w:val="id-ID"/>
              </w:rPr>
            </w:pPr>
            <w:r w:rsidRPr="000D1D54">
              <w:rPr>
                <w:rFonts w:ascii="Book Antiqua" w:hAnsi="Book Antiqua"/>
                <w:b/>
                <w:sz w:val="20"/>
                <w:szCs w:val="20"/>
                <w:lang w:val="id-ID"/>
              </w:rPr>
              <w:t>No</w:t>
            </w:r>
          </w:p>
        </w:tc>
        <w:tc>
          <w:tcPr>
            <w:tcW w:w="0" w:type="auto"/>
          </w:tcPr>
          <w:p w14:paraId="440AA235" w14:textId="77777777" w:rsidR="006B21B5" w:rsidRPr="000D1D54" w:rsidRDefault="006B21B5" w:rsidP="006B21B5">
            <w:pPr>
              <w:pStyle w:val="DaftarParagraf"/>
              <w:spacing w:after="0" w:line="240" w:lineRule="auto"/>
              <w:ind w:left="0"/>
              <w:jc w:val="center"/>
              <w:rPr>
                <w:rFonts w:ascii="Book Antiqua" w:hAnsi="Book Antiqua"/>
                <w:b/>
                <w:sz w:val="20"/>
                <w:szCs w:val="20"/>
                <w:lang w:val="id-ID"/>
              </w:rPr>
            </w:pPr>
            <w:r w:rsidRPr="000D1D54">
              <w:rPr>
                <w:rFonts w:ascii="Book Antiqua" w:hAnsi="Book Antiqua"/>
                <w:b/>
                <w:sz w:val="20"/>
                <w:szCs w:val="20"/>
                <w:lang w:val="id-ID"/>
              </w:rPr>
              <w:t>Variable</w:t>
            </w:r>
          </w:p>
        </w:tc>
        <w:tc>
          <w:tcPr>
            <w:tcW w:w="0" w:type="auto"/>
          </w:tcPr>
          <w:p w14:paraId="66FDB221" w14:textId="77777777" w:rsidR="006B21B5" w:rsidRPr="000D1D54" w:rsidRDefault="006B21B5" w:rsidP="006B21B5">
            <w:pPr>
              <w:pStyle w:val="DaftarParagraf"/>
              <w:spacing w:after="0" w:line="240" w:lineRule="auto"/>
              <w:ind w:left="0"/>
              <w:jc w:val="center"/>
              <w:rPr>
                <w:rFonts w:ascii="Book Antiqua" w:hAnsi="Book Antiqua"/>
                <w:b/>
                <w:sz w:val="20"/>
                <w:szCs w:val="20"/>
                <w:lang w:val="id-ID"/>
              </w:rPr>
            </w:pPr>
            <w:r w:rsidRPr="000D1D54">
              <w:rPr>
                <w:rFonts w:ascii="Book Antiqua" w:hAnsi="Book Antiqua"/>
                <w:b/>
                <w:sz w:val="20"/>
                <w:szCs w:val="20"/>
                <w:lang w:val="id-ID"/>
              </w:rPr>
              <w:t>Definition</w:t>
            </w:r>
          </w:p>
        </w:tc>
        <w:tc>
          <w:tcPr>
            <w:tcW w:w="0" w:type="auto"/>
          </w:tcPr>
          <w:p w14:paraId="2DA784E4" w14:textId="77777777" w:rsidR="006B21B5" w:rsidRPr="000D1D54" w:rsidRDefault="006B21B5" w:rsidP="006B21B5">
            <w:pPr>
              <w:pStyle w:val="DaftarParagraf"/>
              <w:spacing w:after="0" w:line="240" w:lineRule="auto"/>
              <w:ind w:left="0"/>
              <w:jc w:val="center"/>
              <w:rPr>
                <w:rFonts w:ascii="Book Antiqua" w:hAnsi="Book Antiqua"/>
                <w:b/>
                <w:sz w:val="20"/>
                <w:szCs w:val="20"/>
                <w:lang w:val="id-ID"/>
              </w:rPr>
            </w:pPr>
            <w:r w:rsidRPr="000D1D54">
              <w:rPr>
                <w:rFonts w:ascii="Book Antiqua" w:hAnsi="Book Antiqua"/>
                <w:b/>
                <w:sz w:val="20"/>
                <w:szCs w:val="20"/>
                <w:lang w:val="id-ID"/>
              </w:rPr>
              <w:t>Indicator</w:t>
            </w:r>
          </w:p>
        </w:tc>
      </w:tr>
      <w:tr w:rsidR="006B21B5" w:rsidRPr="000D1D54" w14:paraId="4F707D2E" w14:textId="77777777" w:rsidTr="006B21B5">
        <w:trPr>
          <w:trHeight w:val="1513"/>
        </w:trPr>
        <w:tc>
          <w:tcPr>
            <w:tcW w:w="0" w:type="auto"/>
          </w:tcPr>
          <w:p w14:paraId="72C2B859" w14:textId="77777777" w:rsidR="006B21B5" w:rsidRPr="000D1D54" w:rsidRDefault="006B21B5" w:rsidP="006B21B5">
            <w:pPr>
              <w:pStyle w:val="DaftarParagraf"/>
              <w:spacing w:after="0" w:line="240" w:lineRule="auto"/>
              <w:ind w:left="0"/>
              <w:jc w:val="center"/>
              <w:rPr>
                <w:rFonts w:ascii="Book Antiqua" w:hAnsi="Book Antiqua"/>
                <w:sz w:val="20"/>
                <w:szCs w:val="20"/>
                <w:lang w:val="id-ID"/>
              </w:rPr>
            </w:pPr>
            <w:r w:rsidRPr="000D1D54">
              <w:rPr>
                <w:rFonts w:ascii="Book Antiqua" w:hAnsi="Book Antiqua"/>
                <w:sz w:val="20"/>
                <w:szCs w:val="20"/>
                <w:lang w:val="id-ID"/>
              </w:rPr>
              <w:t>1.</w:t>
            </w:r>
          </w:p>
        </w:tc>
        <w:tc>
          <w:tcPr>
            <w:tcW w:w="0" w:type="auto"/>
          </w:tcPr>
          <w:p w14:paraId="3327217F" w14:textId="77777777" w:rsidR="006B21B5" w:rsidRPr="000D1D54" w:rsidRDefault="006B21B5" w:rsidP="006B21B5">
            <w:pPr>
              <w:pStyle w:val="HTMLSudahDiformat"/>
              <w:shd w:val="clear" w:color="auto" w:fill="F8F9FA"/>
              <w:contextualSpacing/>
              <w:rPr>
                <w:rStyle w:val="y2iqfc"/>
                <w:rFonts w:ascii="Book Antiqua" w:hAnsi="Book Antiqua" w:cs="Times New Roman"/>
                <w:color w:val="202124"/>
                <w:lang w:val="id-ID"/>
              </w:rPr>
            </w:pPr>
            <w:r w:rsidRPr="000D1D54">
              <w:rPr>
                <w:rStyle w:val="y2iqfc"/>
                <w:rFonts w:ascii="Book Antiqua" w:hAnsi="Book Antiqua" w:cs="Times New Roman"/>
                <w:color w:val="202124"/>
                <w:lang w:val="id-ID"/>
              </w:rPr>
              <w:t>Price</w:t>
            </w:r>
          </w:p>
          <w:p w14:paraId="7F3CE604" w14:textId="77777777" w:rsidR="006B21B5" w:rsidRPr="000D1D54" w:rsidRDefault="006B21B5" w:rsidP="006B21B5">
            <w:pPr>
              <w:pStyle w:val="HTMLSudahDiformat"/>
              <w:shd w:val="clear" w:color="auto" w:fill="F8F9FA"/>
              <w:contextualSpacing/>
              <w:rPr>
                <w:rFonts w:ascii="Book Antiqua" w:hAnsi="Book Antiqua" w:cs="Times New Roman"/>
                <w:color w:val="202124"/>
                <w:lang w:val="id-ID"/>
              </w:rPr>
            </w:pPr>
            <w:r w:rsidRPr="000D1D54">
              <w:rPr>
                <w:rStyle w:val="y2iqfc"/>
                <w:rFonts w:ascii="Book Antiqua" w:hAnsi="Book Antiqua" w:cs="Times New Roman"/>
                <w:color w:val="202124"/>
                <w:lang w:val="id-ID"/>
              </w:rPr>
              <w:t>Share</w:t>
            </w:r>
          </w:p>
          <w:p w14:paraId="5E512256" w14:textId="77777777" w:rsidR="006B21B5" w:rsidRPr="000D1D54" w:rsidRDefault="006B21B5" w:rsidP="006B21B5">
            <w:pPr>
              <w:pStyle w:val="DaftarParagraf"/>
              <w:spacing w:after="0" w:line="240" w:lineRule="auto"/>
              <w:ind w:left="0"/>
              <w:jc w:val="both"/>
              <w:rPr>
                <w:rFonts w:ascii="Book Antiqua" w:hAnsi="Book Antiqua"/>
                <w:sz w:val="20"/>
                <w:szCs w:val="20"/>
                <w:lang w:val="id-ID"/>
              </w:rPr>
            </w:pPr>
          </w:p>
        </w:tc>
        <w:tc>
          <w:tcPr>
            <w:tcW w:w="0" w:type="auto"/>
          </w:tcPr>
          <w:p w14:paraId="699F12E2" w14:textId="671868FE" w:rsidR="006B21B5" w:rsidRPr="000D1D54" w:rsidRDefault="006B21B5" w:rsidP="006B21B5">
            <w:pPr>
              <w:pStyle w:val="HTMLSudahDiformat"/>
              <w:shd w:val="clear" w:color="auto" w:fill="F8F9FA"/>
              <w:contextualSpacing/>
              <w:rPr>
                <w:rFonts w:ascii="Book Antiqua" w:hAnsi="Book Antiqua" w:cs="Times New Roman"/>
                <w:color w:val="202124"/>
                <w:lang w:val="id-ID"/>
              </w:rPr>
            </w:pPr>
            <w:r w:rsidRPr="000D1D54">
              <w:rPr>
                <w:rStyle w:val="y2iqfc"/>
                <w:rFonts w:ascii="Book Antiqua" w:hAnsi="Book Antiqua" w:cs="Times New Roman"/>
                <w:color w:val="202124"/>
                <w:lang w:val="id-ID"/>
              </w:rPr>
              <w:t>The share price is the price per share that applies in the capital market</w:t>
            </w:r>
            <w:r w:rsidR="00AE4B02">
              <w:rPr>
                <w:rStyle w:val="y2iqfc"/>
                <w:rFonts w:ascii="Book Antiqua" w:hAnsi="Book Antiqua" w:cs="Times New Roman"/>
                <w:color w:val="202124"/>
                <w:lang w:val="id-ID"/>
              </w:rPr>
              <w:t>, which is very important and must be considered by investors whe</w:t>
            </w:r>
            <w:r w:rsidRPr="000D1D54">
              <w:rPr>
                <w:rStyle w:val="y2iqfc"/>
                <w:rFonts w:ascii="Book Antiqua" w:hAnsi="Book Antiqua" w:cs="Times New Roman"/>
                <w:color w:val="202124"/>
                <w:lang w:val="id-ID"/>
              </w:rPr>
              <w:t xml:space="preserve">n making investments because the stock price shows the </w:t>
            </w:r>
            <w:r w:rsidR="00AE4B02">
              <w:rPr>
                <w:rStyle w:val="y2iqfc"/>
                <w:rFonts w:ascii="Book Antiqua" w:hAnsi="Book Antiqua" w:cs="Times New Roman"/>
                <w:color w:val="202124"/>
                <w:lang w:val="id-ID"/>
              </w:rPr>
              <w:t>issuer's performance</w:t>
            </w:r>
            <w:r w:rsidRPr="000D1D54">
              <w:rPr>
                <w:rStyle w:val="y2iqfc"/>
                <w:rFonts w:ascii="Book Antiqua" w:hAnsi="Book Antiqua" w:cs="Times New Roman"/>
                <w:color w:val="202124"/>
                <w:lang w:val="id-ID"/>
              </w:rPr>
              <w:t>.</w:t>
            </w:r>
          </w:p>
          <w:p w14:paraId="16A4598C" w14:textId="77777777" w:rsidR="006B21B5" w:rsidRPr="000D1D54" w:rsidRDefault="006B21B5" w:rsidP="006B21B5">
            <w:pPr>
              <w:pStyle w:val="DaftarParagraf"/>
              <w:spacing w:after="0" w:line="240" w:lineRule="auto"/>
              <w:ind w:left="0"/>
              <w:jc w:val="both"/>
              <w:rPr>
                <w:rFonts w:ascii="Book Antiqua" w:hAnsi="Book Antiqua"/>
                <w:sz w:val="20"/>
                <w:szCs w:val="20"/>
                <w:lang w:val="id-ID"/>
              </w:rPr>
            </w:pPr>
          </w:p>
        </w:tc>
        <w:tc>
          <w:tcPr>
            <w:tcW w:w="0" w:type="auto"/>
          </w:tcPr>
          <w:p w14:paraId="3A0C037C" w14:textId="77777777" w:rsidR="006B21B5" w:rsidRPr="000D1D54" w:rsidRDefault="006B21B5" w:rsidP="006B21B5">
            <w:pPr>
              <w:pStyle w:val="HTMLSudahDiformat"/>
              <w:shd w:val="clear" w:color="auto" w:fill="F8F9FA"/>
              <w:contextualSpacing/>
              <w:rPr>
                <w:rFonts w:ascii="Book Antiqua" w:hAnsi="Book Antiqua" w:cs="Times New Roman"/>
                <w:color w:val="202124"/>
                <w:lang w:val="id-ID"/>
              </w:rPr>
            </w:pPr>
            <w:r w:rsidRPr="000D1D54">
              <w:rPr>
                <w:rStyle w:val="y2iqfc"/>
                <w:rFonts w:ascii="Book Antiqua" w:hAnsi="Book Antiqua" w:cs="Times New Roman"/>
                <w:color w:val="202124"/>
                <w:lang w:val="id-ID"/>
              </w:rPr>
              <w:t>Closing share price per quarter for the 2018-2022 period</w:t>
            </w:r>
          </w:p>
          <w:p w14:paraId="79EE8BA7" w14:textId="77777777" w:rsidR="006B21B5" w:rsidRPr="000D1D54" w:rsidRDefault="006B21B5" w:rsidP="006B21B5">
            <w:pPr>
              <w:pStyle w:val="DaftarParagraf"/>
              <w:spacing w:after="0" w:line="240" w:lineRule="auto"/>
              <w:ind w:left="0"/>
              <w:rPr>
                <w:rFonts w:ascii="Book Antiqua" w:hAnsi="Book Antiqua"/>
                <w:sz w:val="20"/>
                <w:szCs w:val="20"/>
                <w:lang w:val="id-ID"/>
              </w:rPr>
            </w:pPr>
          </w:p>
        </w:tc>
      </w:tr>
      <w:tr w:rsidR="006B21B5" w:rsidRPr="000D1D54" w14:paraId="35F55EC6" w14:textId="77777777" w:rsidTr="006B21B5">
        <w:trPr>
          <w:trHeight w:val="937"/>
        </w:trPr>
        <w:tc>
          <w:tcPr>
            <w:tcW w:w="0" w:type="auto"/>
          </w:tcPr>
          <w:p w14:paraId="297F1CC3" w14:textId="77777777" w:rsidR="006B21B5" w:rsidRPr="000D1D54" w:rsidRDefault="006B21B5" w:rsidP="006B21B5">
            <w:pPr>
              <w:pStyle w:val="DaftarParagraf"/>
              <w:spacing w:after="0" w:line="240" w:lineRule="auto"/>
              <w:ind w:left="0"/>
              <w:jc w:val="center"/>
              <w:rPr>
                <w:rFonts w:ascii="Book Antiqua" w:hAnsi="Book Antiqua"/>
                <w:sz w:val="20"/>
                <w:szCs w:val="20"/>
                <w:lang w:val="id-ID"/>
              </w:rPr>
            </w:pPr>
            <w:r w:rsidRPr="000D1D54">
              <w:rPr>
                <w:rFonts w:ascii="Book Antiqua" w:hAnsi="Book Antiqua"/>
                <w:sz w:val="20"/>
                <w:szCs w:val="20"/>
                <w:lang w:val="id-ID"/>
              </w:rPr>
              <w:t>2.</w:t>
            </w:r>
          </w:p>
        </w:tc>
        <w:tc>
          <w:tcPr>
            <w:tcW w:w="0" w:type="auto"/>
          </w:tcPr>
          <w:p w14:paraId="0C7F3085" w14:textId="77777777" w:rsidR="006B21B5" w:rsidRPr="000D1D54" w:rsidRDefault="006B21B5" w:rsidP="006B21B5">
            <w:pPr>
              <w:pStyle w:val="DaftarParagraf"/>
              <w:spacing w:after="0" w:line="240" w:lineRule="auto"/>
              <w:ind w:left="0"/>
              <w:jc w:val="both"/>
              <w:rPr>
                <w:rFonts w:ascii="Book Antiqua" w:hAnsi="Book Antiqua"/>
                <w:sz w:val="20"/>
                <w:szCs w:val="20"/>
                <w:lang w:val="id-ID"/>
              </w:rPr>
            </w:pPr>
            <w:r w:rsidRPr="000D1D54">
              <w:rPr>
                <w:rFonts w:ascii="Book Antiqua" w:hAnsi="Book Antiqua"/>
                <w:sz w:val="20"/>
                <w:szCs w:val="20"/>
                <w:lang w:val="id-ID"/>
              </w:rPr>
              <w:t xml:space="preserve">EPS </w:t>
            </w:r>
          </w:p>
        </w:tc>
        <w:tc>
          <w:tcPr>
            <w:tcW w:w="0" w:type="auto"/>
          </w:tcPr>
          <w:p w14:paraId="06752354" w14:textId="77777777" w:rsidR="006B21B5" w:rsidRPr="000D1D54" w:rsidRDefault="006B21B5" w:rsidP="006B21B5">
            <w:pPr>
              <w:pStyle w:val="HTMLSudahDiformat"/>
              <w:shd w:val="clear" w:color="auto" w:fill="F8F9FA"/>
              <w:contextualSpacing/>
              <w:rPr>
                <w:rFonts w:ascii="Book Antiqua" w:hAnsi="Book Antiqua" w:cs="Times New Roman"/>
                <w:color w:val="202124"/>
                <w:lang w:val="id-ID"/>
              </w:rPr>
            </w:pPr>
            <w:r w:rsidRPr="000D1D54">
              <w:rPr>
                <w:rStyle w:val="y2iqfc"/>
                <w:rFonts w:ascii="Book Antiqua" w:hAnsi="Book Antiqua" w:cs="Times New Roman"/>
                <w:color w:val="202124"/>
                <w:lang w:val="id-ID"/>
              </w:rPr>
              <w:t>Comparison of net profit after tax that is ready to be distributed to shareholders divided by the number of outstanding shares.</w:t>
            </w:r>
          </w:p>
          <w:p w14:paraId="56D90C28" w14:textId="77777777" w:rsidR="006B21B5" w:rsidRPr="000D1D54" w:rsidRDefault="006B21B5" w:rsidP="006B21B5">
            <w:pPr>
              <w:pStyle w:val="DaftarParagraf"/>
              <w:spacing w:after="0" w:line="240" w:lineRule="auto"/>
              <w:ind w:left="0"/>
              <w:jc w:val="both"/>
              <w:rPr>
                <w:rFonts w:ascii="Book Antiqua" w:hAnsi="Book Antiqua"/>
                <w:sz w:val="20"/>
                <w:szCs w:val="20"/>
                <w:lang w:val="id-ID"/>
              </w:rPr>
            </w:pPr>
          </w:p>
        </w:tc>
        <w:tc>
          <w:tcPr>
            <w:tcW w:w="0" w:type="auto"/>
          </w:tcPr>
          <w:p w14:paraId="5FB42EAD" w14:textId="77777777" w:rsidR="006B21B5" w:rsidRPr="000D1D54" w:rsidRDefault="006B21B5" w:rsidP="006B21B5">
            <w:pPr>
              <w:pStyle w:val="DaftarParagraf"/>
              <w:spacing w:after="0" w:line="240" w:lineRule="auto"/>
              <w:ind w:left="0"/>
              <w:rPr>
                <w:rFonts w:ascii="Book Antiqua" w:hAnsi="Book Antiqua"/>
                <w:sz w:val="20"/>
                <w:szCs w:val="20"/>
                <w:lang w:val="id-ID"/>
              </w:rPr>
            </w:pPr>
            <m:oMathPara>
              <m:oMath>
                <m:r>
                  <w:rPr>
                    <w:rFonts w:ascii="Cambria Math" w:hAnsi="Cambria Math"/>
                    <w:sz w:val="20"/>
                    <w:szCs w:val="20"/>
                    <w:lang w:val="id-ID"/>
                  </w:rPr>
                  <m:t>EPS=</m:t>
                </m:r>
                <m:f>
                  <m:fPr>
                    <m:ctrlPr>
                      <w:rPr>
                        <w:rFonts w:ascii="Cambria Math" w:hAnsi="Cambria Math"/>
                        <w:i/>
                        <w:sz w:val="20"/>
                        <w:szCs w:val="20"/>
                        <w:lang w:val="id-ID"/>
                      </w:rPr>
                    </m:ctrlPr>
                  </m:fPr>
                  <m:num>
                    <m:r>
                      <w:rPr>
                        <w:rFonts w:ascii="Cambria Math" w:hAnsi="Cambria Math"/>
                        <w:sz w:val="20"/>
                        <w:szCs w:val="20"/>
                        <w:lang w:val="id-ID"/>
                      </w:rPr>
                      <m:t>Profit After and Tax</m:t>
                    </m:r>
                  </m:num>
                  <m:den>
                    <m:r>
                      <w:rPr>
                        <w:rFonts w:ascii="Cambria Math" w:hAnsi="Cambria Math"/>
                        <w:sz w:val="20"/>
                        <w:szCs w:val="20"/>
                        <w:lang w:val="id-ID"/>
                      </w:rPr>
                      <m:t>Number of Outstanding Share</m:t>
                    </m:r>
                  </m:den>
                </m:f>
              </m:oMath>
            </m:oMathPara>
          </w:p>
          <w:p w14:paraId="1E6F7C04" w14:textId="77777777" w:rsidR="006B21B5" w:rsidRPr="000D1D54" w:rsidRDefault="006B21B5" w:rsidP="006B21B5">
            <w:pPr>
              <w:pStyle w:val="HTMLSudahDiformat"/>
              <w:shd w:val="clear" w:color="auto" w:fill="F8F9FA"/>
              <w:contextualSpacing/>
              <w:rPr>
                <w:rFonts w:ascii="Book Antiqua" w:hAnsi="Book Antiqua" w:cs="Times New Roman"/>
                <w:lang w:val="id-ID"/>
              </w:rPr>
            </w:pPr>
          </w:p>
        </w:tc>
      </w:tr>
      <w:tr w:rsidR="006B21B5" w:rsidRPr="000D1D54" w14:paraId="77E13B69" w14:textId="77777777" w:rsidTr="006B21B5">
        <w:trPr>
          <w:trHeight w:val="650"/>
        </w:trPr>
        <w:tc>
          <w:tcPr>
            <w:tcW w:w="0" w:type="auto"/>
          </w:tcPr>
          <w:p w14:paraId="2141AA0C" w14:textId="77777777" w:rsidR="006B21B5" w:rsidRPr="000D1D54" w:rsidRDefault="006B21B5" w:rsidP="006B21B5">
            <w:pPr>
              <w:pStyle w:val="DaftarParagraf"/>
              <w:spacing w:after="0" w:line="240" w:lineRule="auto"/>
              <w:ind w:left="0"/>
              <w:jc w:val="center"/>
              <w:rPr>
                <w:rFonts w:ascii="Book Antiqua" w:hAnsi="Book Antiqua"/>
                <w:sz w:val="20"/>
                <w:szCs w:val="20"/>
                <w:lang w:val="id-ID"/>
              </w:rPr>
            </w:pPr>
            <w:r w:rsidRPr="000D1D54">
              <w:rPr>
                <w:rFonts w:ascii="Book Antiqua" w:hAnsi="Book Antiqua"/>
                <w:sz w:val="20"/>
                <w:szCs w:val="20"/>
                <w:lang w:val="id-ID"/>
              </w:rPr>
              <w:t>3.</w:t>
            </w:r>
          </w:p>
        </w:tc>
        <w:tc>
          <w:tcPr>
            <w:tcW w:w="0" w:type="auto"/>
          </w:tcPr>
          <w:p w14:paraId="6F255936" w14:textId="77777777" w:rsidR="006B21B5" w:rsidRPr="000D1D54" w:rsidRDefault="006B21B5" w:rsidP="006B21B5">
            <w:pPr>
              <w:pStyle w:val="DaftarParagraf"/>
              <w:spacing w:after="0" w:line="240" w:lineRule="auto"/>
              <w:ind w:left="0"/>
              <w:jc w:val="both"/>
              <w:rPr>
                <w:rFonts w:ascii="Book Antiqua" w:hAnsi="Book Antiqua"/>
                <w:sz w:val="20"/>
                <w:szCs w:val="20"/>
                <w:lang w:val="id-ID"/>
              </w:rPr>
            </w:pPr>
            <w:r w:rsidRPr="000D1D54">
              <w:rPr>
                <w:rFonts w:ascii="Book Antiqua" w:hAnsi="Book Antiqua"/>
                <w:sz w:val="20"/>
                <w:szCs w:val="20"/>
                <w:lang w:val="id-ID"/>
              </w:rPr>
              <w:t xml:space="preserve">NPM </w:t>
            </w:r>
          </w:p>
        </w:tc>
        <w:tc>
          <w:tcPr>
            <w:tcW w:w="0" w:type="auto"/>
          </w:tcPr>
          <w:p w14:paraId="4E2B49EF" w14:textId="76DFEE73" w:rsidR="006B21B5" w:rsidRPr="00AE4B02" w:rsidRDefault="006B21B5" w:rsidP="00AE4B02">
            <w:pPr>
              <w:pStyle w:val="HTMLSudahDiformat"/>
              <w:shd w:val="clear" w:color="auto" w:fill="F8F9FA"/>
              <w:contextualSpacing/>
              <w:rPr>
                <w:rFonts w:ascii="Book Antiqua" w:hAnsi="Book Antiqua" w:cs="Times New Roman"/>
                <w:color w:val="202124"/>
                <w:lang w:val="id-ID"/>
              </w:rPr>
            </w:pPr>
            <w:r w:rsidRPr="000D1D54">
              <w:rPr>
                <w:rStyle w:val="y2iqfc"/>
                <w:rFonts w:ascii="Book Antiqua" w:hAnsi="Book Antiqua" w:cs="Times New Roman"/>
                <w:color w:val="202124"/>
                <w:lang w:val="id-ID"/>
              </w:rPr>
              <w:t>Comparison of net profit after tax with the company's net sale</w:t>
            </w:r>
            <w:r w:rsidR="00AE4B02">
              <w:rPr>
                <w:rStyle w:val="y2iqfc"/>
                <w:rFonts w:ascii="Book Antiqua" w:hAnsi="Book Antiqua" w:cs="Times New Roman"/>
                <w:color w:val="202124"/>
              </w:rPr>
              <w:t>s.</w:t>
            </w:r>
            <w:r w:rsidRPr="000D1D54">
              <w:rPr>
                <w:rFonts w:ascii="Book Antiqua" w:hAnsi="Book Antiqua"/>
                <w:lang w:val="id-ID"/>
              </w:rPr>
              <w:t xml:space="preserve"> </w:t>
            </w:r>
          </w:p>
        </w:tc>
        <w:tc>
          <w:tcPr>
            <w:tcW w:w="0" w:type="auto"/>
          </w:tcPr>
          <w:p w14:paraId="6DC033C8" w14:textId="77777777" w:rsidR="006B21B5" w:rsidRPr="000D1D54" w:rsidRDefault="006B21B5" w:rsidP="006B21B5">
            <w:pPr>
              <w:pStyle w:val="DaftarParagraf"/>
              <w:spacing w:after="0" w:line="240" w:lineRule="auto"/>
              <w:ind w:left="0"/>
              <w:rPr>
                <w:rFonts w:ascii="Book Antiqua" w:hAnsi="Book Antiqua"/>
                <w:sz w:val="20"/>
                <w:szCs w:val="20"/>
                <w:lang w:val="id-ID"/>
              </w:rPr>
            </w:pPr>
            <m:oMathPara>
              <m:oMath>
                <m:r>
                  <w:rPr>
                    <w:rFonts w:ascii="Cambria Math" w:hAnsi="Cambria Math"/>
                    <w:sz w:val="20"/>
                    <w:szCs w:val="20"/>
                    <w:lang w:val="id-ID"/>
                  </w:rPr>
                  <m:t>NPM=</m:t>
                </m:r>
                <m:f>
                  <m:fPr>
                    <m:ctrlPr>
                      <w:rPr>
                        <w:rFonts w:ascii="Cambria Math" w:hAnsi="Cambria Math"/>
                        <w:i/>
                        <w:sz w:val="20"/>
                        <w:szCs w:val="20"/>
                        <w:lang w:val="id-ID"/>
                      </w:rPr>
                    </m:ctrlPr>
                  </m:fPr>
                  <m:num>
                    <m:r>
                      <w:rPr>
                        <w:rFonts w:ascii="Cambria Math" w:hAnsi="Cambria Math"/>
                        <w:sz w:val="20"/>
                        <w:szCs w:val="20"/>
                        <w:lang w:val="id-ID"/>
                      </w:rPr>
                      <m:t>Profit After Tax</m:t>
                    </m:r>
                  </m:num>
                  <m:den>
                    <m:r>
                      <w:rPr>
                        <w:rFonts w:ascii="Cambria Math" w:hAnsi="Cambria Math"/>
                        <w:sz w:val="20"/>
                        <w:szCs w:val="20"/>
                        <w:lang w:val="id-ID"/>
                      </w:rPr>
                      <m:t>Net Sale</m:t>
                    </m:r>
                  </m:den>
                </m:f>
                <m:r>
                  <w:rPr>
                    <w:rFonts w:ascii="Cambria Math" w:hAnsi="Cambria Math"/>
                    <w:sz w:val="20"/>
                    <w:szCs w:val="20"/>
                    <w:lang w:val="id-ID"/>
                  </w:rPr>
                  <m:t>x100%</m:t>
                </m:r>
              </m:oMath>
            </m:oMathPara>
          </w:p>
          <w:p w14:paraId="018F7752" w14:textId="77777777" w:rsidR="006B21B5" w:rsidRPr="000D1D54" w:rsidRDefault="006B21B5" w:rsidP="006B21B5">
            <w:pPr>
              <w:pStyle w:val="HTMLSudahDiformat"/>
              <w:shd w:val="clear" w:color="auto" w:fill="F8F9FA"/>
              <w:contextualSpacing/>
              <w:rPr>
                <w:rFonts w:ascii="Book Antiqua" w:hAnsi="Book Antiqua" w:cs="Times New Roman"/>
                <w:lang w:val="id-ID"/>
              </w:rPr>
            </w:pPr>
          </w:p>
        </w:tc>
      </w:tr>
      <w:tr w:rsidR="006B21B5" w:rsidRPr="000D1D54" w14:paraId="13DD6559" w14:textId="77777777" w:rsidTr="006B21B5">
        <w:trPr>
          <w:trHeight w:val="514"/>
        </w:trPr>
        <w:tc>
          <w:tcPr>
            <w:tcW w:w="0" w:type="auto"/>
          </w:tcPr>
          <w:p w14:paraId="16B114F3" w14:textId="77777777" w:rsidR="006B21B5" w:rsidRPr="000D1D54" w:rsidRDefault="006B21B5" w:rsidP="006B21B5">
            <w:pPr>
              <w:pStyle w:val="DaftarParagraf"/>
              <w:spacing w:after="0" w:line="240" w:lineRule="auto"/>
              <w:ind w:left="0"/>
              <w:jc w:val="center"/>
              <w:rPr>
                <w:rFonts w:ascii="Book Antiqua" w:hAnsi="Book Antiqua"/>
                <w:sz w:val="20"/>
                <w:szCs w:val="20"/>
                <w:lang w:val="id-ID"/>
              </w:rPr>
            </w:pPr>
            <w:r w:rsidRPr="000D1D54">
              <w:rPr>
                <w:rFonts w:ascii="Book Antiqua" w:hAnsi="Book Antiqua"/>
                <w:sz w:val="20"/>
                <w:szCs w:val="20"/>
                <w:lang w:val="id-ID"/>
              </w:rPr>
              <w:t>4.</w:t>
            </w:r>
          </w:p>
        </w:tc>
        <w:tc>
          <w:tcPr>
            <w:tcW w:w="0" w:type="auto"/>
          </w:tcPr>
          <w:p w14:paraId="227D5937" w14:textId="77777777" w:rsidR="006B21B5" w:rsidRPr="000D1D54" w:rsidRDefault="006B21B5" w:rsidP="006B21B5">
            <w:pPr>
              <w:pStyle w:val="DaftarParagraf"/>
              <w:spacing w:after="0" w:line="240" w:lineRule="auto"/>
              <w:ind w:left="0"/>
              <w:jc w:val="both"/>
              <w:rPr>
                <w:rFonts w:ascii="Book Antiqua" w:hAnsi="Book Antiqua"/>
                <w:sz w:val="20"/>
                <w:szCs w:val="20"/>
                <w:lang w:val="id-ID"/>
              </w:rPr>
            </w:pPr>
            <w:r w:rsidRPr="000D1D54">
              <w:rPr>
                <w:rFonts w:ascii="Book Antiqua" w:hAnsi="Book Antiqua"/>
                <w:sz w:val="20"/>
                <w:szCs w:val="20"/>
                <w:lang w:val="id-ID"/>
              </w:rPr>
              <w:t xml:space="preserve">GPM </w:t>
            </w:r>
          </w:p>
        </w:tc>
        <w:tc>
          <w:tcPr>
            <w:tcW w:w="0" w:type="auto"/>
          </w:tcPr>
          <w:p w14:paraId="3DD44987" w14:textId="77777777" w:rsidR="006B21B5" w:rsidRPr="000D1D54" w:rsidRDefault="006B21B5" w:rsidP="006B21B5">
            <w:pPr>
              <w:pStyle w:val="HTMLSudahDiformat"/>
              <w:shd w:val="clear" w:color="auto" w:fill="F8F9FA"/>
              <w:contextualSpacing/>
              <w:rPr>
                <w:rFonts w:ascii="Book Antiqua" w:hAnsi="Book Antiqua" w:cs="Times New Roman"/>
                <w:color w:val="202124"/>
                <w:lang w:val="id-ID"/>
              </w:rPr>
            </w:pPr>
            <w:r w:rsidRPr="000D1D54">
              <w:rPr>
                <w:rStyle w:val="y2iqfc"/>
                <w:rFonts w:ascii="Book Antiqua" w:hAnsi="Book Antiqua" w:cs="Times New Roman"/>
                <w:color w:val="202124"/>
                <w:lang w:val="id-ID"/>
              </w:rPr>
              <w:t>Comparison of the company's gross profit with net sales.</w:t>
            </w:r>
          </w:p>
          <w:p w14:paraId="1415A2E0" w14:textId="77777777" w:rsidR="006B21B5" w:rsidRPr="000D1D54" w:rsidRDefault="006B21B5" w:rsidP="006B21B5">
            <w:pPr>
              <w:pStyle w:val="DaftarParagraf"/>
              <w:spacing w:after="0" w:line="240" w:lineRule="auto"/>
              <w:ind w:left="0"/>
              <w:jc w:val="both"/>
              <w:rPr>
                <w:rFonts w:ascii="Book Antiqua" w:hAnsi="Book Antiqua"/>
                <w:sz w:val="20"/>
                <w:szCs w:val="20"/>
                <w:lang w:val="id-ID"/>
              </w:rPr>
            </w:pPr>
          </w:p>
        </w:tc>
        <w:tc>
          <w:tcPr>
            <w:tcW w:w="0" w:type="auto"/>
          </w:tcPr>
          <w:p w14:paraId="1D163542" w14:textId="77777777" w:rsidR="006B21B5" w:rsidRPr="000D1D54" w:rsidRDefault="006B21B5" w:rsidP="006B21B5">
            <w:pPr>
              <w:pStyle w:val="DaftarParagraf"/>
              <w:spacing w:after="0" w:line="240" w:lineRule="auto"/>
              <w:ind w:left="0"/>
              <w:rPr>
                <w:rFonts w:ascii="Book Antiqua" w:hAnsi="Book Antiqua"/>
                <w:sz w:val="20"/>
                <w:szCs w:val="20"/>
                <w:lang w:val="id-ID"/>
              </w:rPr>
            </w:pPr>
            <m:oMathPara>
              <m:oMath>
                <m:r>
                  <w:rPr>
                    <w:rFonts w:ascii="Cambria Math" w:hAnsi="Cambria Math"/>
                    <w:sz w:val="20"/>
                    <w:szCs w:val="20"/>
                    <w:lang w:val="id-ID"/>
                  </w:rPr>
                  <m:t xml:space="preserve">  GPM=</m:t>
                </m:r>
                <m:f>
                  <m:fPr>
                    <m:ctrlPr>
                      <w:rPr>
                        <w:rFonts w:ascii="Cambria Math" w:hAnsi="Cambria Math"/>
                        <w:i/>
                        <w:sz w:val="20"/>
                        <w:szCs w:val="20"/>
                        <w:lang w:val="id-ID"/>
                      </w:rPr>
                    </m:ctrlPr>
                  </m:fPr>
                  <m:num>
                    <m:r>
                      <w:rPr>
                        <w:rFonts w:ascii="Cambria Math" w:hAnsi="Cambria Math"/>
                        <w:sz w:val="20"/>
                        <w:szCs w:val="20"/>
                        <w:lang w:val="id-ID"/>
                      </w:rPr>
                      <m:t>Gross Profit</m:t>
                    </m:r>
                  </m:num>
                  <m:den>
                    <m:r>
                      <w:rPr>
                        <w:rFonts w:ascii="Cambria Math" w:hAnsi="Cambria Math"/>
                        <w:sz w:val="20"/>
                        <w:szCs w:val="20"/>
                        <w:lang w:val="id-ID"/>
                      </w:rPr>
                      <m:t>Net Sale</m:t>
                    </m:r>
                  </m:den>
                </m:f>
                <m:r>
                  <w:rPr>
                    <w:rFonts w:ascii="Cambria Math" w:hAnsi="Cambria Math"/>
                    <w:sz w:val="20"/>
                    <w:szCs w:val="20"/>
                    <w:lang w:val="id-ID"/>
                  </w:rPr>
                  <m:t xml:space="preserve"> x 100%</m:t>
                </m:r>
              </m:oMath>
            </m:oMathPara>
          </w:p>
          <w:p w14:paraId="7805DC32" w14:textId="77777777" w:rsidR="006B21B5" w:rsidRPr="000D1D54" w:rsidRDefault="006B21B5" w:rsidP="006B21B5">
            <w:pPr>
              <w:pStyle w:val="HTMLSudahDiformat"/>
              <w:shd w:val="clear" w:color="auto" w:fill="F8F9FA"/>
              <w:contextualSpacing/>
              <w:rPr>
                <w:rFonts w:ascii="Book Antiqua" w:hAnsi="Book Antiqua" w:cs="Times New Roman"/>
                <w:lang w:val="id-ID"/>
              </w:rPr>
            </w:pPr>
          </w:p>
        </w:tc>
      </w:tr>
      <w:tr w:rsidR="006B21B5" w:rsidRPr="000D1D54" w14:paraId="77468126" w14:textId="77777777" w:rsidTr="006B21B5">
        <w:trPr>
          <w:trHeight w:val="521"/>
        </w:trPr>
        <w:tc>
          <w:tcPr>
            <w:tcW w:w="0" w:type="auto"/>
          </w:tcPr>
          <w:p w14:paraId="2F85D27D" w14:textId="77777777" w:rsidR="006B21B5" w:rsidRPr="000D1D54" w:rsidRDefault="006B21B5" w:rsidP="006B21B5">
            <w:pPr>
              <w:pStyle w:val="DaftarParagraf"/>
              <w:spacing w:after="0" w:line="240" w:lineRule="auto"/>
              <w:ind w:left="0"/>
              <w:jc w:val="center"/>
              <w:rPr>
                <w:rFonts w:ascii="Book Antiqua" w:hAnsi="Book Antiqua"/>
                <w:sz w:val="20"/>
                <w:szCs w:val="20"/>
                <w:lang w:val="id-ID"/>
              </w:rPr>
            </w:pPr>
            <w:r w:rsidRPr="000D1D54">
              <w:rPr>
                <w:rFonts w:ascii="Book Antiqua" w:hAnsi="Book Antiqua"/>
                <w:sz w:val="20"/>
                <w:szCs w:val="20"/>
                <w:lang w:val="id-ID"/>
              </w:rPr>
              <w:t>5.</w:t>
            </w:r>
          </w:p>
        </w:tc>
        <w:tc>
          <w:tcPr>
            <w:tcW w:w="0" w:type="auto"/>
          </w:tcPr>
          <w:p w14:paraId="3BE8C001" w14:textId="77777777" w:rsidR="006B21B5" w:rsidRPr="000D1D54" w:rsidRDefault="006B21B5" w:rsidP="006B21B5">
            <w:pPr>
              <w:pStyle w:val="DaftarParagraf"/>
              <w:spacing w:after="0" w:line="240" w:lineRule="auto"/>
              <w:ind w:left="0"/>
              <w:jc w:val="both"/>
              <w:rPr>
                <w:rFonts w:ascii="Book Antiqua" w:hAnsi="Book Antiqua"/>
                <w:sz w:val="20"/>
                <w:szCs w:val="20"/>
                <w:lang w:val="id-ID"/>
              </w:rPr>
            </w:pPr>
            <w:r w:rsidRPr="000D1D54">
              <w:rPr>
                <w:rFonts w:ascii="Book Antiqua" w:hAnsi="Book Antiqua"/>
                <w:sz w:val="20"/>
                <w:szCs w:val="20"/>
                <w:lang w:val="id-ID"/>
              </w:rPr>
              <w:t>TATO</w:t>
            </w:r>
          </w:p>
        </w:tc>
        <w:tc>
          <w:tcPr>
            <w:tcW w:w="0" w:type="auto"/>
          </w:tcPr>
          <w:p w14:paraId="6B1AC1D9" w14:textId="77777777" w:rsidR="006B21B5" w:rsidRPr="000D1D54" w:rsidRDefault="006B21B5" w:rsidP="006B21B5">
            <w:pPr>
              <w:pStyle w:val="HTMLSudahDiformat"/>
              <w:shd w:val="clear" w:color="auto" w:fill="F8F9FA"/>
              <w:contextualSpacing/>
              <w:rPr>
                <w:rFonts w:ascii="Book Antiqua" w:hAnsi="Book Antiqua" w:cs="Times New Roman"/>
                <w:color w:val="202124"/>
                <w:lang w:val="id-ID"/>
              </w:rPr>
            </w:pPr>
            <w:r w:rsidRPr="000D1D54">
              <w:rPr>
                <w:rStyle w:val="y2iqfc"/>
                <w:rFonts w:ascii="Book Antiqua" w:hAnsi="Book Antiqua" w:cs="Times New Roman"/>
                <w:color w:val="202124"/>
                <w:lang w:val="id-ID"/>
              </w:rPr>
              <w:t>Comparison between net sales and total assets of a company.</w:t>
            </w:r>
          </w:p>
          <w:p w14:paraId="7C8B99B7" w14:textId="77777777" w:rsidR="006B21B5" w:rsidRPr="000D1D54" w:rsidRDefault="006B21B5" w:rsidP="006B21B5">
            <w:pPr>
              <w:pStyle w:val="DaftarParagraf"/>
              <w:spacing w:after="0" w:line="240" w:lineRule="auto"/>
              <w:ind w:left="0"/>
              <w:jc w:val="both"/>
              <w:rPr>
                <w:rFonts w:ascii="Book Antiqua" w:hAnsi="Book Antiqua"/>
                <w:sz w:val="20"/>
                <w:szCs w:val="20"/>
                <w:lang w:val="id-ID"/>
              </w:rPr>
            </w:pPr>
          </w:p>
        </w:tc>
        <w:tc>
          <w:tcPr>
            <w:tcW w:w="0" w:type="auto"/>
          </w:tcPr>
          <w:p w14:paraId="1294F34D" w14:textId="77777777" w:rsidR="006B21B5" w:rsidRPr="000D1D54" w:rsidRDefault="006B21B5" w:rsidP="006B21B5">
            <w:pPr>
              <w:pStyle w:val="DaftarParagraf"/>
              <w:spacing w:after="0" w:line="240" w:lineRule="auto"/>
              <w:ind w:left="0"/>
              <w:rPr>
                <w:rFonts w:ascii="Book Antiqua" w:hAnsi="Book Antiqua"/>
                <w:sz w:val="20"/>
                <w:szCs w:val="20"/>
                <w:lang w:val="id-ID"/>
              </w:rPr>
            </w:pPr>
            <m:oMathPara>
              <m:oMathParaPr>
                <m:jc m:val="left"/>
              </m:oMathParaPr>
              <m:oMath>
                <m:r>
                  <w:rPr>
                    <w:rFonts w:ascii="Cambria Math" w:hAnsi="Cambria Math"/>
                    <w:sz w:val="20"/>
                    <w:szCs w:val="20"/>
                    <w:lang w:val="id-ID"/>
                  </w:rPr>
                  <m:t xml:space="preserve">          TATO=</m:t>
                </m:r>
                <m:f>
                  <m:fPr>
                    <m:ctrlPr>
                      <w:rPr>
                        <w:rFonts w:ascii="Cambria Math" w:hAnsi="Cambria Math"/>
                        <w:i/>
                        <w:sz w:val="20"/>
                        <w:szCs w:val="20"/>
                        <w:lang w:val="id-ID"/>
                      </w:rPr>
                    </m:ctrlPr>
                  </m:fPr>
                  <m:num>
                    <m:r>
                      <w:rPr>
                        <w:rFonts w:ascii="Cambria Math" w:hAnsi="Cambria Math"/>
                        <w:sz w:val="20"/>
                        <w:szCs w:val="20"/>
                        <w:lang w:val="id-ID"/>
                      </w:rPr>
                      <m:t>Net Sale</m:t>
                    </m:r>
                  </m:num>
                  <m:den>
                    <m:r>
                      <w:rPr>
                        <w:rFonts w:ascii="Cambria Math" w:hAnsi="Cambria Math"/>
                        <w:sz w:val="20"/>
                        <w:szCs w:val="20"/>
                        <w:lang w:val="id-ID"/>
                      </w:rPr>
                      <m:t>Total Assets</m:t>
                    </m:r>
                  </m:den>
                </m:f>
                <m:r>
                  <w:rPr>
                    <w:rFonts w:ascii="Cambria Math" w:hAnsi="Cambria Math"/>
                    <w:sz w:val="20"/>
                    <w:szCs w:val="20"/>
                    <w:lang w:val="id-ID"/>
                  </w:rPr>
                  <m:t xml:space="preserve"> x 100%</m:t>
                </m:r>
              </m:oMath>
            </m:oMathPara>
          </w:p>
        </w:tc>
      </w:tr>
    </w:tbl>
    <w:p w14:paraId="6A4131F8" w14:textId="77777777" w:rsidR="00646D18" w:rsidRPr="000D1D54" w:rsidRDefault="00646D18" w:rsidP="00D86B33">
      <w:pPr>
        <w:spacing w:line="240" w:lineRule="auto"/>
        <w:jc w:val="both"/>
        <w:rPr>
          <w:rFonts w:ascii="Book Antiqua" w:hAnsi="Book Antiqua" w:cs="Times New Roman"/>
          <w:lang w:val="id-ID"/>
        </w:rPr>
      </w:pPr>
    </w:p>
    <w:p w14:paraId="61C47FA2" w14:textId="530551EC" w:rsidR="00D86B33" w:rsidRPr="000D1D54" w:rsidRDefault="00AE7078" w:rsidP="00D86B33">
      <w:pPr>
        <w:pStyle w:val="DaftarParagraf"/>
        <w:numPr>
          <w:ilvl w:val="0"/>
          <w:numId w:val="1"/>
        </w:numPr>
        <w:tabs>
          <w:tab w:val="left" w:pos="567"/>
        </w:tabs>
        <w:spacing w:after="0" w:line="360" w:lineRule="auto"/>
        <w:ind w:left="0" w:firstLine="0"/>
        <w:jc w:val="both"/>
        <w:rPr>
          <w:rFonts w:ascii="Book Antiqua" w:hAnsi="Book Antiqua" w:cs="Times New Roman"/>
          <w:b/>
          <w:bCs/>
          <w:sz w:val="24"/>
          <w:szCs w:val="24"/>
          <w:lang w:val="id-ID"/>
        </w:rPr>
      </w:pPr>
      <w:r w:rsidRPr="000D1D54">
        <w:rPr>
          <w:rFonts w:ascii="Book Antiqua" w:hAnsi="Book Antiqua" w:cs="Times New Roman"/>
          <w:b/>
          <w:bCs/>
          <w:sz w:val="24"/>
          <w:szCs w:val="24"/>
          <w:lang w:val="id-ID"/>
        </w:rPr>
        <w:t>Result</w:t>
      </w:r>
      <w:r w:rsidR="00D86B33" w:rsidRPr="000D1D54">
        <w:rPr>
          <w:rFonts w:ascii="Book Antiqua" w:hAnsi="Book Antiqua" w:cs="Times New Roman"/>
          <w:b/>
          <w:bCs/>
          <w:sz w:val="24"/>
          <w:szCs w:val="24"/>
          <w:lang w:val="id-ID"/>
        </w:rPr>
        <w:t>s</w:t>
      </w:r>
    </w:p>
    <w:p w14:paraId="4A615034" w14:textId="20C5B334" w:rsidR="00D86B33" w:rsidRDefault="00D86B33" w:rsidP="00D86B33">
      <w:pPr>
        <w:spacing w:after="0" w:line="240" w:lineRule="auto"/>
        <w:ind w:firstLine="562"/>
        <w:contextualSpacing/>
        <w:jc w:val="both"/>
        <w:rPr>
          <w:rFonts w:ascii="Book Antiqua" w:eastAsiaTheme="minorEastAsia" w:hAnsi="Book Antiqua" w:cs="Times New Roman"/>
          <w:bCs/>
          <w:lang w:val="id-ID"/>
        </w:rPr>
      </w:pPr>
      <w:r w:rsidRPr="000D1D54">
        <w:rPr>
          <w:rFonts w:ascii="Book Antiqua" w:eastAsiaTheme="minorEastAsia" w:hAnsi="Book Antiqua" w:cs="Times New Roman"/>
          <w:bCs/>
          <w:lang w:val="id-ID"/>
        </w:rPr>
        <w:tab/>
        <w:t xml:space="preserve">This study used a sample of 252 quarterly financial reports obtained from 12 manufacturing companies in the food and beverage sector listed on the Indonesia Stock Exchange for </w:t>
      </w:r>
      <w:r w:rsidR="00AE4B02">
        <w:rPr>
          <w:rFonts w:ascii="Book Antiqua" w:eastAsiaTheme="minorEastAsia" w:hAnsi="Book Antiqua" w:cs="Times New Roman"/>
          <w:bCs/>
          <w:lang w:val="id-ID"/>
        </w:rPr>
        <w:t>five</w:t>
      </w:r>
      <w:r w:rsidRPr="000D1D54">
        <w:rPr>
          <w:rFonts w:ascii="Book Antiqua" w:eastAsiaTheme="minorEastAsia" w:hAnsi="Book Antiqua" w:cs="Times New Roman"/>
          <w:bCs/>
          <w:lang w:val="id-ID"/>
        </w:rPr>
        <w:t xml:space="preserve"> years and </w:t>
      </w:r>
      <w:r w:rsidR="00AE4B02">
        <w:rPr>
          <w:rFonts w:ascii="Book Antiqua" w:eastAsiaTheme="minorEastAsia" w:hAnsi="Book Antiqua" w:cs="Times New Roman"/>
          <w:bCs/>
          <w:lang w:val="id-ID"/>
        </w:rPr>
        <w:t>three</w:t>
      </w:r>
      <w:r w:rsidRPr="000D1D54">
        <w:rPr>
          <w:rFonts w:ascii="Book Antiqua" w:eastAsiaTheme="minorEastAsia" w:hAnsi="Book Antiqua" w:cs="Times New Roman"/>
          <w:bCs/>
          <w:lang w:val="id-ID"/>
        </w:rPr>
        <w:t xml:space="preserve"> months (2018-2022 period). The initial stage of the analysis process in this study is to know in advance the results of </w:t>
      </w:r>
      <w:r w:rsidR="00AE4B02">
        <w:rPr>
          <w:rFonts w:ascii="Book Antiqua" w:eastAsiaTheme="minorEastAsia" w:hAnsi="Book Antiqua" w:cs="Times New Roman"/>
          <w:bCs/>
          <w:lang w:val="id-ID"/>
        </w:rPr>
        <w:t>earnings p</w:t>
      </w:r>
      <w:r w:rsidRPr="000D1D54">
        <w:rPr>
          <w:rFonts w:ascii="Book Antiqua" w:eastAsiaTheme="minorEastAsia" w:hAnsi="Book Antiqua" w:cs="Times New Roman"/>
          <w:bCs/>
          <w:lang w:val="id-ID"/>
        </w:rPr>
        <w:t>er Share (EPS), Net Profit Margin (NPM), Gross Profit Margin (GPM), Total Asset Turnover (TATO)</w:t>
      </w:r>
      <w:r w:rsidR="00AE4B02">
        <w:rPr>
          <w:rFonts w:ascii="Book Antiqua" w:eastAsiaTheme="minorEastAsia" w:hAnsi="Book Antiqua" w:cs="Times New Roman"/>
          <w:bCs/>
          <w:lang w:val="id-ID"/>
        </w:rPr>
        <w:t>,</w:t>
      </w:r>
      <w:r w:rsidRPr="000D1D54">
        <w:rPr>
          <w:rFonts w:ascii="Book Antiqua" w:eastAsiaTheme="minorEastAsia" w:hAnsi="Book Antiqua" w:cs="Times New Roman"/>
          <w:bCs/>
          <w:lang w:val="id-ID"/>
        </w:rPr>
        <w:t xml:space="preserve"> and stock prices per manufacturing company. Meanwhile, </w:t>
      </w:r>
      <w:r w:rsidR="00AE4B02">
        <w:rPr>
          <w:rFonts w:ascii="Book Antiqua" w:eastAsiaTheme="minorEastAsia" w:hAnsi="Book Antiqua" w:cs="Times New Roman"/>
          <w:bCs/>
          <w:lang w:val="id-ID"/>
        </w:rPr>
        <w:t>SPSS program assistance was used in data processing</w:t>
      </w:r>
      <w:r w:rsidRPr="000D1D54">
        <w:rPr>
          <w:rFonts w:ascii="Book Antiqua" w:eastAsiaTheme="minorEastAsia" w:hAnsi="Book Antiqua" w:cs="Times New Roman"/>
          <w:bCs/>
          <w:lang w:val="id-ID"/>
        </w:rPr>
        <w:t xml:space="preserve"> to determine the hypothesis test between EPS, NPM, GPM, and TATO on stock.</w:t>
      </w:r>
    </w:p>
    <w:p w14:paraId="23BE57BC" w14:textId="410E37EA" w:rsidR="005E6294" w:rsidRDefault="005E6294" w:rsidP="005E6294">
      <w:pPr>
        <w:pStyle w:val="HTMLSudahDiformat"/>
        <w:shd w:val="clear" w:color="auto" w:fill="F8F9FA"/>
        <w:contextualSpacing/>
        <w:jc w:val="both"/>
        <w:rPr>
          <w:rStyle w:val="y2iqfc"/>
          <w:rFonts w:ascii="Book Antiqua" w:hAnsi="Book Antiqua" w:cs="Times New Roman"/>
          <w:color w:val="202124"/>
          <w:sz w:val="22"/>
          <w:szCs w:val="22"/>
          <w:lang w:val="id-ID"/>
        </w:rPr>
      </w:pPr>
      <w:r>
        <w:rPr>
          <w:rStyle w:val="y2iqfc"/>
          <w:rFonts w:ascii="Book Antiqua" w:hAnsi="Book Antiqua" w:cs="Times New Roman"/>
          <w:color w:val="202124"/>
          <w:sz w:val="22"/>
          <w:szCs w:val="22"/>
        </w:rPr>
        <w:t xml:space="preserve">Moreover, </w:t>
      </w:r>
      <w:r>
        <w:rPr>
          <w:rStyle w:val="y2iqfc"/>
          <w:rFonts w:ascii="Book Antiqua" w:hAnsi="Book Antiqua" w:cs="Times New Roman"/>
          <w:color w:val="202124"/>
          <w:sz w:val="22"/>
          <w:szCs w:val="22"/>
          <w:lang w:val="id-ID"/>
        </w:rPr>
        <w:t>T</w:t>
      </w:r>
      <w:r w:rsidRPr="000D1D54">
        <w:rPr>
          <w:rStyle w:val="y2iqfc"/>
          <w:rFonts w:ascii="Book Antiqua" w:hAnsi="Book Antiqua" w:cs="Times New Roman"/>
          <w:color w:val="202124"/>
          <w:sz w:val="22"/>
          <w:szCs w:val="22"/>
          <w:lang w:val="id-ID"/>
        </w:rPr>
        <w:t>able 4 shows the value of Asymp. Sig.</w:t>
      </w:r>
      <w:r>
        <w:rPr>
          <w:rStyle w:val="y2iqfc"/>
          <w:rFonts w:ascii="Book Antiqua" w:hAnsi="Book Antiqua" w:cs="Times New Roman"/>
          <w:color w:val="202124"/>
          <w:sz w:val="22"/>
          <w:szCs w:val="22"/>
          <w:lang w:val="id-ID"/>
        </w:rPr>
        <w:t xml:space="preserve"> </w:t>
      </w:r>
      <w:r w:rsidRPr="000D1D54">
        <w:rPr>
          <w:rStyle w:val="y2iqfc"/>
          <w:rFonts w:ascii="Book Antiqua" w:hAnsi="Book Antiqua" w:cs="Times New Roman"/>
          <w:color w:val="202124"/>
          <w:sz w:val="22"/>
          <w:szCs w:val="22"/>
          <w:lang w:val="id-ID"/>
        </w:rPr>
        <w:t>(2-tailed) is 0.103</w:t>
      </w:r>
      <w:r>
        <w:rPr>
          <w:rStyle w:val="y2iqfc"/>
          <w:rFonts w:ascii="Book Antiqua" w:hAnsi="Book Antiqua" w:cs="Times New Roman"/>
          <w:color w:val="202124"/>
          <w:sz w:val="22"/>
          <w:szCs w:val="22"/>
          <w:lang w:val="id-ID"/>
        </w:rPr>
        <w:t>,</w:t>
      </w:r>
      <w:r w:rsidRPr="000D1D54">
        <w:rPr>
          <w:rStyle w:val="y2iqfc"/>
          <w:rFonts w:ascii="Book Antiqua" w:hAnsi="Book Antiqua" w:cs="Times New Roman"/>
          <w:color w:val="202124"/>
          <w:sz w:val="22"/>
          <w:szCs w:val="22"/>
          <w:lang w:val="id-ID"/>
        </w:rPr>
        <w:t xml:space="preserve"> and the significance level is at 0.05 (0.103 &gt; 0.05)</w:t>
      </w:r>
      <w:r>
        <w:rPr>
          <w:rStyle w:val="y2iqfc"/>
          <w:rFonts w:ascii="Book Antiqua" w:hAnsi="Book Antiqua" w:cs="Times New Roman"/>
          <w:color w:val="202124"/>
          <w:sz w:val="22"/>
          <w:szCs w:val="22"/>
          <w:lang w:val="id-ID"/>
        </w:rPr>
        <w:t>,</w:t>
      </w:r>
      <w:r w:rsidRPr="000D1D54">
        <w:rPr>
          <w:rStyle w:val="y2iqfc"/>
          <w:rFonts w:ascii="Book Antiqua" w:hAnsi="Book Antiqua" w:cs="Times New Roman"/>
          <w:color w:val="202124"/>
          <w:sz w:val="22"/>
          <w:szCs w:val="22"/>
          <w:lang w:val="id-ID"/>
        </w:rPr>
        <w:t xml:space="preserve"> which indicates that the residuals are normally distributed so that the regression model that will be made later can be accepted and further analysis can be carried out.</w:t>
      </w:r>
    </w:p>
    <w:p w14:paraId="32551BAE" w14:textId="77777777" w:rsidR="005E6294" w:rsidRPr="000D1D54" w:rsidRDefault="005E6294" w:rsidP="005E6294">
      <w:pPr>
        <w:pStyle w:val="HTMLSudahDiformat"/>
        <w:shd w:val="clear" w:color="auto" w:fill="F8F9FA"/>
        <w:contextualSpacing/>
        <w:jc w:val="both"/>
        <w:rPr>
          <w:rStyle w:val="y2iqfc"/>
          <w:rFonts w:ascii="Book Antiqua" w:hAnsi="Book Antiqua" w:cs="Times New Roman"/>
          <w:color w:val="202124"/>
          <w:sz w:val="22"/>
          <w:szCs w:val="22"/>
          <w:lang w:val="id-ID"/>
        </w:rPr>
      </w:pPr>
    </w:p>
    <w:p w14:paraId="76CE5D8D" w14:textId="77777777" w:rsidR="00355649" w:rsidRPr="000D1D54" w:rsidRDefault="00355649" w:rsidP="00D86B33">
      <w:pPr>
        <w:spacing w:after="0" w:line="240" w:lineRule="auto"/>
        <w:ind w:firstLine="562"/>
        <w:contextualSpacing/>
        <w:jc w:val="both"/>
        <w:rPr>
          <w:rFonts w:ascii="Book Antiqua" w:eastAsiaTheme="minorEastAsia" w:hAnsi="Book Antiqua" w:cs="Times New Roman"/>
          <w:bCs/>
          <w:lang w:val="id-ID"/>
        </w:rPr>
      </w:pPr>
    </w:p>
    <w:p w14:paraId="3281E245" w14:textId="2E2A9595" w:rsidR="00D86B33" w:rsidRPr="000D1D54" w:rsidRDefault="00D86B33" w:rsidP="000D1D54">
      <w:pPr>
        <w:pStyle w:val="DaftarParagraf"/>
        <w:numPr>
          <w:ilvl w:val="0"/>
          <w:numId w:val="3"/>
        </w:numPr>
        <w:spacing w:before="240" w:after="0" w:line="240" w:lineRule="auto"/>
        <w:jc w:val="both"/>
        <w:rPr>
          <w:rFonts w:ascii="Book Antiqua" w:eastAsiaTheme="minorEastAsia" w:hAnsi="Book Antiqua" w:cs="Times New Roman"/>
          <w:bCs/>
          <w:lang w:val="id-ID"/>
        </w:rPr>
      </w:pPr>
      <w:r w:rsidRPr="000D1D54">
        <w:rPr>
          <w:rFonts w:ascii="Book Antiqua" w:eastAsiaTheme="minorEastAsia" w:hAnsi="Book Antiqua" w:cs="Times New Roman"/>
          <w:bCs/>
          <w:lang w:val="id-ID"/>
        </w:rPr>
        <w:t>Data Normality Test</w:t>
      </w:r>
    </w:p>
    <w:p w14:paraId="073772E0" w14:textId="77777777" w:rsidR="000D1D54" w:rsidRPr="000D1D54" w:rsidRDefault="000D1D54" w:rsidP="000D1D54">
      <w:pPr>
        <w:spacing w:before="240" w:after="0" w:line="240" w:lineRule="auto"/>
        <w:jc w:val="both"/>
        <w:rPr>
          <w:rFonts w:ascii="Book Antiqua" w:eastAsiaTheme="minorEastAsia" w:hAnsi="Book Antiqua" w:cs="Times New Roman"/>
          <w:bCs/>
          <w:lang w:val="id-ID"/>
        </w:rPr>
      </w:pPr>
    </w:p>
    <w:p w14:paraId="4E88E226" w14:textId="77777777" w:rsidR="000D1D54" w:rsidRPr="000D1D54" w:rsidRDefault="000D1D54" w:rsidP="000D1D54">
      <w:pPr>
        <w:spacing w:before="240" w:after="0" w:line="240" w:lineRule="auto"/>
        <w:jc w:val="both"/>
        <w:rPr>
          <w:rFonts w:ascii="Book Antiqua" w:eastAsiaTheme="minorEastAsia" w:hAnsi="Book Antiqua" w:cs="Times New Roman"/>
          <w:bCs/>
          <w:lang w:val="id-ID"/>
        </w:rPr>
      </w:pPr>
    </w:p>
    <w:p w14:paraId="36FADC47" w14:textId="77777777" w:rsidR="005E6294" w:rsidRPr="000D1D54" w:rsidRDefault="005E6294" w:rsidP="005E6294">
      <w:pPr>
        <w:spacing w:before="240" w:after="0" w:line="240" w:lineRule="auto"/>
        <w:ind w:firstLine="540"/>
        <w:contextualSpacing/>
        <w:jc w:val="both"/>
        <w:rPr>
          <w:rFonts w:ascii="Book Antiqua" w:eastAsiaTheme="minorEastAsia" w:hAnsi="Book Antiqua" w:cs="Times New Roman"/>
          <w:bCs/>
          <w:sz w:val="20"/>
          <w:szCs w:val="20"/>
          <w:lang w:val="id-ID"/>
        </w:rPr>
      </w:pPr>
      <w:r w:rsidRPr="000D1D54">
        <w:rPr>
          <w:rFonts w:ascii="Book Antiqua" w:eastAsiaTheme="minorEastAsia" w:hAnsi="Book Antiqua" w:cs="Times New Roman"/>
          <w:b/>
          <w:sz w:val="20"/>
          <w:szCs w:val="20"/>
          <w:lang w:val="id-ID"/>
        </w:rPr>
        <w:t>Table 4.</w:t>
      </w:r>
      <w:r w:rsidRPr="000D1D54">
        <w:rPr>
          <w:rFonts w:ascii="Book Antiqua" w:eastAsiaTheme="minorEastAsia" w:hAnsi="Book Antiqua" w:cs="Times New Roman"/>
          <w:bCs/>
          <w:sz w:val="20"/>
          <w:szCs w:val="20"/>
          <w:lang w:val="id-ID"/>
        </w:rPr>
        <w:t xml:space="preserve"> Data Normality Test Results</w:t>
      </w:r>
    </w:p>
    <w:p w14:paraId="3AD96743" w14:textId="77777777" w:rsidR="005E6294" w:rsidRDefault="005E6294" w:rsidP="005E6294">
      <w:pPr>
        <w:spacing w:before="240" w:after="0" w:line="240" w:lineRule="auto"/>
        <w:ind w:firstLine="540"/>
        <w:contextualSpacing/>
        <w:jc w:val="both"/>
        <w:rPr>
          <w:rFonts w:ascii="Book Antiqua" w:eastAsiaTheme="minorEastAsia" w:hAnsi="Book Antiqua" w:cs="Times New Roman"/>
          <w:b/>
          <w:sz w:val="20"/>
          <w:szCs w:val="20"/>
          <w:lang w:val="id-ID"/>
        </w:rPr>
      </w:pPr>
    </w:p>
    <w:p w14:paraId="088114FD" w14:textId="7C17DF2B" w:rsidR="000D1D54" w:rsidRPr="005E6294" w:rsidRDefault="005E6294" w:rsidP="005E6294">
      <w:pPr>
        <w:spacing w:before="240" w:after="0" w:line="240" w:lineRule="auto"/>
        <w:ind w:firstLine="540"/>
        <w:contextualSpacing/>
        <w:jc w:val="both"/>
        <w:rPr>
          <w:rFonts w:ascii="Book Antiqua" w:eastAsiaTheme="minorEastAsia" w:hAnsi="Book Antiqua" w:cs="Times New Roman"/>
          <w:bCs/>
          <w:sz w:val="20"/>
          <w:szCs w:val="20"/>
          <w:lang w:val="id-ID"/>
        </w:rPr>
      </w:pPr>
      <w:r w:rsidRPr="000D1D54">
        <w:rPr>
          <w:rFonts w:ascii="Book Antiqua" w:eastAsiaTheme="minorEastAsia" w:hAnsi="Book Antiqua" w:cs="Times New Roman"/>
          <w:b/>
          <w:sz w:val="20"/>
          <w:szCs w:val="20"/>
          <w:lang w:val="id-ID"/>
        </w:rPr>
        <w:t>Table 4.</w:t>
      </w:r>
      <w:r w:rsidRPr="000D1D54">
        <w:rPr>
          <w:rFonts w:ascii="Book Antiqua" w:eastAsiaTheme="minorEastAsia" w:hAnsi="Book Antiqua" w:cs="Times New Roman"/>
          <w:bCs/>
          <w:sz w:val="20"/>
          <w:szCs w:val="20"/>
          <w:lang w:val="id-ID"/>
        </w:rPr>
        <w:t xml:space="preserve"> Data Normality Test Results</w:t>
      </w:r>
    </w:p>
    <w:tbl>
      <w:tblPr>
        <w:tblW w:w="5000" w:type="pct"/>
        <w:tblLook w:val="04A0" w:firstRow="1" w:lastRow="0" w:firstColumn="1" w:lastColumn="0" w:noHBand="0" w:noVBand="1"/>
      </w:tblPr>
      <w:tblGrid>
        <w:gridCol w:w="3103"/>
        <w:gridCol w:w="5652"/>
      </w:tblGrid>
      <w:tr w:rsidR="005E6294" w:rsidRPr="005E6294" w14:paraId="4C92FC35" w14:textId="77777777" w:rsidTr="005E6294">
        <w:trPr>
          <w:trHeight w:val="288"/>
        </w:trPr>
        <w:tc>
          <w:tcPr>
            <w:tcW w:w="1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B82117" w14:textId="77777777" w:rsidR="005E6294" w:rsidRPr="005E6294" w:rsidRDefault="005E6294" w:rsidP="005E6294">
            <w:pPr>
              <w:spacing w:after="0" w:line="240" w:lineRule="auto"/>
              <w:jc w:val="both"/>
              <w:rPr>
                <w:rFonts w:ascii="Book Antiqua" w:eastAsia="Times New Roman" w:hAnsi="Book Antiqua" w:cs="Calibri"/>
                <w:color w:val="000000"/>
                <w:sz w:val="20"/>
                <w:szCs w:val="20"/>
              </w:rPr>
            </w:pPr>
            <w:r w:rsidRPr="005E6294">
              <w:rPr>
                <w:rFonts w:ascii="Book Antiqua" w:eastAsia="Times New Roman" w:hAnsi="Book Antiqua" w:cs="Calibri"/>
                <w:color w:val="000000"/>
                <w:sz w:val="20"/>
                <w:szCs w:val="20"/>
                <w:lang w:val="id-ID"/>
              </w:rPr>
              <w:t> </w:t>
            </w:r>
          </w:p>
        </w:tc>
        <w:tc>
          <w:tcPr>
            <w:tcW w:w="3228" w:type="pct"/>
            <w:tcBorders>
              <w:top w:val="single" w:sz="4" w:space="0" w:color="auto"/>
              <w:left w:val="nil"/>
              <w:bottom w:val="single" w:sz="4" w:space="0" w:color="auto"/>
              <w:right w:val="single" w:sz="4" w:space="0" w:color="auto"/>
            </w:tcBorders>
            <w:shd w:val="clear" w:color="000000" w:fill="FFFFFF"/>
            <w:vAlign w:val="center"/>
            <w:hideMark/>
          </w:tcPr>
          <w:p w14:paraId="2CDA44ED" w14:textId="77777777" w:rsidR="005E6294" w:rsidRPr="005E6294" w:rsidRDefault="005E6294" w:rsidP="005E6294">
            <w:pPr>
              <w:spacing w:after="0" w:line="240" w:lineRule="auto"/>
              <w:jc w:val="both"/>
              <w:rPr>
                <w:rFonts w:ascii="Book Antiqua" w:eastAsia="Times New Roman" w:hAnsi="Book Antiqua" w:cs="Calibri"/>
                <w:b/>
                <w:bCs/>
                <w:color w:val="000000"/>
                <w:sz w:val="20"/>
                <w:szCs w:val="20"/>
              </w:rPr>
            </w:pPr>
            <w:r w:rsidRPr="005E6294">
              <w:rPr>
                <w:rFonts w:ascii="Book Antiqua" w:eastAsia="Times New Roman" w:hAnsi="Book Antiqua" w:cs="Calibri"/>
                <w:b/>
                <w:bCs/>
                <w:color w:val="000000"/>
                <w:sz w:val="20"/>
                <w:szCs w:val="20"/>
                <w:lang w:val="id-ID"/>
              </w:rPr>
              <w:t>Unstandardized Residual</w:t>
            </w:r>
          </w:p>
        </w:tc>
      </w:tr>
      <w:tr w:rsidR="005E6294" w:rsidRPr="005E6294" w14:paraId="076D3A7D" w14:textId="77777777" w:rsidTr="005E6294">
        <w:trPr>
          <w:cantSplit/>
          <w:trHeight w:val="288"/>
        </w:trPr>
        <w:tc>
          <w:tcPr>
            <w:tcW w:w="1772" w:type="pct"/>
            <w:tcBorders>
              <w:top w:val="nil"/>
              <w:left w:val="single" w:sz="4" w:space="0" w:color="auto"/>
              <w:bottom w:val="single" w:sz="4" w:space="0" w:color="auto"/>
              <w:right w:val="single" w:sz="4" w:space="0" w:color="auto"/>
            </w:tcBorders>
            <w:shd w:val="clear" w:color="000000" w:fill="FFFFFF"/>
            <w:vAlign w:val="center"/>
            <w:hideMark/>
          </w:tcPr>
          <w:p w14:paraId="3DE25B5D" w14:textId="77777777" w:rsidR="005E6294" w:rsidRPr="005E6294" w:rsidRDefault="005E6294" w:rsidP="005E6294">
            <w:pPr>
              <w:spacing w:after="0" w:line="240" w:lineRule="auto"/>
              <w:jc w:val="both"/>
              <w:rPr>
                <w:rFonts w:ascii="Book Antiqua" w:eastAsia="Times New Roman" w:hAnsi="Book Antiqua" w:cs="Calibri"/>
                <w:color w:val="000000"/>
                <w:sz w:val="20"/>
                <w:szCs w:val="20"/>
              </w:rPr>
            </w:pPr>
            <w:r w:rsidRPr="005E6294">
              <w:rPr>
                <w:rFonts w:ascii="Book Antiqua" w:eastAsia="Times New Roman" w:hAnsi="Book Antiqua" w:cs="Calibri"/>
                <w:color w:val="000000"/>
                <w:sz w:val="20"/>
                <w:szCs w:val="20"/>
                <w:lang w:val="id-ID"/>
              </w:rPr>
              <w:t>Kolmogorov-Smirnov Z</w:t>
            </w:r>
          </w:p>
        </w:tc>
        <w:tc>
          <w:tcPr>
            <w:tcW w:w="3228" w:type="pct"/>
            <w:tcBorders>
              <w:top w:val="nil"/>
              <w:left w:val="nil"/>
              <w:bottom w:val="single" w:sz="4" w:space="0" w:color="auto"/>
              <w:right w:val="single" w:sz="4" w:space="0" w:color="auto"/>
            </w:tcBorders>
            <w:shd w:val="clear" w:color="000000" w:fill="FFFFFF"/>
            <w:vAlign w:val="center"/>
            <w:hideMark/>
          </w:tcPr>
          <w:p w14:paraId="2FD7DE05" w14:textId="77777777" w:rsidR="005E6294" w:rsidRPr="005E6294" w:rsidRDefault="005E6294" w:rsidP="005E6294">
            <w:pPr>
              <w:spacing w:after="0" w:line="240" w:lineRule="auto"/>
              <w:jc w:val="both"/>
              <w:rPr>
                <w:rFonts w:ascii="Book Antiqua" w:eastAsia="Times New Roman" w:hAnsi="Book Antiqua" w:cs="Calibri"/>
                <w:color w:val="000000"/>
                <w:sz w:val="20"/>
                <w:szCs w:val="20"/>
              </w:rPr>
            </w:pPr>
            <w:r w:rsidRPr="005E6294">
              <w:rPr>
                <w:rFonts w:ascii="Book Antiqua" w:eastAsia="Times New Roman" w:hAnsi="Book Antiqua" w:cs="Calibri"/>
                <w:color w:val="000000"/>
                <w:sz w:val="20"/>
                <w:szCs w:val="20"/>
                <w:lang w:val="id-ID"/>
              </w:rPr>
              <w:t>1,217</w:t>
            </w:r>
          </w:p>
        </w:tc>
      </w:tr>
      <w:tr w:rsidR="005E6294" w:rsidRPr="005E6294" w14:paraId="48F11BE4" w14:textId="77777777" w:rsidTr="005E6294">
        <w:trPr>
          <w:cantSplit/>
          <w:trHeight w:val="288"/>
        </w:trPr>
        <w:tc>
          <w:tcPr>
            <w:tcW w:w="1772" w:type="pct"/>
            <w:tcBorders>
              <w:top w:val="nil"/>
              <w:left w:val="single" w:sz="4" w:space="0" w:color="auto"/>
              <w:bottom w:val="single" w:sz="4" w:space="0" w:color="auto"/>
              <w:right w:val="single" w:sz="4" w:space="0" w:color="auto"/>
            </w:tcBorders>
            <w:shd w:val="clear" w:color="000000" w:fill="FFFFFF"/>
            <w:vAlign w:val="center"/>
            <w:hideMark/>
          </w:tcPr>
          <w:p w14:paraId="04698AA1" w14:textId="77777777" w:rsidR="005E6294" w:rsidRPr="005E6294" w:rsidRDefault="005E6294" w:rsidP="005E6294">
            <w:pPr>
              <w:spacing w:after="0" w:line="240" w:lineRule="auto"/>
              <w:jc w:val="both"/>
              <w:rPr>
                <w:rFonts w:ascii="Book Antiqua" w:eastAsia="Times New Roman" w:hAnsi="Book Antiqua" w:cs="Calibri"/>
                <w:color w:val="000000"/>
                <w:sz w:val="20"/>
                <w:szCs w:val="20"/>
              </w:rPr>
            </w:pPr>
            <w:r w:rsidRPr="005E6294">
              <w:rPr>
                <w:rFonts w:ascii="Book Antiqua" w:eastAsia="Times New Roman" w:hAnsi="Book Antiqua" w:cs="Calibri"/>
                <w:color w:val="000000"/>
                <w:sz w:val="20"/>
                <w:szCs w:val="20"/>
                <w:lang w:val="id-ID"/>
              </w:rPr>
              <w:t>Asymp. Sig. (2-tailed)</w:t>
            </w:r>
          </w:p>
        </w:tc>
        <w:tc>
          <w:tcPr>
            <w:tcW w:w="3228" w:type="pct"/>
            <w:tcBorders>
              <w:top w:val="nil"/>
              <w:left w:val="nil"/>
              <w:bottom w:val="single" w:sz="4" w:space="0" w:color="auto"/>
              <w:right w:val="single" w:sz="4" w:space="0" w:color="auto"/>
            </w:tcBorders>
            <w:shd w:val="clear" w:color="000000" w:fill="FFFFFF"/>
            <w:vAlign w:val="center"/>
            <w:hideMark/>
          </w:tcPr>
          <w:p w14:paraId="5FF80553" w14:textId="77777777" w:rsidR="005E6294" w:rsidRPr="005E6294" w:rsidRDefault="005E6294" w:rsidP="005E6294">
            <w:pPr>
              <w:spacing w:after="0" w:line="240" w:lineRule="auto"/>
              <w:jc w:val="both"/>
              <w:rPr>
                <w:rFonts w:ascii="Book Antiqua" w:eastAsia="Times New Roman" w:hAnsi="Book Antiqua" w:cs="Calibri"/>
                <w:color w:val="000000"/>
                <w:sz w:val="20"/>
                <w:szCs w:val="20"/>
              </w:rPr>
            </w:pPr>
            <w:r w:rsidRPr="005E6294">
              <w:rPr>
                <w:rFonts w:ascii="Book Antiqua" w:eastAsia="Times New Roman" w:hAnsi="Book Antiqua" w:cs="Calibri"/>
                <w:color w:val="000000"/>
                <w:sz w:val="20"/>
                <w:szCs w:val="20"/>
                <w:lang w:val="id-ID"/>
              </w:rPr>
              <w:t>,103</w:t>
            </w:r>
          </w:p>
        </w:tc>
      </w:tr>
    </w:tbl>
    <w:p w14:paraId="667AEF12" w14:textId="77777777" w:rsidR="005E6294" w:rsidRPr="000D1D54" w:rsidRDefault="005E6294" w:rsidP="005E6294">
      <w:pPr>
        <w:pStyle w:val="HTMLSudahDiformat"/>
        <w:shd w:val="clear" w:color="auto" w:fill="F8F9FA"/>
        <w:contextualSpacing/>
        <w:jc w:val="both"/>
        <w:rPr>
          <w:rStyle w:val="y2iqfc"/>
          <w:rFonts w:ascii="Book Antiqua" w:hAnsi="Book Antiqua" w:cs="Times New Roman"/>
          <w:color w:val="202124"/>
          <w:sz w:val="16"/>
          <w:szCs w:val="16"/>
          <w:lang w:val="id-ID"/>
        </w:rPr>
      </w:pPr>
      <w:r w:rsidRPr="000D1D54">
        <w:rPr>
          <w:rStyle w:val="y2iqfc"/>
          <w:rFonts w:ascii="Book Antiqua" w:hAnsi="Book Antiqua" w:cs="Times New Roman"/>
          <w:color w:val="202124"/>
          <w:sz w:val="16"/>
          <w:szCs w:val="16"/>
          <w:lang w:val="id-ID"/>
        </w:rPr>
        <w:t>Source: Output PASW Statistics 18, (Secondary data processed)</w:t>
      </w:r>
    </w:p>
    <w:p w14:paraId="62E9BBA8" w14:textId="77777777" w:rsidR="000D1D54" w:rsidRPr="000D1D54" w:rsidRDefault="000D1D54" w:rsidP="000D1D54">
      <w:pPr>
        <w:spacing w:before="240" w:after="0" w:line="240" w:lineRule="auto"/>
        <w:jc w:val="both"/>
        <w:rPr>
          <w:rFonts w:ascii="Book Antiqua" w:eastAsiaTheme="minorEastAsia" w:hAnsi="Book Antiqua" w:cs="Times New Roman"/>
          <w:bCs/>
          <w:lang w:val="id-ID"/>
        </w:rPr>
      </w:pPr>
    </w:p>
    <w:p w14:paraId="5B163671" w14:textId="77777777" w:rsidR="000D1D54" w:rsidRPr="000D1D54" w:rsidRDefault="000D1D54" w:rsidP="000D1D54">
      <w:pPr>
        <w:spacing w:before="240" w:after="0" w:line="240" w:lineRule="auto"/>
        <w:jc w:val="both"/>
        <w:rPr>
          <w:rFonts w:ascii="Book Antiqua" w:eastAsiaTheme="minorEastAsia" w:hAnsi="Book Antiqua" w:cs="Times New Roman"/>
          <w:bCs/>
          <w:sz w:val="20"/>
          <w:szCs w:val="20"/>
          <w:lang w:val="id-ID"/>
        </w:rPr>
      </w:pPr>
    </w:p>
    <w:p w14:paraId="49C89D66" w14:textId="7E3365D6" w:rsidR="00986B8C" w:rsidRPr="000D1D54" w:rsidRDefault="00D86B33" w:rsidP="000D1D54">
      <w:pPr>
        <w:spacing w:before="240" w:after="0" w:line="240" w:lineRule="auto"/>
        <w:ind w:firstLine="540"/>
        <w:contextualSpacing/>
        <w:jc w:val="both"/>
        <w:rPr>
          <w:rFonts w:ascii="Book Antiqua" w:eastAsiaTheme="minorEastAsia" w:hAnsi="Book Antiqua" w:cs="Times New Roman"/>
          <w:bCs/>
          <w:sz w:val="20"/>
          <w:szCs w:val="20"/>
          <w:lang w:val="id-ID"/>
        </w:rPr>
      </w:pPr>
      <w:r w:rsidRPr="000D1D54">
        <w:rPr>
          <w:rFonts w:ascii="Book Antiqua" w:eastAsiaTheme="minorEastAsia" w:hAnsi="Book Antiqua" w:cs="Times New Roman"/>
          <w:b/>
          <w:sz w:val="20"/>
          <w:szCs w:val="20"/>
          <w:lang w:val="id-ID"/>
        </w:rPr>
        <w:t>Table 4.</w:t>
      </w:r>
      <w:r w:rsidRPr="000D1D54">
        <w:rPr>
          <w:rFonts w:ascii="Book Antiqua" w:eastAsiaTheme="minorEastAsia" w:hAnsi="Book Antiqua" w:cs="Times New Roman"/>
          <w:bCs/>
          <w:sz w:val="20"/>
          <w:szCs w:val="20"/>
          <w:lang w:val="id-ID"/>
        </w:rPr>
        <w:t xml:space="preserve"> Data Normality Test Results</w:t>
      </w:r>
    </w:p>
    <w:tbl>
      <w:tblPr>
        <w:tblpPr w:leftFromText="180" w:rightFromText="180" w:bottomFromText="200" w:vertAnchor="text" w:horzAnchor="margin" w:tblpXSpec="center" w:tblpY="79"/>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42"/>
        <w:gridCol w:w="4253"/>
        <w:gridCol w:w="46"/>
      </w:tblGrid>
      <w:tr w:rsidR="00986B8C" w:rsidRPr="000D1D54" w14:paraId="108B56FB" w14:textId="77777777" w:rsidTr="005E6294">
        <w:trPr>
          <w:gridAfter w:val="1"/>
          <w:wAfter w:w="46" w:type="dxa"/>
          <w:cantSplit/>
          <w:trHeight w:val="407"/>
          <w:tblHeader/>
        </w:trPr>
        <w:tc>
          <w:tcPr>
            <w:tcW w:w="4542" w:type="dxa"/>
            <w:shd w:val="clear" w:color="auto" w:fill="FFFFFF"/>
            <w:vAlign w:val="center"/>
          </w:tcPr>
          <w:p w14:paraId="304B33EA" w14:textId="77777777" w:rsidR="00986B8C" w:rsidRPr="000D1D54" w:rsidRDefault="00986B8C" w:rsidP="002F2700">
            <w:pPr>
              <w:autoSpaceDE w:val="0"/>
              <w:autoSpaceDN w:val="0"/>
              <w:adjustRightInd w:val="0"/>
              <w:spacing w:line="240" w:lineRule="auto"/>
              <w:contextualSpacing/>
              <w:jc w:val="both"/>
              <w:rPr>
                <w:rFonts w:ascii="Book Antiqua" w:hAnsi="Book Antiqua" w:cs="Times New Roman"/>
                <w:sz w:val="20"/>
                <w:szCs w:val="20"/>
                <w:lang w:val="id-ID"/>
              </w:rPr>
            </w:pPr>
          </w:p>
        </w:tc>
        <w:tc>
          <w:tcPr>
            <w:tcW w:w="4253" w:type="dxa"/>
            <w:shd w:val="clear" w:color="auto" w:fill="FFFFFF"/>
            <w:vAlign w:val="center"/>
            <w:hideMark/>
          </w:tcPr>
          <w:p w14:paraId="50135406" w14:textId="77777777" w:rsidR="00986B8C" w:rsidRPr="000D1D54" w:rsidRDefault="00986B8C" w:rsidP="002F2700">
            <w:pPr>
              <w:autoSpaceDE w:val="0"/>
              <w:autoSpaceDN w:val="0"/>
              <w:adjustRightInd w:val="0"/>
              <w:spacing w:line="240" w:lineRule="auto"/>
              <w:ind w:left="60" w:right="60"/>
              <w:contextualSpacing/>
              <w:jc w:val="both"/>
              <w:rPr>
                <w:rFonts w:ascii="Book Antiqua" w:hAnsi="Book Antiqua" w:cs="Times New Roman"/>
                <w:b/>
                <w:color w:val="000000"/>
                <w:sz w:val="20"/>
                <w:szCs w:val="20"/>
                <w:lang w:val="id-ID"/>
              </w:rPr>
            </w:pPr>
            <w:r w:rsidRPr="000D1D54">
              <w:rPr>
                <w:rFonts w:ascii="Book Antiqua" w:hAnsi="Book Antiqua" w:cs="Times New Roman"/>
                <w:b/>
                <w:color w:val="000000"/>
                <w:sz w:val="20"/>
                <w:szCs w:val="20"/>
                <w:lang w:val="id-ID"/>
              </w:rPr>
              <w:t>Unstandardized Residual</w:t>
            </w:r>
          </w:p>
        </w:tc>
      </w:tr>
      <w:tr w:rsidR="00986B8C" w:rsidRPr="000D1D54" w14:paraId="0493BB00" w14:textId="77777777" w:rsidTr="005E6294">
        <w:trPr>
          <w:gridAfter w:val="1"/>
          <w:wAfter w:w="46" w:type="dxa"/>
          <w:cantSplit/>
          <w:trHeight w:val="210"/>
          <w:tblHeader/>
        </w:trPr>
        <w:tc>
          <w:tcPr>
            <w:tcW w:w="4542" w:type="dxa"/>
            <w:shd w:val="clear" w:color="auto" w:fill="FFFFFF"/>
            <w:hideMark/>
          </w:tcPr>
          <w:p w14:paraId="4C9484C5" w14:textId="77777777" w:rsidR="00986B8C" w:rsidRPr="000D1D54" w:rsidRDefault="00986B8C" w:rsidP="002F2700">
            <w:pPr>
              <w:autoSpaceDE w:val="0"/>
              <w:autoSpaceDN w:val="0"/>
              <w:adjustRightInd w:val="0"/>
              <w:spacing w:line="240" w:lineRule="auto"/>
              <w:ind w:left="60" w:right="60"/>
              <w:contextualSpacing/>
              <w:jc w:val="both"/>
              <w:rPr>
                <w:rFonts w:ascii="Book Antiqua" w:hAnsi="Book Antiqua" w:cs="Times New Roman"/>
                <w:color w:val="000000"/>
                <w:sz w:val="20"/>
                <w:szCs w:val="20"/>
                <w:lang w:val="id-ID"/>
              </w:rPr>
            </w:pPr>
            <w:r w:rsidRPr="000D1D54">
              <w:rPr>
                <w:rFonts w:ascii="Book Antiqua" w:hAnsi="Book Antiqua" w:cs="Times New Roman"/>
                <w:color w:val="000000"/>
                <w:sz w:val="20"/>
                <w:szCs w:val="20"/>
                <w:lang w:val="id-ID"/>
              </w:rPr>
              <w:t>Kolmogorov-Smirnov Z</w:t>
            </w:r>
          </w:p>
        </w:tc>
        <w:tc>
          <w:tcPr>
            <w:tcW w:w="4253" w:type="dxa"/>
            <w:shd w:val="clear" w:color="auto" w:fill="FFFFFF"/>
            <w:hideMark/>
          </w:tcPr>
          <w:p w14:paraId="78B64C22" w14:textId="77777777" w:rsidR="00986B8C" w:rsidRPr="000D1D54" w:rsidRDefault="00986B8C" w:rsidP="002F2700">
            <w:pPr>
              <w:autoSpaceDE w:val="0"/>
              <w:autoSpaceDN w:val="0"/>
              <w:adjustRightInd w:val="0"/>
              <w:spacing w:line="240" w:lineRule="auto"/>
              <w:ind w:left="60" w:right="60"/>
              <w:contextualSpacing/>
              <w:jc w:val="both"/>
              <w:rPr>
                <w:rFonts w:ascii="Book Antiqua" w:hAnsi="Book Antiqua" w:cs="Times New Roman"/>
                <w:color w:val="000000"/>
                <w:sz w:val="20"/>
                <w:szCs w:val="20"/>
                <w:lang w:val="id-ID"/>
              </w:rPr>
            </w:pPr>
            <w:r w:rsidRPr="000D1D54">
              <w:rPr>
                <w:rFonts w:ascii="Book Antiqua" w:hAnsi="Book Antiqua" w:cs="Times New Roman"/>
                <w:color w:val="000000"/>
                <w:sz w:val="20"/>
                <w:szCs w:val="20"/>
                <w:lang w:val="id-ID"/>
              </w:rPr>
              <w:t>1,217</w:t>
            </w:r>
          </w:p>
        </w:tc>
      </w:tr>
      <w:tr w:rsidR="00986B8C" w:rsidRPr="000D1D54" w14:paraId="55120DB4" w14:textId="77777777" w:rsidTr="005E6294">
        <w:trPr>
          <w:gridAfter w:val="1"/>
          <w:wAfter w:w="46" w:type="dxa"/>
          <w:cantSplit/>
          <w:trHeight w:val="429"/>
          <w:tblHeader/>
        </w:trPr>
        <w:tc>
          <w:tcPr>
            <w:tcW w:w="4542" w:type="dxa"/>
            <w:shd w:val="clear" w:color="auto" w:fill="FFFFFF"/>
            <w:hideMark/>
          </w:tcPr>
          <w:p w14:paraId="3279B236" w14:textId="77777777" w:rsidR="00986B8C" w:rsidRPr="000D1D54" w:rsidRDefault="00986B8C" w:rsidP="002F2700">
            <w:pPr>
              <w:autoSpaceDE w:val="0"/>
              <w:autoSpaceDN w:val="0"/>
              <w:adjustRightInd w:val="0"/>
              <w:spacing w:line="240" w:lineRule="auto"/>
              <w:ind w:left="60" w:right="60"/>
              <w:contextualSpacing/>
              <w:jc w:val="both"/>
              <w:rPr>
                <w:rFonts w:ascii="Book Antiqua" w:hAnsi="Book Antiqua" w:cs="Times New Roman"/>
                <w:color w:val="000000"/>
                <w:sz w:val="20"/>
                <w:szCs w:val="20"/>
                <w:lang w:val="id-ID"/>
              </w:rPr>
            </w:pPr>
            <w:r w:rsidRPr="000D1D54">
              <w:rPr>
                <w:rFonts w:ascii="Book Antiqua" w:hAnsi="Book Antiqua" w:cs="Times New Roman"/>
                <w:color w:val="000000"/>
                <w:sz w:val="20"/>
                <w:szCs w:val="20"/>
                <w:lang w:val="id-ID"/>
              </w:rPr>
              <w:t>Asymp. Sig. (2-tailed)</w:t>
            </w:r>
          </w:p>
        </w:tc>
        <w:tc>
          <w:tcPr>
            <w:tcW w:w="4253" w:type="dxa"/>
            <w:shd w:val="clear" w:color="auto" w:fill="FFFFFF"/>
            <w:hideMark/>
          </w:tcPr>
          <w:p w14:paraId="01B698D6" w14:textId="77777777" w:rsidR="00986B8C" w:rsidRPr="000D1D54" w:rsidRDefault="00986B8C" w:rsidP="002F2700">
            <w:pPr>
              <w:autoSpaceDE w:val="0"/>
              <w:autoSpaceDN w:val="0"/>
              <w:adjustRightInd w:val="0"/>
              <w:spacing w:line="240" w:lineRule="auto"/>
              <w:ind w:left="60" w:right="60"/>
              <w:contextualSpacing/>
              <w:jc w:val="both"/>
              <w:rPr>
                <w:rFonts w:ascii="Book Antiqua" w:hAnsi="Book Antiqua" w:cs="Times New Roman"/>
                <w:color w:val="000000"/>
                <w:sz w:val="20"/>
                <w:szCs w:val="20"/>
                <w:lang w:val="id-ID"/>
              </w:rPr>
            </w:pPr>
            <w:r w:rsidRPr="000D1D54">
              <w:rPr>
                <w:rFonts w:ascii="Book Antiqua" w:hAnsi="Book Antiqua" w:cs="Times New Roman"/>
                <w:color w:val="000000"/>
                <w:sz w:val="20"/>
                <w:szCs w:val="20"/>
                <w:lang w:val="id-ID"/>
              </w:rPr>
              <w:t>,103</w:t>
            </w:r>
          </w:p>
        </w:tc>
      </w:tr>
      <w:tr w:rsidR="00986B8C" w:rsidRPr="000D1D54" w14:paraId="76322FA8" w14:textId="77777777" w:rsidTr="005E6294">
        <w:trPr>
          <w:cantSplit/>
          <w:trHeight w:val="364"/>
          <w:tblHeader/>
        </w:trPr>
        <w:tc>
          <w:tcPr>
            <w:tcW w:w="8841" w:type="dxa"/>
            <w:gridSpan w:val="3"/>
            <w:shd w:val="clear" w:color="auto" w:fill="FFFFFF"/>
            <w:vAlign w:val="center"/>
          </w:tcPr>
          <w:p w14:paraId="3231CCCB" w14:textId="77777777" w:rsidR="00986B8C" w:rsidRPr="000D1D54" w:rsidRDefault="00986B8C" w:rsidP="002F2700">
            <w:pPr>
              <w:pStyle w:val="HTMLSudahDiformat"/>
              <w:shd w:val="clear" w:color="auto" w:fill="F8F9FA"/>
              <w:contextualSpacing/>
              <w:jc w:val="both"/>
              <w:rPr>
                <w:rStyle w:val="y2iqfc"/>
                <w:rFonts w:ascii="Book Antiqua" w:hAnsi="Book Antiqua" w:cs="Times New Roman"/>
                <w:color w:val="202124"/>
                <w:lang w:val="id-ID"/>
              </w:rPr>
            </w:pPr>
          </w:p>
          <w:p w14:paraId="448FA307" w14:textId="77777777" w:rsidR="00986B8C" w:rsidRPr="000D1D54" w:rsidRDefault="00986B8C" w:rsidP="002F2700">
            <w:pPr>
              <w:pStyle w:val="HTMLSudahDiformat"/>
              <w:shd w:val="clear" w:color="auto" w:fill="F8F9FA"/>
              <w:contextualSpacing/>
              <w:jc w:val="both"/>
              <w:rPr>
                <w:rStyle w:val="y2iqfc"/>
                <w:rFonts w:ascii="Book Antiqua" w:hAnsi="Book Antiqua" w:cs="Times New Roman"/>
                <w:color w:val="202124"/>
                <w:sz w:val="22"/>
                <w:szCs w:val="22"/>
                <w:lang w:val="id-ID"/>
              </w:rPr>
            </w:pPr>
          </w:p>
          <w:p w14:paraId="098A9E1B" w14:textId="7EF49CCF" w:rsidR="003C6700" w:rsidRPr="003C6700" w:rsidRDefault="00986B8C" w:rsidP="003C6700">
            <w:pPr>
              <w:pStyle w:val="HTMLSudahDiformat"/>
              <w:numPr>
                <w:ilvl w:val="0"/>
                <w:numId w:val="3"/>
              </w:numPr>
              <w:shd w:val="clear" w:color="auto" w:fill="F8F9FA"/>
              <w:contextualSpacing/>
              <w:jc w:val="both"/>
              <w:rPr>
                <w:rFonts w:ascii="Book Antiqua" w:hAnsi="Book Antiqua" w:cs="Times New Roman"/>
                <w:color w:val="202124"/>
                <w:sz w:val="22"/>
                <w:szCs w:val="22"/>
                <w:lang w:val="id-ID"/>
              </w:rPr>
            </w:pPr>
            <w:r w:rsidRPr="000D1D54">
              <w:rPr>
                <w:rStyle w:val="y2iqfc"/>
                <w:rFonts w:ascii="Book Antiqua" w:hAnsi="Book Antiqua" w:cs="Times New Roman"/>
                <w:color w:val="202124"/>
                <w:sz w:val="22"/>
                <w:szCs w:val="22"/>
                <w:lang w:val="id-ID"/>
              </w:rPr>
              <w:t>Multicollinearity Test</w:t>
            </w:r>
          </w:p>
          <w:p w14:paraId="7F21AAF9" w14:textId="02B69409" w:rsidR="00986B8C" w:rsidRPr="003C6700" w:rsidRDefault="00986B8C" w:rsidP="002F2700">
            <w:pPr>
              <w:pStyle w:val="HTMLSudahDiformat"/>
              <w:shd w:val="clear" w:color="auto" w:fill="F8F9FA"/>
              <w:contextualSpacing/>
              <w:jc w:val="both"/>
              <w:rPr>
                <w:rStyle w:val="y2iqfc"/>
                <w:rFonts w:ascii="Book Antiqua" w:hAnsi="Book Antiqua" w:cs="Times New Roman"/>
                <w:color w:val="202124"/>
                <w:lang w:val="id-ID"/>
              </w:rPr>
            </w:pPr>
          </w:p>
          <w:p w14:paraId="49A9125C" w14:textId="3159BFD0" w:rsidR="00986B8C" w:rsidRPr="000D1D54" w:rsidRDefault="009E7D3B" w:rsidP="002F2700">
            <w:pPr>
              <w:pStyle w:val="HTMLSudahDiformat"/>
              <w:shd w:val="clear" w:color="auto" w:fill="F8F9FA"/>
              <w:contextualSpacing/>
              <w:jc w:val="both"/>
              <w:rPr>
                <w:rFonts w:ascii="Book Antiqua" w:hAnsi="Book Antiqua" w:cs="Times New Roman"/>
                <w:bCs/>
                <w:iCs/>
                <w:lang w:val="id-ID"/>
              </w:rPr>
            </w:pPr>
            <w:r w:rsidRPr="00C63B5A">
              <w:rPr>
                <w:rStyle w:val="y2iqfc"/>
                <w:rFonts w:ascii="Book Antiqua" w:hAnsi="Book Antiqua" w:cs="Times New Roman"/>
                <w:b/>
                <w:bCs/>
                <w:color w:val="202124"/>
                <w:lang w:val="id-ID"/>
              </w:rPr>
              <w:t>Table 5.</w:t>
            </w:r>
            <w:r w:rsidRPr="003C6700">
              <w:rPr>
                <w:rStyle w:val="y2iqfc"/>
                <w:rFonts w:ascii="Book Antiqua" w:hAnsi="Book Antiqua" w:cs="Times New Roman"/>
                <w:color w:val="202124"/>
                <w:lang w:val="id-ID"/>
              </w:rPr>
              <w:t xml:space="preserve"> Multicollinearity Test Results</w:t>
            </w:r>
          </w:p>
        </w:tc>
      </w:tr>
    </w:tbl>
    <w:tbl>
      <w:tblPr>
        <w:tblpPr w:leftFromText="180" w:rightFromText="180" w:vertAnchor="page" w:horzAnchor="margin" w:tblpY="1"/>
        <w:tblOverlap w:val="neve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8"/>
        <w:gridCol w:w="3074"/>
        <w:gridCol w:w="2441"/>
        <w:gridCol w:w="2423"/>
      </w:tblGrid>
      <w:tr w:rsidR="00355649" w:rsidRPr="009E7D3B" w14:paraId="6BD7F27D" w14:textId="77777777" w:rsidTr="005E6294">
        <w:trPr>
          <w:cantSplit/>
          <w:trHeight w:val="384"/>
          <w:tblHeader/>
        </w:trPr>
        <w:tc>
          <w:tcPr>
            <w:tcW w:w="3712" w:type="dxa"/>
            <w:gridSpan w:val="2"/>
            <w:vMerge w:val="restart"/>
            <w:shd w:val="clear" w:color="auto" w:fill="FFFFFF"/>
            <w:vAlign w:val="center"/>
            <w:hideMark/>
          </w:tcPr>
          <w:p w14:paraId="729C36C7" w14:textId="77777777" w:rsidR="00355649" w:rsidRPr="009E7D3B" w:rsidRDefault="00355649" w:rsidP="002F2700">
            <w:pPr>
              <w:autoSpaceDE w:val="0"/>
              <w:autoSpaceDN w:val="0"/>
              <w:adjustRightInd w:val="0"/>
              <w:spacing w:line="240" w:lineRule="auto"/>
              <w:ind w:left="60" w:right="60"/>
              <w:contextualSpacing/>
              <w:rPr>
                <w:rFonts w:ascii="Book Antiqua" w:hAnsi="Book Antiqua" w:cs="Times New Roman"/>
                <w:b/>
                <w:color w:val="000000"/>
              </w:rPr>
            </w:pPr>
            <w:r w:rsidRPr="009E7D3B">
              <w:rPr>
                <w:rFonts w:ascii="Book Antiqua" w:hAnsi="Book Antiqua" w:cs="Times New Roman"/>
                <w:b/>
                <w:color w:val="000000"/>
              </w:rPr>
              <w:t>Model</w:t>
            </w:r>
          </w:p>
        </w:tc>
        <w:tc>
          <w:tcPr>
            <w:tcW w:w="4864" w:type="dxa"/>
            <w:gridSpan w:val="2"/>
            <w:shd w:val="clear" w:color="auto" w:fill="FFFFFF"/>
            <w:vAlign w:val="center"/>
            <w:hideMark/>
          </w:tcPr>
          <w:p w14:paraId="6DEE58F7" w14:textId="77777777" w:rsidR="00355649" w:rsidRPr="009E7D3B" w:rsidRDefault="00355649" w:rsidP="002F2700">
            <w:pPr>
              <w:autoSpaceDE w:val="0"/>
              <w:autoSpaceDN w:val="0"/>
              <w:adjustRightInd w:val="0"/>
              <w:spacing w:line="240" w:lineRule="auto"/>
              <w:ind w:left="60" w:right="60"/>
              <w:contextualSpacing/>
              <w:rPr>
                <w:rFonts w:ascii="Book Antiqua" w:hAnsi="Book Antiqua" w:cs="Times New Roman"/>
                <w:b/>
                <w:color w:val="000000"/>
              </w:rPr>
            </w:pPr>
            <w:r w:rsidRPr="009E7D3B">
              <w:rPr>
                <w:rFonts w:ascii="Book Antiqua" w:hAnsi="Book Antiqua" w:cs="Times New Roman"/>
                <w:b/>
                <w:color w:val="000000"/>
              </w:rPr>
              <w:t>Collinearity Statistics</w:t>
            </w:r>
          </w:p>
        </w:tc>
      </w:tr>
      <w:tr w:rsidR="00355649" w:rsidRPr="009E7D3B" w14:paraId="1DCEDF6C" w14:textId="77777777" w:rsidTr="005E6294">
        <w:trPr>
          <w:cantSplit/>
          <w:trHeight w:val="144"/>
          <w:tblHeader/>
        </w:trPr>
        <w:tc>
          <w:tcPr>
            <w:tcW w:w="3712" w:type="dxa"/>
            <w:gridSpan w:val="2"/>
            <w:vMerge/>
            <w:vAlign w:val="center"/>
            <w:hideMark/>
          </w:tcPr>
          <w:p w14:paraId="567EA1DD" w14:textId="77777777" w:rsidR="00355649" w:rsidRPr="009E7D3B" w:rsidRDefault="00355649" w:rsidP="002F2700">
            <w:pPr>
              <w:spacing w:line="240" w:lineRule="auto"/>
              <w:contextualSpacing/>
              <w:rPr>
                <w:rFonts w:ascii="Book Antiqua" w:hAnsi="Book Antiqua" w:cs="Times New Roman"/>
                <w:b/>
                <w:color w:val="000000"/>
              </w:rPr>
            </w:pPr>
          </w:p>
        </w:tc>
        <w:tc>
          <w:tcPr>
            <w:tcW w:w="2441" w:type="dxa"/>
            <w:shd w:val="clear" w:color="auto" w:fill="FFFFFF"/>
            <w:vAlign w:val="bottom"/>
            <w:hideMark/>
          </w:tcPr>
          <w:p w14:paraId="5314903F" w14:textId="77777777" w:rsidR="00355649" w:rsidRPr="009E7D3B" w:rsidRDefault="00355649" w:rsidP="002F2700">
            <w:pPr>
              <w:autoSpaceDE w:val="0"/>
              <w:autoSpaceDN w:val="0"/>
              <w:adjustRightInd w:val="0"/>
              <w:spacing w:line="240" w:lineRule="auto"/>
              <w:ind w:left="60" w:right="60"/>
              <w:contextualSpacing/>
              <w:rPr>
                <w:rFonts w:ascii="Book Antiqua" w:hAnsi="Book Antiqua" w:cs="Times New Roman"/>
                <w:b/>
                <w:color w:val="000000"/>
              </w:rPr>
            </w:pPr>
            <w:r w:rsidRPr="009E7D3B">
              <w:rPr>
                <w:rFonts w:ascii="Book Antiqua" w:hAnsi="Book Antiqua" w:cs="Times New Roman"/>
                <w:b/>
                <w:color w:val="000000"/>
              </w:rPr>
              <w:t>Tolerance</w:t>
            </w:r>
          </w:p>
        </w:tc>
        <w:tc>
          <w:tcPr>
            <w:tcW w:w="2423" w:type="dxa"/>
            <w:shd w:val="clear" w:color="auto" w:fill="FFFFFF"/>
            <w:vAlign w:val="bottom"/>
            <w:hideMark/>
          </w:tcPr>
          <w:p w14:paraId="56EEAF7B" w14:textId="77777777" w:rsidR="00355649" w:rsidRPr="009E7D3B" w:rsidRDefault="00355649" w:rsidP="002F2700">
            <w:pPr>
              <w:autoSpaceDE w:val="0"/>
              <w:autoSpaceDN w:val="0"/>
              <w:adjustRightInd w:val="0"/>
              <w:spacing w:line="240" w:lineRule="auto"/>
              <w:ind w:left="60" w:right="60"/>
              <w:contextualSpacing/>
              <w:rPr>
                <w:rFonts w:ascii="Book Antiqua" w:hAnsi="Book Antiqua" w:cs="Times New Roman"/>
                <w:b/>
                <w:color w:val="000000"/>
              </w:rPr>
            </w:pPr>
            <w:r w:rsidRPr="009E7D3B">
              <w:rPr>
                <w:rFonts w:ascii="Book Antiqua" w:hAnsi="Book Antiqua" w:cs="Times New Roman"/>
                <w:b/>
                <w:color w:val="000000"/>
              </w:rPr>
              <w:t>VIF</w:t>
            </w:r>
          </w:p>
        </w:tc>
      </w:tr>
      <w:tr w:rsidR="00355649" w:rsidRPr="009E7D3B" w14:paraId="4EED2F32" w14:textId="77777777" w:rsidTr="005E6294">
        <w:trPr>
          <w:cantSplit/>
          <w:trHeight w:val="508"/>
          <w:tblHeader/>
        </w:trPr>
        <w:tc>
          <w:tcPr>
            <w:tcW w:w="638" w:type="dxa"/>
            <w:vMerge w:val="restart"/>
            <w:shd w:val="clear" w:color="auto" w:fill="FFFFFF"/>
            <w:hideMark/>
          </w:tcPr>
          <w:p w14:paraId="245DEEA1" w14:textId="77777777" w:rsidR="00355649" w:rsidRPr="009E7D3B" w:rsidRDefault="00355649" w:rsidP="002F2700">
            <w:pPr>
              <w:autoSpaceDE w:val="0"/>
              <w:autoSpaceDN w:val="0"/>
              <w:adjustRightInd w:val="0"/>
              <w:spacing w:line="240" w:lineRule="auto"/>
              <w:ind w:left="60" w:right="60"/>
              <w:contextualSpacing/>
              <w:rPr>
                <w:rFonts w:ascii="Book Antiqua" w:hAnsi="Book Antiqua" w:cs="Times New Roman"/>
                <w:color w:val="000000"/>
              </w:rPr>
            </w:pPr>
            <w:r w:rsidRPr="009E7D3B">
              <w:rPr>
                <w:rFonts w:ascii="Book Antiqua" w:hAnsi="Book Antiqua" w:cs="Times New Roman"/>
                <w:color w:val="000000"/>
              </w:rPr>
              <w:t>1</w:t>
            </w:r>
          </w:p>
        </w:tc>
        <w:tc>
          <w:tcPr>
            <w:tcW w:w="3074" w:type="dxa"/>
            <w:shd w:val="clear" w:color="auto" w:fill="FFFFFF"/>
            <w:hideMark/>
          </w:tcPr>
          <w:p w14:paraId="42985966" w14:textId="77777777" w:rsidR="00355649" w:rsidRPr="009E7D3B" w:rsidRDefault="00355649" w:rsidP="002F2700">
            <w:pPr>
              <w:autoSpaceDE w:val="0"/>
              <w:autoSpaceDN w:val="0"/>
              <w:adjustRightInd w:val="0"/>
              <w:spacing w:line="240" w:lineRule="auto"/>
              <w:ind w:left="60" w:right="60"/>
              <w:contextualSpacing/>
              <w:rPr>
                <w:rFonts w:ascii="Book Antiqua" w:hAnsi="Book Antiqua" w:cs="Times New Roman"/>
                <w:color w:val="000000"/>
              </w:rPr>
            </w:pPr>
            <w:r w:rsidRPr="009E7D3B">
              <w:rPr>
                <w:rFonts w:ascii="Book Antiqua" w:hAnsi="Book Antiqua" w:cs="Times New Roman"/>
                <w:color w:val="000000"/>
              </w:rPr>
              <w:t>(Constant)</w:t>
            </w:r>
          </w:p>
        </w:tc>
        <w:tc>
          <w:tcPr>
            <w:tcW w:w="2441" w:type="dxa"/>
            <w:shd w:val="clear" w:color="auto" w:fill="FFFFFF"/>
            <w:vAlign w:val="center"/>
          </w:tcPr>
          <w:p w14:paraId="69AA7FC2" w14:textId="77777777" w:rsidR="00355649" w:rsidRPr="009E7D3B" w:rsidRDefault="00355649" w:rsidP="002F2700">
            <w:pPr>
              <w:autoSpaceDE w:val="0"/>
              <w:autoSpaceDN w:val="0"/>
              <w:adjustRightInd w:val="0"/>
              <w:spacing w:line="240" w:lineRule="auto"/>
              <w:contextualSpacing/>
              <w:rPr>
                <w:rFonts w:ascii="Book Antiqua" w:hAnsi="Book Antiqua" w:cs="Times New Roman"/>
              </w:rPr>
            </w:pPr>
          </w:p>
        </w:tc>
        <w:tc>
          <w:tcPr>
            <w:tcW w:w="2423" w:type="dxa"/>
            <w:shd w:val="clear" w:color="auto" w:fill="FFFFFF"/>
            <w:vAlign w:val="center"/>
          </w:tcPr>
          <w:p w14:paraId="4CF43049" w14:textId="77777777" w:rsidR="00355649" w:rsidRPr="009E7D3B" w:rsidRDefault="00355649" w:rsidP="002F2700">
            <w:pPr>
              <w:autoSpaceDE w:val="0"/>
              <w:autoSpaceDN w:val="0"/>
              <w:adjustRightInd w:val="0"/>
              <w:spacing w:line="240" w:lineRule="auto"/>
              <w:contextualSpacing/>
              <w:rPr>
                <w:rFonts w:ascii="Book Antiqua" w:hAnsi="Book Antiqua" w:cs="Times New Roman"/>
              </w:rPr>
            </w:pPr>
          </w:p>
        </w:tc>
      </w:tr>
      <w:tr w:rsidR="00355649" w:rsidRPr="009E7D3B" w14:paraId="08D99B1F" w14:textId="77777777" w:rsidTr="005E6294">
        <w:trPr>
          <w:cantSplit/>
          <w:trHeight w:val="233"/>
          <w:tblHeader/>
        </w:trPr>
        <w:tc>
          <w:tcPr>
            <w:tcW w:w="638" w:type="dxa"/>
            <w:vMerge/>
            <w:vAlign w:val="center"/>
            <w:hideMark/>
          </w:tcPr>
          <w:p w14:paraId="7C38605C" w14:textId="77777777" w:rsidR="00355649" w:rsidRPr="009E7D3B" w:rsidRDefault="00355649" w:rsidP="002F2700">
            <w:pPr>
              <w:spacing w:line="240" w:lineRule="auto"/>
              <w:contextualSpacing/>
              <w:rPr>
                <w:rFonts w:ascii="Book Antiqua" w:hAnsi="Book Antiqua" w:cs="Times New Roman"/>
                <w:color w:val="000000"/>
              </w:rPr>
            </w:pPr>
          </w:p>
        </w:tc>
        <w:tc>
          <w:tcPr>
            <w:tcW w:w="3074" w:type="dxa"/>
            <w:shd w:val="clear" w:color="auto" w:fill="FFFFFF"/>
            <w:hideMark/>
          </w:tcPr>
          <w:p w14:paraId="19D5A967" w14:textId="77777777" w:rsidR="00355649" w:rsidRPr="009E7D3B" w:rsidRDefault="00355649" w:rsidP="002F2700">
            <w:pPr>
              <w:autoSpaceDE w:val="0"/>
              <w:autoSpaceDN w:val="0"/>
              <w:adjustRightInd w:val="0"/>
              <w:spacing w:line="240" w:lineRule="auto"/>
              <w:ind w:left="60" w:right="60"/>
              <w:contextualSpacing/>
              <w:rPr>
                <w:rFonts w:ascii="Book Antiqua" w:hAnsi="Book Antiqua" w:cs="Times New Roman"/>
                <w:color w:val="000000"/>
              </w:rPr>
            </w:pPr>
            <w:r w:rsidRPr="009E7D3B">
              <w:rPr>
                <w:rFonts w:ascii="Book Antiqua" w:hAnsi="Book Antiqua" w:cs="Times New Roman"/>
                <w:color w:val="000000"/>
              </w:rPr>
              <w:t>EPS</w:t>
            </w:r>
          </w:p>
        </w:tc>
        <w:tc>
          <w:tcPr>
            <w:tcW w:w="2441" w:type="dxa"/>
            <w:shd w:val="clear" w:color="auto" w:fill="FFFFFF"/>
            <w:hideMark/>
          </w:tcPr>
          <w:p w14:paraId="34D09130" w14:textId="77777777" w:rsidR="00355649" w:rsidRPr="009E7D3B" w:rsidRDefault="00355649" w:rsidP="002F2700">
            <w:pPr>
              <w:autoSpaceDE w:val="0"/>
              <w:autoSpaceDN w:val="0"/>
              <w:adjustRightInd w:val="0"/>
              <w:spacing w:line="240" w:lineRule="auto"/>
              <w:ind w:left="60" w:right="60"/>
              <w:contextualSpacing/>
              <w:jc w:val="right"/>
              <w:rPr>
                <w:rFonts w:ascii="Book Antiqua" w:hAnsi="Book Antiqua" w:cs="Times New Roman"/>
                <w:color w:val="000000"/>
              </w:rPr>
            </w:pPr>
            <w:r w:rsidRPr="009E7D3B">
              <w:rPr>
                <w:rFonts w:ascii="Book Antiqua" w:hAnsi="Book Antiqua" w:cs="Times New Roman"/>
                <w:color w:val="000000"/>
              </w:rPr>
              <w:t>,588</w:t>
            </w:r>
          </w:p>
        </w:tc>
        <w:tc>
          <w:tcPr>
            <w:tcW w:w="2423" w:type="dxa"/>
            <w:shd w:val="clear" w:color="auto" w:fill="FFFFFF"/>
            <w:hideMark/>
          </w:tcPr>
          <w:p w14:paraId="405E9DD4" w14:textId="77777777" w:rsidR="00355649" w:rsidRPr="009E7D3B" w:rsidRDefault="00355649" w:rsidP="002F2700">
            <w:pPr>
              <w:autoSpaceDE w:val="0"/>
              <w:autoSpaceDN w:val="0"/>
              <w:adjustRightInd w:val="0"/>
              <w:spacing w:line="240" w:lineRule="auto"/>
              <w:ind w:left="60" w:right="60"/>
              <w:contextualSpacing/>
              <w:jc w:val="right"/>
              <w:rPr>
                <w:rFonts w:ascii="Book Antiqua" w:hAnsi="Book Antiqua" w:cs="Times New Roman"/>
                <w:color w:val="000000"/>
              </w:rPr>
            </w:pPr>
            <w:r w:rsidRPr="009E7D3B">
              <w:rPr>
                <w:rFonts w:ascii="Book Antiqua" w:hAnsi="Book Antiqua" w:cs="Times New Roman"/>
                <w:color w:val="000000"/>
              </w:rPr>
              <w:t>1,700</w:t>
            </w:r>
          </w:p>
        </w:tc>
      </w:tr>
      <w:tr w:rsidR="00355649" w:rsidRPr="009E7D3B" w14:paraId="0412C0BC" w14:textId="77777777" w:rsidTr="005E6294">
        <w:trPr>
          <w:cantSplit/>
          <w:trHeight w:val="233"/>
          <w:tblHeader/>
        </w:trPr>
        <w:tc>
          <w:tcPr>
            <w:tcW w:w="638" w:type="dxa"/>
            <w:vMerge/>
            <w:vAlign w:val="center"/>
            <w:hideMark/>
          </w:tcPr>
          <w:p w14:paraId="1F20A438" w14:textId="77777777" w:rsidR="00355649" w:rsidRPr="009E7D3B" w:rsidRDefault="00355649" w:rsidP="002F2700">
            <w:pPr>
              <w:spacing w:line="240" w:lineRule="auto"/>
              <w:contextualSpacing/>
              <w:rPr>
                <w:rFonts w:ascii="Book Antiqua" w:hAnsi="Book Antiqua" w:cs="Times New Roman"/>
                <w:color w:val="000000"/>
              </w:rPr>
            </w:pPr>
          </w:p>
        </w:tc>
        <w:tc>
          <w:tcPr>
            <w:tcW w:w="3074" w:type="dxa"/>
            <w:shd w:val="clear" w:color="auto" w:fill="FFFFFF"/>
            <w:hideMark/>
          </w:tcPr>
          <w:p w14:paraId="4248B569" w14:textId="77777777" w:rsidR="00355649" w:rsidRPr="009E7D3B" w:rsidRDefault="00355649" w:rsidP="002F2700">
            <w:pPr>
              <w:autoSpaceDE w:val="0"/>
              <w:autoSpaceDN w:val="0"/>
              <w:adjustRightInd w:val="0"/>
              <w:spacing w:line="240" w:lineRule="auto"/>
              <w:ind w:left="60" w:right="60"/>
              <w:contextualSpacing/>
              <w:rPr>
                <w:rFonts w:ascii="Book Antiqua" w:hAnsi="Book Antiqua" w:cs="Times New Roman"/>
                <w:color w:val="000000"/>
              </w:rPr>
            </w:pPr>
            <w:r w:rsidRPr="009E7D3B">
              <w:rPr>
                <w:rFonts w:ascii="Book Antiqua" w:hAnsi="Book Antiqua" w:cs="Times New Roman"/>
                <w:color w:val="000000"/>
              </w:rPr>
              <w:t>NPM</w:t>
            </w:r>
          </w:p>
        </w:tc>
        <w:tc>
          <w:tcPr>
            <w:tcW w:w="2441" w:type="dxa"/>
            <w:shd w:val="clear" w:color="auto" w:fill="FFFFFF"/>
            <w:hideMark/>
          </w:tcPr>
          <w:p w14:paraId="7A645867" w14:textId="77777777" w:rsidR="00355649" w:rsidRPr="009E7D3B" w:rsidRDefault="00355649" w:rsidP="002F2700">
            <w:pPr>
              <w:autoSpaceDE w:val="0"/>
              <w:autoSpaceDN w:val="0"/>
              <w:adjustRightInd w:val="0"/>
              <w:spacing w:line="240" w:lineRule="auto"/>
              <w:ind w:left="60" w:right="60"/>
              <w:contextualSpacing/>
              <w:jc w:val="right"/>
              <w:rPr>
                <w:rFonts w:ascii="Book Antiqua" w:hAnsi="Book Antiqua" w:cs="Times New Roman"/>
                <w:color w:val="000000"/>
              </w:rPr>
            </w:pPr>
            <w:r w:rsidRPr="009E7D3B">
              <w:rPr>
                <w:rFonts w:ascii="Book Antiqua" w:hAnsi="Book Antiqua" w:cs="Times New Roman"/>
                <w:color w:val="000000"/>
              </w:rPr>
              <w:t>,337</w:t>
            </w:r>
          </w:p>
        </w:tc>
        <w:tc>
          <w:tcPr>
            <w:tcW w:w="2423" w:type="dxa"/>
            <w:shd w:val="clear" w:color="auto" w:fill="FFFFFF"/>
            <w:hideMark/>
          </w:tcPr>
          <w:p w14:paraId="76A070C2" w14:textId="77777777" w:rsidR="00355649" w:rsidRPr="009E7D3B" w:rsidRDefault="00355649" w:rsidP="002F2700">
            <w:pPr>
              <w:autoSpaceDE w:val="0"/>
              <w:autoSpaceDN w:val="0"/>
              <w:adjustRightInd w:val="0"/>
              <w:spacing w:line="240" w:lineRule="auto"/>
              <w:ind w:left="60" w:right="60"/>
              <w:contextualSpacing/>
              <w:jc w:val="right"/>
              <w:rPr>
                <w:rFonts w:ascii="Book Antiqua" w:hAnsi="Book Antiqua" w:cs="Times New Roman"/>
                <w:color w:val="000000"/>
              </w:rPr>
            </w:pPr>
            <w:r w:rsidRPr="009E7D3B">
              <w:rPr>
                <w:rFonts w:ascii="Book Antiqua" w:hAnsi="Book Antiqua" w:cs="Times New Roman"/>
                <w:color w:val="000000"/>
              </w:rPr>
              <w:t>2,964</w:t>
            </w:r>
          </w:p>
        </w:tc>
      </w:tr>
      <w:tr w:rsidR="00355649" w:rsidRPr="009E7D3B" w14:paraId="163403E5" w14:textId="77777777" w:rsidTr="005E6294">
        <w:trPr>
          <w:cantSplit/>
          <w:trHeight w:val="233"/>
          <w:tblHeader/>
        </w:trPr>
        <w:tc>
          <w:tcPr>
            <w:tcW w:w="638" w:type="dxa"/>
            <w:vMerge/>
            <w:vAlign w:val="center"/>
            <w:hideMark/>
          </w:tcPr>
          <w:p w14:paraId="5E78A252" w14:textId="77777777" w:rsidR="00355649" w:rsidRPr="009E7D3B" w:rsidRDefault="00355649" w:rsidP="002F2700">
            <w:pPr>
              <w:spacing w:line="240" w:lineRule="auto"/>
              <w:contextualSpacing/>
              <w:rPr>
                <w:rFonts w:ascii="Book Antiqua" w:hAnsi="Book Antiqua" w:cs="Times New Roman"/>
                <w:color w:val="000000"/>
              </w:rPr>
            </w:pPr>
          </w:p>
        </w:tc>
        <w:tc>
          <w:tcPr>
            <w:tcW w:w="3074" w:type="dxa"/>
            <w:shd w:val="clear" w:color="auto" w:fill="FFFFFF"/>
            <w:hideMark/>
          </w:tcPr>
          <w:p w14:paraId="54F7FC34" w14:textId="77777777" w:rsidR="00355649" w:rsidRPr="009E7D3B" w:rsidRDefault="00355649" w:rsidP="002F2700">
            <w:pPr>
              <w:autoSpaceDE w:val="0"/>
              <w:autoSpaceDN w:val="0"/>
              <w:adjustRightInd w:val="0"/>
              <w:spacing w:line="240" w:lineRule="auto"/>
              <w:ind w:left="60" w:right="60"/>
              <w:contextualSpacing/>
              <w:rPr>
                <w:rFonts w:ascii="Book Antiqua" w:hAnsi="Book Antiqua" w:cs="Times New Roman"/>
                <w:color w:val="000000"/>
              </w:rPr>
            </w:pPr>
            <w:r w:rsidRPr="009E7D3B">
              <w:rPr>
                <w:rFonts w:ascii="Book Antiqua" w:hAnsi="Book Antiqua" w:cs="Times New Roman"/>
                <w:color w:val="000000"/>
              </w:rPr>
              <w:t>GPM</w:t>
            </w:r>
          </w:p>
        </w:tc>
        <w:tc>
          <w:tcPr>
            <w:tcW w:w="2441" w:type="dxa"/>
            <w:shd w:val="clear" w:color="auto" w:fill="FFFFFF"/>
            <w:hideMark/>
          </w:tcPr>
          <w:p w14:paraId="48933D9E" w14:textId="77777777" w:rsidR="00355649" w:rsidRPr="009E7D3B" w:rsidRDefault="00355649" w:rsidP="002F2700">
            <w:pPr>
              <w:autoSpaceDE w:val="0"/>
              <w:autoSpaceDN w:val="0"/>
              <w:adjustRightInd w:val="0"/>
              <w:spacing w:line="240" w:lineRule="auto"/>
              <w:ind w:left="60" w:right="60"/>
              <w:contextualSpacing/>
              <w:jc w:val="right"/>
              <w:rPr>
                <w:rFonts w:ascii="Book Antiqua" w:hAnsi="Book Antiqua" w:cs="Times New Roman"/>
                <w:color w:val="000000"/>
              </w:rPr>
            </w:pPr>
            <w:r w:rsidRPr="009E7D3B">
              <w:rPr>
                <w:rFonts w:ascii="Book Antiqua" w:hAnsi="Book Antiqua" w:cs="Times New Roman"/>
                <w:color w:val="000000"/>
              </w:rPr>
              <w:t>,419</w:t>
            </w:r>
          </w:p>
        </w:tc>
        <w:tc>
          <w:tcPr>
            <w:tcW w:w="2423" w:type="dxa"/>
            <w:shd w:val="clear" w:color="auto" w:fill="FFFFFF"/>
            <w:hideMark/>
          </w:tcPr>
          <w:p w14:paraId="53AFB15C" w14:textId="77777777" w:rsidR="00355649" w:rsidRPr="009E7D3B" w:rsidRDefault="00355649" w:rsidP="002F2700">
            <w:pPr>
              <w:autoSpaceDE w:val="0"/>
              <w:autoSpaceDN w:val="0"/>
              <w:adjustRightInd w:val="0"/>
              <w:spacing w:line="240" w:lineRule="auto"/>
              <w:ind w:left="60" w:right="60"/>
              <w:contextualSpacing/>
              <w:jc w:val="right"/>
              <w:rPr>
                <w:rFonts w:ascii="Book Antiqua" w:hAnsi="Book Antiqua" w:cs="Times New Roman"/>
                <w:color w:val="000000"/>
              </w:rPr>
            </w:pPr>
            <w:r w:rsidRPr="009E7D3B">
              <w:rPr>
                <w:rFonts w:ascii="Book Antiqua" w:hAnsi="Book Antiqua" w:cs="Times New Roman"/>
                <w:color w:val="000000"/>
              </w:rPr>
              <w:t>2,386</w:t>
            </w:r>
          </w:p>
        </w:tc>
      </w:tr>
      <w:tr w:rsidR="00355649" w:rsidRPr="009E7D3B" w14:paraId="79151084" w14:textId="77777777" w:rsidTr="005E6294">
        <w:trPr>
          <w:cantSplit/>
          <w:trHeight w:val="233"/>
          <w:tblHeader/>
        </w:trPr>
        <w:tc>
          <w:tcPr>
            <w:tcW w:w="638" w:type="dxa"/>
            <w:vMerge/>
            <w:vAlign w:val="center"/>
            <w:hideMark/>
          </w:tcPr>
          <w:p w14:paraId="64862A20" w14:textId="77777777" w:rsidR="00355649" w:rsidRPr="009E7D3B" w:rsidRDefault="00355649" w:rsidP="002F2700">
            <w:pPr>
              <w:spacing w:line="240" w:lineRule="auto"/>
              <w:contextualSpacing/>
              <w:rPr>
                <w:rFonts w:ascii="Book Antiqua" w:hAnsi="Book Antiqua" w:cs="Times New Roman"/>
                <w:color w:val="000000"/>
              </w:rPr>
            </w:pPr>
          </w:p>
        </w:tc>
        <w:tc>
          <w:tcPr>
            <w:tcW w:w="3074" w:type="dxa"/>
            <w:shd w:val="clear" w:color="auto" w:fill="FFFFFF"/>
            <w:hideMark/>
          </w:tcPr>
          <w:p w14:paraId="0A0B07D6" w14:textId="77777777" w:rsidR="00355649" w:rsidRPr="009E7D3B" w:rsidRDefault="00355649" w:rsidP="002F2700">
            <w:pPr>
              <w:autoSpaceDE w:val="0"/>
              <w:autoSpaceDN w:val="0"/>
              <w:adjustRightInd w:val="0"/>
              <w:spacing w:line="240" w:lineRule="auto"/>
              <w:ind w:left="60" w:right="60"/>
              <w:contextualSpacing/>
              <w:rPr>
                <w:rFonts w:ascii="Book Antiqua" w:hAnsi="Book Antiqua" w:cs="Times New Roman"/>
                <w:color w:val="000000"/>
              </w:rPr>
            </w:pPr>
            <w:r w:rsidRPr="009E7D3B">
              <w:rPr>
                <w:rFonts w:ascii="Book Antiqua" w:hAnsi="Book Antiqua" w:cs="Times New Roman"/>
                <w:color w:val="000000"/>
              </w:rPr>
              <w:t>TATO</w:t>
            </w:r>
          </w:p>
        </w:tc>
        <w:tc>
          <w:tcPr>
            <w:tcW w:w="2441" w:type="dxa"/>
            <w:shd w:val="clear" w:color="auto" w:fill="FFFFFF"/>
            <w:hideMark/>
          </w:tcPr>
          <w:p w14:paraId="64385A08" w14:textId="77777777" w:rsidR="00355649" w:rsidRPr="009E7D3B" w:rsidRDefault="00355649" w:rsidP="002F2700">
            <w:pPr>
              <w:autoSpaceDE w:val="0"/>
              <w:autoSpaceDN w:val="0"/>
              <w:adjustRightInd w:val="0"/>
              <w:spacing w:line="240" w:lineRule="auto"/>
              <w:ind w:left="60" w:right="60"/>
              <w:contextualSpacing/>
              <w:jc w:val="right"/>
              <w:rPr>
                <w:rFonts w:ascii="Book Antiqua" w:hAnsi="Book Antiqua" w:cs="Times New Roman"/>
                <w:color w:val="000000"/>
              </w:rPr>
            </w:pPr>
            <w:r w:rsidRPr="009E7D3B">
              <w:rPr>
                <w:rFonts w:ascii="Book Antiqua" w:hAnsi="Book Antiqua" w:cs="Times New Roman"/>
                <w:color w:val="000000"/>
              </w:rPr>
              <w:t>,706</w:t>
            </w:r>
          </w:p>
        </w:tc>
        <w:tc>
          <w:tcPr>
            <w:tcW w:w="2423" w:type="dxa"/>
            <w:shd w:val="clear" w:color="auto" w:fill="FFFFFF"/>
            <w:hideMark/>
          </w:tcPr>
          <w:p w14:paraId="60E2D512" w14:textId="77777777" w:rsidR="00355649" w:rsidRPr="009E7D3B" w:rsidRDefault="00355649" w:rsidP="002F2700">
            <w:pPr>
              <w:autoSpaceDE w:val="0"/>
              <w:autoSpaceDN w:val="0"/>
              <w:adjustRightInd w:val="0"/>
              <w:spacing w:line="240" w:lineRule="auto"/>
              <w:ind w:left="60" w:right="60"/>
              <w:contextualSpacing/>
              <w:jc w:val="right"/>
              <w:rPr>
                <w:rFonts w:ascii="Book Antiqua" w:hAnsi="Book Antiqua" w:cs="Times New Roman"/>
                <w:color w:val="000000"/>
              </w:rPr>
            </w:pPr>
            <w:r w:rsidRPr="009E7D3B">
              <w:rPr>
                <w:rFonts w:ascii="Book Antiqua" w:hAnsi="Book Antiqua" w:cs="Times New Roman"/>
                <w:color w:val="000000"/>
              </w:rPr>
              <w:t>1,416</w:t>
            </w:r>
          </w:p>
        </w:tc>
      </w:tr>
      <w:tr w:rsidR="00355649" w:rsidRPr="009E7D3B" w14:paraId="4ACE7576" w14:textId="77777777" w:rsidTr="005E6294">
        <w:trPr>
          <w:cantSplit/>
          <w:trHeight w:val="275"/>
          <w:tblHeader/>
        </w:trPr>
        <w:tc>
          <w:tcPr>
            <w:tcW w:w="8576" w:type="dxa"/>
            <w:gridSpan w:val="4"/>
            <w:vAlign w:val="center"/>
          </w:tcPr>
          <w:p w14:paraId="38279742" w14:textId="77777777" w:rsidR="00355649" w:rsidRPr="00C63B5A" w:rsidRDefault="00355649" w:rsidP="002F2700">
            <w:pPr>
              <w:pStyle w:val="HTMLSudahDiformat"/>
              <w:shd w:val="clear" w:color="auto" w:fill="F8F9FA"/>
              <w:contextualSpacing/>
              <w:rPr>
                <w:rFonts w:ascii="Book Antiqua" w:hAnsi="Book Antiqua"/>
                <w:color w:val="202124"/>
                <w:sz w:val="16"/>
                <w:szCs w:val="16"/>
              </w:rPr>
            </w:pPr>
            <w:r w:rsidRPr="00C63B5A">
              <w:rPr>
                <w:rStyle w:val="y2iqfc"/>
                <w:rFonts w:ascii="Book Antiqua" w:hAnsi="Book Antiqua" w:cs="Times New Roman"/>
                <w:color w:val="202124"/>
                <w:sz w:val="16"/>
                <w:szCs w:val="16"/>
              </w:rPr>
              <w:t>Source: Output PASW Statistics 18, (Secondary data processed)</w:t>
            </w:r>
          </w:p>
          <w:p w14:paraId="61E289D4" w14:textId="77777777" w:rsidR="00355649" w:rsidRPr="009E7D3B" w:rsidRDefault="00355649" w:rsidP="002F2700">
            <w:pPr>
              <w:autoSpaceDE w:val="0"/>
              <w:autoSpaceDN w:val="0"/>
              <w:adjustRightInd w:val="0"/>
              <w:spacing w:line="240" w:lineRule="auto"/>
              <w:ind w:left="60" w:right="60"/>
              <w:contextualSpacing/>
              <w:jc w:val="both"/>
              <w:rPr>
                <w:rFonts w:ascii="Book Antiqua" w:hAnsi="Book Antiqua" w:cs="Times New Roman"/>
                <w:color w:val="000000"/>
              </w:rPr>
            </w:pPr>
          </w:p>
        </w:tc>
      </w:tr>
    </w:tbl>
    <w:p w14:paraId="39AB1047" w14:textId="77777777" w:rsidR="00355649" w:rsidRDefault="00355649" w:rsidP="00355649">
      <w:pPr>
        <w:spacing w:before="240" w:after="0" w:line="240" w:lineRule="auto"/>
        <w:contextualSpacing/>
        <w:jc w:val="both"/>
        <w:rPr>
          <w:rFonts w:ascii="Book Antiqua" w:eastAsiaTheme="minorEastAsia" w:hAnsi="Book Antiqua" w:cs="Times New Roman"/>
          <w:bCs/>
          <w:lang w:val="id-ID"/>
        </w:rPr>
      </w:pPr>
    </w:p>
    <w:p w14:paraId="2358C686" w14:textId="2B9AF671" w:rsidR="00EE2AD2" w:rsidRPr="00EE2AD2" w:rsidRDefault="00AE4B02" w:rsidP="00EE2AD2">
      <w:pPr>
        <w:spacing w:before="240" w:after="0" w:line="240" w:lineRule="auto"/>
        <w:ind w:firstLine="567"/>
        <w:contextualSpacing/>
        <w:jc w:val="both"/>
        <w:rPr>
          <w:rFonts w:ascii="Book Antiqua" w:eastAsiaTheme="minorEastAsia" w:hAnsi="Book Antiqua" w:cs="Times New Roman"/>
          <w:bCs/>
          <w:lang w:val="id-ID"/>
        </w:rPr>
      </w:pPr>
      <w:r>
        <w:rPr>
          <w:rFonts w:ascii="Book Antiqua" w:eastAsiaTheme="minorEastAsia" w:hAnsi="Book Antiqua" w:cs="Times New Roman"/>
          <w:bCs/>
          <w:lang w:val="id-ID"/>
        </w:rPr>
        <w:t>The results of the multicollinearity test above show</w:t>
      </w:r>
      <w:r w:rsidR="00EE2AD2" w:rsidRPr="00EE2AD2">
        <w:rPr>
          <w:rFonts w:ascii="Book Antiqua" w:eastAsiaTheme="minorEastAsia" w:hAnsi="Book Antiqua" w:cs="Times New Roman"/>
          <w:bCs/>
          <w:lang w:val="id-ID"/>
        </w:rPr>
        <w:t xml:space="preserve"> that all independent variables have a tolerance value of &gt; 0.1 or the same with VIF &lt; 10. So it can be concluded that the regression model used in this study did not occur </w:t>
      </w:r>
      <w:r>
        <w:rPr>
          <w:rFonts w:ascii="Book Antiqua" w:eastAsiaTheme="minorEastAsia" w:hAnsi="Book Antiqua" w:cs="Times New Roman"/>
          <w:bCs/>
          <w:lang w:val="id-ID"/>
        </w:rPr>
        <w:t xml:space="preserve">in </w:t>
      </w:r>
      <w:r w:rsidR="00EE2AD2" w:rsidRPr="00EE2AD2">
        <w:rPr>
          <w:rFonts w:ascii="Book Antiqua" w:eastAsiaTheme="minorEastAsia" w:hAnsi="Book Antiqua" w:cs="Times New Roman"/>
          <w:bCs/>
          <w:lang w:val="id-ID"/>
        </w:rPr>
        <w:t>multicollinearity.</w:t>
      </w:r>
    </w:p>
    <w:p w14:paraId="1FC4C4B2" w14:textId="77777777" w:rsidR="00EE2AD2" w:rsidRPr="00EE2AD2" w:rsidRDefault="00EE2AD2" w:rsidP="00EE2AD2">
      <w:pPr>
        <w:spacing w:before="240" w:after="0" w:line="240" w:lineRule="auto"/>
        <w:ind w:firstLine="567"/>
        <w:contextualSpacing/>
        <w:jc w:val="both"/>
        <w:rPr>
          <w:rFonts w:ascii="Book Antiqua" w:eastAsiaTheme="minorEastAsia" w:hAnsi="Book Antiqua" w:cs="Times New Roman"/>
          <w:bCs/>
          <w:lang w:val="id-ID"/>
        </w:rPr>
      </w:pPr>
    </w:p>
    <w:p w14:paraId="5ABA951D" w14:textId="77777777" w:rsidR="00EE2AD2" w:rsidRPr="00EE2AD2" w:rsidRDefault="00EE2AD2" w:rsidP="00EE2AD2">
      <w:pPr>
        <w:spacing w:before="240" w:after="0" w:line="240" w:lineRule="auto"/>
        <w:ind w:firstLine="567"/>
        <w:contextualSpacing/>
        <w:jc w:val="both"/>
        <w:rPr>
          <w:rFonts w:ascii="Book Antiqua" w:eastAsiaTheme="minorEastAsia" w:hAnsi="Book Antiqua" w:cs="Times New Roman"/>
          <w:bCs/>
          <w:lang w:val="id-ID"/>
        </w:rPr>
      </w:pPr>
      <w:r w:rsidRPr="00EE2AD2">
        <w:rPr>
          <w:rFonts w:ascii="Book Antiqua" w:eastAsiaTheme="minorEastAsia" w:hAnsi="Book Antiqua" w:cs="Times New Roman"/>
          <w:bCs/>
          <w:lang w:val="id-ID"/>
        </w:rPr>
        <w:t>c) Heteroscedasticity Test</w:t>
      </w:r>
    </w:p>
    <w:p w14:paraId="541A52F0" w14:textId="5CCDE3F0" w:rsidR="00EE2AD2" w:rsidRDefault="005F0448" w:rsidP="0091234C">
      <w:pPr>
        <w:spacing w:before="240" w:after="0" w:line="240" w:lineRule="auto"/>
        <w:contextualSpacing/>
        <w:jc w:val="both"/>
        <w:rPr>
          <w:rFonts w:ascii="Book Antiqua" w:eastAsiaTheme="minorEastAsia" w:hAnsi="Book Antiqua" w:cs="Times New Roman"/>
          <w:bCs/>
          <w:lang w:val="id-ID"/>
        </w:rPr>
      </w:pPr>
      <w:r w:rsidRPr="00F347AD">
        <w:rPr>
          <w:rFonts w:ascii="Times New Roman" w:hAnsi="Times New Roman"/>
          <w:noProof/>
          <w:sz w:val="24"/>
          <w:szCs w:val="24"/>
        </w:rPr>
        <w:drawing>
          <wp:anchor distT="0" distB="0" distL="114300" distR="114300" simplePos="0" relativeHeight="251663360" behindDoc="0" locked="0" layoutInCell="1" allowOverlap="1" wp14:anchorId="55493AA6" wp14:editId="1B0DC9F2">
            <wp:simplePos x="0" y="0"/>
            <wp:positionH relativeFrom="margin">
              <wp:posOffset>155575</wp:posOffset>
            </wp:positionH>
            <wp:positionV relativeFrom="paragraph">
              <wp:posOffset>186055</wp:posOffset>
            </wp:positionV>
            <wp:extent cx="5462270" cy="4267200"/>
            <wp:effectExtent l="0" t="0" r="5080" b="0"/>
            <wp:wrapTopAndBottom/>
            <wp:docPr id="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srcRect/>
                    <a:stretch>
                      <a:fillRect/>
                    </a:stretch>
                  </pic:blipFill>
                  <pic:spPr bwMode="auto">
                    <a:xfrm>
                      <a:off x="0" y="0"/>
                      <a:ext cx="5462270" cy="426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28AF01D" w14:textId="65AE2E0A" w:rsidR="00EE2AD2" w:rsidRDefault="00EE2AD2" w:rsidP="00EE2AD2">
      <w:pPr>
        <w:spacing w:before="240" w:after="0" w:line="240" w:lineRule="auto"/>
        <w:ind w:firstLine="567"/>
        <w:contextualSpacing/>
        <w:jc w:val="both"/>
        <w:rPr>
          <w:rFonts w:ascii="Book Antiqua" w:eastAsiaTheme="minorEastAsia" w:hAnsi="Book Antiqua" w:cs="Times New Roman"/>
          <w:bCs/>
          <w:lang w:val="id-ID"/>
        </w:rPr>
      </w:pPr>
    </w:p>
    <w:p w14:paraId="1201D8DB" w14:textId="7894AE29" w:rsidR="003C6700" w:rsidRPr="006F0B21" w:rsidRDefault="0091234C" w:rsidP="00D86B33">
      <w:pPr>
        <w:spacing w:before="240" w:after="0" w:line="240" w:lineRule="auto"/>
        <w:ind w:firstLine="567"/>
        <w:contextualSpacing/>
        <w:jc w:val="both"/>
        <w:rPr>
          <w:rFonts w:ascii="Book Antiqua" w:eastAsiaTheme="minorEastAsia" w:hAnsi="Book Antiqua" w:cs="Times New Roman"/>
          <w:bCs/>
          <w:lang w:val="id-ID"/>
        </w:rPr>
      </w:pPr>
      <w:r w:rsidRPr="006F0B21">
        <w:rPr>
          <w:rFonts w:ascii="Book Antiqua" w:eastAsiaTheme="minorEastAsia" w:hAnsi="Book Antiqua" w:cs="Times New Roman"/>
          <w:bCs/>
          <w:lang w:val="id-ID"/>
        </w:rPr>
        <w:t>Figure 1. Scatterplot Graph of stock prices</w:t>
      </w:r>
    </w:p>
    <w:p w14:paraId="64C44DFE" w14:textId="77777777" w:rsidR="003C6700" w:rsidRPr="006F0B21" w:rsidRDefault="003C6700" w:rsidP="00D86B33">
      <w:pPr>
        <w:spacing w:before="240" w:after="0" w:line="240" w:lineRule="auto"/>
        <w:ind w:firstLine="567"/>
        <w:contextualSpacing/>
        <w:jc w:val="both"/>
        <w:rPr>
          <w:rFonts w:ascii="Book Antiqua" w:eastAsiaTheme="minorEastAsia" w:hAnsi="Book Antiqua" w:cs="Times New Roman"/>
          <w:bCs/>
          <w:lang w:val="id-ID"/>
        </w:rPr>
      </w:pPr>
    </w:p>
    <w:p w14:paraId="0AB2D40E" w14:textId="2DC637F3"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Based on the scatterplot graph presented above, it can be concluded that the points are spread evenly below and above zero on the Y</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axis. So</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it can be said that there is no heteroscedasticity problem in the regression model.</w:t>
      </w:r>
    </w:p>
    <w:p w14:paraId="097DE625"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p>
    <w:p w14:paraId="3DF2D0BD"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d) Autocorrelation test</w:t>
      </w:r>
    </w:p>
    <w:p w14:paraId="273EBE73" w14:textId="77777777" w:rsidR="006F0B21" w:rsidRPr="006F0B21" w:rsidRDefault="006F0B21" w:rsidP="006F0B21">
      <w:pPr>
        <w:pStyle w:val="HTMLSudahDiformat"/>
        <w:shd w:val="clear" w:color="auto" w:fill="F8F9FA"/>
        <w:contextualSpacing/>
        <w:jc w:val="both"/>
        <w:rPr>
          <w:rFonts w:ascii="Book Antiqua" w:hAnsi="Book Antiqua" w:cs="Times New Roman"/>
          <w:color w:val="202124"/>
          <w:sz w:val="22"/>
          <w:szCs w:val="22"/>
        </w:rPr>
      </w:pPr>
      <w:r w:rsidRPr="006F0B21">
        <w:rPr>
          <w:rStyle w:val="y2iqfc"/>
          <w:rFonts w:ascii="Book Antiqua" w:hAnsi="Book Antiqua" w:cs="Times New Roman"/>
          <w:color w:val="202124"/>
          <w:sz w:val="22"/>
          <w:szCs w:val="22"/>
        </w:rPr>
        <w:t>Table 6. Autocorrelation Test Results</w:t>
      </w:r>
    </w:p>
    <w:tbl>
      <w:tblPr>
        <w:tblpPr w:leftFromText="180" w:rightFromText="180" w:bottomFromText="200" w:vertAnchor="text" w:horzAnchor="margin" w:tblpXSpec="right" w:tblpY="179"/>
        <w:tblW w:w="8923"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87"/>
        <w:gridCol w:w="825"/>
        <w:gridCol w:w="984"/>
        <w:gridCol w:w="1178"/>
        <w:gridCol w:w="1770"/>
        <w:gridCol w:w="2049"/>
        <w:gridCol w:w="1730"/>
      </w:tblGrid>
      <w:tr w:rsidR="006F0B21" w:rsidRPr="006F0B21" w14:paraId="4DD8B3E8" w14:textId="77777777" w:rsidTr="002F2700">
        <w:trPr>
          <w:cantSplit/>
          <w:trHeight w:val="529"/>
          <w:tblHeader/>
        </w:trPr>
        <w:tc>
          <w:tcPr>
            <w:tcW w:w="1212" w:type="dxa"/>
            <w:gridSpan w:val="2"/>
            <w:shd w:val="clear" w:color="auto" w:fill="FFFFFF"/>
            <w:vAlign w:val="center"/>
            <w:hideMark/>
          </w:tcPr>
          <w:p w14:paraId="2D1D08D0"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Model</w:t>
            </w:r>
          </w:p>
        </w:tc>
        <w:tc>
          <w:tcPr>
            <w:tcW w:w="984" w:type="dxa"/>
            <w:shd w:val="clear" w:color="auto" w:fill="FFFFFF"/>
            <w:vAlign w:val="bottom"/>
            <w:hideMark/>
          </w:tcPr>
          <w:p w14:paraId="4DE7CE88"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R</w:t>
            </w:r>
          </w:p>
        </w:tc>
        <w:tc>
          <w:tcPr>
            <w:tcW w:w="1178" w:type="dxa"/>
            <w:shd w:val="clear" w:color="auto" w:fill="FFFFFF"/>
            <w:vAlign w:val="bottom"/>
            <w:hideMark/>
          </w:tcPr>
          <w:p w14:paraId="50EB0F5F"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R Square</w:t>
            </w:r>
          </w:p>
        </w:tc>
        <w:tc>
          <w:tcPr>
            <w:tcW w:w="1770" w:type="dxa"/>
            <w:shd w:val="clear" w:color="auto" w:fill="FFFFFF"/>
            <w:vAlign w:val="bottom"/>
            <w:hideMark/>
          </w:tcPr>
          <w:p w14:paraId="64B992CA"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Adjusted R Square</w:t>
            </w:r>
          </w:p>
        </w:tc>
        <w:tc>
          <w:tcPr>
            <w:tcW w:w="2049" w:type="dxa"/>
            <w:shd w:val="clear" w:color="auto" w:fill="FFFFFF"/>
            <w:vAlign w:val="bottom"/>
            <w:hideMark/>
          </w:tcPr>
          <w:p w14:paraId="3E414313"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Std. Error of the Estimate</w:t>
            </w:r>
          </w:p>
        </w:tc>
        <w:tc>
          <w:tcPr>
            <w:tcW w:w="1730" w:type="dxa"/>
            <w:shd w:val="clear" w:color="auto" w:fill="FFFFFF"/>
            <w:vAlign w:val="bottom"/>
            <w:hideMark/>
          </w:tcPr>
          <w:p w14:paraId="68B6F4C2"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Durbin-Watson</w:t>
            </w:r>
          </w:p>
        </w:tc>
      </w:tr>
      <w:tr w:rsidR="006F0B21" w:rsidRPr="006F0B21" w14:paraId="4C894155" w14:textId="77777777" w:rsidTr="002F2700">
        <w:trPr>
          <w:cantSplit/>
          <w:trHeight w:val="64"/>
          <w:tblHeader/>
        </w:trPr>
        <w:tc>
          <w:tcPr>
            <w:tcW w:w="387" w:type="dxa"/>
            <w:shd w:val="clear" w:color="auto" w:fill="FFFFFF"/>
            <w:vAlign w:val="center"/>
            <w:hideMark/>
          </w:tcPr>
          <w:p w14:paraId="0D7AA7AC" w14:textId="05ABBFCA" w:rsidR="006F0B21" w:rsidRPr="006F0B21" w:rsidRDefault="006F0B21" w:rsidP="002F2700">
            <w:pPr>
              <w:autoSpaceDE w:val="0"/>
              <w:autoSpaceDN w:val="0"/>
              <w:adjustRightInd w:val="0"/>
              <w:spacing w:line="240" w:lineRule="auto"/>
              <w:ind w:right="60"/>
              <w:contextualSpacing/>
              <w:rPr>
                <w:rFonts w:ascii="Book Antiqua" w:hAnsi="Book Antiqua" w:cs="Times New Roman"/>
                <w:color w:val="000000"/>
              </w:rPr>
            </w:pPr>
            <w:r w:rsidRPr="006F0B21">
              <w:rPr>
                <w:rFonts w:ascii="Book Antiqua" w:hAnsi="Book Antiqua" w:cs="Times New Roman"/>
                <w:noProof/>
              </w:rPr>
              <mc:AlternateContent>
                <mc:Choice Requires="wps">
                  <w:drawing>
                    <wp:anchor distT="0" distB="0" distL="114300" distR="114300" simplePos="0" relativeHeight="251665408" behindDoc="0" locked="0" layoutInCell="1" allowOverlap="1" wp14:anchorId="58B2C5EE" wp14:editId="2CF67323">
                      <wp:simplePos x="0" y="0"/>
                      <wp:positionH relativeFrom="column">
                        <wp:posOffset>635</wp:posOffset>
                      </wp:positionH>
                      <wp:positionV relativeFrom="paragraph">
                        <wp:posOffset>167640</wp:posOffset>
                      </wp:positionV>
                      <wp:extent cx="4076700" cy="347980"/>
                      <wp:effectExtent l="0" t="0" r="0" b="0"/>
                      <wp:wrapNone/>
                      <wp:docPr id="1027173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0" cy="347980"/>
                              </a:xfrm>
                              <a:prstGeom prst="rect">
                                <a:avLst/>
                              </a:prstGeom>
                              <a:solidFill>
                                <a:sysClr val="window" lastClr="FFFFFF"/>
                              </a:solidFill>
                              <a:ln w="6350">
                                <a:noFill/>
                              </a:ln>
                              <a:effectLst/>
                            </wps:spPr>
                            <wps:txbx>
                              <w:txbxContent>
                                <w:p w14:paraId="348BC6E5" w14:textId="77777777" w:rsidR="006F0B21" w:rsidRDefault="006F0B21" w:rsidP="006F0B21">
                                  <w:pPr>
                                    <w:pStyle w:val="HTMLSudahDiformat"/>
                                    <w:shd w:val="clear" w:color="auto" w:fill="F8F9FA"/>
                                    <w:contextualSpacing/>
                                    <w:rPr>
                                      <w:rFonts w:ascii="inherit" w:hAnsi="inherit"/>
                                      <w:color w:val="202124"/>
                                      <w:sz w:val="28"/>
                                      <w:szCs w:val="28"/>
                                    </w:rPr>
                                  </w:pPr>
                                  <w:r w:rsidRPr="0058168B">
                                    <w:rPr>
                                      <w:rStyle w:val="y2iqfc"/>
                                      <w:rFonts w:ascii="Times New Roman" w:hAnsi="Times New Roman" w:cs="Times New Roman"/>
                                      <w:color w:val="202124"/>
                                      <w:sz w:val="22"/>
                                      <w:szCs w:val="22"/>
                                    </w:rPr>
                                    <w:t>Source: Output PASW Statistics 18, (Secondary data processed)</w:t>
                                  </w:r>
                                </w:p>
                                <w:p w14:paraId="715A0EEA" w14:textId="77777777" w:rsidR="006F0B21" w:rsidRPr="0058168B" w:rsidRDefault="006F0B21" w:rsidP="006F0B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2C5EE" id="_x0000_t202" coordsize="21600,21600" o:spt="202" path="m,l,21600r21600,l21600,xe">
                      <v:stroke joinstyle="miter"/>
                      <v:path gradientshapeok="t" o:connecttype="rect"/>
                    </v:shapetype>
                    <v:shape id="Text Box 3" o:spid="_x0000_s1026" type="#_x0000_t202" style="position:absolute;margin-left:.05pt;margin-top:13.2pt;width:321pt;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" fillcolor="window" stroked="f" strokeweight=".5pt">
                      <v:textbox>
                        <w:txbxContent>
                          <w:p w14:paraId="348BC6E5" w14:textId="77777777" w:rsidR="006F0B21" w:rsidRDefault="006F0B21" w:rsidP="006F0B21">
                            <w:pPr>
                              <w:pStyle w:val="HTMLSudahDiformat"/>
                              <w:shd w:val="clear" w:color="auto" w:fill="F8F9FA"/>
                              <w:contextualSpacing/>
                              <w:rPr>
                                <w:rFonts w:ascii="inherit" w:hAnsi="inherit"/>
                                <w:color w:val="202124"/>
                                <w:sz w:val="28"/>
                                <w:szCs w:val="28"/>
                              </w:rPr>
                            </w:pPr>
                            <w:r w:rsidRPr="0058168B">
                              <w:rPr>
                                <w:rStyle w:val="y2iqfc"/>
                                <w:rFonts w:ascii="Times New Roman" w:hAnsi="Times New Roman" w:cs="Times New Roman"/>
                                <w:color w:val="202124"/>
                                <w:sz w:val="22"/>
                                <w:szCs w:val="22"/>
                              </w:rPr>
                              <w:t>Source: Output PASW Statistics 18, (Secondary data processed)</w:t>
                            </w:r>
                          </w:p>
                          <w:p w14:paraId="715A0EEA" w14:textId="77777777" w:rsidR="006F0B21" w:rsidRPr="0058168B" w:rsidRDefault="006F0B21" w:rsidP="006F0B21"/>
                        </w:txbxContent>
                      </v:textbox>
                    </v:shape>
                  </w:pict>
                </mc:Fallback>
              </mc:AlternateContent>
            </w:r>
          </w:p>
        </w:tc>
        <w:tc>
          <w:tcPr>
            <w:tcW w:w="825" w:type="dxa"/>
            <w:shd w:val="clear" w:color="auto" w:fill="FFFFFF"/>
            <w:hideMark/>
          </w:tcPr>
          <w:p w14:paraId="357F238A"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1</w:t>
            </w:r>
          </w:p>
        </w:tc>
        <w:tc>
          <w:tcPr>
            <w:tcW w:w="984" w:type="dxa"/>
            <w:shd w:val="clear" w:color="auto" w:fill="FFFFFF"/>
            <w:hideMark/>
          </w:tcPr>
          <w:p w14:paraId="6983257E"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,821</w:t>
            </w:r>
            <w:r w:rsidRPr="006F0B21">
              <w:rPr>
                <w:rFonts w:ascii="Book Antiqua" w:hAnsi="Book Antiqua" w:cs="Times New Roman"/>
                <w:color w:val="000000"/>
                <w:vertAlign w:val="superscript"/>
              </w:rPr>
              <w:t>a</w:t>
            </w:r>
          </w:p>
        </w:tc>
        <w:tc>
          <w:tcPr>
            <w:tcW w:w="1178" w:type="dxa"/>
            <w:shd w:val="clear" w:color="auto" w:fill="FFFFFF"/>
            <w:hideMark/>
          </w:tcPr>
          <w:p w14:paraId="67425419"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,674</w:t>
            </w:r>
          </w:p>
        </w:tc>
        <w:tc>
          <w:tcPr>
            <w:tcW w:w="1770" w:type="dxa"/>
            <w:shd w:val="clear" w:color="auto" w:fill="FFFFFF"/>
            <w:hideMark/>
          </w:tcPr>
          <w:p w14:paraId="76A1308D"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,669</w:t>
            </w:r>
          </w:p>
        </w:tc>
        <w:tc>
          <w:tcPr>
            <w:tcW w:w="2049" w:type="dxa"/>
            <w:shd w:val="clear" w:color="auto" w:fill="FFFFFF"/>
            <w:hideMark/>
          </w:tcPr>
          <w:p w14:paraId="20D07986"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19,11610</w:t>
            </w:r>
          </w:p>
        </w:tc>
        <w:tc>
          <w:tcPr>
            <w:tcW w:w="1730" w:type="dxa"/>
            <w:shd w:val="clear" w:color="auto" w:fill="FFFFFF"/>
            <w:hideMark/>
          </w:tcPr>
          <w:p w14:paraId="78D2DD85"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,522</w:t>
            </w:r>
          </w:p>
        </w:tc>
      </w:tr>
    </w:tbl>
    <w:p w14:paraId="489C4A32" w14:textId="77777777" w:rsidR="006F0B21" w:rsidRPr="006F0B21" w:rsidRDefault="006F0B21" w:rsidP="006F0B21">
      <w:pPr>
        <w:spacing w:line="240" w:lineRule="auto"/>
        <w:ind w:left="284"/>
        <w:contextualSpacing/>
        <w:jc w:val="both"/>
        <w:rPr>
          <w:rFonts w:ascii="Book Antiqua" w:hAnsi="Book Antiqua" w:cs="Times New Roman"/>
          <w:b/>
          <w:color w:val="000000"/>
        </w:rPr>
      </w:pPr>
    </w:p>
    <w:p w14:paraId="2ED744B8" w14:textId="4D52ADA1" w:rsidR="006F0B21" w:rsidRPr="006F0B21" w:rsidRDefault="006F0B21" w:rsidP="006F0B21">
      <w:pPr>
        <w:pStyle w:val="HTMLSudahDiformat"/>
        <w:shd w:val="clear" w:color="auto" w:fill="F8F9FA"/>
        <w:contextualSpacing/>
        <w:rPr>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t>Table 6 shows the Durbin</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Watson value in the Summary Model</w:t>
      </w:r>
      <w:r w:rsidR="00AE4B02">
        <w:rPr>
          <w:rStyle w:val="y2iqfc"/>
          <w:rFonts w:ascii="Book Antiqua" w:hAnsi="Book Antiqua" w:cs="Times New Roman"/>
          <w:color w:val="202124"/>
          <w:sz w:val="22"/>
          <w:szCs w:val="22"/>
        </w:rPr>
        <w:t>, which</w:t>
      </w:r>
      <w:r w:rsidRPr="006F0B21">
        <w:rPr>
          <w:rStyle w:val="y2iqfc"/>
          <w:rFonts w:ascii="Book Antiqua" w:hAnsi="Book Antiqua" w:cs="Times New Roman"/>
          <w:color w:val="202124"/>
          <w:sz w:val="22"/>
          <w:szCs w:val="22"/>
        </w:rPr>
        <w:t xml:space="preserve"> is 0.522. This means that the DW value is between -2 to +2 or -2 ≤ DW ≤ +2, namely (-2 ≤ 0.522 ≤ +2). According to the decision</w:t>
      </w:r>
      <w:r w:rsidR="00AE4B02">
        <w:rPr>
          <w:rStyle w:val="y2iqfc"/>
          <w:rFonts w:ascii="Book Antiqua" w:hAnsi="Book Antiqua" w:cs="Times New Roman"/>
          <w:color w:val="202124"/>
          <w:sz w:val="22"/>
          <w:szCs w:val="22"/>
        </w:rPr>
        <w:t>-making basis of this regression model, there is no autocorrelation, so</w:t>
      </w:r>
      <w:r w:rsidRPr="006F0B21">
        <w:rPr>
          <w:rStyle w:val="y2iqfc"/>
          <w:rFonts w:ascii="Book Antiqua" w:hAnsi="Book Antiqua" w:cs="Times New Roman"/>
          <w:color w:val="202124"/>
          <w:sz w:val="22"/>
          <w:szCs w:val="22"/>
        </w:rPr>
        <w:t xml:space="preserve"> the regression model is feasible to use.</w:t>
      </w:r>
    </w:p>
    <w:p w14:paraId="1374178B" w14:textId="77777777" w:rsidR="006F0B21" w:rsidRDefault="006F0B21" w:rsidP="006F0B21">
      <w:pPr>
        <w:pStyle w:val="HTMLSudahDiformat"/>
        <w:shd w:val="clear" w:color="auto" w:fill="F8F9FA"/>
        <w:contextualSpacing/>
        <w:rPr>
          <w:rStyle w:val="y2iqfc"/>
          <w:rFonts w:ascii="Book Antiqua" w:hAnsi="Book Antiqua" w:cs="Times New Roman"/>
          <w:color w:val="202124"/>
          <w:sz w:val="22"/>
          <w:szCs w:val="22"/>
        </w:rPr>
      </w:pPr>
    </w:p>
    <w:p w14:paraId="37285A7E" w14:textId="77777777" w:rsidR="006F0B21" w:rsidRDefault="006F0B21" w:rsidP="006F0B21">
      <w:pPr>
        <w:pStyle w:val="HTMLSudahDiformat"/>
        <w:shd w:val="clear" w:color="auto" w:fill="F8F9FA"/>
        <w:contextualSpacing/>
        <w:rPr>
          <w:rStyle w:val="y2iqfc"/>
          <w:rFonts w:ascii="Book Antiqua" w:hAnsi="Book Antiqua" w:cs="Times New Roman"/>
          <w:color w:val="202124"/>
          <w:sz w:val="22"/>
          <w:szCs w:val="22"/>
        </w:rPr>
      </w:pPr>
    </w:p>
    <w:p w14:paraId="67D65100" w14:textId="77777777" w:rsidR="006F0B21" w:rsidRDefault="006F0B21" w:rsidP="006F0B21">
      <w:pPr>
        <w:pStyle w:val="HTMLSudahDiformat"/>
        <w:shd w:val="clear" w:color="auto" w:fill="F8F9FA"/>
        <w:contextualSpacing/>
        <w:rPr>
          <w:rStyle w:val="y2iqfc"/>
          <w:rFonts w:ascii="Book Antiqua" w:hAnsi="Book Antiqua" w:cs="Times New Roman"/>
          <w:color w:val="202124"/>
          <w:sz w:val="22"/>
          <w:szCs w:val="22"/>
        </w:rPr>
      </w:pPr>
    </w:p>
    <w:p w14:paraId="0CC9369A" w14:textId="77777777" w:rsidR="006F0B21" w:rsidRPr="006F0B21" w:rsidRDefault="006F0B21" w:rsidP="006F0B21">
      <w:pPr>
        <w:pStyle w:val="HTMLSudahDiformat"/>
        <w:shd w:val="clear" w:color="auto" w:fill="F8F9FA"/>
        <w:contextualSpacing/>
        <w:rPr>
          <w:rStyle w:val="y2iqfc"/>
          <w:rFonts w:ascii="Book Antiqua" w:hAnsi="Book Antiqua" w:cs="Times New Roman"/>
          <w:color w:val="202124"/>
          <w:sz w:val="22"/>
          <w:szCs w:val="22"/>
        </w:rPr>
      </w:pPr>
    </w:p>
    <w:p w14:paraId="67B7FB06" w14:textId="77777777" w:rsidR="006F0B21" w:rsidRPr="006F0B21" w:rsidRDefault="006F0B21" w:rsidP="006F0B21">
      <w:pPr>
        <w:pStyle w:val="HTMLSudahDiformat"/>
        <w:shd w:val="clear" w:color="auto" w:fill="F8F9FA"/>
        <w:contextualSpacing/>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Multiple Linear Regression Analysis</w:t>
      </w:r>
    </w:p>
    <w:p w14:paraId="1825F29E" w14:textId="77777777" w:rsidR="006F0B21" w:rsidRPr="006F0B21" w:rsidRDefault="006F0B21" w:rsidP="006F0B21">
      <w:pPr>
        <w:pStyle w:val="HTMLSudahDiformat"/>
        <w:shd w:val="clear" w:color="auto" w:fill="F8F9FA"/>
        <w:contextualSpacing/>
        <w:rPr>
          <w:rFonts w:ascii="Book Antiqua" w:hAnsi="Book Antiqua" w:cs="Times New Roman"/>
          <w:color w:val="202124"/>
          <w:sz w:val="22"/>
          <w:szCs w:val="22"/>
        </w:rPr>
      </w:pPr>
      <w:r w:rsidRPr="006F0B21">
        <w:rPr>
          <w:rStyle w:val="y2iqfc"/>
          <w:rFonts w:ascii="Book Antiqua" w:hAnsi="Book Antiqua" w:cs="Times New Roman"/>
          <w:b/>
          <w:bCs/>
          <w:color w:val="202124"/>
          <w:sz w:val="22"/>
          <w:szCs w:val="22"/>
        </w:rPr>
        <w:t>Table 7.</w:t>
      </w:r>
      <w:r w:rsidRPr="006F0B21">
        <w:rPr>
          <w:rStyle w:val="y2iqfc"/>
          <w:rFonts w:ascii="Book Antiqua" w:hAnsi="Book Antiqua" w:cs="Times New Roman"/>
          <w:color w:val="202124"/>
          <w:sz w:val="22"/>
          <w:szCs w:val="22"/>
        </w:rPr>
        <w:t xml:space="preserve"> Multiple Linear Analysis Results.</w:t>
      </w:r>
    </w:p>
    <w:tbl>
      <w:tblPr>
        <w:tblpPr w:leftFromText="180" w:rightFromText="180" w:bottomFromText="200" w:vertAnchor="text" w:horzAnchor="margin" w:tblpY="282"/>
        <w:tblW w:w="8753"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874"/>
        <w:gridCol w:w="1489"/>
        <w:gridCol w:w="1530"/>
        <w:gridCol w:w="1890"/>
        <w:gridCol w:w="2970"/>
      </w:tblGrid>
      <w:tr w:rsidR="006F0B21" w:rsidRPr="006F0B21" w14:paraId="33BFED7F" w14:textId="77777777" w:rsidTr="002F2700">
        <w:trPr>
          <w:cantSplit/>
          <w:trHeight w:val="313"/>
          <w:tblHeader/>
        </w:trPr>
        <w:tc>
          <w:tcPr>
            <w:tcW w:w="2363" w:type="dxa"/>
            <w:gridSpan w:val="2"/>
            <w:vMerge w:val="restart"/>
            <w:shd w:val="clear" w:color="auto" w:fill="FFFFFF"/>
            <w:vAlign w:val="center"/>
            <w:hideMark/>
          </w:tcPr>
          <w:p w14:paraId="02D95E49"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Model</w:t>
            </w:r>
          </w:p>
        </w:tc>
        <w:tc>
          <w:tcPr>
            <w:tcW w:w="3420" w:type="dxa"/>
            <w:gridSpan w:val="2"/>
            <w:shd w:val="clear" w:color="auto" w:fill="FFFFFF"/>
            <w:vAlign w:val="bottom"/>
            <w:hideMark/>
          </w:tcPr>
          <w:p w14:paraId="6802C38D"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Unstandardized Coefficients</w:t>
            </w:r>
          </w:p>
        </w:tc>
        <w:tc>
          <w:tcPr>
            <w:tcW w:w="2970" w:type="dxa"/>
            <w:shd w:val="clear" w:color="auto" w:fill="FFFFFF"/>
            <w:vAlign w:val="bottom"/>
            <w:hideMark/>
          </w:tcPr>
          <w:p w14:paraId="4D14D86F"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Standardized Coefficients</w:t>
            </w:r>
          </w:p>
        </w:tc>
      </w:tr>
      <w:tr w:rsidR="006F0B21" w:rsidRPr="006F0B21" w14:paraId="305E9537" w14:textId="77777777" w:rsidTr="002F2700">
        <w:trPr>
          <w:cantSplit/>
          <w:trHeight w:val="112"/>
          <w:tblHeader/>
        </w:trPr>
        <w:tc>
          <w:tcPr>
            <w:tcW w:w="2363" w:type="dxa"/>
            <w:gridSpan w:val="2"/>
            <w:vMerge/>
            <w:vAlign w:val="center"/>
            <w:hideMark/>
          </w:tcPr>
          <w:p w14:paraId="6506EC70" w14:textId="77777777" w:rsidR="006F0B21" w:rsidRPr="006F0B21" w:rsidRDefault="006F0B21" w:rsidP="002F2700">
            <w:pPr>
              <w:spacing w:line="240" w:lineRule="auto"/>
              <w:contextualSpacing/>
              <w:rPr>
                <w:rFonts w:ascii="Book Antiqua" w:hAnsi="Book Antiqua" w:cs="Times New Roman"/>
                <w:color w:val="000000"/>
              </w:rPr>
            </w:pPr>
          </w:p>
        </w:tc>
        <w:tc>
          <w:tcPr>
            <w:tcW w:w="1530" w:type="dxa"/>
            <w:shd w:val="clear" w:color="auto" w:fill="FFFFFF"/>
            <w:vAlign w:val="bottom"/>
            <w:hideMark/>
          </w:tcPr>
          <w:p w14:paraId="55A97395"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B</w:t>
            </w:r>
          </w:p>
        </w:tc>
        <w:tc>
          <w:tcPr>
            <w:tcW w:w="1890" w:type="dxa"/>
            <w:shd w:val="clear" w:color="auto" w:fill="FFFFFF"/>
            <w:vAlign w:val="bottom"/>
            <w:hideMark/>
          </w:tcPr>
          <w:p w14:paraId="60C3EE5F"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Std. Error</w:t>
            </w:r>
          </w:p>
        </w:tc>
        <w:tc>
          <w:tcPr>
            <w:tcW w:w="2970" w:type="dxa"/>
            <w:shd w:val="clear" w:color="auto" w:fill="FFFFFF"/>
            <w:vAlign w:val="bottom"/>
            <w:hideMark/>
          </w:tcPr>
          <w:p w14:paraId="579CAB25"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Beta</w:t>
            </w:r>
          </w:p>
        </w:tc>
      </w:tr>
      <w:tr w:rsidR="006F0B21" w:rsidRPr="006F0B21" w14:paraId="7244F621" w14:textId="77777777" w:rsidTr="002F2700">
        <w:trPr>
          <w:cantSplit/>
          <w:trHeight w:val="269"/>
          <w:tblHeader/>
        </w:trPr>
        <w:tc>
          <w:tcPr>
            <w:tcW w:w="874" w:type="dxa"/>
            <w:vMerge w:val="restart"/>
            <w:shd w:val="clear" w:color="auto" w:fill="FFFFFF"/>
            <w:hideMark/>
          </w:tcPr>
          <w:p w14:paraId="378F329A" w14:textId="345E88FD"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1</w:t>
            </w:r>
          </w:p>
        </w:tc>
        <w:tc>
          <w:tcPr>
            <w:tcW w:w="1489" w:type="dxa"/>
            <w:shd w:val="clear" w:color="auto" w:fill="FFFFFF"/>
            <w:hideMark/>
          </w:tcPr>
          <w:p w14:paraId="0B950CB3"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(Constant)</w:t>
            </w:r>
          </w:p>
        </w:tc>
        <w:tc>
          <w:tcPr>
            <w:tcW w:w="1530" w:type="dxa"/>
            <w:shd w:val="clear" w:color="auto" w:fill="FFFFFF"/>
            <w:hideMark/>
          </w:tcPr>
          <w:p w14:paraId="7014DED4"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19,896</w:t>
            </w:r>
          </w:p>
        </w:tc>
        <w:tc>
          <w:tcPr>
            <w:tcW w:w="1890" w:type="dxa"/>
            <w:shd w:val="clear" w:color="auto" w:fill="FFFFFF"/>
            <w:hideMark/>
          </w:tcPr>
          <w:p w14:paraId="6BB566DF"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7,413</w:t>
            </w:r>
          </w:p>
        </w:tc>
        <w:tc>
          <w:tcPr>
            <w:tcW w:w="2970" w:type="dxa"/>
            <w:shd w:val="clear" w:color="auto" w:fill="FFFFFF"/>
            <w:vAlign w:val="center"/>
          </w:tcPr>
          <w:p w14:paraId="29385C98" w14:textId="77777777" w:rsidR="006F0B21" w:rsidRPr="006F0B21" w:rsidRDefault="006F0B21" w:rsidP="002F2700">
            <w:pPr>
              <w:autoSpaceDE w:val="0"/>
              <w:autoSpaceDN w:val="0"/>
              <w:adjustRightInd w:val="0"/>
              <w:spacing w:line="240" w:lineRule="auto"/>
              <w:contextualSpacing/>
              <w:rPr>
                <w:rFonts w:ascii="Book Antiqua" w:hAnsi="Book Antiqua" w:cs="Times New Roman"/>
              </w:rPr>
            </w:pPr>
          </w:p>
        </w:tc>
      </w:tr>
      <w:tr w:rsidR="006F0B21" w:rsidRPr="006F0B21" w14:paraId="0D2ACF73" w14:textId="77777777" w:rsidTr="002F2700">
        <w:trPr>
          <w:cantSplit/>
          <w:trHeight w:val="122"/>
          <w:tblHeader/>
        </w:trPr>
        <w:tc>
          <w:tcPr>
            <w:tcW w:w="874" w:type="dxa"/>
            <w:vMerge/>
            <w:vAlign w:val="center"/>
            <w:hideMark/>
          </w:tcPr>
          <w:p w14:paraId="5AA331B2" w14:textId="77777777" w:rsidR="006F0B21" w:rsidRPr="006F0B21" w:rsidRDefault="006F0B21" w:rsidP="002F2700">
            <w:pPr>
              <w:spacing w:line="240" w:lineRule="auto"/>
              <w:contextualSpacing/>
              <w:rPr>
                <w:rFonts w:ascii="Book Antiqua" w:hAnsi="Book Antiqua" w:cs="Times New Roman"/>
                <w:color w:val="000000"/>
              </w:rPr>
            </w:pPr>
          </w:p>
        </w:tc>
        <w:tc>
          <w:tcPr>
            <w:tcW w:w="1489" w:type="dxa"/>
            <w:shd w:val="clear" w:color="auto" w:fill="FFFFFF"/>
            <w:hideMark/>
          </w:tcPr>
          <w:p w14:paraId="41B64E1C"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EPS</w:t>
            </w:r>
          </w:p>
        </w:tc>
        <w:tc>
          <w:tcPr>
            <w:tcW w:w="1530" w:type="dxa"/>
            <w:shd w:val="clear" w:color="auto" w:fill="FFFFFF"/>
            <w:hideMark/>
          </w:tcPr>
          <w:p w14:paraId="09DF56DA"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3,728</w:t>
            </w:r>
          </w:p>
        </w:tc>
        <w:tc>
          <w:tcPr>
            <w:tcW w:w="1890" w:type="dxa"/>
            <w:shd w:val="clear" w:color="auto" w:fill="FFFFFF"/>
            <w:hideMark/>
          </w:tcPr>
          <w:p w14:paraId="58139208"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,250</w:t>
            </w:r>
          </w:p>
        </w:tc>
        <w:tc>
          <w:tcPr>
            <w:tcW w:w="2970" w:type="dxa"/>
            <w:shd w:val="clear" w:color="auto" w:fill="FFFFFF"/>
            <w:hideMark/>
          </w:tcPr>
          <w:p w14:paraId="01D61686"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,707</w:t>
            </w:r>
          </w:p>
        </w:tc>
      </w:tr>
      <w:tr w:rsidR="006F0B21" w:rsidRPr="006F0B21" w14:paraId="47A78297" w14:textId="77777777" w:rsidTr="002F2700">
        <w:trPr>
          <w:cantSplit/>
          <w:trHeight w:val="122"/>
          <w:tblHeader/>
        </w:trPr>
        <w:tc>
          <w:tcPr>
            <w:tcW w:w="874" w:type="dxa"/>
            <w:vMerge/>
            <w:vAlign w:val="center"/>
            <w:hideMark/>
          </w:tcPr>
          <w:p w14:paraId="3E652E2B" w14:textId="77777777" w:rsidR="006F0B21" w:rsidRPr="006F0B21" w:rsidRDefault="006F0B21" w:rsidP="002F2700">
            <w:pPr>
              <w:spacing w:line="240" w:lineRule="auto"/>
              <w:contextualSpacing/>
              <w:rPr>
                <w:rFonts w:ascii="Book Antiqua" w:hAnsi="Book Antiqua" w:cs="Times New Roman"/>
                <w:color w:val="000000"/>
              </w:rPr>
            </w:pPr>
          </w:p>
        </w:tc>
        <w:tc>
          <w:tcPr>
            <w:tcW w:w="1489" w:type="dxa"/>
            <w:shd w:val="clear" w:color="auto" w:fill="FFFFFF"/>
            <w:hideMark/>
          </w:tcPr>
          <w:p w14:paraId="4AA90BB7"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NPM</w:t>
            </w:r>
          </w:p>
        </w:tc>
        <w:tc>
          <w:tcPr>
            <w:tcW w:w="1530" w:type="dxa"/>
            <w:shd w:val="clear" w:color="auto" w:fill="FFFFFF"/>
            <w:hideMark/>
          </w:tcPr>
          <w:p w14:paraId="52334FCF"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37,348</w:t>
            </w:r>
          </w:p>
        </w:tc>
        <w:tc>
          <w:tcPr>
            <w:tcW w:w="1890" w:type="dxa"/>
            <w:shd w:val="clear" w:color="auto" w:fill="FFFFFF"/>
            <w:hideMark/>
          </w:tcPr>
          <w:p w14:paraId="15899A5C"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14,894</w:t>
            </w:r>
          </w:p>
        </w:tc>
        <w:tc>
          <w:tcPr>
            <w:tcW w:w="2970" w:type="dxa"/>
            <w:shd w:val="clear" w:color="auto" w:fill="FFFFFF"/>
            <w:hideMark/>
          </w:tcPr>
          <w:p w14:paraId="5AF36CF3"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,157</w:t>
            </w:r>
          </w:p>
        </w:tc>
      </w:tr>
      <w:tr w:rsidR="006F0B21" w:rsidRPr="006F0B21" w14:paraId="4D591B47" w14:textId="77777777" w:rsidTr="002F2700">
        <w:trPr>
          <w:cantSplit/>
          <w:trHeight w:val="122"/>
          <w:tblHeader/>
        </w:trPr>
        <w:tc>
          <w:tcPr>
            <w:tcW w:w="874" w:type="dxa"/>
            <w:vMerge/>
            <w:vAlign w:val="center"/>
            <w:hideMark/>
          </w:tcPr>
          <w:p w14:paraId="0049AC4F" w14:textId="77777777" w:rsidR="006F0B21" w:rsidRPr="006F0B21" w:rsidRDefault="006F0B21" w:rsidP="002F2700">
            <w:pPr>
              <w:spacing w:line="240" w:lineRule="auto"/>
              <w:contextualSpacing/>
              <w:rPr>
                <w:rFonts w:ascii="Book Antiqua" w:hAnsi="Book Antiqua" w:cs="Times New Roman"/>
                <w:color w:val="000000"/>
              </w:rPr>
            </w:pPr>
          </w:p>
        </w:tc>
        <w:tc>
          <w:tcPr>
            <w:tcW w:w="1489" w:type="dxa"/>
            <w:shd w:val="clear" w:color="auto" w:fill="FFFFFF"/>
            <w:hideMark/>
          </w:tcPr>
          <w:p w14:paraId="2563F0D3"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GPM</w:t>
            </w:r>
          </w:p>
        </w:tc>
        <w:tc>
          <w:tcPr>
            <w:tcW w:w="1530" w:type="dxa"/>
            <w:shd w:val="clear" w:color="auto" w:fill="FFFFFF"/>
            <w:hideMark/>
          </w:tcPr>
          <w:p w14:paraId="061A82E2"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15,306</w:t>
            </w:r>
          </w:p>
        </w:tc>
        <w:tc>
          <w:tcPr>
            <w:tcW w:w="1890" w:type="dxa"/>
            <w:shd w:val="clear" w:color="auto" w:fill="FFFFFF"/>
            <w:hideMark/>
          </w:tcPr>
          <w:p w14:paraId="421BCAC1"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11,633</w:t>
            </w:r>
          </w:p>
        </w:tc>
        <w:tc>
          <w:tcPr>
            <w:tcW w:w="2970" w:type="dxa"/>
            <w:shd w:val="clear" w:color="auto" w:fill="FFFFFF"/>
            <w:hideMark/>
          </w:tcPr>
          <w:p w14:paraId="3F3E1FDC"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,074</w:t>
            </w:r>
          </w:p>
        </w:tc>
      </w:tr>
      <w:tr w:rsidR="006F0B21" w:rsidRPr="006F0B21" w14:paraId="1BC0CCBB" w14:textId="77777777" w:rsidTr="002F2700">
        <w:trPr>
          <w:cantSplit/>
          <w:trHeight w:val="118"/>
          <w:tblHeader/>
        </w:trPr>
        <w:tc>
          <w:tcPr>
            <w:tcW w:w="874" w:type="dxa"/>
            <w:vMerge/>
            <w:vAlign w:val="center"/>
            <w:hideMark/>
          </w:tcPr>
          <w:p w14:paraId="6E786342" w14:textId="77777777" w:rsidR="006F0B21" w:rsidRPr="006F0B21" w:rsidRDefault="006F0B21" w:rsidP="002F2700">
            <w:pPr>
              <w:spacing w:line="240" w:lineRule="auto"/>
              <w:contextualSpacing/>
              <w:rPr>
                <w:rFonts w:ascii="Book Antiqua" w:hAnsi="Book Antiqua" w:cs="Times New Roman"/>
                <w:color w:val="000000"/>
              </w:rPr>
            </w:pPr>
          </w:p>
        </w:tc>
        <w:tc>
          <w:tcPr>
            <w:tcW w:w="1489" w:type="dxa"/>
            <w:shd w:val="clear" w:color="auto" w:fill="FFFFFF"/>
            <w:hideMark/>
          </w:tcPr>
          <w:p w14:paraId="1B84CD78"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TATO</w:t>
            </w:r>
          </w:p>
        </w:tc>
        <w:tc>
          <w:tcPr>
            <w:tcW w:w="1530" w:type="dxa"/>
            <w:shd w:val="clear" w:color="auto" w:fill="FFFFFF"/>
            <w:hideMark/>
          </w:tcPr>
          <w:p w14:paraId="50CB3D0C"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-26,727</w:t>
            </w:r>
          </w:p>
        </w:tc>
        <w:tc>
          <w:tcPr>
            <w:tcW w:w="1890" w:type="dxa"/>
            <w:shd w:val="clear" w:color="auto" w:fill="FFFFFF"/>
            <w:hideMark/>
          </w:tcPr>
          <w:p w14:paraId="1FF1E800"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5,261</w:t>
            </w:r>
          </w:p>
        </w:tc>
        <w:tc>
          <w:tcPr>
            <w:tcW w:w="2970" w:type="dxa"/>
            <w:shd w:val="clear" w:color="auto" w:fill="FFFFFF"/>
            <w:hideMark/>
          </w:tcPr>
          <w:p w14:paraId="1E5E1E65"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-,220</w:t>
            </w:r>
          </w:p>
        </w:tc>
      </w:tr>
    </w:tbl>
    <w:p w14:paraId="269F7BFF" w14:textId="77777777" w:rsidR="006F0B21" w:rsidRPr="006F0B21" w:rsidRDefault="006F0B21" w:rsidP="006F0B21">
      <w:pPr>
        <w:pStyle w:val="HTMLSudahDiformat"/>
        <w:shd w:val="clear" w:color="auto" w:fill="F8F9FA"/>
        <w:spacing w:line="365" w:lineRule="atLeast"/>
        <w:rPr>
          <w:rFonts w:ascii="inherit" w:hAnsi="inherit"/>
          <w:color w:val="202124"/>
          <w:sz w:val="16"/>
          <w:szCs w:val="16"/>
        </w:rPr>
      </w:pPr>
      <w:r w:rsidRPr="006F0B21">
        <w:rPr>
          <w:rStyle w:val="y2iqfc"/>
          <w:rFonts w:ascii="Times New Roman" w:hAnsi="Times New Roman" w:cs="Times New Roman"/>
          <w:color w:val="202124"/>
          <w:sz w:val="16"/>
          <w:szCs w:val="16"/>
        </w:rPr>
        <w:t>Source: Output PASW Statistics 18, (Secondary data processed)</w:t>
      </w:r>
    </w:p>
    <w:p w14:paraId="697B7F22" w14:textId="77777777" w:rsidR="006F0B21" w:rsidRPr="006F0B21" w:rsidRDefault="006F0B21" w:rsidP="006F0B21">
      <w:pPr>
        <w:pStyle w:val="HTMLSudahDiformat"/>
        <w:shd w:val="clear" w:color="auto" w:fill="F8F9FA"/>
        <w:spacing w:line="540" w:lineRule="atLeast"/>
        <w:rPr>
          <w:rStyle w:val="y2iqfc"/>
          <w:rFonts w:ascii="Book Antiqua" w:hAnsi="Book Antiqua" w:cs="Times New Roman"/>
          <w:color w:val="202124"/>
          <w:sz w:val="22"/>
          <w:szCs w:val="22"/>
        </w:rPr>
      </w:pPr>
    </w:p>
    <w:p w14:paraId="41C93A94"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t>Based on the processing results from the SPSS program, the multiple linear regression model between variables X and Y can be transformed into the following equation model:</w:t>
      </w:r>
    </w:p>
    <w:p w14:paraId="5FD929F0"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Y = α + β1(X1) + β2(X2) + β3(X3) + β4(X4)+ e</w:t>
      </w:r>
    </w:p>
    <w:p w14:paraId="292AC4CA"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Y = 19.896 + 3.728 (X1) + 37.348 (X2) + 15.306 (X3) - 26.727 (X4) + e</w:t>
      </w:r>
    </w:p>
    <w:p w14:paraId="68CC42BC"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The following will explain the interpretation of the multiple linear regression equation from the equation model above.</w:t>
      </w:r>
    </w:p>
    <w:p w14:paraId="7F291FD4" w14:textId="77777777" w:rsidR="006F0B21" w:rsidRPr="006F0B21" w:rsidRDefault="006F0B21" w:rsidP="006F0B21">
      <w:pPr>
        <w:pStyle w:val="HTMLSudahDiformat"/>
        <w:shd w:val="clear" w:color="auto" w:fill="F8F9FA"/>
        <w:ind w:left="270" w:hanging="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 From the multiple linear regression equation above, it can be seen that the constant value for the stock price is 19.896. This means that if EPS, NPM, GPM, and TATO are constant, then the stock price is 19.896.</w:t>
      </w:r>
    </w:p>
    <w:p w14:paraId="67B6F9AE" w14:textId="77777777" w:rsidR="006F0B21" w:rsidRPr="006F0B21" w:rsidRDefault="006F0B21" w:rsidP="006F0B21">
      <w:pPr>
        <w:pStyle w:val="HTMLSudahDiformat"/>
        <w:shd w:val="clear" w:color="auto" w:fill="F8F9FA"/>
        <w:ind w:left="270" w:hanging="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b) Effect of EPS (X1) on stock prices (Y)</w:t>
      </w:r>
    </w:p>
    <w:p w14:paraId="7195772D" w14:textId="77777777"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From the multiple linear regression equation above, it can be seen that the regression coefficient of the EPS variable is 3.728 and is positive, which means that if there is an increase in EPS of one unit, it will cause an increase in stock prices of 3.728.</w:t>
      </w:r>
    </w:p>
    <w:p w14:paraId="0E09F9EE"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c) Effect of NPM (X2) on stock prices (Y)</w:t>
      </w:r>
    </w:p>
    <w:p w14:paraId="2FC5C740" w14:textId="77777777"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From the multiple linear regression equation above, it can be seen that the regression coefficient of the NPM variable is 37.348 and is positive, which means that if there is an increase in NPM by one unit, it will cause an increase in stock prices by 37.348.</w:t>
      </w:r>
    </w:p>
    <w:p w14:paraId="5179A709"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d) Effect of GPM (X3) on stock prices  (Y)</w:t>
      </w:r>
    </w:p>
    <w:p w14:paraId="4309D45E" w14:textId="77777777"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From the multiple linear regression equation above, it can be seen that the regression coefficient of the GPM variable is 15.306 and is positive, which means that if there is an increase in GPM by one unit, it will cause an increase in stock prices by 15.306.</w:t>
      </w:r>
    </w:p>
    <w:p w14:paraId="6B24FAA7"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e) Effect of TATO (X4) on stock prices (Y)</w:t>
      </w:r>
    </w:p>
    <w:p w14:paraId="04B0D713" w14:textId="77777777"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From the multiple linear regression equation above, it can be seen that the regression coefficient of the TATO variable is -26.727 and is negative, which means that if there is an increase in TATO by one unit, it will cause a decrease in stock prices of 26.727.</w:t>
      </w:r>
    </w:p>
    <w:p w14:paraId="0F37B7DE" w14:textId="77777777" w:rsidR="006F0B21" w:rsidRPr="006F0B21" w:rsidRDefault="006F0B21" w:rsidP="006F0B21">
      <w:pPr>
        <w:pStyle w:val="HTMLSudahDiformat"/>
        <w:shd w:val="clear" w:color="auto" w:fill="F8F9FA"/>
        <w:ind w:left="270"/>
        <w:contextualSpacing/>
        <w:jc w:val="both"/>
        <w:rPr>
          <w:rFonts w:ascii="Book Antiqua" w:hAnsi="Book Antiqua" w:cs="Times New Roman"/>
          <w:color w:val="202124"/>
          <w:sz w:val="22"/>
          <w:szCs w:val="22"/>
        </w:rPr>
      </w:pPr>
    </w:p>
    <w:p w14:paraId="67956975"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Model Feasibility Test</w:t>
      </w:r>
    </w:p>
    <w:p w14:paraId="69FB94FA"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 Test the Coefficient of Determination</w:t>
      </w:r>
    </w:p>
    <w:p w14:paraId="738F351A" w14:textId="77777777" w:rsidR="006F0B21" w:rsidRPr="006F0B21" w:rsidRDefault="006F0B21" w:rsidP="006F0B21">
      <w:pPr>
        <w:pStyle w:val="HTMLSudahDiformat"/>
        <w:shd w:val="clear" w:color="auto" w:fill="F8F9FA"/>
        <w:contextualSpacing/>
        <w:rPr>
          <w:rStyle w:val="y2iqfc"/>
          <w:rFonts w:ascii="Book Antiqua" w:hAnsi="Book Antiqua" w:cs="Times New Roman"/>
          <w:color w:val="202124"/>
          <w:sz w:val="22"/>
          <w:szCs w:val="22"/>
        </w:rPr>
      </w:pPr>
      <w:r w:rsidRPr="00765C19">
        <w:rPr>
          <w:rStyle w:val="y2iqfc"/>
          <w:rFonts w:ascii="Book Antiqua" w:hAnsi="Book Antiqua" w:cs="Times New Roman"/>
          <w:b/>
          <w:bCs/>
          <w:color w:val="202124"/>
          <w:sz w:val="22"/>
          <w:szCs w:val="22"/>
        </w:rPr>
        <w:t>Table 8.</w:t>
      </w:r>
      <w:r w:rsidRPr="006F0B21">
        <w:rPr>
          <w:rStyle w:val="y2iqfc"/>
          <w:rFonts w:ascii="Book Antiqua" w:hAnsi="Book Antiqua" w:cs="Times New Roman"/>
          <w:color w:val="202124"/>
          <w:sz w:val="22"/>
          <w:szCs w:val="22"/>
        </w:rPr>
        <w:t xml:space="preserve"> Test Results for the Coefficient of Determination</w:t>
      </w:r>
    </w:p>
    <w:tbl>
      <w:tblPr>
        <w:tblpPr w:leftFromText="180" w:rightFromText="180" w:bottomFromText="200" w:vertAnchor="text" w:horzAnchor="margin" w:tblpXSpec="right" w:tblpY="134"/>
        <w:tblW w:w="9066"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869"/>
        <w:gridCol w:w="1046"/>
        <w:gridCol w:w="1111"/>
        <w:gridCol w:w="1481"/>
        <w:gridCol w:w="1851"/>
        <w:gridCol w:w="2708"/>
      </w:tblGrid>
      <w:tr w:rsidR="006F0B21" w:rsidRPr="006F0B21" w14:paraId="2EA90AEE" w14:textId="77777777" w:rsidTr="002F2700">
        <w:trPr>
          <w:cantSplit/>
          <w:trHeight w:val="662"/>
          <w:tblHeader/>
        </w:trPr>
        <w:tc>
          <w:tcPr>
            <w:tcW w:w="1915" w:type="dxa"/>
            <w:gridSpan w:val="2"/>
            <w:shd w:val="clear" w:color="auto" w:fill="FFFFFF"/>
            <w:vAlign w:val="center"/>
            <w:hideMark/>
          </w:tcPr>
          <w:p w14:paraId="57F51111" w14:textId="77777777" w:rsidR="006F0B21" w:rsidRPr="006F0B21" w:rsidRDefault="006F0B21" w:rsidP="002F2700">
            <w:pPr>
              <w:autoSpaceDE w:val="0"/>
              <w:autoSpaceDN w:val="0"/>
              <w:adjustRightInd w:val="0"/>
              <w:spacing w:line="240" w:lineRule="auto"/>
              <w:ind w:left="60" w:right="58"/>
              <w:contextualSpacing/>
              <w:rPr>
                <w:rFonts w:ascii="Book Antiqua" w:hAnsi="Book Antiqua" w:cs="Times New Roman"/>
                <w:b/>
                <w:color w:val="000000"/>
              </w:rPr>
            </w:pPr>
            <w:r w:rsidRPr="006F0B21">
              <w:rPr>
                <w:rFonts w:ascii="Book Antiqua" w:hAnsi="Book Antiqua" w:cs="Times New Roman"/>
                <w:b/>
                <w:color w:val="000000"/>
              </w:rPr>
              <w:t>Model</w:t>
            </w:r>
          </w:p>
        </w:tc>
        <w:tc>
          <w:tcPr>
            <w:tcW w:w="1111" w:type="dxa"/>
            <w:shd w:val="clear" w:color="auto" w:fill="FFFFFF"/>
            <w:vAlign w:val="bottom"/>
            <w:hideMark/>
          </w:tcPr>
          <w:p w14:paraId="6F9CA54B" w14:textId="77777777" w:rsidR="006F0B21" w:rsidRPr="006F0B21" w:rsidRDefault="006F0B21" w:rsidP="002F2700">
            <w:pPr>
              <w:autoSpaceDE w:val="0"/>
              <w:autoSpaceDN w:val="0"/>
              <w:adjustRightInd w:val="0"/>
              <w:spacing w:line="240" w:lineRule="auto"/>
              <w:ind w:left="60" w:right="58"/>
              <w:contextualSpacing/>
              <w:rPr>
                <w:rFonts w:ascii="Book Antiqua" w:hAnsi="Book Antiqua" w:cs="Times New Roman"/>
                <w:b/>
                <w:color w:val="000000"/>
              </w:rPr>
            </w:pPr>
            <w:r w:rsidRPr="006F0B21">
              <w:rPr>
                <w:rFonts w:ascii="Book Antiqua" w:hAnsi="Book Antiqua" w:cs="Times New Roman"/>
                <w:b/>
                <w:color w:val="000000"/>
              </w:rPr>
              <w:t>R</w:t>
            </w:r>
          </w:p>
        </w:tc>
        <w:tc>
          <w:tcPr>
            <w:tcW w:w="1481" w:type="dxa"/>
            <w:shd w:val="clear" w:color="auto" w:fill="FFFFFF"/>
            <w:vAlign w:val="bottom"/>
            <w:hideMark/>
          </w:tcPr>
          <w:p w14:paraId="677E3291" w14:textId="77777777" w:rsidR="006F0B21" w:rsidRPr="006F0B21" w:rsidRDefault="006F0B21" w:rsidP="002F2700">
            <w:pPr>
              <w:autoSpaceDE w:val="0"/>
              <w:autoSpaceDN w:val="0"/>
              <w:adjustRightInd w:val="0"/>
              <w:spacing w:line="240" w:lineRule="auto"/>
              <w:ind w:left="60" w:right="58"/>
              <w:contextualSpacing/>
              <w:rPr>
                <w:rFonts w:ascii="Book Antiqua" w:hAnsi="Book Antiqua" w:cs="Times New Roman"/>
                <w:b/>
                <w:color w:val="000000"/>
              </w:rPr>
            </w:pPr>
            <w:r w:rsidRPr="006F0B21">
              <w:rPr>
                <w:rFonts w:ascii="Book Antiqua" w:hAnsi="Book Antiqua" w:cs="Times New Roman"/>
                <w:b/>
                <w:color w:val="000000"/>
              </w:rPr>
              <w:t>R Square</w:t>
            </w:r>
          </w:p>
        </w:tc>
        <w:tc>
          <w:tcPr>
            <w:tcW w:w="1851" w:type="dxa"/>
            <w:shd w:val="clear" w:color="auto" w:fill="FFFFFF"/>
            <w:vAlign w:val="bottom"/>
            <w:hideMark/>
          </w:tcPr>
          <w:p w14:paraId="6F66DC7C" w14:textId="77777777" w:rsidR="006F0B21" w:rsidRPr="006F0B21" w:rsidRDefault="006F0B21" w:rsidP="002F2700">
            <w:pPr>
              <w:autoSpaceDE w:val="0"/>
              <w:autoSpaceDN w:val="0"/>
              <w:adjustRightInd w:val="0"/>
              <w:spacing w:line="240" w:lineRule="auto"/>
              <w:ind w:left="60" w:right="58"/>
              <w:contextualSpacing/>
              <w:rPr>
                <w:rFonts w:ascii="Book Antiqua" w:hAnsi="Book Antiqua" w:cs="Times New Roman"/>
                <w:b/>
                <w:color w:val="000000"/>
              </w:rPr>
            </w:pPr>
            <w:r w:rsidRPr="006F0B21">
              <w:rPr>
                <w:rFonts w:ascii="Book Antiqua" w:hAnsi="Book Antiqua" w:cs="Times New Roman"/>
                <w:b/>
                <w:color w:val="000000"/>
              </w:rPr>
              <w:t>Adjusted R Square</w:t>
            </w:r>
          </w:p>
        </w:tc>
        <w:tc>
          <w:tcPr>
            <w:tcW w:w="2708" w:type="dxa"/>
            <w:shd w:val="clear" w:color="auto" w:fill="FFFFFF"/>
            <w:vAlign w:val="bottom"/>
            <w:hideMark/>
          </w:tcPr>
          <w:p w14:paraId="58256BE5"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b/>
                <w:color w:val="000000"/>
              </w:rPr>
            </w:pPr>
            <w:r w:rsidRPr="006F0B21">
              <w:rPr>
                <w:rFonts w:ascii="Book Antiqua" w:hAnsi="Book Antiqua" w:cs="Times New Roman"/>
                <w:b/>
                <w:color w:val="000000"/>
              </w:rPr>
              <w:t>Std. Error of the Estimate</w:t>
            </w:r>
          </w:p>
        </w:tc>
      </w:tr>
      <w:tr w:rsidR="006F0B21" w:rsidRPr="006F0B21" w14:paraId="28A29337" w14:textId="77777777" w:rsidTr="002F2700">
        <w:trPr>
          <w:cantSplit/>
          <w:trHeight w:val="57"/>
          <w:tblHeader/>
        </w:trPr>
        <w:tc>
          <w:tcPr>
            <w:tcW w:w="869" w:type="dxa"/>
            <w:shd w:val="clear" w:color="auto" w:fill="FFFFFF"/>
            <w:vAlign w:val="center"/>
            <w:hideMark/>
          </w:tcPr>
          <w:p w14:paraId="26152507" w14:textId="07FBE924" w:rsidR="006F0B21" w:rsidRPr="006F0B21" w:rsidRDefault="006F0B21" w:rsidP="002F2700">
            <w:pPr>
              <w:autoSpaceDE w:val="0"/>
              <w:autoSpaceDN w:val="0"/>
              <w:adjustRightInd w:val="0"/>
              <w:spacing w:line="240" w:lineRule="auto"/>
              <w:ind w:right="58"/>
              <w:contextualSpacing/>
              <w:rPr>
                <w:rFonts w:ascii="Book Antiqua" w:hAnsi="Book Antiqua" w:cs="Times New Roman"/>
                <w:color w:val="000000"/>
              </w:rPr>
            </w:pPr>
          </w:p>
        </w:tc>
        <w:tc>
          <w:tcPr>
            <w:tcW w:w="1046" w:type="dxa"/>
            <w:shd w:val="clear" w:color="auto" w:fill="FFFFFF"/>
            <w:hideMark/>
          </w:tcPr>
          <w:p w14:paraId="143A4BD9" w14:textId="77777777" w:rsidR="006F0B21" w:rsidRPr="006F0B21" w:rsidRDefault="006F0B21" w:rsidP="002F2700">
            <w:pPr>
              <w:autoSpaceDE w:val="0"/>
              <w:autoSpaceDN w:val="0"/>
              <w:adjustRightInd w:val="0"/>
              <w:spacing w:line="240" w:lineRule="auto"/>
              <w:ind w:left="60" w:right="58"/>
              <w:contextualSpacing/>
              <w:rPr>
                <w:rFonts w:ascii="Book Antiqua" w:hAnsi="Book Antiqua" w:cs="Times New Roman"/>
                <w:color w:val="000000"/>
              </w:rPr>
            </w:pPr>
            <w:r w:rsidRPr="006F0B21">
              <w:rPr>
                <w:rFonts w:ascii="Book Antiqua" w:hAnsi="Book Antiqua" w:cs="Times New Roman"/>
                <w:color w:val="000000"/>
              </w:rPr>
              <w:t>1</w:t>
            </w:r>
          </w:p>
        </w:tc>
        <w:tc>
          <w:tcPr>
            <w:tcW w:w="1111" w:type="dxa"/>
            <w:shd w:val="clear" w:color="auto" w:fill="FFFFFF"/>
            <w:hideMark/>
          </w:tcPr>
          <w:p w14:paraId="1B7C7031" w14:textId="77777777" w:rsidR="006F0B21" w:rsidRPr="006F0B21" w:rsidRDefault="006F0B21" w:rsidP="002F2700">
            <w:pPr>
              <w:autoSpaceDE w:val="0"/>
              <w:autoSpaceDN w:val="0"/>
              <w:adjustRightInd w:val="0"/>
              <w:spacing w:line="240" w:lineRule="auto"/>
              <w:ind w:left="60" w:right="58"/>
              <w:contextualSpacing/>
              <w:jc w:val="right"/>
              <w:rPr>
                <w:rFonts w:ascii="Book Antiqua" w:hAnsi="Book Antiqua" w:cs="Times New Roman"/>
                <w:color w:val="000000"/>
              </w:rPr>
            </w:pPr>
            <w:r w:rsidRPr="006F0B21">
              <w:rPr>
                <w:rFonts w:ascii="Book Antiqua" w:hAnsi="Book Antiqua" w:cs="Times New Roman"/>
                <w:color w:val="000000"/>
              </w:rPr>
              <w:t>,821</w:t>
            </w:r>
            <w:r w:rsidRPr="006F0B21">
              <w:rPr>
                <w:rFonts w:ascii="Book Antiqua" w:hAnsi="Book Antiqua" w:cs="Times New Roman"/>
                <w:color w:val="000000"/>
                <w:vertAlign w:val="superscript"/>
              </w:rPr>
              <w:t>a</w:t>
            </w:r>
          </w:p>
        </w:tc>
        <w:tc>
          <w:tcPr>
            <w:tcW w:w="1481" w:type="dxa"/>
            <w:shd w:val="clear" w:color="auto" w:fill="FFFFFF"/>
            <w:hideMark/>
          </w:tcPr>
          <w:p w14:paraId="0FE8CFA9" w14:textId="77777777" w:rsidR="006F0B21" w:rsidRPr="006F0B21" w:rsidRDefault="006F0B21" w:rsidP="002F2700">
            <w:pPr>
              <w:autoSpaceDE w:val="0"/>
              <w:autoSpaceDN w:val="0"/>
              <w:adjustRightInd w:val="0"/>
              <w:spacing w:line="240" w:lineRule="auto"/>
              <w:ind w:left="60" w:right="58"/>
              <w:contextualSpacing/>
              <w:jc w:val="right"/>
              <w:rPr>
                <w:rFonts w:ascii="Book Antiqua" w:hAnsi="Book Antiqua" w:cs="Times New Roman"/>
                <w:color w:val="000000"/>
              </w:rPr>
            </w:pPr>
            <w:r w:rsidRPr="006F0B21">
              <w:rPr>
                <w:rFonts w:ascii="Book Antiqua" w:hAnsi="Book Antiqua" w:cs="Times New Roman"/>
                <w:color w:val="000000"/>
              </w:rPr>
              <w:t>,674</w:t>
            </w:r>
          </w:p>
        </w:tc>
        <w:tc>
          <w:tcPr>
            <w:tcW w:w="1851" w:type="dxa"/>
            <w:shd w:val="clear" w:color="auto" w:fill="FFFFFF"/>
            <w:hideMark/>
          </w:tcPr>
          <w:p w14:paraId="71734149" w14:textId="77777777" w:rsidR="006F0B21" w:rsidRPr="006F0B21" w:rsidRDefault="006F0B21" w:rsidP="002F2700">
            <w:pPr>
              <w:autoSpaceDE w:val="0"/>
              <w:autoSpaceDN w:val="0"/>
              <w:adjustRightInd w:val="0"/>
              <w:spacing w:line="240" w:lineRule="auto"/>
              <w:ind w:left="60" w:right="58"/>
              <w:contextualSpacing/>
              <w:jc w:val="right"/>
              <w:rPr>
                <w:rFonts w:ascii="Book Antiqua" w:hAnsi="Book Antiqua" w:cs="Times New Roman"/>
                <w:color w:val="000000"/>
              </w:rPr>
            </w:pPr>
            <w:r w:rsidRPr="006F0B21">
              <w:rPr>
                <w:rFonts w:ascii="Book Antiqua" w:hAnsi="Book Antiqua" w:cs="Times New Roman"/>
                <w:color w:val="000000"/>
              </w:rPr>
              <w:t>,669</w:t>
            </w:r>
          </w:p>
        </w:tc>
        <w:tc>
          <w:tcPr>
            <w:tcW w:w="2708" w:type="dxa"/>
            <w:shd w:val="clear" w:color="auto" w:fill="FFFFFF"/>
            <w:hideMark/>
          </w:tcPr>
          <w:p w14:paraId="6D9C84E1"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19,11610</w:t>
            </w:r>
          </w:p>
        </w:tc>
      </w:tr>
    </w:tbl>
    <w:p w14:paraId="5D0A2E22" w14:textId="77777777" w:rsidR="00765C19" w:rsidRPr="00765C19" w:rsidRDefault="00765C19" w:rsidP="00765C19">
      <w:pPr>
        <w:pStyle w:val="HTMLSudahDiformat"/>
        <w:shd w:val="clear" w:color="auto" w:fill="F8F9FA"/>
        <w:contextualSpacing/>
        <w:rPr>
          <w:rFonts w:ascii="inherit" w:hAnsi="inherit"/>
          <w:color w:val="202124"/>
          <w:sz w:val="16"/>
          <w:szCs w:val="16"/>
        </w:rPr>
      </w:pPr>
      <w:r w:rsidRPr="00765C19">
        <w:rPr>
          <w:rStyle w:val="y2iqfc"/>
          <w:rFonts w:ascii="Times New Roman" w:hAnsi="Times New Roman" w:cs="Times New Roman"/>
          <w:color w:val="202124"/>
          <w:sz w:val="16"/>
          <w:szCs w:val="16"/>
        </w:rPr>
        <w:t>Source: Output PASW Statistics 18, (Secondary data processed)</w:t>
      </w:r>
    </w:p>
    <w:p w14:paraId="7FF678F9" w14:textId="77777777" w:rsidR="006F0B21" w:rsidRPr="006F0B21" w:rsidRDefault="006F0B21" w:rsidP="006F0B21">
      <w:pPr>
        <w:pStyle w:val="HTMLSudahDiformat"/>
        <w:shd w:val="clear" w:color="auto" w:fill="F8F9FA"/>
        <w:contextualSpacing/>
        <w:rPr>
          <w:rStyle w:val="y2iqfc"/>
          <w:rFonts w:ascii="Book Antiqua" w:hAnsi="Book Antiqua" w:cs="Times New Roman"/>
          <w:color w:val="202124"/>
          <w:sz w:val="22"/>
          <w:szCs w:val="22"/>
        </w:rPr>
      </w:pPr>
    </w:p>
    <w:p w14:paraId="2D8BDA0D" w14:textId="47301039"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t>Based on the tests that have been carried out, the resulting R2 value is 0.674 or 67.4%. This figure explains that the share prices of manufacturing companies in the food and beverage sector</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are listed on the Indonesia Stock Exchange</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are influenced by the factors Earning Per Share (EPS), Net Profit Margin (NPM), Gross Profit Margin (GPM), and Total Asset Turnover (TATO). ) as much as 67.4%, while the remaining 32.6% is influenced by other variables not examined in this study.</w:t>
      </w:r>
    </w:p>
    <w:p w14:paraId="6938E648" w14:textId="77777777" w:rsidR="006F0B21" w:rsidRPr="006F0B21" w:rsidRDefault="006F0B21" w:rsidP="006F0B21">
      <w:pPr>
        <w:pStyle w:val="HTMLSudahDiformat"/>
        <w:shd w:val="clear" w:color="auto" w:fill="F8F9FA"/>
        <w:contextualSpacing/>
        <w:jc w:val="both"/>
        <w:rPr>
          <w:rFonts w:ascii="Book Antiqua" w:hAnsi="Book Antiqua" w:cs="Times New Roman"/>
          <w:color w:val="202124"/>
          <w:sz w:val="22"/>
          <w:szCs w:val="22"/>
        </w:rPr>
      </w:pPr>
    </w:p>
    <w:p w14:paraId="46E755E3" w14:textId="77777777" w:rsidR="006F0B21" w:rsidRPr="006F0B21" w:rsidRDefault="006F0B21" w:rsidP="006F0B21">
      <w:pPr>
        <w:pStyle w:val="HTMLSudahDiformat"/>
        <w:shd w:val="clear" w:color="auto" w:fill="F8F9FA"/>
        <w:contextualSpacing/>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b) Simultaneous Significance Test (F Test)</w:t>
      </w:r>
    </w:p>
    <w:p w14:paraId="33D6B75D" w14:textId="77777777" w:rsidR="006F0B21" w:rsidRPr="006F0B21" w:rsidRDefault="006F0B21" w:rsidP="006F0B21">
      <w:pPr>
        <w:pStyle w:val="HTMLSudahDiformat"/>
        <w:shd w:val="clear" w:color="auto" w:fill="F8F9FA"/>
        <w:contextualSpacing/>
        <w:rPr>
          <w:rFonts w:ascii="Book Antiqua" w:hAnsi="Book Antiqua" w:cs="Times New Roman"/>
          <w:color w:val="202124"/>
          <w:sz w:val="22"/>
          <w:szCs w:val="22"/>
        </w:rPr>
      </w:pPr>
      <w:r w:rsidRPr="00765C19">
        <w:rPr>
          <w:rStyle w:val="y2iqfc"/>
          <w:rFonts w:ascii="Book Antiqua" w:hAnsi="Book Antiqua" w:cs="Times New Roman"/>
          <w:b/>
          <w:bCs/>
          <w:color w:val="202124"/>
          <w:sz w:val="22"/>
          <w:szCs w:val="22"/>
        </w:rPr>
        <w:t>Table 9.</w:t>
      </w:r>
      <w:r w:rsidRPr="006F0B21">
        <w:rPr>
          <w:rStyle w:val="y2iqfc"/>
          <w:rFonts w:ascii="Book Antiqua" w:hAnsi="Book Antiqua" w:cs="Times New Roman"/>
          <w:color w:val="202124"/>
          <w:sz w:val="22"/>
          <w:szCs w:val="22"/>
        </w:rPr>
        <w:t xml:space="preserve"> Simultaneous Significance Test Results (F Test)</w:t>
      </w:r>
    </w:p>
    <w:tbl>
      <w:tblPr>
        <w:tblW w:w="9007" w:type="dxa"/>
        <w:tblInd w:w="156"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821"/>
        <w:gridCol w:w="1646"/>
        <w:gridCol w:w="1809"/>
        <w:gridCol w:w="933"/>
        <w:gridCol w:w="1637"/>
        <w:gridCol w:w="1289"/>
        <w:gridCol w:w="872"/>
      </w:tblGrid>
      <w:tr w:rsidR="006F0B21" w:rsidRPr="006F0B21" w14:paraId="145ED10D" w14:textId="77777777" w:rsidTr="002F2700">
        <w:trPr>
          <w:cantSplit/>
          <w:trHeight w:val="563"/>
          <w:tblHeader/>
        </w:trPr>
        <w:tc>
          <w:tcPr>
            <w:tcW w:w="2467" w:type="dxa"/>
            <w:gridSpan w:val="2"/>
            <w:shd w:val="clear" w:color="auto" w:fill="FFFFFF"/>
            <w:vAlign w:val="center"/>
            <w:hideMark/>
          </w:tcPr>
          <w:p w14:paraId="4F4532B7"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Model</w:t>
            </w:r>
          </w:p>
        </w:tc>
        <w:tc>
          <w:tcPr>
            <w:tcW w:w="1809" w:type="dxa"/>
            <w:shd w:val="clear" w:color="auto" w:fill="FFFFFF"/>
            <w:vAlign w:val="center"/>
            <w:hideMark/>
          </w:tcPr>
          <w:p w14:paraId="2CB77EB5"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 xml:space="preserve">Sum of </w:t>
            </w:r>
          </w:p>
          <w:p w14:paraId="1684B2A2"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Squares</w:t>
            </w:r>
          </w:p>
        </w:tc>
        <w:tc>
          <w:tcPr>
            <w:tcW w:w="933" w:type="dxa"/>
            <w:shd w:val="clear" w:color="auto" w:fill="FFFFFF"/>
            <w:vAlign w:val="center"/>
            <w:hideMark/>
          </w:tcPr>
          <w:p w14:paraId="7BC5B243"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df</w:t>
            </w:r>
          </w:p>
        </w:tc>
        <w:tc>
          <w:tcPr>
            <w:tcW w:w="1637" w:type="dxa"/>
            <w:shd w:val="clear" w:color="auto" w:fill="FFFFFF"/>
            <w:vAlign w:val="center"/>
            <w:hideMark/>
          </w:tcPr>
          <w:p w14:paraId="6A54A421"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 xml:space="preserve">Mean </w:t>
            </w:r>
          </w:p>
          <w:p w14:paraId="4C29867D"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Square</w:t>
            </w:r>
          </w:p>
        </w:tc>
        <w:tc>
          <w:tcPr>
            <w:tcW w:w="1289" w:type="dxa"/>
            <w:shd w:val="clear" w:color="auto" w:fill="FFFFFF"/>
            <w:vAlign w:val="center"/>
            <w:hideMark/>
          </w:tcPr>
          <w:p w14:paraId="701956F4"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F</w:t>
            </w:r>
          </w:p>
        </w:tc>
        <w:tc>
          <w:tcPr>
            <w:tcW w:w="872" w:type="dxa"/>
            <w:shd w:val="clear" w:color="auto" w:fill="FFFFFF"/>
            <w:vAlign w:val="center"/>
            <w:hideMark/>
          </w:tcPr>
          <w:p w14:paraId="1729BDE9"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Sig.</w:t>
            </w:r>
          </w:p>
          <w:p w14:paraId="37676372"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p>
        </w:tc>
      </w:tr>
      <w:tr w:rsidR="006F0B21" w:rsidRPr="006F0B21" w14:paraId="4CE76284" w14:textId="77777777" w:rsidTr="002F2700">
        <w:trPr>
          <w:cantSplit/>
          <w:trHeight w:val="395"/>
          <w:tblHeader/>
        </w:trPr>
        <w:tc>
          <w:tcPr>
            <w:tcW w:w="821" w:type="dxa"/>
            <w:vMerge w:val="restart"/>
            <w:shd w:val="clear" w:color="auto" w:fill="FFFFFF"/>
            <w:hideMark/>
          </w:tcPr>
          <w:p w14:paraId="1486A1E3"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1</w:t>
            </w:r>
          </w:p>
        </w:tc>
        <w:tc>
          <w:tcPr>
            <w:tcW w:w="1646" w:type="dxa"/>
            <w:shd w:val="clear" w:color="auto" w:fill="FFFFFF"/>
            <w:hideMark/>
          </w:tcPr>
          <w:p w14:paraId="0BFD43DB"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Regression</w:t>
            </w:r>
          </w:p>
        </w:tc>
        <w:tc>
          <w:tcPr>
            <w:tcW w:w="1809" w:type="dxa"/>
            <w:shd w:val="clear" w:color="auto" w:fill="FFFFFF"/>
            <w:hideMark/>
          </w:tcPr>
          <w:p w14:paraId="0E20D97D"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186780,207</w:t>
            </w:r>
          </w:p>
        </w:tc>
        <w:tc>
          <w:tcPr>
            <w:tcW w:w="933" w:type="dxa"/>
            <w:shd w:val="clear" w:color="auto" w:fill="FFFFFF"/>
            <w:hideMark/>
          </w:tcPr>
          <w:p w14:paraId="1D445B57"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4</w:t>
            </w:r>
          </w:p>
        </w:tc>
        <w:tc>
          <w:tcPr>
            <w:tcW w:w="1637" w:type="dxa"/>
            <w:shd w:val="clear" w:color="auto" w:fill="FFFFFF"/>
            <w:hideMark/>
          </w:tcPr>
          <w:p w14:paraId="6270E4A8"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46695,052</w:t>
            </w:r>
          </w:p>
        </w:tc>
        <w:tc>
          <w:tcPr>
            <w:tcW w:w="1289" w:type="dxa"/>
            <w:shd w:val="clear" w:color="auto" w:fill="FFFFFF"/>
            <w:hideMark/>
          </w:tcPr>
          <w:p w14:paraId="2000E8E2"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127,783</w:t>
            </w:r>
          </w:p>
        </w:tc>
        <w:tc>
          <w:tcPr>
            <w:tcW w:w="872" w:type="dxa"/>
            <w:shd w:val="clear" w:color="auto" w:fill="FFFFFF"/>
            <w:hideMark/>
          </w:tcPr>
          <w:p w14:paraId="5DF2F680"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,000</w:t>
            </w:r>
            <w:r w:rsidRPr="006F0B21">
              <w:rPr>
                <w:rFonts w:ascii="Book Antiqua" w:hAnsi="Book Antiqua" w:cs="Times New Roman"/>
                <w:color w:val="000000"/>
                <w:vertAlign w:val="superscript"/>
              </w:rPr>
              <w:t>a</w:t>
            </w:r>
          </w:p>
        </w:tc>
      </w:tr>
      <w:tr w:rsidR="006F0B21" w:rsidRPr="006F0B21" w14:paraId="4CA8C173" w14:textId="77777777" w:rsidTr="002F2700">
        <w:trPr>
          <w:cantSplit/>
          <w:trHeight w:val="258"/>
          <w:tblHeader/>
        </w:trPr>
        <w:tc>
          <w:tcPr>
            <w:tcW w:w="821" w:type="dxa"/>
            <w:vMerge/>
            <w:vAlign w:val="center"/>
            <w:hideMark/>
          </w:tcPr>
          <w:p w14:paraId="63BB4FDF" w14:textId="77777777" w:rsidR="006F0B21" w:rsidRPr="006F0B21" w:rsidRDefault="006F0B21" w:rsidP="002F2700">
            <w:pPr>
              <w:spacing w:line="240" w:lineRule="auto"/>
              <w:contextualSpacing/>
              <w:rPr>
                <w:rFonts w:ascii="Book Antiqua" w:hAnsi="Book Antiqua" w:cs="Times New Roman"/>
                <w:color w:val="000000"/>
              </w:rPr>
            </w:pPr>
          </w:p>
        </w:tc>
        <w:tc>
          <w:tcPr>
            <w:tcW w:w="1646" w:type="dxa"/>
            <w:shd w:val="clear" w:color="auto" w:fill="FFFFFF"/>
            <w:hideMark/>
          </w:tcPr>
          <w:p w14:paraId="23F409C3"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Residual</w:t>
            </w:r>
          </w:p>
        </w:tc>
        <w:tc>
          <w:tcPr>
            <w:tcW w:w="1809" w:type="dxa"/>
            <w:shd w:val="clear" w:color="auto" w:fill="FFFFFF"/>
            <w:hideMark/>
          </w:tcPr>
          <w:p w14:paraId="642738F5"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90260,078</w:t>
            </w:r>
          </w:p>
        </w:tc>
        <w:tc>
          <w:tcPr>
            <w:tcW w:w="933" w:type="dxa"/>
            <w:shd w:val="clear" w:color="auto" w:fill="FFFFFF"/>
            <w:hideMark/>
          </w:tcPr>
          <w:p w14:paraId="4FC0F4E8"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247</w:t>
            </w:r>
          </w:p>
        </w:tc>
        <w:tc>
          <w:tcPr>
            <w:tcW w:w="1637" w:type="dxa"/>
            <w:shd w:val="clear" w:color="auto" w:fill="FFFFFF"/>
            <w:hideMark/>
          </w:tcPr>
          <w:p w14:paraId="38804352"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365,425</w:t>
            </w:r>
          </w:p>
        </w:tc>
        <w:tc>
          <w:tcPr>
            <w:tcW w:w="1289" w:type="dxa"/>
            <w:shd w:val="clear" w:color="auto" w:fill="FFFFFF"/>
            <w:vAlign w:val="center"/>
          </w:tcPr>
          <w:p w14:paraId="2BA36EDE" w14:textId="77777777" w:rsidR="006F0B21" w:rsidRPr="006F0B21" w:rsidRDefault="006F0B21" w:rsidP="002F2700">
            <w:pPr>
              <w:autoSpaceDE w:val="0"/>
              <w:autoSpaceDN w:val="0"/>
              <w:adjustRightInd w:val="0"/>
              <w:spacing w:line="240" w:lineRule="auto"/>
              <w:contextualSpacing/>
              <w:rPr>
                <w:rFonts w:ascii="Book Antiqua" w:hAnsi="Book Antiqua" w:cs="Times New Roman"/>
              </w:rPr>
            </w:pPr>
          </w:p>
        </w:tc>
        <w:tc>
          <w:tcPr>
            <w:tcW w:w="872" w:type="dxa"/>
            <w:shd w:val="clear" w:color="auto" w:fill="FFFFFF"/>
            <w:vAlign w:val="center"/>
          </w:tcPr>
          <w:p w14:paraId="37E0F877" w14:textId="77777777" w:rsidR="006F0B21" w:rsidRPr="006F0B21" w:rsidRDefault="006F0B21" w:rsidP="002F2700">
            <w:pPr>
              <w:autoSpaceDE w:val="0"/>
              <w:autoSpaceDN w:val="0"/>
              <w:adjustRightInd w:val="0"/>
              <w:spacing w:line="240" w:lineRule="auto"/>
              <w:contextualSpacing/>
              <w:rPr>
                <w:rFonts w:ascii="Book Antiqua" w:hAnsi="Book Antiqua" w:cs="Times New Roman"/>
              </w:rPr>
            </w:pPr>
          </w:p>
        </w:tc>
      </w:tr>
      <w:tr w:rsidR="006F0B21" w:rsidRPr="006F0B21" w14:paraId="7CC62BFD" w14:textId="77777777" w:rsidTr="002F2700">
        <w:trPr>
          <w:cantSplit/>
          <w:trHeight w:val="258"/>
          <w:tblHeader/>
        </w:trPr>
        <w:tc>
          <w:tcPr>
            <w:tcW w:w="821" w:type="dxa"/>
            <w:vMerge/>
            <w:tcBorders>
              <w:bottom w:val="single" w:sz="4" w:space="0" w:color="auto"/>
            </w:tcBorders>
            <w:vAlign w:val="center"/>
            <w:hideMark/>
          </w:tcPr>
          <w:p w14:paraId="011238EA" w14:textId="77777777" w:rsidR="006F0B21" w:rsidRPr="006F0B21" w:rsidRDefault="006F0B21" w:rsidP="002F2700">
            <w:pPr>
              <w:spacing w:line="240" w:lineRule="auto"/>
              <w:contextualSpacing/>
              <w:rPr>
                <w:rFonts w:ascii="Book Antiqua" w:hAnsi="Book Antiqua" w:cs="Times New Roman"/>
                <w:color w:val="000000"/>
              </w:rPr>
            </w:pPr>
          </w:p>
        </w:tc>
        <w:tc>
          <w:tcPr>
            <w:tcW w:w="1646" w:type="dxa"/>
            <w:tcBorders>
              <w:bottom w:val="single" w:sz="4" w:space="0" w:color="auto"/>
            </w:tcBorders>
            <w:shd w:val="clear" w:color="auto" w:fill="FFFFFF"/>
            <w:hideMark/>
          </w:tcPr>
          <w:p w14:paraId="331E1E35"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Total</w:t>
            </w:r>
          </w:p>
        </w:tc>
        <w:tc>
          <w:tcPr>
            <w:tcW w:w="1809" w:type="dxa"/>
            <w:tcBorders>
              <w:bottom w:val="single" w:sz="4" w:space="0" w:color="auto"/>
            </w:tcBorders>
            <w:shd w:val="clear" w:color="auto" w:fill="FFFFFF"/>
            <w:hideMark/>
          </w:tcPr>
          <w:p w14:paraId="2579AFBF"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277040,285</w:t>
            </w:r>
          </w:p>
        </w:tc>
        <w:tc>
          <w:tcPr>
            <w:tcW w:w="933" w:type="dxa"/>
            <w:tcBorders>
              <w:bottom w:val="single" w:sz="4" w:space="0" w:color="auto"/>
            </w:tcBorders>
            <w:shd w:val="clear" w:color="auto" w:fill="FFFFFF"/>
            <w:hideMark/>
          </w:tcPr>
          <w:p w14:paraId="48580538"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251</w:t>
            </w:r>
          </w:p>
        </w:tc>
        <w:tc>
          <w:tcPr>
            <w:tcW w:w="1637" w:type="dxa"/>
            <w:tcBorders>
              <w:bottom w:val="single" w:sz="4" w:space="0" w:color="auto"/>
            </w:tcBorders>
            <w:shd w:val="clear" w:color="auto" w:fill="FFFFFF"/>
            <w:vAlign w:val="center"/>
          </w:tcPr>
          <w:p w14:paraId="73CD1AD5" w14:textId="77777777" w:rsidR="006F0B21" w:rsidRPr="006F0B21" w:rsidRDefault="006F0B21" w:rsidP="002F2700">
            <w:pPr>
              <w:autoSpaceDE w:val="0"/>
              <w:autoSpaceDN w:val="0"/>
              <w:adjustRightInd w:val="0"/>
              <w:spacing w:line="240" w:lineRule="auto"/>
              <w:contextualSpacing/>
              <w:rPr>
                <w:rFonts w:ascii="Book Antiqua" w:hAnsi="Book Antiqua" w:cs="Times New Roman"/>
              </w:rPr>
            </w:pPr>
          </w:p>
        </w:tc>
        <w:tc>
          <w:tcPr>
            <w:tcW w:w="1289" w:type="dxa"/>
            <w:tcBorders>
              <w:bottom w:val="single" w:sz="4" w:space="0" w:color="auto"/>
            </w:tcBorders>
            <w:shd w:val="clear" w:color="auto" w:fill="FFFFFF"/>
            <w:vAlign w:val="center"/>
          </w:tcPr>
          <w:p w14:paraId="1E8B4BAD" w14:textId="77777777" w:rsidR="006F0B21" w:rsidRPr="006F0B21" w:rsidRDefault="006F0B21" w:rsidP="002F2700">
            <w:pPr>
              <w:autoSpaceDE w:val="0"/>
              <w:autoSpaceDN w:val="0"/>
              <w:adjustRightInd w:val="0"/>
              <w:spacing w:line="240" w:lineRule="auto"/>
              <w:contextualSpacing/>
              <w:rPr>
                <w:rFonts w:ascii="Book Antiqua" w:hAnsi="Book Antiqua" w:cs="Times New Roman"/>
              </w:rPr>
            </w:pPr>
          </w:p>
        </w:tc>
        <w:tc>
          <w:tcPr>
            <w:tcW w:w="872" w:type="dxa"/>
            <w:tcBorders>
              <w:bottom w:val="single" w:sz="4" w:space="0" w:color="auto"/>
            </w:tcBorders>
            <w:shd w:val="clear" w:color="auto" w:fill="FFFFFF"/>
            <w:vAlign w:val="center"/>
          </w:tcPr>
          <w:p w14:paraId="60E2EDB5" w14:textId="77777777" w:rsidR="006F0B21" w:rsidRPr="006F0B21" w:rsidRDefault="006F0B21" w:rsidP="002F2700">
            <w:pPr>
              <w:autoSpaceDE w:val="0"/>
              <w:autoSpaceDN w:val="0"/>
              <w:adjustRightInd w:val="0"/>
              <w:spacing w:line="240" w:lineRule="auto"/>
              <w:contextualSpacing/>
              <w:rPr>
                <w:rFonts w:ascii="Book Antiqua" w:hAnsi="Book Antiqua" w:cs="Times New Roman"/>
              </w:rPr>
            </w:pPr>
          </w:p>
        </w:tc>
      </w:tr>
      <w:tr w:rsidR="006F0B21" w:rsidRPr="006F0B21" w14:paraId="67B9973A" w14:textId="77777777" w:rsidTr="002F2700">
        <w:trPr>
          <w:cantSplit/>
          <w:trHeight w:val="258"/>
          <w:tblHeader/>
        </w:trPr>
        <w:tc>
          <w:tcPr>
            <w:tcW w:w="9007" w:type="dxa"/>
            <w:gridSpan w:val="7"/>
            <w:tcBorders>
              <w:top w:val="single" w:sz="4" w:space="0" w:color="auto"/>
              <w:bottom w:val="nil"/>
            </w:tcBorders>
          </w:tcPr>
          <w:p w14:paraId="5992970C" w14:textId="77777777" w:rsidR="006F0B21" w:rsidRPr="00765C19" w:rsidRDefault="006F0B21" w:rsidP="002F2700">
            <w:pPr>
              <w:pStyle w:val="HTMLSudahDiformat"/>
              <w:shd w:val="clear" w:color="auto" w:fill="F8F9FA"/>
              <w:spacing w:line="365" w:lineRule="atLeast"/>
              <w:rPr>
                <w:rStyle w:val="y2iqfc"/>
                <w:rFonts w:ascii="Book Antiqua" w:hAnsi="Book Antiqua" w:cs="Times New Roman"/>
                <w:color w:val="202124"/>
                <w:sz w:val="16"/>
                <w:szCs w:val="16"/>
              </w:rPr>
            </w:pPr>
            <w:r w:rsidRPr="00765C19">
              <w:rPr>
                <w:rStyle w:val="y2iqfc"/>
                <w:rFonts w:ascii="Book Antiqua" w:hAnsi="Book Antiqua" w:cs="Times New Roman"/>
                <w:color w:val="202124"/>
                <w:sz w:val="16"/>
                <w:szCs w:val="16"/>
              </w:rPr>
              <w:t>Source: Output PASW Statistics 18, (Secondary data processed)</w:t>
            </w:r>
          </w:p>
        </w:tc>
      </w:tr>
    </w:tbl>
    <w:p w14:paraId="55EB6D2D" w14:textId="36C22D11" w:rsidR="006F0B21" w:rsidRPr="006F0B21" w:rsidRDefault="006F0B21" w:rsidP="006F0B21">
      <w:pPr>
        <w:pStyle w:val="HTMLSudahDiformat"/>
        <w:shd w:val="clear" w:color="auto" w:fill="F8F9FA"/>
        <w:contextualSpacing/>
        <w:rPr>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t>Based on the calculations using the SPSS program, the result is that the calculated F value is 127.783 &gt; F table, which is 2.408 with a Sig. of 0.000</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is smaller than the significance value of 0.05. Thus</w:t>
      </w:r>
      <w:r w:rsidR="00AE4B02">
        <w:rPr>
          <w:rStyle w:val="y2iqfc"/>
          <w:rFonts w:ascii="Book Antiqua" w:hAnsi="Book Antiqua" w:cs="Times New Roman"/>
          <w:color w:val="202124"/>
          <w:sz w:val="22"/>
          <w:szCs w:val="22"/>
        </w:rPr>
        <w:t>, it can be concluded that EPS, NPM, GPM, and TATO simultaneously have a positive and significant effect on stock prices</w:t>
      </w:r>
      <w:r w:rsidRPr="006F0B21">
        <w:rPr>
          <w:rStyle w:val="y2iqfc"/>
          <w:rFonts w:ascii="Book Antiqua" w:hAnsi="Book Antiqua" w:cs="Times New Roman"/>
          <w:color w:val="202124"/>
          <w:sz w:val="22"/>
          <w:szCs w:val="22"/>
        </w:rPr>
        <w:t>.</w:t>
      </w:r>
    </w:p>
    <w:p w14:paraId="43C840C6" w14:textId="77777777" w:rsidR="006F0B21" w:rsidRPr="006F0B21" w:rsidRDefault="006F0B21" w:rsidP="006F0B21">
      <w:pPr>
        <w:pStyle w:val="HTMLSudahDiformat"/>
        <w:shd w:val="clear" w:color="auto" w:fill="F8F9FA"/>
        <w:contextualSpacing/>
        <w:rPr>
          <w:rFonts w:ascii="Book Antiqua" w:hAnsi="Book Antiqua" w:cs="Times New Roman"/>
          <w:color w:val="202124"/>
          <w:sz w:val="22"/>
          <w:szCs w:val="22"/>
        </w:rPr>
      </w:pPr>
    </w:p>
    <w:p w14:paraId="7469B535" w14:textId="77777777" w:rsidR="006F0B21" w:rsidRPr="006F0B21" w:rsidRDefault="006F0B21" w:rsidP="006F0B21">
      <w:pPr>
        <w:pStyle w:val="HTMLSudahDiformat"/>
        <w:shd w:val="clear" w:color="auto" w:fill="F8F9FA"/>
        <w:contextualSpacing/>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Hypothesis testing</w:t>
      </w:r>
    </w:p>
    <w:p w14:paraId="1659A4D2" w14:textId="0EB17E12" w:rsidR="006F0B21" w:rsidRPr="006F0B21" w:rsidRDefault="006F0B21" w:rsidP="006F0B21">
      <w:pPr>
        <w:pStyle w:val="HTMLSudahDiformat"/>
        <w:shd w:val="clear" w:color="auto" w:fill="F8F9FA"/>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Partial Significance Test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w:t>
      </w:r>
    </w:p>
    <w:p w14:paraId="0814DBCB" w14:textId="4FE8F314" w:rsidR="006F0B21" w:rsidRPr="006F0B21" w:rsidRDefault="006F0B21" w:rsidP="006F0B21">
      <w:pPr>
        <w:pStyle w:val="HTMLSudahDiformat"/>
        <w:shd w:val="clear" w:color="auto" w:fill="F8F9FA"/>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Book Antiqua" w:hAnsi="Book Antiqua" w:cs="Times New Roman"/>
          <w:color w:val="202124"/>
          <w:sz w:val="22"/>
          <w:szCs w:val="22"/>
        </w:rPr>
      </w:pPr>
      <w:r w:rsidRPr="00516E09">
        <w:rPr>
          <w:rStyle w:val="y2iqfc"/>
          <w:rFonts w:ascii="Book Antiqua" w:hAnsi="Book Antiqua" w:cs="Times New Roman"/>
          <w:b/>
          <w:bCs/>
          <w:color w:val="202124"/>
          <w:sz w:val="22"/>
          <w:szCs w:val="22"/>
        </w:rPr>
        <w:t>Table 10.</w:t>
      </w:r>
      <w:r w:rsidRPr="006F0B21">
        <w:rPr>
          <w:rStyle w:val="y2iqfc"/>
          <w:rFonts w:ascii="Book Antiqua" w:hAnsi="Book Antiqua" w:cs="Times New Roman"/>
          <w:color w:val="202124"/>
          <w:sz w:val="22"/>
          <w:szCs w:val="22"/>
        </w:rPr>
        <w:t xml:space="preserve"> Partial Significance Test Results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w:t>
      </w:r>
    </w:p>
    <w:p w14:paraId="2340A382" w14:textId="77777777" w:rsidR="006F0B21" w:rsidRPr="006F0B21" w:rsidRDefault="006F0B21" w:rsidP="006F0B21">
      <w:pPr>
        <w:pStyle w:val="HTMLSudahDiformat"/>
        <w:shd w:val="clear" w:color="auto" w:fill="F8F9FA"/>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Style w:val="y2iqfc"/>
          <w:rFonts w:ascii="Book Antiqua" w:hAnsi="Book Antiqua" w:cs="Times New Roman"/>
          <w:color w:val="202124"/>
          <w:sz w:val="22"/>
          <w:szCs w:val="22"/>
        </w:rPr>
      </w:pPr>
    </w:p>
    <w:tbl>
      <w:tblPr>
        <w:tblpPr w:leftFromText="180" w:rightFromText="180" w:vertAnchor="text" w:horzAnchor="margin" w:tblpY="-58"/>
        <w:tblW w:w="9121" w:type="dxa"/>
        <w:tblBorders>
          <w:top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06"/>
        <w:gridCol w:w="1684"/>
        <w:gridCol w:w="1690"/>
        <w:gridCol w:w="1501"/>
        <w:gridCol w:w="1877"/>
        <w:gridCol w:w="1124"/>
        <w:gridCol w:w="939"/>
      </w:tblGrid>
      <w:tr w:rsidR="006F0B21" w:rsidRPr="006F0B21" w14:paraId="668DEF29" w14:textId="77777777" w:rsidTr="002F2700">
        <w:trPr>
          <w:cantSplit/>
          <w:trHeight w:val="375"/>
          <w:tblHeader/>
        </w:trPr>
        <w:tc>
          <w:tcPr>
            <w:tcW w:w="1990" w:type="dxa"/>
            <w:gridSpan w:val="2"/>
            <w:vMerge w:val="restart"/>
            <w:shd w:val="clear" w:color="auto" w:fill="FFFFFF"/>
            <w:vAlign w:val="center"/>
            <w:hideMark/>
          </w:tcPr>
          <w:p w14:paraId="01CD84E0" w14:textId="77777777" w:rsidR="006F0B21" w:rsidRPr="003661C6" w:rsidRDefault="006F0B21" w:rsidP="002F2700">
            <w:pPr>
              <w:autoSpaceDE w:val="0"/>
              <w:autoSpaceDN w:val="0"/>
              <w:adjustRightInd w:val="0"/>
              <w:spacing w:line="240" w:lineRule="auto"/>
              <w:ind w:left="60" w:right="60"/>
              <w:contextualSpacing/>
              <w:rPr>
                <w:rFonts w:ascii="Book Antiqua" w:hAnsi="Book Antiqua" w:cs="Times New Roman"/>
                <w:b/>
                <w:bCs/>
                <w:color w:val="000000"/>
              </w:rPr>
            </w:pPr>
            <w:r w:rsidRPr="003661C6">
              <w:rPr>
                <w:rFonts w:ascii="Book Antiqua" w:hAnsi="Book Antiqua" w:cs="Times New Roman"/>
                <w:b/>
                <w:bCs/>
                <w:color w:val="000000"/>
              </w:rPr>
              <w:t>Model</w:t>
            </w:r>
          </w:p>
        </w:tc>
        <w:tc>
          <w:tcPr>
            <w:tcW w:w="3191" w:type="dxa"/>
            <w:gridSpan w:val="2"/>
            <w:shd w:val="clear" w:color="auto" w:fill="FFFFFF"/>
            <w:vAlign w:val="bottom"/>
            <w:hideMark/>
          </w:tcPr>
          <w:p w14:paraId="446F4643" w14:textId="77777777" w:rsidR="006F0B21" w:rsidRPr="003661C6" w:rsidRDefault="006F0B21" w:rsidP="002F2700">
            <w:pPr>
              <w:autoSpaceDE w:val="0"/>
              <w:autoSpaceDN w:val="0"/>
              <w:adjustRightInd w:val="0"/>
              <w:spacing w:line="240" w:lineRule="auto"/>
              <w:ind w:left="60" w:right="60"/>
              <w:contextualSpacing/>
              <w:rPr>
                <w:rFonts w:ascii="Book Antiqua" w:hAnsi="Book Antiqua" w:cs="Times New Roman"/>
                <w:b/>
                <w:bCs/>
                <w:color w:val="000000"/>
              </w:rPr>
            </w:pPr>
            <w:r w:rsidRPr="003661C6">
              <w:rPr>
                <w:rFonts w:ascii="Book Antiqua" w:hAnsi="Book Antiqua" w:cs="Times New Roman"/>
                <w:b/>
                <w:bCs/>
                <w:color w:val="000000"/>
              </w:rPr>
              <w:t xml:space="preserve">Unstandardized </w:t>
            </w:r>
          </w:p>
          <w:p w14:paraId="7BE75DB8" w14:textId="77777777" w:rsidR="006F0B21" w:rsidRPr="003661C6" w:rsidRDefault="006F0B21" w:rsidP="002F2700">
            <w:pPr>
              <w:autoSpaceDE w:val="0"/>
              <w:autoSpaceDN w:val="0"/>
              <w:adjustRightInd w:val="0"/>
              <w:spacing w:line="240" w:lineRule="auto"/>
              <w:ind w:left="60" w:right="60"/>
              <w:contextualSpacing/>
              <w:rPr>
                <w:rFonts w:ascii="Book Antiqua" w:hAnsi="Book Antiqua" w:cs="Times New Roman"/>
                <w:b/>
                <w:bCs/>
                <w:color w:val="000000"/>
              </w:rPr>
            </w:pPr>
            <w:r w:rsidRPr="003661C6">
              <w:rPr>
                <w:rFonts w:ascii="Book Antiqua" w:hAnsi="Book Antiqua" w:cs="Times New Roman"/>
                <w:b/>
                <w:bCs/>
                <w:color w:val="000000"/>
              </w:rPr>
              <w:t>Coefficients</w:t>
            </w:r>
          </w:p>
        </w:tc>
        <w:tc>
          <w:tcPr>
            <w:tcW w:w="1877" w:type="dxa"/>
            <w:shd w:val="clear" w:color="auto" w:fill="FFFFFF"/>
            <w:vAlign w:val="bottom"/>
            <w:hideMark/>
          </w:tcPr>
          <w:p w14:paraId="76034377" w14:textId="77777777" w:rsidR="006F0B21" w:rsidRPr="003661C6" w:rsidRDefault="006F0B21" w:rsidP="002F2700">
            <w:pPr>
              <w:autoSpaceDE w:val="0"/>
              <w:autoSpaceDN w:val="0"/>
              <w:adjustRightInd w:val="0"/>
              <w:spacing w:line="240" w:lineRule="auto"/>
              <w:ind w:left="60" w:right="60"/>
              <w:contextualSpacing/>
              <w:rPr>
                <w:rFonts w:ascii="Book Antiqua" w:hAnsi="Book Antiqua" w:cs="Times New Roman"/>
                <w:b/>
                <w:bCs/>
                <w:color w:val="000000"/>
              </w:rPr>
            </w:pPr>
            <w:r w:rsidRPr="003661C6">
              <w:rPr>
                <w:rFonts w:ascii="Book Antiqua" w:hAnsi="Book Antiqua" w:cs="Times New Roman"/>
                <w:b/>
                <w:bCs/>
                <w:color w:val="000000"/>
              </w:rPr>
              <w:t>Standardized Coefficients</w:t>
            </w:r>
          </w:p>
        </w:tc>
        <w:tc>
          <w:tcPr>
            <w:tcW w:w="1124" w:type="dxa"/>
            <w:vMerge w:val="restart"/>
            <w:shd w:val="clear" w:color="auto" w:fill="FFFFFF"/>
            <w:vAlign w:val="bottom"/>
            <w:hideMark/>
          </w:tcPr>
          <w:p w14:paraId="76403486" w14:textId="77777777" w:rsidR="006F0B21" w:rsidRPr="003661C6" w:rsidRDefault="006F0B21" w:rsidP="002F2700">
            <w:pPr>
              <w:autoSpaceDE w:val="0"/>
              <w:autoSpaceDN w:val="0"/>
              <w:adjustRightInd w:val="0"/>
              <w:spacing w:line="240" w:lineRule="auto"/>
              <w:ind w:left="60" w:right="60"/>
              <w:contextualSpacing/>
              <w:rPr>
                <w:rFonts w:ascii="Book Antiqua" w:hAnsi="Book Antiqua" w:cs="Times New Roman"/>
                <w:b/>
                <w:bCs/>
                <w:color w:val="000000"/>
              </w:rPr>
            </w:pPr>
            <w:r w:rsidRPr="003661C6">
              <w:rPr>
                <w:rFonts w:ascii="Book Antiqua" w:hAnsi="Book Antiqua" w:cs="Times New Roman"/>
                <w:b/>
                <w:bCs/>
                <w:color w:val="000000"/>
              </w:rPr>
              <w:t>t</w:t>
            </w:r>
          </w:p>
        </w:tc>
        <w:tc>
          <w:tcPr>
            <w:tcW w:w="939" w:type="dxa"/>
            <w:vMerge w:val="restart"/>
            <w:shd w:val="clear" w:color="auto" w:fill="FFFFFF"/>
            <w:vAlign w:val="bottom"/>
            <w:hideMark/>
          </w:tcPr>
          <w:p w14:paraId="182BE21B" w14:textId="77777777" w:rsidR="006F0B21" w:rsidRPr="003661C6" w:rsidRDefault="006F0B21" w:rsidP="002F2700">
            <w:pPr>
              <w:autoSpaceDE w:val="0"/>
              <w:autoSpaceDN w:val="0"/>
              <w:adjustRightInd w:val="0"/>
              <w:spacing w:line="240" w:lineRule="auto"/>
              <w:ind w:left="60" w:right="60"/>
              <w:contextualSpacing/>
              <w:rPr>
                <w:rFonts w:ascii="Book Antiqua" w:hAnsi="Book Antiqua" w:cs="Times New Roman"/>
                <w:b/>
                <w:bCs/>
                <w:color w:val="000000"/>
              </w:rPr>
            </w:pPr>
            <w:r w:rsidRPr="003661C6">
              <w:rPr>
                <w:rFonts w:ascii="Book Antiqua" w:hAnsi="Book Antiqua" w:cs="Times New Roman"/>
                <w:b/>
                <w:bCs/>
                <w:color w:val="000000"/>
              </w:rPr>
              <w:t>Sig.</w:t>
            </w:r>
          </w:p>
        </w:tc>
      </w:tr>
      <w:tr w:rsidR="006F0B21" w:rsidRPr="006F0B21" w14:paraId="03A29C50" w14:textId="77777777" w:rsidTr="002F2700">
        <w:trPr>
          <w:cantSplit/>
          <w:trHeight w:val="84"/>
          <w:tblHeader/>
        </w:trPr>
        <w:tc>
          <w:tcPr>
            <w:tcW w:w="1990" w:type="dxa"/>
            <w:gridSpan w:val="2"/>
            <w:vMerge/>
            <w:vAlign w:val="center"/>
            <w:hideMark/>
          </w:tcPr>
          <w:p w14:paraId="6E1CF16D" w14:textId="77777777" w:rsidR="006F0B21" w:rsidRPr="006F0B21" w:rsidRDefault="006F0B21" w:rsidP="002F2700">
            <w:pPr>
              <w:spacing w:line="240" w:lineRule="auto"/>
              <w:contextualSpacing/>
              <w:rPr>
                <w:rFonts w:ascii="Book Antiqua" w:hAnsi="Book Antiqua" w:cs="Times New Roman"/>
                <w:color w:val="000000"/>
              </w:rPr>
            </w:pPr>
          </w:p>
        </w:tc>
        <w:tc>
          <w:tcPr>
            <w:tcW w:w="1690" w:type="dxa"/>
            <w:shd w:val="clear" w:color="auto" w:fill="FFFFFF"/>
            <w:vAlign w:val="bottom"/>
            <w:hideMark/>
          </w:tcPr>
          <w:p w14:paraId="6766D443"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B</w:t>
            </w:r>
          </w:p>
        </w:tc>
        <w:tc>
          <w:tcPr>
            <w:tcW w:w="1501" w:type="dxa"/>
            <w:shd w:val="clear" w:color="auto" w:fill="FFFFFF"/>
            <w:vAlign w:val="bottom"/>
            <w:hideMark/>
          </w:tcPr>
          <w:p w14:paraId="6EE9FD4E"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Std. Error</w:t>
            </w:r>
          </w:p>
        </w:tc>
        <w:tc>
          <w:tcPr>
            <w:tcW w:w="1877" w:type="dxa"/>
            <w:shd w:val="clear" w:color="auto" w:fill="FFFFFF"/>
            <w:vAlign w:val="bottom"/>
            <w:hideMark/>
          </w:tcPr>
          <w:p w14:paraId="21A799EA"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Beta</w:t>
            </w:r>
          </w:p>
        </w:tc>
        <w:tc>
          <w:tcPr>
            <w:tcW w:w="1124" w:type="dxa"/>
            <w:vMerge/>
            <w:vAlign w:val="center"/>
            <w:hideMark/>
          </w:tcPr>
          <w:p w14:paraId="35C87429" w14:textId="77777777" w:rsidR="006F0B21" w:rsidRPr="006F0B21" w:rsidRDefault="006F0B21" w:rsidP="002F2700">
            <w:pPr>
              <w:spacing w:line="240" w:lineRule="auto"/>
              <w:contextualSpacing/>
              <w:rPr>
                <w:rFonts w:ascii="Book Antiqua" w:hAnsi="Book Antiqua" w:cs="Times New Roman"/>
                <w:color w:val="000000"/>
              </w:rPr>
            </w:pPr>
          </w:p>
        </w:tc>
        <w:tc>
          <w:tcPr>
            <w:tcW w:w="939" w:type="dxa"/>
            <w:vMerge/>
            <w:vAlign w:val="center"/>
            <w:hideMark/>
          </w:tcPr>
          <w:p w14:paraId="661D0DAD" w14:textId="77777777" w:rsidR="006F0B21" w:rsidRPr="006F0B21" w:rsidRDefault="006F0B21" w:rsidP="002F2700">
            <w:pPr>
              <w:spacing w:line="240" w:lineRule="auto"/>
              <w:contextualSpacing/>
              <w:rPr>
                <w:rFonts w:ascii="Book Antiqua" w:hAnsi="Book Antiqua" w:cs="Times New Roman"/>
                <w:color w:val="000000"/>
              </w:rPr>
            </w:pPr>
          </w:p>
        </w:tc>
      </w:tr>
      <w:tr w:rsidR="006F0B21" w:rsidRPr="006F0B21" w14:paraId="61C878E1" w14:textId="77777777" w:rsidTr="002F2700">
        <w:trPr>
          <w:cantSplit/>
          <w:trHeight w:val="184"/>
          <w:tblHeader/>
        </w:trPr>
        <w:tc>
          <w:tcPr>
            <w:tcW w:w="306" w:type="dxa"/>
            <w:vMerge w:val="restart"/>
            <w:shd w:val="clear" w:color="auto" w:fill="FFFFFF"/>
            <w:hideMark/>
          </w:tcPr>
          <w:p w14:paraId="10536336"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1</w:t>
            </w:r>
          </w:p>
        </w:tc>
        <w:tc>
          <w:tcPr>
            <w:tcW w:w="1684" w:type="dxa"/>
            <w:shd w:val="clear" w:color="auto" w:fill="FFFFFF"/>
            <w:hideMark/>
          </w:tcPr>
          <w:p w14:paraId="6A11C04B"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(Constant)</w:t>
            </w:r>
          </w:p>
        </w:tc>
        <w:tc>
          <w:tcPr>
            <w:tcW w:w="1690" w:type="dxa"/>
            <w:shd w:val="clear" w:color="auto" w:fill="FFFFFF"/>
            <w:hideMark/>
          </w:tcPr>
          <w:p w14:paraId="460AE77F"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19,896</w:t>
            </w:r>
          </w:p>
        </w:tc>
        <w:tc>
          <w:tcPr>
            <w:tcW w:w="1501" w:type="dxa"/>
            <w:shd w:val="clear" w:color="auto" w:fill="FFFFFF"/>
            <w:hideMark/>
          </w:tcPr>
          <w:p w14:paraId="2B5FBC58"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7,413</w:t>
            </w:r>
          </w:p>
        </w:tc>
        <w:tc>
          <w:tcPr>
            <w:tcW w:w="1877" w:type="dxa"/>
            <w:shd w:val="clear" w:color="auto" w:fill="FFFFFF"/>
            <w:vAlign w:val="center"/>
          </w:tcPr>
          <w:p w14:paraId="12C94135" w14:textId="77777777" w:rsidR="006F0B21" w:rsidRPr="006F0B21" w:rsidRDefault="006F0B21" w:rsidP="002F2700">
            <w:pPr>
              <w:autoSpaceDE w:val="0"/>
              <w:autoSpaceDN w:val="0"/>
              <w:adjustRightInd w:val="0"/>
              <w:spacing w:line="240" w:lineRule="auto"/>
              <w:contextualSpacing/>
              <w:rPr>
                <w:rFonts w:ascii="Book Antiqua" w:hAnsi="Book Antiqua" w:cs="Times New Roman"/>
              </w:rPr>
            </w:pPr>
          </w:p>
        </w:tc>
        <w:tc>
          <w:tcPr>
            <w:tcW w:w="1124" w:type="dxa"/>
            <w:shd w:val="clear" w:color="auto" w:fill="FFFFFF"/>
            <w:hideMark/>
          </w:tcPr>
          <w:p w14:paraId="4DD73B6F"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2,684</w:t>
            </w:r>
          </w:p>
        </w:tc>
        <w:tc>
          <w:tcPr>
            <w:tcW w:w="939" w:type="dxa"/>
            <w:shd w:val="clear" w:color="auto" w:fill="FFFFFF"/>
            <w:hideMark/>
          </w:tcPr>
          <w:p w14:paraId="550FFF78"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,008</w:t>
            </w:r>
          </w:p>
        </w:tc>
      </w:tr>
      <w:tr w:rsidR="006F0B21" w:rsidRPr="006F0B21" w14:paraId="74808D05" w14:textId="77777777" w:rsidTr="002F2700">
        <w:trPr>
          <w:cantSplit/>
          <w:trHeight w:val="84"/>
          <w:tblHeader/>
        </w:trPr>
        <w:tc>
          <w:tcPr>
            <w:tcW w:w="306" w:type="dxa"/>
            <w:vMerge/>
            <w:vAlign w:val="center"/>
            <w:hideMark/>
          </w:tcPr>
          <w:p w14:paraId="62D24B38" w14:textId="77777777" w:rsidR="006F0B21" w:rsidRPr="006F0B21" w:rsidRDefault="006F0B21" w:rsidP="002F2700">
            <w:pPr>
              <w:spacing w:line="240" w:lineRule="auto"/>
              <w:contextualSpacing/>
              <w:rPr>
                <w:rFonts w:ascii="Book Antiqua" w:hAnsi="Book Antiqua" w:cs="Times New Roman"/>
                <w:color w:val="000000"/>
              </w:rPr>
            </w:pPr>
          </w:p>
        </w:tc>
        <w:tc>
          <w:tcPr>
            <w:tcW w:w="1684" w:type="dxa"/>
            <w:shd w:val="clear" w:color="auto" w:fill="FFFFFF"/>
            <w:hideMark/>
          </w:tcPr>
          <w:p w14:paraId="389C8A5F"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EPS</w:t>
            </w:r>
          </w:p>
        </w:tc>
        <w:tc>
          <w:tcPr>
            <w:tcW w:w="1690" w:type="dxa"/>
            <w:shd w:val="clear" w:color="auto" w:fill="FFFFFF"/>
            <w:hideMark/>
          </w:tcPr>
          <w:p w14:paraId="68752EFC"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3,728</w:t>
            </w:r>
          </w:p>
        </w:tc>
        <w:tc>
          <w:tcPr>
            <w:tcW w:w="1501" w:type="dxa"/>
            <w:shd w:val="clear" w:color="auto" w:fill="FFFFFF"/>
            <w:hideMark/>
          </w:tcPr>
          <w:p w14:paraId="72985688"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,250</w:t>
            </w:r>
          </w:p>
        </w:tc>
        <w:tc>
          <w:tcPr>
            <w:tcW w:w="1877" w:type="dxa"/>
            <w:shd w:val="clear" w:color="auto" w:fill="FFFFFF"/>
            <w:hideMark/>
          </w:tcPr>
          <w:p w14:paraId="593C8934"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,707</w:t>
            </w:r>
          </w:p>
        </w:tc>
        <w:tc>
          <w:tcPr>
            <w:tcW w:w="1124" w:type="dxa"/>
            <w:shd w:val="clear" w:color="auto" w:fill="FFFFFF"/>
            <w:hideMark/>
          </w:tcPr>
          <w:p w14:paraId="02687C04"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14,926</w:t>
            </w:r>
          </w:p>
        </w:tc>
        <w:tc>
          <w:tcPr>
            <w:tcW w:w="939" w:type="dxa"/>
            <w:shd w:val="clear" w:color="auto" w:fill="FFFFFF"/>
            <w:hideMark/>
          </w:tcPr>
          <w:p w14:paraId="7D6A5D0C"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,000</w:t>
            </w:r>
          </w:p>
        </w:tc>
      </w:tr>
      <w:tr w:rsidR="006F0B21" w:rsidRPr="006F0B21" w14:paraId="667EABDD" w14:textId="77777777" w:rsidTr="002F2700">
        <w:trPr>
          <w:cantSplit/>
          <w:trHeight w:val="84"/>
          <w:tblHeader/>
        </w:trPr>
        <w:tc>
          <w:tcPr>
            <w:tcW w:w="306" w:type="dxa"/>
            <w:vMerge/>
            <w:vAlign w:val="center"/>
            <w:hideMark/>
          </w:tcPr>
          <w:p w14:paraId="02AEECBC" w14:textId="77777777" w:rsidR="006F0B21" w:rsidRPr="006F0B21" w:rsidRDefault="006F0B21" w:rsidP="002F2700">
            <w:pPr>
              <w:spacing w:line="240" w:lineRule="auto"/>
              <w:contextualSpacing/>
              <w:rPr>
                <w:rFonts w:ascii="Book Antiqua" w:hAnsi="Book Antiqua" w:cs="Times New Roman"/>
                <w:color w:val="000000"/>
              </w:rPr>
            </w:pPr>
          </w:p>
        </w:tc>
        <w:tc>
          <w:tcPr>
            <w:tcW w:w="1684" w:type="dxa"/>
            <w:shd w:val="clear" w:color="auto" w:fill="FFFFFF"/>
            <w:hideMark/>
          </w:tcPr>
          <w:p w14:paraId="0BBC9BC7"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NPM</w:t>
            </w:r>
          </w:p>
        </w:tc>
        <w:tc>
          <w:tcPr>
            <w:tcW w:w="1690" w:type="dxa"/>
            <w:shd w:val="clear" w:color="auto" w:fill="FFFFFF"/>
            <w:hideMark/>
          </w:tcPr>
          <w:p w14:paraId="5DB0CC9A"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37,348</w:t>
            </w:r>
          </w:p>
        </w:tc>
        <w:tc>
          <w:tcPr>
            <w:tcW w:w="1501" w:type="dxa"/>
            <w:shd w:val="clear" w:color="auto" w:fill="FFFFFF"/>
            <w:hideMark/>
          </w:tcPr>
          <w:p w14:paraId="62A62054"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14,894</w:t>
            </w:r>
          </w:p>
        </w:tc>
        <w:tc>
          <w:tcPr>
            <w:tcW w:w="1877" w:type="dxa"/>
            <w:shd w:val="clear" w:color="auto" w:fill="FFFFFF"/>
            <w:hideMark/>
          </w:tcPr>
          <w:p w14:paraId="1A3312C1"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,157</w:t>
            </w:r>
          </w:p>
        </w:tc>
        <w:tc>
          <w:tcPr>
            <w:tcW w:w="1124" w:type="dxa"/>
            <w:shd w:val="clear" w:color="auto" w:fill="FFFFFF"/>
            <w:hideMark/>
          </w:tcPr>
          <w:p w14:paraId="34634098"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2,508</w:t>
            </w:r>
          </w:p>
        </w:tc>
        <w:tc>
          <w:tcPr>
            <w:tcW w:w="939" w:type="dxa"/>
            <w:shd w:val="clear" w:color="auto" w:fill="FFFFFF"/>
            <w:hideMark/>
          </w:tcPr>
          <w:p w14:paraId="5EB1CFD3"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,013</w:t>
            </w:r>
          </w:p>
        </w:tc>
      </w:tr>
      <w:tr w:rsidR="006F0B21" w:rsidRPr="006F0B21" w14:paraId="1F056BA9" w14:textId="77777777" w:rsidTr="002F2700">
        <w:trPr>
          <w:cantSplit/>
          <w:trHeight w:val="84"/>
          <w:tblHeader/>
        </w:trPr>
        <w:tc>
          <w:tcPr>
            <w:tcW w:w="306" w:type="dxa"/>
            <w:vMerge/>
            <w:vAlign w:val="center"/>
            <w:hideMark/>
          </w:tcPr>
          <w:p w14:paraId="249431CD" w14:textId="77777777" w:rsidR="006F0B21" w:rsidRPr="006F0B21" w:rsidRDefault="006F0B21" w:rsidP="002F2700">
            <w:pPr>
              <w:spacing w:line="240" w:lineRule="auto"/>
              <w:contextualSpacing/>
              <w:rPr>
                <w:rFonts w:ascii="Book Antiqua" w:hAnsi="Book Antiqua" w:cs="Times New Roman"/>
                <w:color w:val="000000"/>
              </w:rPr>
            </w:pPr>
          </w:p>
        </w:tc>
        <w:tc>
          <w:tcPr>
            <w:tcW w:w="1684" w:type="dxa"/>
            <w:shd w:val="clear" w:color="auto" w:fill="FFFFFF"/>
            <w:hideMark/>
          </w:tcPr>
          <w:p w14:paraId="64474A41"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GPM</w:t>
            </w:r>
          </w:p>
        </w:tc>
        <w:tc>
          <w:tcPr>
            <w:tcW w:w="1690" w:type="dxa"/>
            <w:shd w:val="clear" w:color="auto" w:fill="FFFFFF"/>
            <w:hideMark/>
          </w:tcPr>
          <w:p w14:paraId="1DF89614"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15,306</w:t>
            </w:r>
          </w:p>
        </w:tc>
        <w:tc>
          <w:tcPr>
            <w:tcW w:w="1501" w:type="dxa"/>
            <w:shd w:val="clear" w:color="auto" w:fill="FFFFFF"/>
            <w:hideMark/>
          </w:tcPr>
          <w:p w14:paraId="64A23768"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11,633</w:t>
            </w:r>
          </w:p>
        </w:tc>
        <w:tc>
          <w:tcPr>
            <w:tcW w:w="1877" w:type="dxa"/>
            <w:shd w:val="clear" w:color="auto" w:fill="FFFFFF"/>
            <w:hideMark/>
          </w:tcPr>
          <w:p w14:paraId="3E348F30"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,074</w:t>
            </w:r>
          </w:p>
        </w:tc>
        <w:tc>
          <w:tcPr>
            <w:tcW w:w="1124" w:type="dxa"/>
            <w:shd w:val="clear" w:color="auto" w:fill="FFFFFF"/>
            <w:hideMark/>
          </w:tcPr>
          <w:p w14:paraId="0165E854"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1,316</w:t>
            </w:r>
          </w:p>
        </w:tc>
        <w:tc>
          <w:tcPr>
            <w:tcW w:w="939" w:type="dxa"/>
            <w:shd w:val="clear" w:color="auto" w:fill="FFFFFF"/>
            <w:hideMark/>
          </w:tcPr>
          <w:p w14:paraId="3D8E815C"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,189</w:t>
            </w:r>
          </w:p>
        </w:tc>
      </w:tr>
      <w:tr w:rsidR="006F0B21" w:rsidRPr="006F0B21" w14:paraId="6B2A3AF3" w14:textId="77777777" w:rsidTr="002F2700">
        <w:trPr>
          <w:cantSplit/>
          <w:trHeight w:val="84"/>
          <w:tblHeader/>
        </w:trPr>
        <w:tc>
          <w:tcPr>
            <w:tcW w:w="306" w:type="dxa"/>
            <w:vMerge/>
            <w:vAlign w:val="center"/>
            <w:hideMark/>
          </w:tcPr>
          <w:p w14:paraId="2DFFEB0B" w14:textId="77777777" w:rsidR="006F0B21" w:rsidRPr="006F0B21" w:rsidRDefault="006F0B21" w:rsidP="002F2700">
            <w:pPr>
              <w:spacing w:line="240" w:lineRule="auto"/>
              <w:contextualSpacing/>
              <w:rPr>
                <w:rFonts w:ascii="Book Antiqua" w:hAnsi="Book Antiqua" w:cs="Times New Roman"/>
                <w:color w:val="000000"/>
              </w:rPr>
            </w:pPr>
          </w:p>
        </w:tc>
        <w:tc>
          <w:tcPr>
            <w:tcW w:w="1684" w:type="dxa"/>
            <w:shd w:val="clear" w:color="auto" w:fill="FFFFFF"/>
            <w:hideMark/>
          </w:tcPr>
          <w:p w14:paraId="4DE8C4C2" w14:textId="77777777" w:rsidR="006F0B21" w:rsidRPr="006F0B21" w:rsidRDefault="006F0B21" w:rsidP="002F2700">
            <w:pPr>
              <w:autoSpaceDE w:val="0"/>
              <w:autoSpaceDN w:val="0"/>
              <w:adjustRightInd w:val="0"/>
              <w:spacing w:line="240" w:lineRule="auto"/>
              <w:ind w:left="60" w:right="60"/>
              <w:contextualSpacing/>
              <w:rPr>
                <w:rFonts w:ascii="Book Antiqua" w:hAnsi="Book Antiqua" w:cs="Times New Roman"/>
                <w:color w:val="000000"/>
              </w:rPr>
            </w:pPr>
            <w:r w:rsidRPr="006F0B21">
              <w:rPr>
                <w:rFonts w:ascii="Book Antiqua" w:hAnsi="Book Antiqua" w:cs="Times New Roman"/>
                <w:color w:val="000000"/>
              </w:rPr>
              <w:t>TATO</w:t>
            </w:r>
          </w:p>
        </w:tc>
        <w:tc>
          <w:tcPr>
            <w:tcW w:w="1690" w:type="dxa"/>
            <w:shd w:val="clear" w:color="auto" w:fill="FFFFFF"/>
            <w:hideMark/>
          </w:tcPr>
          <w:p w14:paraId="75D1366B"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-26,727</w:t>
            </w:r>
          </w:p>
        </w:tc>
        <w:tc>
          <w:tcPr>
            <w:tcW w:w="1501" w:type="dxa"/>
            <w:shd w:val="clear" w:color="auto" w:fill="FFFFFF"/>
            <w:hideMark/>
          </w:tcPr>
          <w:p w14:paraId="76218EF2"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5,261</w:t>
            </w:r>
          </w:p>
        </w:tc>
        <w:tc>
          <w:tcPr>
            <w:tcW w:w="1877" w:type="dxa"/>
            <w:shd w:val="clear" w:color="auto" w:fill="FFFFFF"/>
            <w:hideMark/>
          </w:tcPr>
          <w:p w14:paraId="0075BF4C"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-,220</w:t>
            </w:r>
          </w:p>
        </w:tc>
        <w:tc>
          <w:tcPr>
            <w:tcW w:w="1124" w:type="dxa"/>
            <w:shd w:val="clear" w:color="auto" w:fill="FFFFFF"/>
            <w:hideMark/>
          </w:tcPr>
          <w:p w14:paraId="403870F2"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-5,080</w:t>
            </w:r>
          </w:p>
        </w:tc>
        <w:tc>
          <w:tcPr>
            <w:tcW w:w="939" w:type="dxa"/>
            <w:shd w:val="clear" w:color="auto" w:fill="FFFFFF"/>
            <w:hideMark/>
          </w:tcPr>
          <w:p w14:paraId="5051BF71" w14:textId="77777777" w:rsidR="006F0B21" w:rsidRPr="006F0B21" w:rsidRDefault="006F0B21" w:rsidP="002F2700">
            <w:pPr>
              <w:autoSpaceDE w:val="0"/>
              <w:autoSpaceDN w:val="0"/>
              <w:adjustRightInd w:val="0"/>
              <w:spacing w:line="240" w:lineRule="auto"/>
              <w:ind w:left="60" w:right="60"/>
              <w:contextualSpacing/>
              <w:jc w:val="right"/>
              <w:rPr>
                <w:rFonts w:ascii="Book Antiqua" w:hAnsi="Book Antiqua" w:cs="Times New Roman"/>
                <w:color w:val="000000"/>
              </w:rPr>
            </w:pPr>
            <w:r w:rsidRPr="006F0B21">
              <w:rPr>
                <w:rFonts w:ascii="Book Antiqua" w:hAnsi="Book Antiqua" w:cs="Times New Roman"/>
                <w:color w:val="000000"/>
              </w:rPr>
              <w:t>,000</w:t>
            </w:r>
          </w:p>
        </w:tc>
      </w:tr>
      <w:tr w:rsidR="006F0B21" w:rsidRPr="006F0B21" w14:paraId="64BD7AFC" w14:textId="77777777" w:rsidTr="00765C19">
        <w:trPr>
          <w:cantSplit/>
          <w:trHeight w:val="77"/>
          <w:tblHeader/>
        </w:trPr>
        <w:tc>
          <w:tcPr>
            <w:tcW w:w="9121" w:type="dxa"/>
            <w:gridSpan w:val="7"/>
            <w:vAlign w:val="center"/>
          </w:tcPr>
          <w:p w14:paraId="4E246181" w14:textId="5247C71B" w:rsidR="006F0B21" w:rsidRPr="00765C19" w:rsidRDefault="00765C19" w:rsidP="002F2700">
            <w:pPr>
              <w:autoSpaceDE w:val="0"/>
              <w:autoSpaceDN w:val="0"/>
              <w:adjustRightInd w:val="0"/>
              <w:spacing w:line="240" w:lineRule="auto"/>
              <w:ind w:left="60" w:right="60"/>
              <w:contextualSpacing/>
              <w:jc w:val="both"/>
              <w:rPr>
                <w:rFonts w:ascii="Book Antiqua" w:hAnsi="Book Antiqua" w:cs="Times New Roman"/>
                <w:color w:val="000000"/>
                <w:sz w:val="16"/>
                <w:szCs w:val="16"/>
              </w:rPr>
            </w:pPr>
            <w:r w:rsidRPr="00765C19">
              <w:rPr>
                <w:rFonts w:ascii="Book Antiqua" w:hAnsi="Book Antiqua" w:cs="Times New Roman"/>
                <w:color w:val="000000"/>
                <w:sz w:val="16"/>
                <w:szCs w:val="16"/>
              </w:rPr>
              <w:t>Source: PASW Statistic 18 output (Secondary data processed)</w:t>
            </w:r>
          </w:p>
        </w:tc>
      </w:tr>
    </w:tbl>
    <w:p w14:paraId="54240FAE" w14:textId="4365F5F8"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t xml:space="preserve">Based on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able</w:t>
      </w:r>
      <w:r w:rsidR="00516E09">
        <w:rPr>
          <w:rStyle w:val="y2iqfc"/>
          <w:rFonts w:ascii="Book Antiqua" w:hAnsi="Book Antiqua" w:cs="Times New Roman"/>
          <w:color w:val="202124"/>
          <w:sz w:val="22"/>
          <w:szCs w:val="22"/>
        </w:rPr>
        <w:t xml:space="preserve"> 10</w:t>
      </w:r>
      <w:r w:rsidRPr="006F0B21">
        <w:rPr>
          <w:rStyle w:val="y2iqfc"/>
          <w:rFonts w:ascii="Book Antiqua" w:hAnsi="Book Antiqua" w:cs="Times New Roman"/>
          <w:color w:val="202124"/>
          <w:sz w:val="22"/>
          <w:szCs w:val="22"/>
        </w:rPr>
        <w:t>, it can be seen that the individual relationship of each EPS, NPM, GPM, and TATO variable to stock prices is as follows:</w:t>
      </w:r>
    </w:p>
    <w:p w14:paraId="067A62E7"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 The Effect of Earning Per Share (EPS) on Stock Prices</w:t>
      </w:r>
    </w:p>
    <w:p w14:paraId="2030DF7B" w14:textId="6848CA9C"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 xml:space="preserve">Based on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 xml:space="preserve">able 10 </w:t>
      </w:r>
      <w:r w:rsidR="00AE4B02">
        <w:rPr>
          <w:rStyle w:val="y2iqfc"/>
          <w:rFonts w:ascii="Book Antiqua" w:hAnsi="Book Antiqua" w:cs="Times New Roman"/>
          <w:color w:val="202124"/>
          <w:sz w:val="22"/>
          <w:szCs w:val="22"/>
        </w:rPr>
        <w:t xml:space="preserve">or </w:t>
      </w:r>
      <w:r w:rsidRPr="006F0B21">
        <w:rPr>
          <w:rStyle w:val="y2iqfc"/>
          <w:rFonts w:ascii="Book Antiqua" w:hAnsi="Book Antiqua" w:cs="Times New Roman"/>
          <w:color w:val="202124"/>
          <w:sz w:val="22"/>
          <w:szCs w:val="22"/>
        </w:rPr>
        <w:t>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 results, the Sig EPS value is 0.000</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t>
      </w:r>
      <w:r w:rsidR="00AE4B02">
        <w:rPr>
          <w:rStyle w:val="y2iqfc"/>
          <w:rFonts w:ascii="Book Antiqua" w:hAnsi="Book Antiqua" w:cs="Times New Roman"/>
          <w:color w:val="202124"/>
          <w:sz w:val="22"/>
          <w:szCs w:val="22"/>
        </w:rPr>
        <w:t>more diminutive</w:t>
      </w:r>
      <w:r w:rsidRPr="006F0B21">
        <w:rPr>
          <w:rStyle w:val="y2iqfc"/>
          <w:rFonts w:ascii="Book Antiqua" w:hAnsi="Book Antiqua" w:cs="Times New Roman"/>
          <w:color w:val="202124"/>
          <w:sz w:val="22"/>
          <w:szCs w:val="22"/>
        </w:rPr>
        <w:t xml:space="preserve"> than 0.05</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so it is said to be significant. The EPS variable has a t count &gt; t table (14.926 &gt; 1.651) with a regression coefficient value of 3.728 (positive effect). So</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based on the test results, H1 is accepted, </w:t>
      </w:r>
      <w:r w:rsidR="00AE4B02">
        <w:rPr>
          <w:rStyle w:val="y2iqfc"/>
          <w:rFonts w:ascii="Book Antiqua" w:hAnsi="Book Antiqua" w:cs="Times New Roman"/>
          <w:color w:val="202124"/>
          <w:sz w:val="22"/>
          <w:szCs w:val="22"/>
        </w:rPr>
        <w:t>and</w:t>
      </w:r>
      <w:r w:rsidRPr="006F0B21">
        <w:rPr>
          <w:rStyle w:val="y2iqfc"/>
          <w:rFonts w:ascii="Book Antiqua" w:hAnsi="Book Antiqua" w:cs="Times New Roman"/>
          <w:color w:val="202124"/>
          <w:sz w:val="22"/>
          <w:szCs w:val="22"/>
        </w:rPr>
        <w:t xml:space="preserve"> the EPS variable has a positive and significant </w:t>
      </w:r>
      <w:r w:rsidR="00AE4B02">
        <w:rPr>
          <w:rStyle w:val="y2iqfc"/>
          <w:rFonts w:ascii="Book Antiqua" w:hAnsi="Book Antiqua" w:cs="Times New Roman"/>
          <w:color w:val="202124"/>
          <w:sz w:val="22"/>
          <w:szCs w:val="22"/>
        </w:rPr>
        <w:t>impa</w:t>
      </w:r>
      <w:r w:rsidRPr="006F0B21">
        <w:rPr>
          <w:rStyle w:val="y2iqfc"/>
          <w:rFonts w:ascii="Book Antiqua" w:hAnsi="Book Antiqua" w:cs="Times New Roman"/>
          <w:color w:val="202124"/>
          <w:sz w:val="22"/>
          <w:szCs w:val="22"/>
        </w:rPr>
        <w:t>ct on stock prices.</w:t>
      </w:r>
    </w:p>
    <w:p w14:paraId="0DFA47EE"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b) Effect of Net Profit Margin (NPM) on Stock Prices</w:t>
      </w:r>
    </w:p>
    <w:p w14:paraId="55A62B8F" w14:textId="478DEC5A"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 xml:space="preserve">Based on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able 10 from 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 results above, the Sig NPM value is 0.013</w:t>
      </w:r>
      <w:r w:rsidR="00AE4B02">
        <w:rPr>
          <w:rStyle w:val="y2iqfc"/>
          <w:rFonts w:ascii="Book Antiqua" w:hAnsi="Book Antiqua" w:cs="Times New Roman"/>
          <w:color w:val="202124"/>
          <w:sz w:val="22"/>
          <w:szCs w:val="22"/>
        </w:rPr>
        <w:t>, more diminutive than 0.05,</w:t>
      </w:r>
      <w:r w:rsidRPr="006F0B21">
        <w:rPr>
          <w:rStyle w:val="y2iqfc"/>
          <w:rFonts w:ascii="Book Antiqua" w:hAnsi="Book Antiqua" w:cs="Times New Roman"/>
          <w:color w:val="202124"/>
          <w:sz w:val="22"/>
          <w:szCs w:val="22"/>
        </w:rPr>
        <w:t xml:space="preserve"> so it is significant.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he NPM variable has a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count &gt;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table (2.508 &gt; 1.651) with a regression coefficient value of 37.348 (positive effect). So</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based on the test results, H2 is accepted, namely the NPM variable has a positive and significant effect on stock prices.</w:t>
      </w:r>
    </w:p>
    <w:p w14:paraId="62E1EC55"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c) Effect of Gross Profit Margin (GPM) on Stock Prices</w:t>
      </w:r>
    </w:p>
    <w:p w14:paraId="10345B7D" w14:textId="4122F4FF"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 xml:space="preserve">Based on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 xml:space="preserve">able 10 </w:t>
      </w:r>
      <w:r w:rsidR="00AE4B02">
        <w:rPr>
          <w:rStyle w:val="y2iqfc"/>
          <w:rFonts w:ascii="Book Antiqua" w:hAnsi="Book Antiqua" w:cs="Times New Roman"/>
          <w:color w:val="202124"/>
          <w:sz w:val="22"/>
          <w:szCs w:val="22"/>
        </w:rPr>
        <w:t xml:space="preserve">or </w:t>
      </w:r>
      <w:r w:rsidRPr="006F0B21">
        <w:rPr>
          <w:rStyle w:val="y2iqfc"/>
          <w:rFonts w:ascii="Book Antiqua" w:hAnsi="Book Antiqua" w:cs="Times New Roman"/>
          <w:color w:val="202124"/>
          <w:sz w:val="22"/>
          <w:szCs w:val="22"/>
        </w:rPr>
        <w:t>the results of 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 the Sig GPM value is 0.189</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is greater than 0.05</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so it is said to be insignificant. The GPM variable has a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count &lt;ttable (1.316 &lt;1.651) with a regression coefficient value of 15.306 (no effect). So</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based on the test results, H3 is rejected</w:t>
      </w:r>
      <w:r w:rsidR="00AE4B02">
        <w:rPr>
          <w:rStyle w:val="y2iqfc"/>
          <w:rFonts w:ascii="Book Antiqua" w:hAnsi="Book Antiqua" w:cs="Times New Roman"/>
          <w:color w:val="202124"/>
          <w:sz w:val="22"/>
          <w:szCs w:val="22"/>
        </w:rPr>
        <w:t>. N</w:t>
      </w:r>
      <w:r w:rsidRPr="006F0B21">
        <w:rPr>
          <w:rStyle w:val="y2iqfc"/>
          <w:rFonts w:ascii="Book Antiqua" w:hAnsi="Book Antiqua" w:cs="Times New Roman"/>
          <w:color w:val="202124"/>
          <w:sz w:val="22"/>
          <w:szCs w:val="22"/>
        </w:rPr>
        <w:t>amely</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the GPM variable has no significant effect on stock prices.</w:t>
      </w:r>
    </w:p>
    <w:p w14:paraId="43A67F62"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d) Effect of Total Asset Turnover (TATO) on Stock Prices</w:t>
      </w:r>
    </w:p>
    <w:p w14:paraId="6571BC8C" w14:textId="68892C67"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 xml:space="preserve">Based on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able 10</w:t>
      </w:r>
      <w:r w:rsidR="00AE4B02">
        <w:rPr>
          <w:rStyle w:val="y2iqfc"/>
          <w:rFonts w:ascii="Book Antiqua" w:hAnsi="Book Antiqua" w:cs="Times New Roman"/>
          <w:color w:val="202124"/>
          <w:sz w:val="22"/>
          <w:szCs w:val="22"/>
        </w:rPr>
        <w:t xml:space="preserve"> or </w:t>
      </w:r>
      <w:r w:rsidRPr="006F0B21">
        <w:rPr>
          <w:rStyle w:val="y2iqfc"/>
          <w:rFonts w:ascii="Book Antiqua" w:hAnsi="Book Antiqua" w:cs="Times New Roman"/>
          <w:color w:val="202124"/>
          <w:sz w:val="22"/>
          <w:szCs w:val="22"/>
        </w:rPr>
        <w:t>the results of 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 the Sig TATO value is 0.000</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is smaller than 0.05</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so it is said to be significant. The TATO variable has a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count &gt;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table (5.080 &gt; 1.651) with a regression coefficient of -26.727 (negative effect). So</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based on the test results, H4 is rejected</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namely</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the TATO variable has a negative and significant effect on stock prices.</w:t>
      </w:r>
    </w:p>
    <w:p w14:paraId="575B40EB" w14:textId="77777777" w:rsidR="006F0B21" w:rsidRPr="006F0B21" w:rsidRDefault="006F0B21" w:rsidP="006F0B21">
      <w:pPr>
        <w:pStyle w:val="HTMLSudahDiformat"/>
        <w:shd w:val="clear" w:color="auto" w:fill="F8F9FA"/>
        <w:ind w:left="270"/>
        <w:contextualSpacing/>
        <w:jc w:val="both"/>
        <w:rPr>
          <w:rFonts w:ascii="Book Antiqua" w:hAnsi="Book Antiqua" w:cs="Times New Roman"/>
          <w:color w:val="202124"/>
          <w:sz w:val="22"/>
          <w:szCs w:val="22"/>
        </w:rPr>
      </w:pPr>
    </w:p>
    <w:p w14:paraId="62D64D16"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t>Based on the table above, it can be seen that the individual relationship of each EPS, NPM, GPM, and TATO variable to stock prices is as follows:</w:t>
      </w:r>
    </w:p>
    <w:p w14:paraId="52583D67"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 The Effect of Earning Per Share (EPS) on Stock Prices</w:t>
      </w:r>
    </w:p>
    <w:p w14:paraId="1E386E4A" w14:textId="414B37F2"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 xml:space="preserve">Based on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able 10</w:t>
      </w:r>
      <w:r w:rsidR="00AE4B02">
        <w:rPr>
          <w:rStyle w:val="y2iqfc"/>
          <w:rFonts w:ascii="Book Antiqua" w:hAnsi="Book Antiqua" w:cs="Times New Roman"/>
          <w:color w:val="202124"/>
          <w:sz w:val="22"/>
          <w:szCs w:val="22"/>
        </w:rPr>
        <w:t xml:space="preserve"> or </w:t>
      </w:r>
      <w:r w:rsidRPr="006F0B21">
        <w:rPr>
          <w:rStyle w:val="y2iqfc"/>
          <w:rFonts w:ascii="Book Antiqua" w:hAnsi="Book Antiqua" w:cs="Times New Roman"/>
          <w:color w:val="202124"/>
          <w:sz w:val="22"/>
          <w:szCs w:val="22"/>
        </w:rPr>
        <w:t>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 results, the Sig EPS value is 0.000</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is smaller than 0.05</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so it is said to be significant. The EPS variable has a t count &gt; t table (14.926 &gt; 1.651) with a regression coefficient value of 3.728 (positive effect). So</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based on the test results, H1 is accepted, </w:t>
      </w:r>
      <w:r w:rsidR="00AE4B02">
        <w:rPr>
          <w:rStyle w:val="y2iqfc"/>
          <w:rFonts w:ascii="Book Antiqua" w:hAnsi="Book Antiqua" w:cs="Times New Roman"/>
          <w:color w:val="202124"/>
          <w:sz w:val="22"/>
          <w:szCs w:val="22"/>
        </w:rPr>
        <w:t>and</w:t>
      </w:r>
      <w:r w:rsidRPr="006F0B21">
        <w:rPr>
          <w:rStyle w:val="y2iqfc"/>
          <w:rFonts w:ascii="Book Antiqua" w:hAnsi="Book Antiqua" w:cs="Times New Roman"/>
          <w:color w:val="202124"/>
          <w:sz w:val="22"/>
          <w:szCs w:val="22"/>
        </w:rPr>
        <w:t xml:space="preserve"> the EPS variable has a positive and significant effect on stock prices.</w:t>
      </w:r>
    </w:p>
    <w:p w14:paraId="75EBC680" w14:textId="77777777"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712B107C"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b) Effect of Net Profit Margin (NPM) on Stock Prices</w:t>
      </w:r>
    </w:p>
    <w:p w14:paraId="1C246C25" w14:textId="08782DE9"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 xml:space="preserve">Based on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able 10 from 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 results above, the Sig NPM value is 0.013</w:t>
      </w:r>
      <w:r w:rsidR="00AE4B02">
        <w:rPr>
          <w:rStyle w:val="y2iqfc"/>
          <w:rFonts w:ascii="Book Antiqua" w:hAnsi="Book Antiqua" w:cs="Times New Roman"/>
          <w:color w:val="202124"/>
          <w:sz w:val="22"/>
          <w:szCs w:val="22"/>
        </w:rPr>
        <w:t>, smaller than 0.05,</w:t>
      </w:r>
      <w:r w:rsidRPr="006F0B21">
        <w:rPr>
          <w:rStyle w:val="y2iqfc"/>
          <w:rFonts w:ascii="Book Antiqua" w:hAnsi="Book Antiqua" w:cs="Times New Roman"/>
          <w:color w:val="202124"/>
          <w:sz w:val="22"/>
          <w:szCs w:val="22"/>
        </w:rPr>
        <w:t xml:space="preserve"> so it is said to be significant.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he NPM variable has a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count &gt;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table (2.508 &gt; 1.651) with a regression coefficient value of 37.348 (positive effect). So</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based on the test results, H2 is accepted, </w:t>
      </w:r>
      <w:r w:rsidR="00AE4B02">
        <w:rPr>
          <w:rStyle w:val="y2iqfc"/>
          <w:rFonts w:ascii="Book Antiqua" w:hAnsi="Book Antiqua" w:cs="Times New Roman"/>
          <w:color w:val="202124"/>
          <w:sz w:val="22"/>
          <w:szCs w:val="22"/>
        </w:rPr>
        <w:t>and</w:t>
      </w:r>
      <w:r w:rsidRPr="006F0B21">
        <w:rPr>
          <w:rStyle w:val="y2iqfc"/>
          <w:rFonts w:ascii="Book Antiqua" w:hAnsi="Book Antiqua" w:cs="Times New Roman"/>
          <w:color w:val="202124"/>
          <w:sz w:val="22"/>
          <w:szCs w:val="22"/>
        </w:rPr>
        <w:t xml:space="preserve"> the NPM variable has a positive and significant effect on stock prices.</w:t>
      </w:r>
    </w:p>
    <w:p w14:paraId="3C558E19"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c) Effect of Gross Profit Margin (GPM) on Stock Prices</w:t>
      </w:r>
    </w:p>
    <w:p w14:paraId="393939F0" w14:textId="4090B96F" w:rsidR="006F0B21" w:rsidRP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 xml:space="preserve">Based on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able 10 from the results of 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 the Sig GPM value is 0.189</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is greater than 0.05</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so it is said to be insignificant. The GPM variable has a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count &lt;ttable (1.316 &lt;1.651) with a regression coefficient value of 15.306 (no effect). So</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based on the test results, H3 is rejected</w:t>
      </w:r>
      <w:r w:rsidR="00AE4B02">
        <w:rPr>
          <w:rStyle w:val="y2iqfc"/>
          <w:rFonts w:ascii="Book Antiqua" w:hAnsi="Book Antiqua" w:cs="Times New Roman"/>
          <w:color w:val="202124"/>
          <w:sz w:val="22"/>
          <w:szCs w:val="22"/>
        </w:rPr>
        <w:t>. N</w:t>
      </w:r>
      <w:r w:rsidRPr="006F0B21">
        <w:rPr>
          <w:rStyle w:val="y2iqfc"/>
          <w:rFonts w:ascii="Book Antiqua" w:hAnsi="Book Antiqua" w:cs="Times New Roman"/>
          <w:color w:val="202124"/>
          <w:sz w:val="22"/>
          <w:szCs w:val="22"/>
        </w:rPr>
        <w:t>amely</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the GPM variable has no significant effect on stock prices.</w:t>
      </w:r>
    </w:p>
    <w:p w14:paraId="63707265" w14:textId="77777777" w:rsidR="006F0B21" w:rsidRPr="006F0B21" w:rsidRDefault="006F0B21" w:rsidP="006F0B21">
      <w:pPr>
        <w:pStyle w:val="HTMLSudahDiformat"/>
        <w:shd w:val="clear" w:color="auto" w:fill="F8F9FA"/>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d) Effect of Total Asset Turnover (TATO) on Stock Prices</w:t>
      </w:r>
    </w:p>
    <w:p w14:paraId="6BE16E19" w14:textId="6687ADDE" w:rsid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 xml:space="preserve">Based on </w:t>
      </w:r>
      <w:r w:rsidR="00AE4B02">
        <w:rPr>
          <w:rStyle w:val="y2iqfc"/>
          <w:rFonts w:ascii="Book Antiqua" w:hAnsi="Book Antiqua" w:cs="Times New Roman"/>
          <w:color w:val="202124"/>
          <w:sz w:val="22"/>
          <w:szCs w:val="22"/>
        </w:rPr>
        <w:t>T</w:t>
      </w:r>
      <w:r w:rsidRPr="006F0B21">
        <w:rPr>
          <w:rStyle w:val="y2iqfc"/>
          <w:rFonts w:ascii="Book Antiqua" w:hAnsi="Book Antiqua" w:cs="Times New Roman"/>
          <w:color w:val="202124"/>
          <w:sz w:val="22"/>
          <w:szCs w:val="22"/>
        </w:rPr>
        <w:t>able 10</w:t>
      </w:r>
      <w:r w:rsidR="00AE4B02">
        <w:rPr>
          <w:rStyle w:val="y2iqfc"/>
          <w:rFonts w:ascii="Book Antiqua" w:hAnsi="Book Antiqua" w:cs="Times New Roman"/>
          <w:color w:val="202124"/>
          <w:sz w:val="22"/>
          <w:szCs w:val="22"/>
        </w:rPr>
        <w:t xml:space="preserve"> or </w:t>
      </w:r>
      <w:r w:rsidRPr="006F0B21">
        <w:rPr>
          <w:rStyle w:val="y2iqfc"/>
          <w:rFonts w:ascii="Book Antiqua" w:hAnsi="Book Antiqua" w:cs="Times New Roman"/>
          <w:color w:val="202124"/>
          <w:sz w:val="22"/>
          <w:szCs w:val="22"/>
        </w:rPr>
        <w:t>the results of 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 the Sig TATO value is 0.000</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is smaller than 0.05</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so it is said to be significant. The TATO variable has a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count &gt;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table (5.080 &gt; 1.651) with a regression coefficient of -26.727 (negative effect). So</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based on the test results, H4 is rejected</w:t>
      </w:r>
      <w:r w:rsidR="00AE4B02">
        <w:rPr>
          <w:rStyle w:val="y2iqfc"/>
          <w:rFonts w:ascii="Book Antiqua" w:hAnsi="Book Antiqua" w:cs="Times New Roman"/>
          <w:color w:val="202124"/>
          <w:sz w:val="22"/>
          <w:szCs w:val="22"/>
        </w:rPr>
        <w:t>. N</w:t>
      </w:r>
      <w:r w:rsidRPr="006F0B21">
        <w:rPr>
          <w:rStyle w:val="y2iqfc"/>
          <w:rFonts w:ascii="Book Antiqua" w:hAnsi="Book Antiqua" w:cs="Times New Roman"/>
          <w:color w:val="202124"/>
          <w:sz w:val="22"/>
          <w:szCs w:val="22"/>
        </w:rPr>
        <w:t>amely</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the TATO variable </w:t>
      </w:r>
      <w:r w:rsidR="00AE4B02">
        <w:rPr>
          <w:rStyle w:val="y2iqfc"/>
          <w:rFonts w:ascii="Book Antiqua" w:hAnsi="Book Antiqua" w:cs="Times New Roman"/>
          <w:color w:val="202124"/>
          <w:sz w:val="22"/>
          <w:szCs w:val="22"/>
        </w:rPr>
        <w:t>negatively and significantly affects</w:t>
      </w:r>
      <w:r w:rsidRPr="006F0B21">
        <w:rPr>
          <w:rStyle w:val="y2iqfc"/>
          <w:rFonts w:ascii="Book Antiqua" w:hAnsi="Book Antiqua" w:cs="Times New Roman"/>
          <w:color w:val="202124"/>
          <w:sz w:val="22"/>
          <w:szCs w:val="22"/>
        </w:rPr>
        <w:t xml:space="preserve"> stock prices.</w:t>
      </w:r>
    </w:p>
    <w:p w14:paraId="4FEFFE17" w14:textId="77777777" w:rsidR="00F334E0" w:rsidRDefault="00F334E0"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4D8F0C9A" w14:textId="77777777" w:rsidR="00F334E0" w:rsidRDefault="00F334E0"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44AEB1DE" w14:textId="77777777" w:rsidR="00F334E0" w:rsidRDefault="00F334E0"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49807CB1" w14:textId="77777777" w:rsidR="00F334E0" w:rsidRDefault="00F334E0"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673E250A" w14:textId="77777777" w:rsidR="00F334E0" w:rsidRDefault="00F334E0"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201CADCC" w14:textId="77777777" w:rsidR="00F334E0" w:rsidRDefault="00F334E0"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169C0E26" w14:textId="77777777" w:rsidR="00AE4B02" w:rsidRDefault="00AE4B02"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13DDD3A0" w14:textId="77777777" w:rsidR="00AE4B02" w:rsidRDefault="00AE4B02"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35CB55F6" w14:textId="77777777" w:rsidR="00AE4B02" w:rsidRDefault="00AE4B02"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3D3969F5" w14:textId="7464D639" w:rsidR="00F334E0" w:rsidRPr="000D1D54" w:rsidRDefault="00F334E0" w:rsidP="00F334E0">
      <w:pPr>
        <w:pStyle w:val="DaftarParagraf"/>
        <w:numPr>
          <w:ilvl w:val="0"/>
          <w:numId w:val="1"/>
        </w:numPr>
        <w:spacing w:before="240" w:after="0" w:line="240" w:lineRule="auto"/>
        <w:jc w:val="both"/>
        <w:rPr>
          <w:rFonts w:ascii="Book Antiqua" w:hAnsi="Book Antiqua" w:cs="Times New Roman"/>
          <w:b/>
          <w:bCs/>
          <w:sz w:val="24"/>
          <w:szCs w:val="24"/>
          <w:lang w:val="id-ID"/>
        </w:rPr>
      </w:pPr>
      <w:r w:rsidRPr="00F334E0">
        <w:rPr>
          <w:rFonts w:ascii="Book Antiqua" w:eastAsiaTheme="minorEastAsia" w:hAnsi="Book Antiqua" w:cs="Times New Roman"/>
          <w:b/>
          <w:lang w:val="id-ID"/>
        </w:rPr>
        <w:t>D</w:t>
      </w:r>
      <w:r w:rsidRPr="000D1D54">
        <w:rPr>
          <w:rFonts w:ascii="Book Antiqua" w:hAnsi="Book Antiqua" w:cs="Times New Roman"/>
          <w:b/>
          <w:bCs/>
          <w:sz w:val="24"/>
          <w:szCs w:val="24"/>
          <w:lang w:val="id-ID"/>
        </w:rPr>
        <w:t>iscussion</w:t>
      </w:r>
    </w:p>
    <w:p w14:paraId="5255B624" w14:textId="77777777" w:rsidR="00F334E0" w:rsidRPr="006F0B21" w:rsidRDefault="00F334E0" w:rsidP="006F0B21">
      <w:pPr>
        <w:pStyle w:val="HTMLSudahDiformat"/>
        <w:shd w:val="clear" w:color="auto" w:fill="F8F9FA"/>
        <w:ind w:left="270"/>
        <w:contextualSpacing/>
        <w:jc w:val="both"/>
        <w:rPr>
          <w:rStyle w:val="y2iqfc"/>
          <w:rFonts w:ascii="Book Antiqua" w:hAnsi="Book Antiqua" w:cs="Times New Roman"/>
          <w:color w:val="202124"/>
          <w:sz w:val="22"/>
          <w:szCs w:val="22"/>
        </w:rPr>
      </w:pPr>
    </w:p>
    <w:p w14:paraId="38E5009B" w14:textId="20C0D16E" w:rsidR="006F0B21" w:rsidRDefault="006F0B21" w:rsidP="00F334E0">
      <w:pPr>
        <w:pStyle w:val="HTMLSudahDiformat"/>
        <w:shd w:val="clear" w:color="auto" w:fill="F8F9FA"/>
        <w:ind w:firstLine="54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From the results of 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test that has been carried out, the results obtained regarding the effect of each independent variable on stock prices partially are as follows:</w:t>
      </w:r>
    </w:p>
    <w:p w14:paraId="78C53340" w14:textId="77777777" w:rsidR="00F334E0" w:rsidRPr="006F0B21" w:rsidRDefault="00F334E0" w:rsidP="00F334E0">
      <w:pPr>
        <w:pStyle w:val="HTMLSudahDiformat"/>
        <w:shd w:val="clear" w:color="auto" w:fill="F8F9FA"/>
        <w:ind w:firstLine="540"/>
        <w:contextualSpacing/>
        <w:jc w:val="both"/>
        <w:rPr>
          <w:rStyle w:val="y2iqfc"/>
          <w:rFonts w:ascii="Book Antiqua" w:hAnsi="Book Antiqua" w:cs="Times New Roman"/>
          <w:color w:val="202124"/>
          <w:sz w:val="22"/>
          <w:szCs w:val="22"/>
        </w:rPr>
      </w:pPr>
    </w:p>
    <w:p w14:paraId="44551DE3" w14:textId="2CC48E83" w:rsidR="006F0B21" w:rsidRPr="00F334E0" w:rsidRDefault="006F0B21" w:rsidP="00F334E0">
      <w:pPr>
        <w:pStyle w:val="HTMLSudahDiformat"/>
        <w:numPr>
          <w:ilvl w:val="1"/>
          <w:numId w:val="5"/>
        </w:numPr>
        <w:shd w:val="clear" w:color="auto" w:fill="F8F9FA"/>
        <w:ind w:left="360"/>
        <w:contextualSpacing/>
        <w:jc w:val="both"/>
        <w:rPr>
          <w:rStyle w:val="y2iqfc"/>
          <w:rFonts w:ascii="Book Antiqua" w:hAnsi="Book Antiqua" w:cs="Times New Roman"/>
          <w:b/>
          <w:bCs/>
          <w:color w:val="202124"/>
          <w:sz w:val="22"/>
          <w:szCs w:val="22"/>
        </w:rPr>
      </w:pPr>
      <w:r w:rsidRPr="00F334E0">
        <w:rPr>
          <w:rStyle w:val="y2iqfc"/>
          <w:rFonts w:ascii="Book Antiqua" w:hAnsi="Book Antiqua" w:cs="Times New Roman"/>
          <w:b/>
          <w:bCs/>
          <w:color w:val="202124"/>
          <w:sz w:val="22"/>
          <w:szCs w:val="22"/>
        </w:rPr>
        <w:t>Effect of Earning Per Share (EPS) on stock prices</w:t>
      </w:r>
    </w:p>
    <w:p w14:paraId="106876AB" w14:textId="70A46F2D" w:rsidR="006F0B21" w:rsidRPr="006F0B21" w:rsidRDefault="006F0B21" w:rsidP="006F0B21">
      <w:pPr>
        <w:pStyle w:val="HTMLSudahDiformat"/>
        <w:shd w:val="clear" w:color="auto" w:fill="F8F9FA"/>
        <w:ind w:left="270" w:hanging="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r>
      <w:r w:rsidRPr="006F0B21">
        <w:rPr>
          <w:rStyle w:val="y2iqfc"/>
          <w:rFonts w:ascii="Book Antiqua" w:hAnsi="Book Antiqua" w:cs="Times New Roman"/>
          <w:color w:val="202124"/>
          <w:sz w:val="22"/>
          <w:szCs w:val="22"/>
        </w:rPr>
        <w:tab/>
        <w:t>Th</w:t>
      </w:r>
      <w:r w:rsidR="00AE4B02">
        <w:rPr>
          <w:rStyle w:val="y2iqfc"/>
          <w:rFonts w:ascii="Book Antiqua" w:hAnsi="Book Antiqua" w:cs="Times New Roman"/>
          <w:color w:val="202124"/>
          <w:sz w:val="22"/>
          <w:szCs w:val="22"/>
        </w:rPr>
        <w:t>is study's results indicate a positive and significant influence between EPS and stock prices in manufacturing companies in the food and beverage sector</w:t>
      </w:r>
      <w:r w:rsidRPr="006F0B21">
        <w:rPr>
          <w:rStyle w:val="y2iqfc"/>
          <w:rFonts w:ascii="Book Antiqua" w:hAnsi="Book Antiqua" w:cs="Times New Roman"/>
          <w:color w:val="202124"/>
          <w:sz w:val="22"/>
          <w:szCs w:val="22"/>
        </w:rPr>
        <w:t xml:space="preserve"> listed on the Indonesia Stock Exchange. There is a positive and significant influence between EPS on stock prices indicated by a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count of 14.926</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greater than a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table of 1.651 with a regression coefficient of 3.728 (positive effect). And the value of Sig. of 0.000 </w:t>
      </w:r>
      <w:r w:rsidR="00AE4B02">
        <w:rPr>
          <w:rStyle w:val="y2iqfc"/>
          <w:rFonts w:ascii="Book Antiqua" w:hAnsi="Book Antiqua" w:cs="Times New Roman"/>
          <w:color w:val="202124"/>
          <w:sz w:val="22"/>
          <w:szCs w:val="22"/>
        </w:rPr>
        <w:t xml:space="preserve">is </w:t>
      </w:r>
      <w:r w:rsidRPr="006F0B21">
        <w:rPr>
          <w:rStyle w:val="y2iqfc"/>
          <w:rFonts w:ascii="Book Antiqua" w:hAnsi="Book Antiqua" w:cs="Times New Roman"/>
          <w:color w:val="202124"/>
          <w:sz w:val="22"/>
          <w:szCs w:val="22"/>
        </w:rPr>
        <w:t xml:space="preserve">smaller than the significance level of 0.05 (Significant). These results indicate that the greater the </w:t>
      </w:r>
      <w:r w:rsidR="00AE4B02">
        <w:rPr>
          <w:rStyle w:val="y2iqfc"/>
          <w:rFonts w:ascii="Book Antiqua" w:hAnsi="Book Antiqua" w:cs="Times New Roman"/>
          <w:color w:val="202124"/>
          <w:sz w:val="22"/>
          <w:szCs w:val="22"/>
        </w:rPr>
        <w:t>earnings p</w:t>
      </w:r>
      <w:r w:rsidRPr="006F0B21">
        <w:rPr>
          <w:rStyle w:val="y2iqfc"/>
          <w:rFonts w:ascii="Book Antiqua" w:hAnsi="Book Antiqua" w:cs="Times New Roman"/>
          <w:color w:val="202124"/>
          <w:sz w:val="22"/>
          <w:szCs w:val="22"/>
        </w:rPr>
        <w:t>er Share (EPS) value, the higher the company's stock price</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conversely</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the smaller the EPS value, the lower the stock price of manufacturing companies in the food and beverages sector listed on the Indonesia Stock Exchange. The results of this study support the research conducted by Gustmainar and Mariani (2018) and Alifatussalimah and Sujud (2020)</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state that Earning</w:t>
      </w:r>
      <w:r w:rsidR="00AE4B02">
        <w:rPr>
          <w:rStyle w:val="y2iqfc"/>
          <w:rFonts w:ascii="Book Antiqua" w:hAnsi="Book Antiqua" w:cs="Times New Roman"/>
          <w:color w:val="202124"/>
          <w:sz w:val="22"/>
          <w:szCs w:val="22"/>
        </w:rPr>
        <w:t>s</w:t>
      </w:r>
      <w:r w:rsidRPr="006F0B21">
        <w:rPr>
          <w:rStyle w:val="y2iqfc"/>
          <w:rFonts w:ascii="Book Antiqua" w:hAnsi="Book Antiqua" w:cs="Times New Roman"/>
          <w:color w:val="202124"/>
          <w:sz w:val="22"/>
          <w:szCs w:val="22"/>
        </w:rPr>
        <w:t xml:space="preserve"> per Share (EPS) has a positive and significant effect on stock prices.</w:t>
      </w:r>
    </w:p>
    <w:p w14:paraId="129D3280" w14:textId="5E2086F7" w:rsidR="006F0B21" w:rsidRDefault="006F0B21" w:rsidP="006F0B21">
      <w:pPr>
        <w:pStyle w:val="HTMLSudahDiformat"/>
        <w:shd w:val="clear" w:color="auto" w:fill="F8F9FA"/>
        <w:ind w:left="270" w:hanging="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r>
      <w:r w:rsidRPr="006F0B21">
        <w:rPr>
          <w:rStyle w:val="y2iqfc"/>
          <w:rFonts w:ascii="Book Antiqua" w:hAnsi="Book Antiqua" w:cs="Times New Roman"/>
          <w:color w:val="202124"/>
          <w:sz w:val="22"/>
          <w:szCs w:val="22"/>
        </w:rPr>
        <w:tab/>
        <w:t>From the results of the study, EPS has a positive and significant effect on stock prices</w:t>
      </w:r>
      <w:r w:rsidR="00AE4B02">
        <w:rPr>
          <w:rStyle w:val="y2iqfc"/>
          <w:rFonts w:ascii="Book Antiqua" w:hAnsi="Book Antiqua" w:cs="Times New Roman"/>
          <w:color w:val="202124"/>
          <w:sz w:val="22"/>
          <w:szCs w:val="22"/>
        </w:rPr>
        <w:t>, indicating that earnings per share (EPS) is a description of the company's efforts to obtain</w:t>
      </w:r>
      <w:r w:rsidRPr="006F0B21">
        <w:rPr>
          <w:rStyle w:val="y2iqfc"/>
          <w:rFonts w:ascii="Book Antiqua" w:hAnsi="Book Antiqua" w:cs="Times New Roman"/>
          <w:color w:val="202124"/>
          <w:sz w:val="22"/>
          <w:szCs w:val="22"/>
        </w:rPr>
        <w:t xml:space="preserve"> profits. The higher the company's profit, the higher the EPS value owned by the company. Increasing EPS will cause the supply of company shares to increase</w:t>
      </w:r>
      <w:r w:rsidR="00AE4B02">
        <w:rPr>
          <w:rStyle w:val="y2iqfc"/>
          <w:rFonts w:ascii="Book Antiqua" w:hAnsi="Book Antiqua" w:cs="Times New Roman"/>
          <w:color w:val="202124"/>
          <w:sz w:val="22"/>
          <w:szCs w:val="22"/>
        </w:rPr>
        <w:t>, which will impact</w:t>
      </w:r>
      <w:r w:rsidRPr="006F0B21">
        <w:rPr>
          <w:rStyle w:val="y2iqfc"/>
          <w:rFonts w:ascii="Book Antiqua" w:hAnsi="Book Antiqua" w:cs="Times New Roman"/>
          <w:color w:val="202124"/>
          <w:sz w:val="22"/>
          <w:szCs w:val="22"/>
        </w:rPr>
        <w:t xml:space="preserve"> </w:t>
      </w:r>
      <w:r w:rsidR="00AE4B02">
        <w:rPr>
          <w:rStyle w:val="y2iqfc"/>
          <w:rFonts w:ascii="Book Antiqua" w:hAnsi="Book Antiqua" w:cs="Times New Roman"/>
          <w:color w:val="202124"/>
          <w:sz w:val="22"/>
          <w:szCs w:val="22"/>
        </w:rPr>
        <w:t>grow</w:t>
      </w:r>
      <w:r w:rsidRPr="006F0B21">
        <w:rPr>
          <w:rStyle w:val="y2iqfc"/>
          <w:rFonts w:ascii="Book Antiqua" w:hAnsi="Book Antiqua" w:cs="Times New Roman"/>
          <w:color w:val="202124"/>
          <w:sz w:val="22"/>
          <w:szCs w:val="22"/>
        </w:rPr>
        <w:t>ing dividends and share prices. From the results of the descriptive analysis, the EPS variable shows that the earnings value of ordinary shares often fluctuates while the number of outstanding shares tends to be constant. The increase or decrease in EPS from year to year is an important measure to determine whether the company's performance is good or not in carrying out operational activities. Changes in the EPS value help investors predict dividend flows in the future. High EPS indicates that the company can provide prosperity to shareh</w:t>
      </w:r>
      <w:r w:rsidR="00AE4B02">
        <w:rPr>
          <w:rStyle w:val="y2iqfc"/>
          <w:rFonts w:ascii="Book Antiqua" w:hAnsi="Book Antiqua" w:cs="Times New Roman"/>
          <w:color w:val="202124"/>
          <w:sz w:val="22"/>
          <w:szCs w:val="22"/>
        </w:rPr>
        <w:t>olders</w:t>
      </w:r>
      <w:r w:rsidR="00F334E0">
        <w:rPr>
          <w:rStyle w:val="y2iqfc"/>
          <w:rFonts w:ascii="Book Antiqua" w:hAnsi="Book Antiqua" w:cs="Times New Roman"/>
          <w:color w:val="202124"/>
          <w:sz w:val="22"/>
          <w:szCs w:val="22"/>
        </w:rPr>
        <w:t>.</w:t>
      </w:r>
    </w:p>
    <w:p w14:paraId="43AEF483" w14:textId="77777777" w:rsidR="00F334E0" w:rsidRPr="006F0B21" w:rsidRDefault="00F334E0" w:rsidP="006F0B21">
      <w:pPr>
        <w:pStyle w:val="HTMLSudahDiformat"/>
        <w:shd w:val="clear" w:color="auto" w:fill="F8F9FA"/>
        <w:ind w:left="270" w:hanging="270"/>
        <w:contextualSpacing/>
        <w:jc w:val="both"/>
        <w:rPr>
          <w:rFonts w:ascii="Book Antiqua" w:hAnsi="Book Antiqua" w:cs="Times New Roman"/>
          <w:color w:val="202124"/>
          <w:sz w:val="22"/>
          <w:szCs w:val="22"/>
        </w:rPr>
      </w:pPr>
    </w:p>
    <w:p w14:paraId="33A70AB4" w14:textId="088C6FCB" w:rsidR="006F0B21" w:rsidRPr="00F334E0" w:rsidRDefault="006F0B21" w:rsidP="00F334E0">
      <w:pPr>
        <w:pStyle w:val="HTMLSudahDiformat"/>
        <w:numPr>
          <w:ilvl w:val="1"/>
          <w:numId w:val="5"/>
        </w:numPr>
        <w:shd w:val="clear" w:color="auto" w:fill="F8F9FA"/>
        <w:ind w:left="360"/>
        <w:contextualSpacing/>
        <w:jc w:val="both"/>
        <w:rPr>
          <w:rStyle w:val="y2iqfc"/>
          <w:rFonts w:ascii="Book Antiqua" w:hAnsi="Book Antiqua" w:cs="Times New Roman"/>
          <w:b/>
          <w:bCs/>
          <w:color w:val="202124"/>
          <w:sz w:val="22"/>
          <w:szCs w:val="22"/>
        </w:rPr>
      </w:pPr>
      <w:r w:rsidRPr="00F334E0">
        <w:rPr>
          <w:rStyle w:val="y2iqfc"/>
          <w:rFonts w:ascii="Book Antiqua" w:hAnsi="Book Antiqua" w:cs="Times New Roman"/>
          <w:b/>
          <w:bCs/>
          <w:color w:val="202124"/>
          <w:sz w:val="22"/>
          <w:szCs w:val="22"/>
        </w:rPr>
        <w:t>Effect of Net Profit Margin (NPM) on stock prices</w:t>
      </w:r>
    </w:p>
    <w:p w14:paraId="2A5269B1" w14:textId="5B3D94D9" w:rsidR="006F0B21" w:rsidRPr="006F0B21" w:rsidRDefault="006F0B21" w:rsidP="006F0B21">
      <w:pPr>
        <w:pStyle w:val="HTMLSudahDiformat"/>
        <w:shd w:val="clear" w:color="auto" w:fill="F8F9FA"/>
        <w:ind w:left="270" w:hanging="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r>
      <w:r w:rsidRPr="006F0B21">
        <w:rPr>
          <w:rStyle w:val="y2iqfc"/>
          <w:rFonts w:ascii="Book Antiqua" w:hAnsi="Book Antiqua" w:cs="Times New Roman"/>
          <w:color w:val="202124"/>
          <w:sz w:val="22"/>
          <w:szCs w:val="22"/>
        </w:rPr>
        <w:tab/>
        <w:t>Th</w:t>
      </w:r>
      <w:r w:rsidR="00AE4B02">
        <w:rPr>
          <w:rStyle w:val="y2iqfc"/>
          <w:rFonts w:ascii="Book Antiqua" w:hAnsi="Book Antiqua" w:cs="Times New Roman"/>
          <w:color w:val="202124"/>
          <w:sz w:val="22"/>
          <w:szCs w:val="22"/>
        </w:rPr>
        <w:t>is study's results indicate a positive and significant influence between NPM and stock prices in manufacturing companies in the food and beverage sector</w:t>
      </w:r>
      <w:r w:rsidRPr="006F0B21">
        <w:rPr>
          <w:rStyle w:val="y2iqfc"/>
          <w:rFonts w:ascii="Book Antiqua" w:hAnsi="Book Antiqua" w:cs="Times New Roman"/>
          <w:color w:val="202124"/>
          <w:sz w:val="22"/>
          <w:szCs w:val="22"/>
        </w:rPr>
        <w:t xml:space="preserve"> listed on the Indonesia Stock Exchange. </w:t>
      </w:r>
      <w:r w:rsidR="00AE4B02">
        <w:rPr>
          <w:rStyle w:val="y2iqfc"/>
          <w:rFonts w:ascii="Book Antiqua" w:hAnsi="Book Antiqua" w:cs="Times New Roman"/>
          <w:color w:val="202124"/>
          <w:sz w:val="22"/>
          <w:szCs w:val="22"/>
        </w:rPr>
        <w:t>A positive and significant influence between NPM and stock prices i</w:t>
      </w:r>
      <w:r w:rsidRPr="006F0B21">
        <w:rPr>
          <w:rStyle w:val="y2iqfc"/>
          <w:rFonts w:ascii="Book Antiqua" w:hAnsi="Book Antiqua" w:cs="Times New Roman"/>
          <w:color w:val="202124"/>
          <w:sz w:val="22"/>
          <w:szCs w:val="22"/>
        </w:rPr>
        <w:t>s indicated by a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count of 2.508</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greater than a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table of 1.651</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with a regression coefficient of 37.348 (positive effect). And the Sig. </w:t>
      </w:r>
      <w:r w:rsidR="00AE4B02">
        <w:rPr>
          <w:rStyle w:val="y2iqfc"/>
          <w:rFonts w:ascii="Book Antiqua" w:hAnsi="Book Antiqua" w:cs="Times New Roman"/>
          <w:color w:val="202124"/>
          <w:sz w:val="22"/>
          <w:szCs w:val="22"/>
        </w:rPr>
        <w:t>A v</w:t>
      </w:r>
      <w:r w:rsidRPr="006F0B21">
        <w:rPr>
          <w:rStyle w:val="y2iqfc"/>
          <w:rFonts w:ascii="Book Antiqua" w:hAnsi="Book Antiqua" w:cs="Times New Roman"/>
          <w:color w:val="202124"/>
          <w:sz w:val="22"/>
          <w:szCs w:val="22"/>
        </w:rPr>
        <w:t>alue of 0.013 is smaller than the significance level of 0.05 (significant).</w:t>
      </w:r>
      <w:r w:rsidR="00AE4B02">
        <w:rPr>
          <w:rStyle w:val="y2iqfc"/>
          <w:rFonts w:ascii="Book Antiqua" w:hAnsi="Book Antiqua" w:cs="Times New Roman"/>
          <w:color w:val="202124"/>
          <w:sz w:val="22"/>
          <w:szCs w:val="22"/>
        </w:rPr>
        <w:t xml:space="preserve"> </w:t>
      </w:r>
      <w:r w:rsidRPr="006F0B21">
        <w:rPr>
          <w:rStyle w:val="y2iqfc"/>
          <w:rFonts w:ascii="Book Antiqua" w:hAnsi="Book Antiqua" w:cs="Times New Roman"/>
          <w:color w:val="202124"/>
          <w:sz w:val="22"/>
          <w:szCs w:val="22"/>
        </w:rPr>
        <w:t xml:space="preserve">These results indicate that the value of the NPM has a relationship that is directly proportional to the stock price. </w:t>
      </w:r>
      <w:r w:rsidR="00AE4B02">
        <w:rPr>
          <w:rStyle w:val="y2iqfc"/>
          <w:rFonts w:ascii="Book Antiqua" w:hAnsi="Book Antiqua" w:cs="Times New Roman"/>
          <w:color w:val="202124"/>
          <w:sz w:val="22"/>
          <w:szCs w:val="22"/>
        </w:rPr>
        <w:t>I</w:t>
      </w:r>
      <w:r w:rsidRPr="006F0B21">
        <w:rPr>
          <w:rStyle w:val="y2iqfc"/>
          <w:rFonts w:ascii="Book Antiqua" w:hAnsi="Book Antiqua" w:cs="Times New Roman"/>
          <w:color w:val="202124"/>
          <w:sz w:val="22"/>
          <w:szCs w:val="22"/>
        </w:rPr>
        <w:t>f the NPM value increases, the stock price will also increase. The results of this study support research conducted by Dewi and Solihin (2020) and Rimbani (2016)</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state that NPM has a positive and significant effect on stock prices</w:t>
      </w:r>
      <w:r w:rsidR="00AE4B02">
        <w:rPr>
          <w:rStyle w:val="y2iqfc"/>
          <w:rFonts w:ascii="Book Antiqua" w:hAnsi="Book Antiqua" w:cs="Times New Roman"/>
          <w:color w:val="202124"/>
          <w:sz w:val="22"/>
          <w:szCs w:val="22"/>
        </w:rPr>
        <w:t>.</w:t>
      </w:r>
    </w:p>
    <w:p w14:paraId="36AD7E06" w14:textId="3A8FE30D" w:rsidR="006F0B21" w:rsidRPr="006F0B21" w:rsidRDefault="006F0B21" w:rsidP="006F0B21">
      <w:pPr>
        <w:pStyle w:val="HTMLSudahDiformat"/>
        <w:shd w:val="clear" w:color="auto" w:fill="F8F9FA"/>
        <w:ind w:left="270" w:hanging="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r>
      <w:r w:rsidRPr="006F0B21">
        <w:rPr>
          <w:rStyle w:val="y2iqfc"/>
          <w:rFonts w:ascii="Book Antiqua" w:hAnsi="Book Antiqua" w:cs="Times New Roman"/>
          <w:color w:val="202124"/>
          <w:sz w:val="22"/>
          <w:szCs w:val="22"/>
        </w:rPr>
        <w:tab/>
        <w:t xml:space="preserve">The results of hypothesis testing show that NPM has a positive and significant influence on stock prices. This has emphasized that it is </w:t>
      </w:r>
      <w:r w:rsidR="00AE4B02">
        <w:rPr>
          <w:rStyle w:val="y2iqfc"/>
          <w:rFonts w:ascii="Book Antiqua" w:hAnsi="Book Antiqua" w:cs="Times New Roman"/>
          <w:color w:val="202124"/>
          <w:sz w:val="22"/>
          <w:szCs w:val="22"/>
        </w:rPr>
        <w:t>essential</w:t>
      </w:r>
      <w:r w:rsidRPr="006F0B21">
        <w:rPr>
          <w:rStyle w:val="y2iqfc"/>
          <w:rFonts w:ascii="Book Antiqua" w:hAnsi="Book Antiqua" w:cs="Times New Roman"/>
          <w:color w:val="202124"/>
          <w:sz w:val="22"/>
          <w:szCs w:val="22"/>
        </w:rPr>
        <w:t xml:space="preserve"> for companies to manage profits owned by companies to control Net Profit Margins as a reference for increasing stock prices. Increasing Net Profit Margin can be done by increasing profits or reducing operational costs</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and the company must control the percentage increase in sales</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cannot be lower than the percentage increase in costs</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so that the company's profits will continue to increase.</w:t>
      </w:r>
    </w:p>
    <w:p w14:paraId="38C87409" w14:textId="3D063A32" w:rsidR="006F0B21" w:rsidRDefault="006F0B21" w:rsidP="006F0B21">
      <w:pPr>
        <w:pStyle w:val="HTMLSudahDiformat"/>
        <w:shd w:val="clear" w:color="auto" w:fill="F8F9FA"/>
        <w:ind w:left="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t>A high Net Profit Margin indicates the company's ability to generate high profits at a certain level of sales. The greater the NPM, the more productive the company's performance is to earn high profits through a certain level of sales and the company's good ability to reduce its operational costs. This increases investor confidence to invest their capital in the company so that the demand for company shares increases</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will automatically be followed by an increase in the share price.</w:t>
      </w:r>
    </w:p>
    <w:p w14:paraId="096A0D90" w14:textId="77777777" w:rsidR="00F334E0" w:rsidRPr="006F0B21" w:rsidRDefault="00F334E0" w:rsidP="006F0B21">
      <w:pPr>
        <w:pStyle w:val="HTMLSudahDiformat"/>
        <w:shd w:val="clear" w:color="auto" w:fill="F8F9FA"/>
        <w:ind w:left="270"/>
        <w:contextualSpacing/>
        <w:jc w:val="both"/>
        <w:rPr>
          <w:rFonts w:ascii="Book Antiqua" w:hAnsi="Book Antiqua" w:cs="Times New Roman"/>
          <w:color w:val="202124"/>
          <w:sz w:val="22"/>
          <w:szCs w:val="22"/>
        </w:rPr>
      </w:pPr>
    </w:p>
    <w:p w14:paraId="7D185E86" w14:textId="59508CA8" w:rsidR="006F0B21" w:rsidRPr="00F334E0" w:rsidRDefault="006F0B21" w:rsidP="00F334E0">
      <w:pPr>
        <w:pStyle w:val="HTMLSudahDiformat"/>
        <w:numPr>
          <w:ilvl w:val="1"/>
          <w:numId w:val="5"/>
        </w:numPr>
        <w:shd w:val="clear" w:color="auto" w:fill="F8F9FA"/>
        <w:ind w:left="360"/>
        <w:contextualSpacing/>
        <w:jc w:val="both"/>
        <w:rPr>
          <w:rStyle w:val="y2iqfc"/>
          <w:rFonts w:ascii="Book Antiqua" w:hAnsi="Book Antiqua" w:cs="Times New Roman"/>
          <w:b/>
          <w:bCs/>
          <w:color w:val="202124"/>
          <w:sz w:val="22"/>
          <w:szCs w:val="22"/>
        </w:rPr>
      </w:pPr>
      <w:r w:rsidRPr="00F334E0">
        <w:rPr>
          <w:rStyle w:val="y2iqfc"/>
          <w:rFonts w:ascii="Book Antiqua" w:hAnsi="Book Antiqua" w:cs="Times New Roman"/>
          <w:b/>
          <w:bCs/>
          <w:color w:val="202124"/>
          <w:sz w:val="22"/>
          <w:szCs w:val="22"/>
        </w:rPr>
        <w:t xml:space="preserve"> Effect of Gross Profit Margin (GPM) on stock prices</w:t>
      </w:r>
    </w:p>
    <w:p w14:paraId="2AEF320B" w14:textId="4775AEDF" w:rsidR="006F0B21" w:rsidRPr="006F0B21" w:rsidRDefault="006F0B21" w:rsidP="006F0B21">
      <w:pPr>
        <w:pStyle w:val="HTMLSudahDiformat"/>
        <w:shd w:val="clear" w:color="auto" w:fill="F8F9FA"/>
        <w:ind w:left="270" w:hanging="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r>
      <w:r w:rsidRPr="006F0B21">
        <w:rPr>
          <w:rStyle w:val="y2iqfc"/>
          <w:rFonts w:ascii="Book Antiqua" w:hAnsi="Book Antiqua" w:cs="Times New Roman"/>
          <w:color w:val="202124"/>
          <w:sz w:val="22"/>
          <w:szCs w:val="22"/>
        </w:rPr>
        <w:tab/>
        <w:t>The results of this study indicate that the variable Gross Profit Margin (GPM) has no significant effect on stock prices in food and beverage manufacturing companies listed on the Indonesia Stock Exchange. This can be shown from 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count value of 1.316</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is smaller than the table of 1.651 with a regression coefficient value of 15.306 (no effect). And the value of Sig. of 0.189 </w:t>
      </w:r>
      <w:r w:rsidR="00AE4B02">
        <w:rPr>
          <w:rStyle w:val="y2iqfc"/>
          <w:rFonts w:ascii="Book Antiqua" w:hAnsi="Book Antiqua" w:cs="Times New Roman"/>
          <w:color w:val="202124"/>
          <w:sz w:val="22"/>
          <w:szCs w:val="22"/>
        </w:rPr>
        <w:t xml:space="preserve">is </w:t>
      </w:r>
      <w:r w:rsidRPr="006F0B21">
        <w:rPr>
          <w:rStyle w:val="y2iqfc"/>
          <w:rFonts w:ascii="Book Antiqua" w:hAnsi="Book Antiqua" w:cs="Times New Roman"/>
          <w:color w:val="202124"/>
          <w:sz w:val="22"/>
          <w:szCs w:val="22"/>
        </w:rPr>
        <w:t xml:space="preserve">greater than the significance level of 0.05 (not significant). Thus, it can be said that there is no significant influence between GPM </w:t>
      </w:r>
      <w:r w:rsidR="00AE4B02">
        <w:rPr>
          <w:rStyle w:val="y2iqfc"/>
          <w:rFonts w:ascii="Book Antiqua" w:hAnsi="Book Antiqua" w:cs="Times New Roman"/>
          <w:color w:val="202124"/>
          <w:sz w:val="22"/>
          <w:szCs w:val="22"/>
        </w:rPr>
        <w:t>and</w:t>
      </w:r>
      <w:r w:rsidRPr="006F0B21">
        <w:rPr>
          <w:rStyle w:val="y2iqfc"/>
          <w:rFonts w:ascii="Book Antiqua" w:hAnsi="Book Antiqua" w:cs="Times New Roman"/>
          <w:color w:val="202124"/>
          <w:sz w:val="22"/>
          <w:szCs w:val="22"/>
        </w:rPr>
        <w:t xml:space="preserve"> stock prices. This means that </w:t>
      </w:r>
      <w:r w:rsidR="00AE4B02">
        <w:rPr>
          <w:rStyle w:val="y2iqfc"/>
          <w:rFonts w:ascii="Book Antiqua" w:hAnsi="Book Antiqua" w:cs="Times New Roman"/>
          <w:color w:val="202124"/>
          <w:sz w:val="22"/>
          <w:szCs w:val="22"/>
        </w:rPr>
        <w:t>a company's Gross Profit Margin (GPM)</w:t>
      </w:r>
      <w:r w:rsidRPr="006F0B21">
        <w:rPr>
          <w:rStyle w:val="y2iqfc"/>
          <w:rFonts w:ascii="Book Antiqua" w:hAnsi="Book Antiqua" w:cs="Times New Roman"/>
          <w:color w:val="202124"/>
          <w:sz w:val="22"/>
          <w:szCs w:val="22"/>
        </w:rPr>
        <w:t xml:space="preserve"> does not affect the increase or decrease in stock prices. This research is supported by research conducted by Rizal and Sahar (2015) and Sari et</w:t>
      </w:r>
      <w:r w:rsidR="00AE4B02">
        <w:rPr>
          <w:rStyle w:val="y2iqfc"/>
          <w:rFonts w:ascii="Book Antiqua" w:hAnsi="Book Antiqua" w:cs="Times New Roman"/>
          <w:color w:val="202124"/>
          <w:sz w:val="22"/>
          <w:szCs w:val="22"/>
        </w:rPr>
        <w:t xml:space="preserve"> al.</w:t>
      </w:r>
      <w:r w:rsidRPr="006F0B21">
        <w:rPr>
          <w:rStyle w:val="y2iqfc"/>
          <w:rFonts w:ascii="Book Antiqua" w:hAnsi="Book Antiqua" w:cs="Times New Roman"/>
          <w:color w:val="202124"/>
          <w:sz w:val="22"/>
          <w:szCs w:val="22"/>
        </w:rPr>
        <w:t xml:space="preserve"> (2020)</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stating that GPM has no significant effect on stock prices.</w:t>
      </w:r>
    </w:p>
    <w:p w14:paraId="355F911C" w14:textId="1F183383" w:rsidR="006F0B21" w:rsidRDefault="006F0B21" w:rsidP="006F0B21">
      <w:pPr>
        <w:pStyle w:val="HTMLSudahDiformat"/>
        <w:shd w:val="clear" w:color="auto" w:fill="F8F9FA"/>
        <w:ind w:left="270" w:hanging="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r>
      <w:r w:rsidRPr="006F0B21">
        <w:rPr>
          <w:rStyle w:val="y2iqfc"/>
          <w:rFonts w:ascii="Book Antiqua" w:hAnsi="Book Antiqua" w:cs="Times New Roman"/>
          <w:color w:val="202124"/>
          <w:sz w:val="22"/>
          <w:szCs w:val="22"/>
        </w:rPr>
        <w:tab/>
        <w:t>Testing the third alternative hypothesis (H3)</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t>
      </w:r>
      <w:r w:rsidR="00AE4B02">
        <w:rPr>
          <w:rStyle w:val="y2iqfc"/>
          <w:rFonts w:ascii="Book Antiqua" w:hAnsi="Book Antiqua" w:cs="Times New Roman"/>
          <w:color w:val="202124"/>
          <w:sz w:val="22"/>
          <w:szCs w:val="22"/>
        </w:rPr>
        <w:t>which is suspected of positively influencing the GPM variable on stock prices, doe</w:t>
      </w:r>
      <w:r w:rsidRPr="006F0B21">
        <w:rPr>
          <w:rStyle w:val="y2iqfc"/>
          <w:rFonts w:ascii="Book Antiqua" w:hAnsi="Book Antiqua" w:cs="Times New Roman"/>
          <w:color w:val="202124"/>
          <w:sz w:val="22"/>
          <w:szCs w:val="22"/>
        </w:rPr>
        <w:t xml:space="preserve">s not </w:t>
      </w:r>
      <w:r w:rsidR="00AE4B02">
        <w:rPr>
          <w:rStyle w:val="y2iqfc"/>
          <w:rFonts w:ascii="Book Antiqua" w:hAnsi="Book Antiqua" w:cs="Times New Roman"/>
          <w:color w:val="202124"/>
          <w:sz w:val="22"/>
          <w:szCs w:val="22"/>
        </w:rPr>
        <w:t>follow</w:t>
      </w:r>
      <w:r w:rsidRPr="006F0B21">
        <w:rPr>
          <w:rStyle w:val="y2iqfc"/>
          <w:rFonts w:ascii="Book Antiqua" w:hAnsi="Book Antiqua" w:cs="Times New Roman"/>
          <w:color w:val="202124"/>
          <w:sz w:val="22"/>
          <w:szCs w:val="22"/>
        </w:rPr>
        <w:t xml:space="preserve"> this test. There is no GPM effect on stock prices because the company is not optimal in maximizing sales </w:t>
      </w:r>
      <w:r w:rsidR="00AE4B02">
        <w:rPr>
          <w:rStyle w:val="y2iqfc"/>
          <w:rFonts w:ascii="Book Antiqua" w:hAnsi="Book Antiqua" w:cs="Times New Roman"/>
          <w:color w:val="202124"/>
          <w:sz w:val="22"/>
          <w:szCs w:val="22"/>
        </w:rPr>
        <w:t>and</w:t>
      </w:r>
      <w:r w:rsidRPr="006F0B21">
        <w:rPr>
          <w:rStyle w:val="y2iqfc"/>
          <w:rFonts w:ascii="Book Antiqua" w:hAnsi="Book Antiqua" w:cs="Times New Roman"/>
          <w:color w:val="202124"/>
          <w:sz w:val="22"/>
          <w:szCs w:val="22"/>
        </w:rPr>
        <w:t xml:space="preserve"> generating gross profit. Thus, </w:t>
      </w:r>
      <w:r w:rsidR="00AE4B02">
        <w:rPr>
          <w:rStyle w:val="y2iqfc"/>
          <w:rFonts w:ascii="Book Antiqua" w:hAnsi="Book Antiqua" w:cs="Times New Roman"/>
          <w:color w:val="202124"/>
          <w:sz w:val="22"/>
          <w:szCs w:val="22"/>
        </w:rPr>
        <w:t>a company's Gross Profit Margin (GPM)</w:t>
      </w:r>
      <w:r w:rsidRPr="006F0B21">
        <w:rPr>
          <w:rStyle w:val="y2iqfc"/>
          <w:rFonts w:ascii="Book Antiqua" w:hAnsi="Book Antiqua" w:cs="Times New Roman"/>
          <w:color w:val="202124"/>
          <w:sz w:val="22"/>
          <w:szCs w:val="22"/>
        </w:rPr>
        <w:t xml:space="preserve"> does not affect the stock price. Thus, investors cannot use GPM as a reference to measure the </w:t>
      </w:r>
      <w:r w:rsidR="00AE4B02">
        <w:rPr>
          <w:rStyle w:val="y2iqfc"/>
          <w:rFonts w:ascii="Book Antiqua" w:hAnsi="Book Antiqua" w:cs="Times New Roman"/>
          <w:color w:val="202124"/>
          <w:sz w:val="22"/>
          <w:szCs w:val="22"/>
        </w:rPr>
        <w:t>company's overall profitabilit</w:t>
      </w:r>
      <w:r w:rsidRPr="006F0B21">
        <w:rPr>
          <w:rStyle w:val="y2iqfc"/>
          <w:rFonts w:ascii="Book Antiqua" w:hAnsi="Book Antiqua" w:cs="Times New Roman"/>
          <w:color w:val="202124"/>
          <w:sz w:val="22"/>
          <w:szCs w:val="22"/>
        </w:rPr>
        <w:t xml:space="preserve">y. Thus, </w:t>
      </w:r>
      <w:r w:rsidR="00AE4B02">
        <w:rPr>
          <w:rStyle w:val="y2iqfc"/>
          <w:rFonts w:ascii="Book Antiqua" w:hAnsi="Book Antiqua" w:cs="Times New Roman"/>
          <w:color w:val="202124"/>
          <w:sz w:val="22"/>
          <w:szCs w:val="22"/>
        </w:rPr>
        <w:t>a company's high or low GPM level</w:t>
      </w:r>
      <w:r w:rsidRPr="006F0B21">
        <w:rPr>
          <w:rStyle w:val="y2iqfc"/>
          <w:rFonts w:ascii="Book Antiqua" w:hAnsi="Book Antiqua" w:cs="Times New Roman"/>
          <w:color w:val="202124"/>
          <w:sz w:val="22"/>
          <w:szCs w:val="22"/>
        </w:rPr>
        <w:t xml:space="preserve"> does not affect investors' expectations of the company. Thus, partially</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GPM has no significant effect on stock prices.</w:t>
      </w:r>
    </w:p>
    <w:p w14:paraId="5032EE0F" w14:textId="77777777" w:rsidR="00F334E0" w:rsidRPr="006F0B21" w:rsidRDefault="00F334E0" w:rsidP="006F0B21">
      <w:pPr>
        <w:pStyle w:val="HTMLSudahDiformat"/>
        <w:shd w:val="clear" w:color="auto" w:fill="F8F9FA"/>
        <w:ind w:left="270" w:hanging="270"/>
        <w:contextualSpacing/>
        <w:jc w:val="both"/>
        <w:rPr>
          <w:rFonts w:ascii="Book Antiqua" w:hAnsi="Book Antiqua" w:cs="Times New Roman"/>
          <w:color w:val="202124"/>
          <w:sz w:val="22"/>
          <w:szCs w:val="22"/>
        </w:rPr>
      </w:pPr>
    </w:p>
    <w:p w14:paraId="6C007398" w14:textId="1FF6A901" w:rsidR="00F334E0" w:rsidRPr="00F334E0" w:rsidRDefault="006F0B21" w:rsidP="00F334E0">
      <w:pPr>
        <w:pStyle w:val="HTMLSudahDiformat"/>
        <w:numPr>
          <w:ilvl w:val="1"/>
          <w:numId w:val="5"/>
        </w:numPr>
        <w:shd w:val="clear" w:color="auto" w:fill="F8F9FA"/>
        <w:ind w:left="360"/>
        <w:contextualSpacing/>
        <w:jc w:val="both"/>
        <w:rPr>
          <w:rStyle w:val="y2iqfc"/>
          <w:rFonts w:ascii="Book Antiqua" w:hAnsi="Book Antiqua" w:cs="Times New Roman"/>
          <w:b/>
          <w:bCs/>
          <w:color w:val="202124"/>
          <w:sz w:val="22"/>
          <w:szCs w:val="22"/>
        </w:rPr>
      </w:pPr>
      <w:r w:rsidRPr="00F334E0">
        <w:rPr>
          <w:rStyle w:val="y2iqfc"/>
          <w:rFonts w:ascii="Book Antiqua" w:hAnsi="Book Antiqua" w:cs="Times New Roman"/>
          <w:b/>
          <w:bCs/>
          <w:color w:val="202124"/>
          <w:sz w:val="22"/>
          <w:szCs w:val="22"/>
        </w:rPr>
        <w:t>The effect of Total Asset Turnover (TATO) on stock prices</w:t>
      </w:r>
    </w:p>
    <w:p w14:paraId="1C3963FB" w14:textId="1379AF69" w:rsidR="006F0B21" w:rsidRPr="006F0B21" w:rsidRDefault="006F0B21" w:rsidP="006F0B21">
      <w:pPr>
        <w:pStyle w:val="HTMLSudahDiformat"/>
        <w:shd w:val="clear" w:color="auto" w:fill="F8F9FA"/>
        <w:ind w:left="270" w:hanging="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r>
      <w:r w:rsidRPr="006F0B21">
        <w:rPr>
          <w:rStyle w:val="y2iqfc"/>
          <w:rFonts w:ascii="Book Antiqua" w:hAnsi="Book Antiqua" w:cs="Times New Roman"/>
          <w:color w:val="202124"/>
          <w:sz w:val="22"/>
          <w:szCs w:val="22"/>
        </w:rPr>
        <w:tab/>
        <w:t>The results of this study indicate that the Total Asset Turnover (TATO) variable has a negative and significant effect on stock prices in food and beverage manufacturing companies listed on the Indonesia Stock Exchange. This can be shown from 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count value of 5.080</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is greater than the t</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table of 1.651 with the regression coefficient of the TATO variable of -26.727 (negative effect) and has a Sig value. </w:t>
      </w:r>
      <w:r w:rsidR="00AE4B02">
        <w:rPr>
          <w:rStyle w:val="y2iqfc"/>
          <w:rFonts w:ascii="Book Antiqua" w:hAnsi="Book Antiqua" w:cs="Times New Roman"/>
          <w:color w:val="202124"/>
          <w:sz w:val="22"/>
          <w:szCs w:val="22"/>
        </w:rPr>
        <w:t>0.000, which is the value of Sig.,</w:t>
      </w:r>
      <w:r w:rsidRPr="006F0B21">
        <w:rPr>
          <w:rStyle w:val="y2iqfc"/>
          <w:rFonts w:ascii="Book Antiqua" w:hAnsi="Book Antiqua" w:cs="Times New Roman"/>
          <w:color w:val="202124"/>
          <w:sz w:val="22"/>
          <w:szCs w:val="22"/>
        </w:rPr>
        <w:t xml:space="preserve"> is smaller than the significance level of 0.05 (significant). It can be said that there is a negative and significant influence between TATO </w:t>
      </w:r>
      <w:r w:rsidR="00AE4B02">
        <w:rPr>
          <w:rStyle w:val="y2iqfc"/>
          <w:rFonts w:ascii="Book Antiqua" w:hAnsi="Book Antiqua" w:cs="Times New Roman"/>
          <w:color w:val="202124"/>
          <w:sz w:val="22"/>
          <w:szCs w:val="22"/>
        </w:rPr>
        <w:t>and</w:t>
      </w:r>
      <w:r w:rsidRPr="006F0B21">
        <w:rPr>
          <w:rStyle w:val="y2iqfc"/>
          <w:rFonts w:ascii="Book Antiqua" w:hAnsi="Book Antiqua" w:cs="Times New Roman"/>
          <w:color w:val="202124"/>
          <w:sz w:val="22"/>
          <w:szCs w:val="22"/>
        </w:rPr>
        <w:t xml:space="preserve"> stock prices. This means that there is an inverse relationship between TATO and stock prices. </w:t>
      </w:r>
      <w:r w:rsidR="00AE4B02">
        <w:rPr>
          <w:rStyle w:val="y2iqfc"/>
          <w:rFonts w:ascii="Book Antiqua" w:hAnsi="Book Antiqua" w:cs="Times New Roman"/>
          <w:color w:val="202124"/>
          <w:sz w:val="22"/>
          <w:szCs w:val="22"/>
        </w:rPr>
        <w:t>I</w:t>
      </w:r>
      <w:r w:rsidRPr="006F0B21">
        <w:rPr>
          <w:rStyle w:val="y2iqfc"/>
          <w:rFonts w:ascii="Book Antiqua" w:hAnsi="Book Antiqua" w:cs="Times New Roman"/>
          <w:color w:val="202124"/>
          <w:sz w:val="22"/>
          <w:szCs w:val="22"/>
        </w:rPr>
        <w:t>f the TATO value decreases, the stock price will experience a significant (very significant) increase. The results of this study support the research conducted by Nugraha and Sudaryanto (2016) and Hutami (2020)</w:t>
      </w:r>
      <w:r w:rsidR="00AE4B02">
        <w:rPr>
          <w:rStyle w:val="y2iqfc"/>
          <w:rFonts w:ascii="Book Antiqua" w:hAnsi="Book Antiqua" w:cs="Times New Roman"/>
          <w:color w:val="202124"/>
          <w:sz w:val="22"/>
          <w:szCs w:val="22"/>
        </w:rPr>
        <w:t>,</w:t>
      </w:r>
      <w:r w:rsidRPr="006F0B21">
        <w:rPr>
          <w:rStyle w:val="y2iqfc"/>
          <w:rFonts w:ascii="Book Antiqua" w:hAnsi="Book Antiqua" w:cs="Times New Roman"/>
          <w:color w:val="202124"/>
          <w:sz w:val="22"/>
          <w:szCs w:val="22"/>
        </w:rPr>
        <w:t xml:space="preserve"> which state that TATO has a negative and significant effect on stock prices.</w:t>
      </w:r>
    </w:p>
    <w:p w14:paraId="60BD59DE" w14:textId="7D2D57E9" w:rsidR="006F0B21" w:rsidRPr="006F0B21" w:rsidRDefault="006F0B21" w:rsidP="006F0B21">
      <w:pPr>
        <w:pStyle w:val="HTMLSudahDiformat"/>
        <w:shd w:val="clear" w:color="auto" w:fill="F8F9FA"/>
        <w:ind w:left="270" w:hanging="270"/>
        <w:contextualSpacing/>
        <w:jc w:val="both"/>
        <w:rPr>
          <w:rStyle w:val="y2iqfc"/>
          <w:rFonts w:ascii="Book Antiqua" w:hAnsi="Book Antiqua" w:cs="Times New Roman"/>
          <w:color w:val="202124"/>
          <w:sz w:val="22"/>
          <w:szCs w:val="22"/>
        </w:rPr>
      </w:pPr>
      <w:r w:rsidRPr="006F0B21">
        <w:rPr>
          <w:rStyle w:val="y2iqfc"/>
          <w:rFonts w:ascii="Book Antiqua" w:hAnsi="Book Antiqua" w:cs="Times New Roman"/>
          <w:color w:val="202124"/>
          <w:sz w:val="22"/>
          <w:szCs w:val="22"/>
        </w:rPr>
        <w:tab/>
      </w:r>
      <w:r w:rsidRPr="006F0B21">
        <w:rPr>
          <w:rStyle w:val="y2iqfc"/>
          <w:rFonts w:ascii="Book Antiqua" w:hAnsi="Book Antiqua" w:cs="Times New Roman"/>
          <w:color w:val="202124"/>
          <w:sz w:val="22"/>
          <w:szCs w:val="22"/>
        </w:rPr>
        <w:tab/>
        <w:t xml:space="preserve">The TATO variable in this study reads that TATO has a negative and significant effect on stock prices. This means that a decrease in TATO </w:t>
      </w:r>
      <w:r w:rsidR="00AE4B02">
        <w:rPr>
          <w:rStyle w:val="y2iqfc"/>
          <w:rFonts w:ascii="Book Antiqua" w:hAnsi="Book Antiqua" w:cs="Times New Roman"/>
          <w:color w:val="202124"/>
          <w:sz w:val="22"/>
          <w:szCs w:val="22"/>
        </w:rPr>
        <w:t>affects</w:t>
      </w:r>
      <w:r w:rsidRPr="006F0B21">
        <w:rPr>
          <w:rStyle w:val="y2iqfc"/>
          <w:rFonts w:ascii="Book Antiqua" w:hAnsi="Book Antiqua" w:cs="Times New Roman"/>
          <w:color w:val="202124"/>
          <w:sz w:val="22"/>
          <w:szCs w:val="22"/>
        </w:rPr>
        <w:t xml:space="preserve"> an increase in stock prices. The reaction from investors means that investors are still willing to buy shares or maintain their shares even though TATO has decreased or the percentage is below 100%. Investor reaction indicated that the shares purchased were classified as defensive stocks. Defensive stocks </w:t>
      </w:r>
      <w:r w:rsidR="00AE4B02">
        <w:rPr>
          <w:rStyle w:val="y2iqfc"/>
          <w:rFonts w:ascii="Book Antiqua" w:hAnsi="Book Antiqua" w:cs="Times New Roman"/>
          <w:color w:val="202124"/>
          <w:sz w:val="22"/>
          <w:szCs w:val="22"/>
        </w:rPr>
        <w:t>tend to be more stable in times of recession or when the economy is uncertain regarding</w:t>
      </w:r>
      <w:r w:rsidRPr="006F0B21">
        <w:rPr>
          <w:rStyle w:val="y2iqfc"/>
          <w:rFonts w:ascii="Book Antiqua" w:hAnsi="Book Antiqua" w:cs="Times New Roman"/>
          <w:color w:val="202124"/>
          <w:sz w:val="22"/>
          <w:szCs w:val="22"/>
        </w:rPr>
        <w:t xml:space="preserve"> dividends, earnings, and market performance. The </w:t>
      </w:r>
      <w:r w:rsidR="00AE4B02">
        <w:rPr>
          <w:rStyle w:val="y2iqfc"/>
          <w:rFonts w:ascii="Book Antiqua" w:hAnsi="Book Antiqua" w:cs="Times New Roman"/>
          <w:color w:val="202124"/>
          <w:sz w:val="22"/>
          <w:szCs w:val="22"/>
        </w:rPr>
        <w:t>food and beverage companies category</w:t>
      </w:r>
      <w:r w:rsidRPr="006F0B21">
        <w:rPr>
          <w:rStyle w:val="y2iqfc"/>
          <w:rFonts w:ascii="Book Antiqua" w:hAnsi="Book Antiqua" w:cs="Times New Roman"/>
          <w:color w:val="202124"/>
          <w:sz w:val="22"/>
          <w:szCs w:val="22"/>
        </w:rPr>
        <w:t xml:space="preserve"> </w:t>
      </w:r>
      <w:r w:rsidR="00AE4B02">
        <w:rPr>
          <w:rStyle w:val="y2iqfc"/>
          <w:rFonts w:ascii="Book Antiqua" w:hAnsi="Book Antiqua" w:cs="Times New Roman"/>
          <w:color w:val="202124"/>
          <w:sz w:val="22"/>
          <w:szCs w:val="22"/>
        </w:rPr>
        <w:t>includes shares that fall into the defensive stock</w:t>
      </w:r>
      <w:r w:rsidRPr="006F0B21">
        <w:rPr>
          <w:rStyle w:val="y2iqfc"/>
          <w:rFonts w:ascii="Book Antiqua" w:hAnsi="Book Antiqua" w:cs="Times New Roman"/>
          <w:color w:val="202124"/>
          <w:sz w:val="22"/>
          <w:szCs w:val="22"/>
        </w:rPr>
        <w:t xml:space="preserve"> category. The products sold by food and beverage companies are products that are needed by the public, because the products sold are basic needs, so investors assume that they are still willing to buy shares or maintain shares in the company even though the TATO ratio is below 100%.</w:t>
      </w:r>
    </w:p>
    <w:p w14:paraId="5A1BA121" w14:textId="77777777" w:rsidR="006F0B21" w:rsidRPr="000D1D54" w:rsidRDefault="006F0B21" w:rsidP="00D86B33">
      <w:pPr>
        <w:spacing w:before="240" w:after="0" w:line="240" w:lineRule="auto"/>
        <w:ind w:firstLine="567"/>
        <w:contextualSpacing/>
        <w:jc w:val="both"/>
        <w:rPr>
          <w:rFonts w:ascii="Book Antiqua" w:eastAsiaTheme="minorEastAsia" w:hAnsi="Book Antiqua" w:cs="Times New Roman"/>
          <w:bCs/>
          <w:lang w:val="id-ID"/>
        </w:rPr>
      </w:pPr>
    </w:p>
    <w:p w14:paraId="36ABFF28" w14:textId="4F69DFC2" w:rsidR="00312DA9" w:rsidRPr="000D1D54" w:rsidRDefault="00AE7078" w:rsidP="00F334E0">
      <w:pPr>
        <w:pStyle w:val="DaftarParagraf"/>
        <w:numPr>
          <w:ilvl w:val="0"/>
          <w:numId w:val="1"/>
        </w:numPr>
        <w:spacing w:line="240" w:lineRule="auto"/>
        <w:jc w:val="both"/>
        <w:rPr>
          <w:rFonts w:ascii="Book Antiqua" w:hAnsi="Book Antiqua" w:cs="Times New Roman"/>
          <w:b/>
          <w:bCs/>
          <w:sz w:val="24"/>
          <w:szCs w:val="24"/>
          <w:lang w:val="id-ID"/>
        </w:rPr>
      </w:pPr>
      <w:r w:rsidRPr="000D1D54">
        <w:rPr>
          <w:rFonts w:ascii="Book Antiqua" w:hAnsi="Book Antiqua" w:cs="Times New Roman"/>
          <w:b/>
          <w:bCs/>
          <w:sz w:val="24"/>
          <w:szCs w:val="24"/>
          <w:lang w:val="id-ID"/>
        </w:rPr>
        <w:t>Conclusionand Suggestions</w:t>
      </w:r>
    </w:p>
    <w:p w14:paraId="2F8F3490" w14:textId="09CBACF9" w:rsidR="00495466" w:rsidRPr="001B4819" w:rsidRDefault="00495466" w:rsidP="00495466">
      <w:pPr>
        <w:pStyle w:val="DaftarParagraf"/>
        <w:spacing w:line="240" w:lineRule="auto"/>
        <w:ind w:left="0" w:firstLine="567"/>
        <w:jc w:val="both"/>
        <w:rPr>
          <w:rFonts w:ascii="Book Antiqua" w:eastAsiaTheme="minorEastAsia" w:hAnsi="Book Antiqua" w:cs="Times New Roman"/>
          <w:bCs/>
          <w:lang w:val="id-ID"/>
        </w:rPr>
      </w:pPr>
    </w:p>
    <w:p w14:paraId="14328D86" w14:textId="5EBDE7E2" w:rsidR="001B4819" w:rsidRDefault="001B4819" w:rsidP="001B4819">
      <w:pPr>
        <w:pStyle w:val="DaftarParagraf"/>
        <w:spacing w:line="240" w:lineRule="auto"/>
        <w:ind w:firstLine="567"/>
        <w:jc w:val="both"/>
        <w:rPr>
          <w:rFonts w:ascii="Book Antiqua" w:hAnsi="Book Antiqua" w:cs="Times New Roman"/>
          <w:lang w:val="id-ID"/>
        </w:rPr>
      </w:pPr>
      <w:r w:rsidRPr="001B4819">
        <w:rPr>
          <w:rFonts w:ascii="Book Antiqua" w:hAnsi="Book Antiqua" w:cs="Times New Roman"/>
          <w:lang w:val="id-ID"/>
        </w:rPr>
        <w:tab/>
        <w:t>Based on the descriptions that have been described, several conclusions can be drawn as follows:</w:t>
      </w:r>
      <w:r>
        <w:rPr>
          <w:rFonts w:ascii="Book Antiqua" w:hAnsi="Book Antiqua" w:cs="Times New Roman"/>
        </w:rPr>
        <w:t xml:space="preserve"> </w:t>
      </w:r>
      <w:r w:rsidRPr="001B4819">
        <w:rPr>
          <w:rFonts w:ascii="Book Antiqua" w:hAnsi="Book Antiqua" w:cs="Times New Roman"/>
          <w:lang w:val="id-ID"/>
        </w:rPr>
        <w:t>a) Earning Per Share (EPS) has a positive and significant effect on stock prices in food and beverage manufacturing companies listed on the Indonesia Stock Exchange.</w:t>
      </w:r>
      <w:r>
        <w:rPr>
          <w:rFonts w:ascii="Book Antiqua" w:hAnsi="Book Antiqua" w:cs="Times New Roman"/>
        </w:rPr>
        <w:t xml:space="preserve"> </w:t>
      </w:r>
      <w:r w:rsidRPr="001B4819">
        <w:rPr>
          <w:rFonts w:ascii="Book Antiqua" w:hAnsi="Book Antiqua" w:cs="Times New Roman"/>
          <w:lang w:val="id-ID"/>
        </w:rPr>
        <w:t xml:space="preserve">b) Net Profit Margin (NPM) </w:t>
      </w:r>
      <w:r w:rsidR="00AE4B02">
        <w:rPr>
          <w:rFonts w:ascii="Book Antiqua" w:hAnsi="Book Antiqua" w:cs="Times New Roman"/>
          <w:lang w:val="id-ID"/>
        </w:rPr>
        <w:t>positively and significantly affects</w:t>
      </w:r>
      <w:r w:rsidRPr="001B4819">
        <w:rPr>
          <w:rFonts w:ascii="Book Antiqua" w:hAnsi="Book Antiqua" w:cs="Times New Roman"/>
          <w:lang w:val="id-ID"/>
        </w:rPr>
        <w:t xml:space="preserve"> stock prices in food and beverage manufacturing companies listed on the Indonesia Stock Exchange.</w:t>
      </w:r>
      <w:r>
        <w:rPr>
          <w:rFonts w:ascii="Book Antiqua" w:hAnsi="Book Antiqua" w:cs="Times New Roman"/>
        </w:rPr>
        <w:t xml:space="preserve"> </w:t>
      </w:r>
      <w:r w:rsidRPr="001B4819">
        <w:rPr>
          <w:rFonts w:ascii="Book Antiqua" w:hAnsi="Book Antiqua" w:cs="Times New Roman"/>
          <w:lang w:val="id-ID"/>
        </w:rPr>
        <w:t xml:space="preserve">c) Gross Profit Margin (GPM) </w:t>
      </w:r>
      <w:r w:rsidR="00AE4B02">
        <w:rPr>
          <w:rFonts w:ascii="Book Antiqua" w:hAnsi="Book Antiqua" w:cs="Times New Roman"/>
          <w:lang w:val="id-ID"/>
        </w:rPr>
        <w:t>does not significantly affect</w:t>
      </w:r>
      <w:r w:rsidRPr="001B4819">
        <w:rPr>
          <w:rFonts w:ascii="Book Antiqua" w:hAnsi="Book Antiqua" w:cs="Times New Roman"/>
          <w:lang w:val="id-ID"/>
        </w:rPr>
        <w:t xml:space="preserve"> stock prices in food and beverage manufacturing companies listed on the Indonesia Stock Exchange.</w:t>
      </w:r>
      <w:r>
        <w:rPr>
          <w:rFonts w:ascii="Book Antiqua" w:hAnsi="Book Antiqua" w:cs="Times New Roman"/>
        </w:rPr>
        <w:t xml:space="preserve"> </w:t>
      </w:r>
      <w:r w:rsidRPr="001B4819">
        <w:rPr>
          <w:rFonts w:ascii="Book Antiqua" w:hAnsi="Book Antiqua" w:cs="Times New Roman"/>
          <w:lang w:val="id-ID"/>
        </w:rPr>
        <w:t xml:space="preserve">d) Total Asset Turnover (TATO) </w:t>
      </w:r>
      <w:r w:rsidR="00AE4B02">
        <w:rPr>
          <w:rFonts w:ascii="Book Antiqua" w:hAnsi="Book Antiqua" w:cs="Times New Roman"/>
          <w:lang w:val="id-ID"/>
        </w:rPr>
        <w:t>negatively and significantly affects</w:t>
      </w:r>
      <w:r w:rsidRPr="001B4819">
        <w:rPr>
          <w:rFonts w:ascii="Book Antiqua" w:hAnsi="Book Antiqua" w:cs="Times New Roman"/>
          <w:lang w:val="id-ID"/>
        </w:rPr>
        <w:t xml:space="preserve"> stock prices in food and beverage manufacturing companies listed on the Indonesia Stock Exchange.</w:t>
      </w:r>
      <w:r>
        <w:rPr>
          <w:rFonts w:ascii="Book Antiqua" w:hAnsi="Book Antiqua" w:cs="Times New Roman"/>
        </w:rPr>
        <w:t xml:space="preserve"> </w:t>
      </w:r>
      <w:r w:rsidRPr="001B4819">
        <w:rPr>
          <w:rFonts w:ascii="Book Antiqua" w:hAnsi="Book Antiqua" w:cs="Times New Roman"/>
          <w:lang w:val="id-ID"/>
        </w:rPr>
        <w:t>e) The variables Earning Per Share (EPS), Net Profit Margin (NPM), Gross Profit Margin (GPM), and Total Asset Turnover (TATO) simultaneously have a positive and significant effect on stock prices in food and beverage manufacturing companies listed on the Indonesia stock exchange.</w:t>
      </w:r>
      <w:r>
        <w:rPr>
          <w:rFonts w:ascii="Book Antiqua" w:hAnsi="Book Antiqua" w:cs="Times New Roman"/>
        </w:rPr>
        <w:t xml:space="preserve"> </w:t>
      </w:r>
      <w:r w:rsidR="00AE4B02">
        <w:rPr>
          <w:rFonts w:ascii="Book Antiqua" w:hAnsi="Book Antiqua" w:cs="Times New Roman"/>
        </w:rPr>
        <w:t>F) Based on the t-test,</w:t>
      </w:r>
      <w:r w:rsidRPr="001B4819">
        <w:rPr>
          <w:rFonts w:ascii="Book Antiqua" w:hAnsi="Book Antiqua" w:cs="Times New Roman"/>
          <w:lang w:val="id-ID"/>
        </w:rPr>
        <w:t xml:space="preserve"> it can be shown that the most dominant variable on stock prices is Net Profit Margin (NPM) because NPM has the highest regression coefficient value. </w:t>
      </w:r>
      <w:r w:rsidR="00AE4B02">
        <w:rPr>
          <w:rFonts w:ascii="Book Antiqua" w:hAnsi="Book Antiqua" w:cs="Times New Roman"/>
          <w:lang w:val="id-ID"/>
        </w:rPr>
        <w:t>In contrast,</w:t>
      </w:r>
      <w:r w:rsidRPr="001B4819">
        <w:rPr>
          <w:rFonts w:ascii="Book Antiqua" w:hAnsi="Book Antiqua" w:cs="Times New Roman"/>
          <w:lang w:val="id-ID"/>
        </w:rPr>
        <w:t xml:space="preserve"> the weakest variable on stock prices is Total Asset Turnover (TATO) because TATO has the lowest regression coefficient value.</w:t>
      </w:r>
    </w:p>
    <w:p w14:paraId="58D0BD05" w14:textId="5DA12F82" w:rsidR="00F334E0" w:rsidRPr="001B4819" w:rsidRDefault="001B4819" w:rsidP="001B4819">
      <w:pPr>
        <w:pStyle w:val="DaftarParagraf"/>
        <w:spacing w:line="240" w:lineRule="auto"/>
        <w:ind w:firstLine="567"/>
        <w:jc w:val="both"/>
        <w:rPr>
          <w:rFonts w:ascii="Book Antiqua" w:hAnsi="Book Antiqua" w:cs="Times New Roman"/>
          <w:lang w:val="id-ID"/>
        </w:rPr>
      </w:pPr>
      <w:r w:rsidRPr="001B4819">
        <w:rPr>
          <w:rFonts w:ascii="Book Antiqua" w:hAnsi="Book Antiqua" w:cs="Times New Roman"/>
          <w:lang w:val="id-ID"/>
        </w:rPr>
        <w:t xml:space="preserve">The suggestions that </w:t>
      </w:r>
      <w:r w:rsidR="00AE4B02">
        <w:rPr>
          <w:rFonts w:ascii="Book Antiqua" w:hAnsi="Book Antiqua" w:cs="Times New Roman"/>
          <w:lang w:val="id-ID"/>
        </w:rPr>
        <w:t>the author can give</w:t>
      </w:r>
      <w:r w:rsidRPr="001B4819">
        <w:rPr>
          <w:rFonts w:ascii="Book Antiqua" w:hAnsi="Book Antiqua" w:cs="Times New Roman"/>
          <w:lang w:val="id-ID"/>
        </w:rPr>
        <w:t xml:space="preserve"> regarding the results of this study include</w:t>
      </w:r>
      <w:r>
        <w:rPr>
          <w:rFonts w:ascii="Book Antiqua" w:hAnsi="Book Antiqua" w:cs="Times New Roman"/>
        </w:rPr>
        <w:t xml:space="preserve"> </w:t>
      </w:r>
      <w:r w:rsidRPr="001B4819">
        <w:rPr>
          <w:rFonts w:ascii="Book Antiqua" w:hAnsi="Book Antiqua" w:cs="Times New Roman"/>
          <w:lang w:val="id-ID"/>
        </w:rPr>
        <w:t>a. It is hoped that in the future</w:t>
      </w:r>
      <w:r w:rsidR="00AE4B02">
        <w:rPr>
          <w:rFonts w:ascii="Book Antiqua" w:hAnsi="Book Antiqua" w:cs="Times New Roman"/>
          <w:lang w:val="id-ID"/>
        </w:rPr>
        <w:t>,</w:t>
      </w:r>
      <w:r w:rsidRPr="001B4819">
        <w:rPr>
          <w:rFonts w:ascii="Book Antiqua" w:hAnsi="Book Antiqua" w:cs="Times New Roman"/>
          <w:lang w:val="id-ID"/>
        </w:rPr>
        <w:t xml:space="preserve"> the company's management can pay attention to the Total Asset Turnover (TATO) variable because the TATO value of manufacturing companies in the food and beverage sector</w:t>
      </w:r>
      <w:r w:rsidR="00AE4B02">
        <w:rPr>
          <w:rFonts w:ascii="Book Antiqua" w:hAnsi="Book Antiqua" w:cs="Times New Roman"/>
          <w:lang w:val="id-ID"/>
        </w:rPr>
        <w:t>,</w:t>
      </w:r>
      <w:r w:rsidRPr="001B4819">
        <w:rPr>
          <w:rFonts w:ascii="Book Antiqua" w:hAnsi="Book Antiqua" w:cs="Times New Roman"/>
          <w:lang w:val="id-ID"/>
        </w:rPr>
        <w:t xml:space="preserve"> which are listed on the Indonesia Stock Exchange in 2018-2022 has experienced a downward trend, the company should optimize the management of company assets to generate sales volume</w:t>
      </w:r>
      <w:r w:rsidR="00AE4B02">
        <w:rPr>
          <w:rFonts w:ascii="Book Antiqua" w:hAnsi="Book Antiqua" w:cs="Times New Roman"/>
          <w:lang w:val="id-ID"/>
        </w:rPr>
        <w:t xml:space="preserve"> b</w:t>
      </w:r>
      <w:r w:rsidRPr="001B4819">
        <w:rPr>
          <w:rFonts w:ascii="Book Antiqua" w:hAnsi="Book Antiqua" w:cs="Times New Roman"/>
          <w:lang w:val="id-ID"/>
        </w:rPr>
        <w:t xml:space="preserve">ecause high sales volume will affect the increase in TATO value. In addition, the company is expected to be able to develop a good financial planning strategy in the future to improve </w:t>
      </w:r>
      <w:r w:rsidR="00AE4B02">
        <w:rPr>
          <w:rFonts w:ascii="Book Antiqua" w:hAnsi="Book Antiqua" w:cs="Times New Roman"/>
          <w:lang w:val="id-ID"/>
        </w:rPr>
        <w:t>its performance b</w:t>
      </w:r>
      <w:r w:rsidRPr="001B4819">
        <w:rPr>
          <w:rFonts w:ascii="Book Antiqua" w:hAnsi="Book Antiqua" w:cs="Times New Roman"/>
          <w:lang w:val="id-ID"/>
        </w:rPr>
        <w:t xml:space="preserve">ecause increased company performance will have an impact on increasing stock prices. b. </w:t>
      </w:r>
      <w:r w:rsidR="00AE4B02">
        <w:rPr>
          <w:rFonts w:ascii="Book Antiqua" w:hAnsi="Book Antiqua" w:cs="Times New Roman"/>
          <w:lang w:val="id-ID"/>
        </w:rPr>
        <w:t>It is hoped that future researchers</w:t>
      </w:r>
      <w:r w:rsidRPr="001B4819">
        <w:rPr>
          <w:rFonts w:ascii="Book Antiqua" w:hAnsi="Book Antiqua" w:cs="Times New Roman"/>
          <w:lang w:val="id-ID"/>
        </w:rPr>
        <w:t xml:space="preserve"> can expand their research objects and samples. In addition, it is suggested </w:t>
      </w:r>
      <w:r w:rsidR="00AE4B02">
        <w:rPr>
          <w:rFonts w:ascii="Book Antiqua" w:hAnsi="Book Antiqua" w:cs="Times New Roman"/>
          <w:lang w:val="id-ID"/>
        </w:rPr>
        <w:t>that</w:t>
      </w:r>
      <w:r w:rsidRPr="001B4819">
        <w:rPr>
          <w:rFonts w:ascii="Book Antiqua" w:hAnsi="Book Antiqua" w:cs="Times New Roman"/>
          <w:lang w:val="id-ID"/>
        </w:rPr>
        <w:t xml:space="preserve"> future researchers be able to c</w:t>
      </w:r>
      <w:r w:rsidR="00AE4B02">
        <w:rPr>
          <w:rFonts w:ascii="Book Antiqua" w:hAnsi="Book Antiqua" w:cs="Times New Roman"/>
          <w:lang w:val="id-ID"/>
        </w:rPr>
        <w:t>onduct</w:t>
      </w:r>
      <w:r w:rsidRPr="001B4819">
        <w:rPr>
          <w:rFonts w:ascii="Book Antiqua" w:hAnsi="Book Antiqua" w:cs="Times New Roman"/>
          <w:lang w:val="id-ID"/>
        </w:rPr>
        <w:t xml:space="preserve"> this research by examining other factors that have more influence on stock prices.</w:t>
      </w:r>
    </w:p>
    <w:p w14:paraId="2F0C7F8B" w14:textId="0F14A393" w:rsidR="002152B3" w:rsidRPr="000D1D54" w:rsidRDefault="002152B3" w:rsidP="001B4819">
      <w:pPr>
        <w:spacing w:line="240" w:lineRule="auto"/>
        <w:jc w:val="both"/>
        <w:rPr>
          <w:rFonts w:ascii="Book Antiqua" w:eastAsiaTheme="minorEastAsia" w:hAnsi="Book Antiqua" w:cs="Times New Roman"/>
          <w:bCs/>
          <w:sz w:val="24"/>
          <w:szCs w:val="24"/>
          <w:lang w:val="id-ID"/>
        </w:rPr>
      </w:pPr>
      <w:r w:rsidRPr="000D1D54">
        <w:rPr>
          <w:rFonts w:ascii="Book Antiqua" w:hAnsi="Book Antiqua" w:cs="Times New Roman"/>
          <w:b/>
          <w:bCs/>
          <w:sz w:val="24"/>
          <w:szCs w:val="24"/>
          <w:lang w:val="id-ID"/>
        </w:rPr>
        <w:br w:type="page"/>
      </w:r>
    </w:p>
    <w:p w14:paraId="0F89EEF6" w14:textId="55A79CCB" w:rsidR="002737AE" w:rsidRPr="001321C9" w:rsidRDefault="00116472" w:rsidP="001321C9">
      <w:pPr>
        <w:spacing w:line="240" w:lineRule="auto"/>
        <w:jc w:val="both"/>
        <w:rPr>
          <w:rFonts w:ascii="Book Antiqua" w:hAnsi="Book Antiqua" w:cs="Times New Roman"/>
          <w:b/>
          <w:bCs/>
          <w:lang w:val="id-ID"/>
        </w:rPr>
      </w:pPr>
      <w:r w:rsidRPr="000D1D54">
        <w:rPr>
          <w:rFonts w:ascii="Book Antiqua" w:hAnsi="Book Antiqua" w:cs="Times New Roman"/>
          <w:b/>
          <w:bCs/>
          <w:lang w:val="id-ID"/>
        </w:rPr>
        <w:t>References</w:t>
      </w:r>
      <w:r w:rsidR="00312DA9" w:rsidRPr="000D1D54">
        <w:rPr>
          <w:rFonts w:ascii="Book Antiqua" w:eastAsiaTheme="minorEastAsia" w:hAnsi="Book Antiqua"/>
          <w:b/>
          <w:bCs/>
          <w:lang w:val="id-ID"/>
        </w:rPr>
        <w:fldChar w:fldCharType="begin" w:fldLock="1"/>
      </w:r>
      <w:r w:rsidR="00312DA9" w:rsidRPr="000D1D54">
        <w:rPr>
          <w:rFonts w:ascii="Book Antiqua" w:hAnsi="Book Antiqua"/>
          <w:b/>
          <w:bCs/>
          <w:lang w:val="id-ID"/>
        </w:rPr>
        <w:instrText xml:space="preserve">ADDIN Mendeley Bibliography CSL_BIBLIOGRAPHY </w:instrText>
      </w:r>
      <w:r w:rsidR="00312DA9" w:rsidRPr="000D1D54">
        <w:rPr>
          <w:rFonts w:ascii="Book Antiqua" w:eastAsiaTheme="minorEastAsia" w:hAnsi="Book Antiqua"/>
          <w:b/>
          <w:bCs/>
          <w:lang w:val="id-ID"/>
        </w:rPr>
        <w:fldChar w:fldCharType="separate"/>
      </w:r>
    </w:p>
    <w:p w14:paraId="13E8BF83" w14:textId="5C86EF95" w:rsidR="003B7831" w:rsidRPr="00132B78" w:rsidRDefault="003B7831" w:rsidP="003B7831">
      <w:pPr>
        <w:pStyle w:val="NormalWeb"/>
        <w:ind w:left="480" w:hanging="480"/>
        <w:jc w:val="both"/>
        <w:divId w:val="1372152957"/>
        <w:rPr>
          <w:rFonts w:ascii="Book Antiqua" w:hAnsi="Book Antiqua"/>
          <w:noProof/>
          <w:sz w:val="22"/>
          <w:szCs w:val="22"/>
        </w:rPr>
      </w:pPr>
      <w:r w:rsidRPr="003B7831">
        <w:rPr>
          <w:rFonts w:ascii="Book Antiqua" w:hAnsi="Book Antiqua"/>
          <w:noProof/>
          <w:sz w:val="22"/>
          <w:szCs w:val="22"/>
          <w:lang w:val="id-ID"/>
        </w:rPr>
        <w:t>Arifian, Dini and Damyati H. (2017). Effect of earnings per share on stock prices. The Asia Pacific</w:t>
      </w:r>
      <w:r w:rsidR="00AE4B02">
        <w:rPr>
          <w:rFonts w:ascii="Book Antiqua" w:hAnsi="Book Antiqua"/>
          <w:noProof/>
          <w:sz w:val="22"/>
          <w:szCs w:val="22"/>
        </w:rPr>
        <w:t xml:space="preserve"> </w:t>
      </w:r>
      <w:r w:rsidRPr="003B7831">
        <w:rPr>
          <w:rFonts w:ascii="Book Antiqua" w:hAnsi="Book Antiqua"/>
          <w:noProof/>
          <w:sz w:val="22"/>
          <w:szCs w:val="22"/>
          <w:lang w:val="id-ID"/>
        </w:rPr>
        <w:t>Journal of Management. Vol. 4.</w:t>
      </w:r>
      <w:r w:rsidR="00AE4B02">
        <w:rPr>
          <w:rFonts w:ascii="Book Antiqua" w:hAnsi="Book Antiqua"/>
          <w:noProof/>
          <w:sz w:val="22"/>
          <w:szCs w:val="22"/>
          <w:lang w:val="id-ID"/>
        </w:rPr>
        <w:t xml:space="preserve"> </w:t>
      </w:r>
      <w:r w:rsidRPr="003B7831">
        <w:rPr>
          <w:rFonts w:ascii="Book Antiqua" w:hAnsi="Book Antiqua"/>
          <w:noProof/>
          <w:sz w:val="22"/>
          <w:szCs w:val="22"/>
          <w:lang w:val="id-ID"/>
        </w:rPr>
        <w:t>No. 2.</w:t>
      </w:r>
      <w:r w:rsidR="00132B78">
        <w:rPr>
          <w:rFonts w:ascii="Book Antiqua" w:hAnsi="Book Antiqua"/>
          <w:noProof/>
          <w:sz w:val="22"/>
          <w:szCs w:val="22"/>
        </w:rPr>
        <w:t xml:space="preserve"> </w:t>
      </w:r>
      <w:r w:rsidR="00132B78" w:rsidRPr="00132B78">
        <w:rPr>
          <w:rFonts w:ascii="Book Antiqua" w:hAnsi="Book Antiqua"/>
          <w:noProof/>
          <w:sz w:val="22"/>
          <w:szCs w:val="22"/>
        </w:rPr>
        <w:t>Page 85-102, ISSN: 2407-6325</w:t>
      </w:r>
    </w:p>
    <w:p w14:paraId="6307C94C"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Badruzaman, J. (2017). Effect of Earning per Share on Stock Prices. Journal of Accounting Vol 12. No.1.</w:t>
      </w:r>
    </w:p>
    <w:p w14:paraId="3CC2581A"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Darya, IGP (2019). Accounting Management. Ponorogo: Uwais Inspiration of Indonesia.</w:t>
      </w:r>
    </w:p>
    <w:p w14:paraId="06BAC214" w14:textId="59C46D39"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 xml:space="preserve">Gustmainar, Jojor and Mariani. (2018). Analysis of the Effect of Current Ratio, Debt To Equity </w:t>
      </w:r>
      <w:r w:rsidRPr="003B7831">
        <w:rPr>
          <w:rFonts w:ascii="Book Antiqua" w:hAnsi="Book Antiqua"/>
          <w:noProof/>
          <w:sz w:val="22"/>
          <w:szCs w:val="22"/>
          <w:lang w:val="id-ID"/>
        </w:rPr>
        <w:tab/>
        <w:t>Ratio, Gross Profit Margin, Return On Investment, and Earning Per Share on Stock Prices in</w:t>
      </w:r>
      <w:r w:rsidR="00AE4B02">
        <w:rPr>
          <w:rFonts w:ascii="Book Antiqua" w:hAnsi="Book Antiqua"/>
          <w:noProof/>
          <w:sz w:val="22"/>
          <w:szCs w:val="22"/>
        </w:rPr>
        <w:t xml:space="preserve"> </w:t>
      </w:r>
      <w:r w:rsidRPr="003B7831">
        <w:rPr>
          <w:rFonts w:ascii="Book Antiqua" w:hAnsi="Book Antiqua"/>
          <w:noProof/>
          <w:sz w:val="22"/>
          <w:szCs w:val="22"/>
          <w:lang w:val="id-ID"/>
        </w:rPr>
        <w:t>LQ 45 Companies Listed on the Indonesia Stock Exchange in 2010-2016. Bilancia. Vol. No.4.</w:t>
      </w:r>
    </w:p>
    <w:p w14:paraId="45B42A92" w14:textId="5E7A3972"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Ghozali. I. (2011). Multivariate Analysis Application with SPSS Program. Semarang: Diponegoro</w:t>
      </w:r>
      <w:r>
        <w:rPr>
          <w:rFonts w:ascii="Book Antiqua" w:hAnsi="Book Antiqua"/>
          <w:noProof/>
          <w:sz w:val="22"/>
          <w:szCs w:val="22"/>
        </w:rPr>
        <w:t xml:space="preserve"> </w:t>
      </w:r>
      <w:r w:rsidRPr="003B7831">
        <w:rPr>
          <w:rFonts w:ascii="Book Antiqua" w:hAnsi="Book Antiqua"/>
          <w:noProof/>
          <w:sz w:val="22"/>
          <w:szCs w:val="22"/>
          <w:lang w:val="id-ID"/>
        </w:rPr>
        <w:t>University</w:t>
      </w:r>
    </w:p>
    <w:p w14:paraId="2BD1EA73"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Handini, S. (2020). Textbook: Financial Management. Surabaya: Scopindo Media Pustaka</w:t>
      </w:r>
    </w:p>
    <w:p w14:paraId="2F1BF53A" w14:textId="32A400E2"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Hantono. (2018). The concept of Financial Statement Analysis with the ratio approach and SPSS. Sleman:</w:t>
      </w:r>
      <w:r>
        <w:rPr>
          <w:rFonts w:ascii="Book Antiqua" w:hAnsi="Book Antiqua"/>
          <w:noProof/>
          <w:sz w:val="22"/>
          <w:szCs w:val="22"/>
        </w:rPr>
        <w:t xml:space="preserve"> </w:t>
      </w:r>
      <w:r w:rsidRPr="003B7831">
        <w:rPr>
          <w:rFonts w:ascii="Book Antiqua" w:hAnsi="Book Antiqua"/>
          <w:noProof/>
          <w:sz w:val="22"/>
          <w:szCs w:val="22"/>
          <w:lang w:val="id-ID"/>
        </w:rPr>
        <w:t>CV. Main Buddha.</w:t>
      </w:r>
    </w:p>
    <w:p w14:paraId="5E9B756E"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 xml:space="preserve">Hendri, E. (2015). The Effect of Debt To Asset Ratio (DAR), Long Term Debt To Equity Ratio (LTDER) </w:t>
      </w:r>
      <w:r w:rsidRPr="003B7831">
        <w:rPr>
          <w:rFonts w:ascii="Book Antiqua" w:hAnsi="Book Antiqua"/>
          <w:noProof/>
          <w:sz w:val="22"/>
          <w:szCs w:val="22"/>
          <w:lang w:val="id-ID"/>
        </w:rPr>
        <w:tab/>
        <w:t>and Net Profit Margin (NPM) on Stock Prices in Banking Companies Listed on the Indonesia Stock Exchange. Journal of Media Wahana Ekonomika, Vol. 12, No. 2</w:t>
      </w:r>
    </w:p>
    <w:p w14:paraId="0CF4E21E"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Harry. (2017). Accounting Theory Approaches to Concepts and Analysis. Jakarta: PT Grasindo.</w:t>
      </w:r>
    </w:p>
    <w:p w14:paraId="2993549E"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Hidayah, N. (2018). The Influence of Gross Profit Margin, Net Profit Margin, Return On Assets, Return On Equity, and Earning per Share on the Stock Prices of the Consumer Goods Industry Sector in Companies Registered in the Sharia Securities List. Thesis. Tulungagung State Islamic Institute. Tulungangung.</w:t>
      </w:r>
    </w:p>
    <w:p w14:paraId="14220253"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Irfani, A.S. (2020). Financial and Business Management: Theory and Applications. Jakarta: PT Gramedia Pustaka Utama.</w:t>
      </w:r>
    </w:p>
    <w:p w14:paraId="77BFE438"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Muchtar, E.H.(2021). Corporate Governace: Concept and Its Implementation on Sharia Stock Issuers. West Java: CV Adanu Abimata.</w:t>
      </w:r>
    </w:p>
    <w:p w14:paraId="17A32FC8"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Mujiono, H.P. (2018). Effect of CR, DER, ROA, and EPS on Food and Beverages Stock Prices. Journal of Management Science and Research Vol.6.No.3.</w:t>
      </w:r>
    </w:p>
    <w:p w14:paraId="6A6CD3CF"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Rachmawati, Julia A. and Sri U. (2020). the effect of tattoos, der, and npm on stock prices in Food and Beverage Companies. Journal of Management Science and Research. Vol.9. No. 5.</w:t>
      </w:r>
    </w:p>
    <w:p w14:paraId="6C06A954"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Sanjaya, S. (2018). Fundamental Analysis of Manufacturing Company Stock Prices in the Consumer Goods Industry Sector. Journal of Islamic Economic Studies. Vol 3. No. 1.</w:t>
      </w:r>
    </w:p>
    <w:p w14:paraId="569AE264"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Sari, D.I. (2020). Effect of Quick Ratio Total Asset Turnover and Return on Investment on Stock Prices. Journal of Accounting and Business. Vol. 5.No.2.</w:t>
      </w:r>
    </w:p>
    <w:p w14:paraId="0EEBFF4E"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Septiana. (2019). Analysis of Financial Statements Basic Concepts and Descriptions of Financial Statements. East Java: Media Publishing Ambassador.</w:t>
      </w:r>
    </w:p>
    <w:p w14:paraId="0EAE192C"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Sugiyono. (2019). Quantitative, Qualitative and R&amp;D Research Methods. Bandung: Alphabet.</w:t>
      </w:r>
    </w:p>
    <w:p w14:paraId="48086B8D" w14:textId="77777777" w:rsidR="003B7831" w:rsidRP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Sunyoto, D. (2013). Accounting Research Methodology. Bandung: PT Refika Aditama.</w:t>
      </w:r>
    </w:p>
    <w:p w14:paraId="7F2E5A49" w14:textId="0612CD67" w:rsidR="003B7831" w:rsidRDefault="003B7831" w:rsidP="003B7831">
      <w:pPr>
        <w:pStyle w:val="NormalWeb"/>
        <w:ind w:left="480" w:hanging="480"/>
        <w:jc w:val="both"/>
        <w:divId w:val="1372152957"/>
        <w:rPr>
          <w:rFonts w:ascii="Book Antiqua" w:hAnsi="Book Antiqua"/>
          <w:noProof/>
          <w:sz w:val="22"/>
          <w:szCs w:val="22"/>
          <w:lang w:val="id-ID"/>
        </w:rPr>
      </w:pPr>
      <w:r w:rsidRPr="003B7831">
        <w:rPr>
          <w:rFonts w:ascii="Book Antiqua" w:hAnsi="Book Antiqua"/>
          <w:noProof/>
          <w:sz w:val="22"/>
          <w:szCs w:val="22"/>
          <w:lang w:val="id-ID"/>
        </w:rPr>
        <w:t>Thian, A.(2021). Sharia Capital Market - Know and Understand the Scope of the Islamic Capital Market in Indonesia. Yogyakarta: CV. Andi Offset.</w:t>
      </w:r>
    </w:p>
    <w:p w14:paraId="460EF097" w14:textId="22F0019A" w:rsidR="00D565B3" w:rsidRDefault="00D565B3" w:rsidP="003B7831">
      <w:pPr>
        <w:pStyle w:val="NormalWeb"/>
        <w:ind w:left="480" w:hanging="480"/>
        <w:jc w:val="both"/>
        <w:divId w:val="1372152957"/>
        <w:rPr>
          <w:rFonts w:ascii="Book Antiqua" w:hAnsi="Book Antiqua"/>
          <w:noProof/>
          <w:sz w:val="22"/>
          <w:szCs w:val="22"/>
          <w:lang w:val="id-ID"/>
        </w:rPr>
      </w:pPr>
      <w:r w:rsidRPr="00D565B3">
        <w:rPr>
          <w:rFonts w:ascii="Book Antiqua" w:hAnsi="Book Antiqua"/>
          <w:noProof/>
          <w:sz w:val="22"/>
          <w:szCs w:val="22"/>
          <w:lang w:val="id-ID"/>
        </w:rPr>
        <w:t xml:space="preserve">N.Nadya, </w:t>
      </w:r>
      <w:r w:rsidR="008B06C1">
        <w:rPr>
          <w:rFonts w:ascii="Book Antiqua" w:hAnsi="Book Antiqua"/>
          <w:noProof/>
          <w:sz w:val="22"/>
          <w:szCs w:val="22"/>
        </w:rPr>
        <w:t>(</w:t>
      </w:r>
      <w:r w:rsidRPr="00D565B3">
        <w:rPr>
          <w:rFonts w:ascii="Book Antiqua" w:hAnsi="Book Antiqua"/>
          <w:noProof/>
          <w:sz w:val="22"/>
          <w:szCs w:val="22"/>
          <w:lang w:val="id-ID"/>
        </w:rPr>
        <w:t>2023</w:t>
      </w:r>
      <w:r w:rsidR="008B06C1">
        <w:rPr>
          <w:rFonts w:ascii="Book Antiqua" w:hAnsi="Book Antiqua"/>
          <w:noProof/>
          <w:sz w:val="22"/>
          <w:szCs w:val="22"/>
        </w:rPr>
        <w:t>)</w:t>
      </w:r>
      <w:r w:rsidRPr="00D565B3">
        <w:rPr>
          <w:rFonts w:ascii="Book Antiqua" w:hAnsi="Book Antiqua"/>
          <w:noProof/>
          <w:sz w:val="22"/>
          <w:szCs w:val="22"/>
          <w:lang w:val="id-ID"/>
        </w:rPr>
        <w:t xml:space="preserve">, Symmetric and Asymmetric Effects of Exchange Rate on Indonesia Stock Prices, November, </w:t>
      </w:r>
      <w:r w:rsidRPr="00006C24">
        <w:rPr>
          <w:rFonts w:ascii="Book Antiqua" w:hAnsi="Book Antiqua"/>
          <w:i/>
          <w:iCs/>
          <w:noProof/>
          <w:sz w:val="22"/>
          <w:szCs w:val="22"/>
          <w:lang w:val="id-ID"/>
        </w:rPr>
        <w:t>Journal of Economics, Finance And Management Studies</w:t>
      </w:r>
      <w:r w:rsidRPr="00D565B3">
        <w:rPr>
          <w:rFonts w:ascii="Book Antiqua" w:hAnsi="Book Antiqua"/>
          <w:noProof/>
          <w:sz w:val="22"/>
          <w:szCs w:val="22"/>
          <w:lang w:val="id-ID"/>
        </w:rPr>
        <w:t xml:space="preserve"> (JEFMS), DOI: 10.47191/jefms/v6-i11-12</w:t>
      </w:r>
    </w:p>
    <w:p w14:paraId="1C60FAF8" w14:textId="3A16AE88" w:rsidR="00006C24" w:rsidRDefault="00006C24" w:rsidP="003B7831">
      <w:pPr>
        <w:pStyle w:val="NormalWeb"/>
        <w:ind w:left="480" w:hanging="480"/>
        <w:jc w:val="both"/>
        <w:divId w:val="1372152957"/>
        <w:rPr>
          <w:rFonts w:ascii="Book Antiqua" w:hAnsi="Book Antiqua"/>
          <w:noProof/>
          <w:sz w:val="22"/>
          <w:szCs w:val="22"/>
          <w:lang w:val="id-ID"/>
        </w:rPr>
      </w:pPr>
      <w:r w:rsidRPr="00006C24">
        <w:rPr>
          <w:rFonts w:ascii="Book Antiqua" w:hAnsi="Book Antiqua"/>
          <w:noProof/>
          <w:sz w:val="22"/>
          <w:szCs w:val="22"/>
          <w:lang w:val="id-ID"/>
        </w:rPr>
        <w:t>A.M.P.Ginting, K.Gularso,</w:t>
      </w:r>
      <w:r>
        <w:rPr>
          <w:rFonts w:ascii="Book Antiqua" w:hAnsi="Book Antiqua"/>
          <w:noProof/>
          <w:sz w:val="22"/>
          <w:szCs w:val="22"/>
        </w:rPr>
        <w:t xml:space="preserve"> (2023), </w:t>
      </w:r>
      <w:r w:rsidRPr="00006C24">
        <w:rPr>
          <w:rFonts w:ascii="Book Antiqua" w:hAnsi="Book Antiqua"/>
          <w:noProof/>
          <w:sz w:val="22"/>
          <w:szCs w:val="22"/>
          <w:lang w:val="id-ID"/>
        </w:rPr>
        <w:t xml:space="preserve">"The Effect Of Exchange Rate Towards On Stock Returns Mediated By Fundamental Factors (Study On Stocks Of Telecommunications Sub-Sector Companies Listed On The Indonesia Stock Exchange)", October, </w:t>
      </w:r>
      <w:r w:rsidRPr="00006C24">
        <w:rPr>
          <w:rFonts w:ascii="Book Antiqua" w:hAnsi="Book Antiqua"/>
          <w:i/>
          <w:iCs/>
          <w:noProof/>
          <w:sz w:val="22"/>
          <w:szCs w:val="22"/>
          <w:lang w:val="id-ID"/>
        </w:rPr>
        <w:t>Journal Research of Social Science Economics and Management</w:t>
      </w:r>
      <w:r w:rsidRPr="00006C24">
        <w:rPr>
          <w:rFonts w:ascii="Book Antiqua" w:hAnsi="Book Antiqua"/>
          <w:noProof/>
          <w:sz w:val="22"/>
          <w:szCs w:val="22"/>
          <w:lang w:val="id-ID"/>
        </w:rPr>
        <w:t xml:space="preserve"> 3(3):770-797, DOI: 10.59141/jrssem.v3i3.576</w:t>
      </w:r>
    </w:p>
    <w:p w14:paraId="1F4F89AA" w14:textId="4694D05D" w:rsidR="007401DB" w:rsidRDefault="007401DB" w:rsidP="003B7831">
      <w:pPr>
        <w:pStyle w:val="NormalWeb"/>
        <w:ind w:left="480" w:hanging="480"/>
        <w:jc w:val="both"/>
        <w:divId w:val="1372152957"/>
        <w:rPr>
          <w:rFonts w:ascii="Book Antiqua" w:hAnsi="Book Antiqua"/>
          <w:noProof/>
          <w:sz w:val="22"/>
          <w:szCs w:val="22"/>
          <w:lang w:val="id-ID"/>
        </w:rPr>
      </w:pPr>
      <w:r w:rsidRPr="007401DB">
        <w:rPr>
          <w:rFonts w:ascii="Book Antiqua" w:hAnsi="Book Antiqua"/>
          <w:noProof/>
          <w:sz w:val="22"/>
          <w:szCs w:val="22"/>
          <w:lang w:val="id-ID"/>
        </w:rPr>
        <w:t>D</w:t>
      </w:r>
      <w:r>
        <w:rPr>
          <w:rFonts w:ascii="Book Antiqua" w:hAnsi="Book Antiqua"/>
          <w:noProof/>
          <w:sz w:val="22"/>
          <w:szCs w:val="22"/>
        </w:rPr>
        <w:t>.</w:t>
      </w:r>
      <w:r w:rsidRPr="007401DB">
        <w:rPr>
          <w:rFonts w:ascii="Book Antiqua" w:hAnsi="Book Antiqua"/>
          <w:noProof/>
          <w:sz w:val="22"/>
          <w:szCs w:val="22"/>
          <w:lang w:val="id-ID"/>
        </w:rPr>
        <w:t>P</w:t>
      </w:r>
      <w:r>
        <w:rPr>
          <w:rFonts w:ascii="Book Antiqua" w:hAnsi="Book Antiqua"/>
          <w:noProof/>
          <w:sz w:val="22"/>
          <w:szCs w:val="22"/>
        </w:rPr>
        <w:t>.</w:t>
      </w:r>
      <w:r w:rsidRPr="007401DB">
        <w:rPr>
          <w:rFonts w:ascii="Book Antiqua" w:hAnsi="Book Antiqua"/>
          <w:noProof/>
          <w:sz w:val="22"/>
          <w:szCs w:val="22"/>
          <w:lang w:val="id-ID"/>
        </w:rPr>
        <w:t xml:space="preserve">Jatmiko, (2023) "Analysis of the Effect of Southeast Asia Stock Index on the Indonesia Stock Exchange (IDX) Composite", April, </w:t>
      </w:r>
      <w:r w:rsidRPr="00B51B82">
        <w:rPr>
          <w:rFonts w:ascii="Book Antiqua" w:hAnsi="Book Antiqua"/>
          <w:i/>
          <w:iCs/>
          <w:noProof/>
          <w:sz w:val="22"/>
          <w:szCs w:val="22"/>
          <w:lang w:val="id-ID"/>
        </w:rPr>
        <w:t>International Journal of Scientific Multidisciplinary Research</w:t>
      </w:r>
      <w:r w:rsidRPr="007401DB">
        <w:rPr>
          <w:rFonts w:ascii="Book Antiqua" w:hAnsi="Book Antiqua"/>
          <w:noProof/>
          <w:sz w:val="22"/>
          <w:szCs w:val="22"/>
          <w:lang w:val="id-ID"/>
        </w:rPr>
        <w:t xml:space="preserve"> 1(3), DOI: 10.55927/ijsmr.v1i3.3795</w:t>
      </w:r>
    </w:p>
    <w:p w14:paraId="2C9BCC6B" w14:textId="45BCC03D" w:rsidR="00031BD0" w:rsidRDefault="00031BD0" w:rsidP="003B7831">
      <w:pPr>
        <w:pStyle w:val="NormalWeb"/>
        <w:ind w:left="480" w:hanging="480"/>
        <w:jc w:val="both"/>
        <w:divId w:val="1372152957"/>
        <w:rPr>
          <w:rFonts w:ascii="Book Antiqua" w:hAnsi="Book Antiqua"/>
          <w:noProof/>
          <w:sz w:val="22"/>
          <w:szCs w:val="22"/>
          <w:lang w:val="id-ID"/>
        </w:rPr>
      </w:pPr>
      <w:r w:rsidRPr="00031BD0">
        <w:rPr>
          <w:rFonts w:ascii="Book Antiqua" w:hAnsi="Book Antiqua"/>
          <w:noProof/>
          <w:sz w:val="22"/>
          <w:szCs w:val="22"/>
          <w:lang w:val="id-ID"/>
        </w:rPr>
        <w:t>C.Sa'diyahIgo, I.Hilabi, (2022), "The Effect of Corporate Governance on Company Value in The Indonesia Stock Exchange and Sharia Stock in Indonesia", May,</w:t>
      </w:r>
      <w:r w:rsidRPr="00031BD0">
        <w:rPr>
          <w:rFonts w:ascii="Book Antiqua" w:hAnsi="Book Antiqua"/>
          <w:i/>
          <w:iCs/>
          <w:noProof/>
          <w:sz w:val="22"/>
          <w:szCs w:val="22"/>
          <w:lang w:val="id-ID"/>
        </w:rPr>
        <w:t xml:space="preserve"> Jurnal Aplikasi Bisnis dan Manajemen</w:t>
      </w:r>
      <w:r w:rsidRPr="00031BD0">
        <w:rPr>
          <w:rFonts w:ascii="Book Antiqua" w:hAnsi="Book Antiqua"/>
          <w:noProof/>
          <w:sz w:val="22"/>
          <w:szCs w:val="22"/>
          <w:lang w:val="id-ID"/>
        </w:rPr>
        <w:t xml:space="preserve"> 8(2), DOI: 10.17358/jabm.8.2.404</w:t>
      </w:r>
    </w:p>
    <w:p w14:paraId="4C0E4FC2" w14:textId="4658B629" w:rsidR="00AD08BE" w:rsidRDefault="00AD08BE" w:rsidP="003B7831">
      <w:pPr>
        <w:pStyle w:val="NormalWeb"/>
        <w:ind w:left="480" w:hanging="480"/>
        <w:jc w:val="both"/>
        <w:divId w:val="1372152957"/>
        <w:rPr>
          <w:rFonts w:ascii="Book Antiqua" w:hAnsi="Book Antiqua"/>
          <w:noProof/>
          <w:sz w:val="22"/>
          <w:szCs w:val="22"/>
          <w:lang w:val="id-ID"/>
        </w:rPr>
      </w:pPr>
      <w:r w:rsidRPr="00AD08BE">
        <w:rPr>
          <w:rFonts w:ascii="Book Antiqua" w:hAnsi="Book Antiqua"/>
          <w:noProof/>
          <w:sz w:val="22"/>
          <w:szCs w:val="22"/>
          <w:lang w:val="id-ID"/>
        </w:rPr>
        <w:t>K.Santoso, et.al, (2023) "</w:t>
      </w:r>
      <w:r w:rsidR="002721AD">
        <w:rPr>
          <w:rFonts w:ascii="Book Antiqua" w:hAnsi="Book Antiqua"/>
          <w:noProof/>
          <w:sz w:val="22"/>
          <w:szCs w:val="22"/>
        </w:rPr>
        <w:t>T</w:t>
      </w:r>
      <w:r w:rsidR="002721AD" w:rsidRPr="00AD08BE">
        <w:rPr>
          <w:rFonts w:ascii="Book Antiqua" w:hAnsi="Book Antiqua"/>
          <w:noProof/>
          <w:sz w:val="22"/>
          <w:szCs w:val="22"/>
          <w:lang w:val="id-ID"/>
        </w:rPr>
        <w:t xml:space="preserve">he </w:t>
      </w:r>
      <w:r w:rsidR="002721AD">
        <w:rPr>
          <w:rFonts w:ascii="Book Antiqua" w:hAnsi="Book Antiqua"/>
          <w:noProof/>
          <w:sz w:val="22"/>
          <w:szCs w:val="22"/>
        </w:rPr>
        <w:t>E</w:t>
      </w:r>
      <w:r w:rsidR="002721AD" w:rsidRPr="00AD08BE">
        <w:rPr>
          <w:rFonts w:ascii="Book Antiqua" w:hAnsi="Book Antiqua"/>
          <w:noProof/>
          <w:sz w:val="22"/>
          <w:szCs w:val="22"/>
          <w:lang w:val="id-ID"/>
        </w:rPr>
        <w:t xml:space="preserve">ffect of the </w:t>
      </w:r>
      <w:r w:rsidR="002721AD">
        <w:rPr>
          <w:rFonts w:ascii="Book Antiqua" w:hAnsi="Book Antiqua"/>
          <w:noProof/>
          <w:sz w:val="22"/>
          <w:szCs w:val="22"/>
        </w:rPr>
        <w:t>G</w:t>
      </w:r>
      <w:r w:rsidR="002721AD" w:rsidRPr="00AD08BE">
        <w:rPr>
          <w:rFonts w:ascii="Book Antiqua" w:hAnsi="Book Antiqua"/>
          <w:noProof/>
          <w:sz w:val="22"/>
          <w:szCs w:val="22"/>
          <w:lang w:val="id-ID"/>
        </w:rPr>
        <w:t xml:space="preserve">lobal </w:t>
      </w:r>
      <w:r w:rsidR="002721AD">
        <w:rPr>
          <w:rFonts w:ascii="Book Antiqua" w:hAnsi="Book Antiqua"/>
          <w:noProof/>
          <w:sz w:val="22"/>
          <w:szCs w:val="22"/>
        </w:rPr>
        <w:t>S</w:t>
      </w:r>
      <w:r w:rsidR="002721AD" w:rsidRPr="00AD08BE">
        <w:rPr>
          <w:rFonts w:ascii="Book Antiqua" w:hAnsi="Book Antiqua"/>
          <w:noProof/>
          <w:sz w:val="22"/>
          <w:szCs w:val="22"/>
          <w:lang w:val="id-ID"/>
        </w:rPr>
        <w:t xml:space="preserve">tock </w:t>
      </w:r>
      <w:r w:rsidR="002721AD">
        <w:rPr>
          <w:rFonts w:ascii="Book Antiqua" w:hAnsi="Book Antiqua"/>
          <w:noProof/>
          <w:sz w:val="22"/>
          <w:szCs w:val="22"/>
        </w:rPr>
        <w:t>E</w:t>
      </w:r>
      <w:r w:rsidR="002721AD" w:rsidRPr="00AD08BE">
        <w:rPr>
          <w:rFonts w:ascii="Book Antiqua" w:hAnsi="Book Antiqua"/>
          <w:noProof/>
          <w:sz w:val="22"/>
          <w:szCs w:val="22"/>
          <w:lang w:val="id-ID"/>
        </w:rPr>
        <w:t xml:space="preserve">xchange </w:t>
      </w:r>
      <w:r w:rsidR="002721AD">
        <w:rPr>
          <w:rFonts w:ascii="Book Antiqua" w:hAnsi="Book Antiqua"/>
          <w:noProof/>
          <w:sz w:val="22"/>
          <w:szCs w:val="22"/>
        </w:rPr>
        <w:t>I</w:t>
      </w:r>
      <w:r w:rsidR="002721AD" w:rsidRPr="00AD08BE">
        <w:rPr>
          <w:rFonts w:ascii="Book Antiqua" w:hAnsi="Book Antiqua"/>
          <w:noProof/>
          <w:sz w:val="22"/>
          <w:szCs w:val="22"/>
          <w:lang w:val="id-ID"/>
        </w:rPr>
        <w:t xml:space="preserve">ndex on the </w:t>
      </w:r>
      <w:r w:rsidR="002721AD">
        <w:rPr>
          <w:rFonts w:ascii="Book Antiqua" w:hAnsi="Book Antiqua"/>
          <w:noProof/>
          <w:sz w:val="22"/>
          <w:szCs w:val="22"/>
        </w:rPr>
        <w:t>I</w:t>
      </w:r>
      <w:r w:rsidR="002721AD" w:rsidRPr="00AD08BE">
        <w:rPr>
          <w:rFonts w:ascii="Book Antiqua" w:hAnsi="Book Antiqua"/>
          <w:noProof/>
          <w:sz w:val="22"/>
          <w:szCs w:val="22"/>
          <w:lang w:val="id-ID"/>
        </w:rPr>
        <w:t xml:space="preserve">ndonesia </w:t>
      </w:r>
      <w:r w:rsidR="002721AD">
        <w:rPr>
          <w:rFonts w:ascii="Book Antiqua" w:hAnsi="Book Antiqua"/>
          <w:noProof/>
          <w:sz w:val="22"/>
          <w:szCs w:val="22"/>
        </w:rPr>
        <w:t>C</w:t>
      </w:r>
      <w:r w:rsidR="002721AD" w:rsidRPr="00AD08BE">
        <w:rPr>
          <w:rFonts w:ascii="Book Antiqua" w:hAnsi="Book Antiqua"/>
          <w:noProof/>
          <w:sz w:val="22"/>
          <w:szCs w:val="22"/>
          <w:lang w:val="id-ID"/>
        </w:rPr>
        <w:t xml:space="preserve">omposite </w:t>
      </w:r>
      <w:r w:rsidR="002721AD">
        <w:rPr>
          <w:rFonts w:ascii="Book Antiqua" w:hAnsi="Book Antiqua"/>
          <w:noProof/>
          <w:sz w:val="22"/>
          <w:szCs w:val="22"/>
        </w:rPr>
        <w:t>I</w:t>
      </w:r>
      <w:r w:rsidR="002721AD" w:rsidRPr="00AD08BE">
        <w:rPr>
          <w:rFonts w:ascii="Book Antiqua" w:hAnsi="Book Antiqua"/>
          <w:noProof/>
          <w:sz w:val="22"/>
          <w:szCs w:val="22"/>
          <w:lang w:val="id-ID"/>
        </w:rPr>
        <w:t>ndex (ICI) in</w:t>
      </w:r>
      <w:r w:rsidR="002721AD">
        <w:rPr>
          <w:rFonts w:ascii="Book Antiqua" w:hAnsi="Book Antiqua"/>
          <w:noProof/>
          <w:sz w:val="22"/>
          <w:szCs w:val="22"/>
        </w:rPr>
        <w:t>T</w:t>
      </w:r>
      <w:r w:rsidR="002721AD" w:rsidRPr="00AD08BE">
        <w:rPr>
          <w:rFonts w:ascii="Book Antiqua" w:hAnsi="Book Antiqua"/>
          <w:noProof/>
          <w:sz w:val="22"/>
          <w:szCs w:val="22"/>
          <w:lang w:val="id-ID"/>
        </w:rPr>
        <w:t xml:space="preserve">he </w:t>
      </w:r>
      <w:r w:rsidR="002721AD">
        <w:rPr>
          <w:rFonts w:ascii="Book Antiqua" w:hAnsi="Book Antiqua"/>
          <w:noProof/>
          <w:sz w:val="22"/>
          <w:szCs w:val="22"/>
        </w:rPr>
        <w:t>I</w:t>
      </w:r>
      <w:r w:rsidR="002721AD" w:rsidRPr="00AD08BE">
        <w:rPr>
          <w:rFonts w:ascii="Book Antiqua" w:hAnsi="Book Antiqua"/>
          <w:noProof/>
          <w:sz w:val="22"/>
          <w:szCs w:val="22"/>
          <w:lang w:val="id-ID"/>
        </w:rPr>
        <w:t xml:space="preserve">ndonesia </w:t>
      </w:r>
      <w:r w:rsidR="002721AD">
        <w:rPr>
          <w:rFonts w:ascii="Book Antiqua" w:hAnsi="Book Antiqua"/>
          <w:noProof/>
          <w:sz w:val="22"/>
          <w:szCs w:val="22"/>
        </w:rPr>
        <w:t>S</w:t>
      </w:r>
      <w:r w:rsidR="002721AD" w:rsidRPr="00AD08BE">
        <w:rPr>
          <w:rFonts w:ascii="Book Antiqua" w:hAnsi="Book Antiqua"/>
          <w:noProof/>
          <w:sz w:val="22"/>
          <w:szCs w:val="22"/>
          <w:lang w:val="id-ID"/>
        </w:rPr>
        <w:t xml:space="preserve">tock </w:t>
      </w:r>
      <w:r w:rsidR="002721AD">
        <w:rPr>
          <w:rFonts w:ascii="Book Antiqua" w:hAnsi="Book Antiqua"/>
          <w:noProof/>
          <w:sz w:val="22"/>
          <w:szCs w:val="22"/>
        </w:rPr>
        <w:t>E</w:t>
      </w:r>
      <w:r w:rsidR="002721AD" w:rsidRPr="00AD08BE">
        <w:rPr>
          <w:rFonts w:ascii="Book Antiqua" w:hAnsi="Book Antiqua"/>
          <w:noProof/>
          <w:sz w:val="22"/>
          <w:szCs w:val="22"/>
          <w:lang w:val="id-ID"/>
        </w:rPr>
        <w:t>xchange for 2016-2021 period</w:t>
      </w:r>
      <w:r w:rsidRPr="00AD08BE">
        <w:rPr>
          <w:rFonts w:ascii="Book Antiqua" w:hAnsi="Book Antiqua"/>
          <w:noProof/>
          <w:sz w:val="22"/>
          <w:szCs w:val="22"/>
          <w:lang w:val="id-ID"/>
        </w:rPr>
        <w:t xml:space="preserve">", April, </w:t>
      </w:r>
      <w:r w:rsidRPr="00D14F09">
        <w:rPr>
          <w:rFonts w:ascii="Book Antiqua" w:hAnsi="Book Antiqua"/>
          <w:i/>
          <w:iCs/>
          <w:noProof/>
          <w:sz w:val="22"/>
          <w:szCs w:val="22"/>
          <w:lang w:val="id-ID"/>
        </w:rPr>
        <w:t xml:space="preserve">Jurnal Muara Ilmu Ekonomi dan Bisnis </w:t>
      </w:r>
      <w:r w:rsidRPr="00AD08BE">
        <w:rPr>
          <w:rFonts w:ascii="Book Antiqua" w:hAnsi="Book Antiqua"/>
          <w:noProof/>
          <w:sz w:val="22"/>
          <w:szCs w:val="22"/>
          <w:lang w:val="id-ID"/>
        </w:rPr>
        <w:t>7(1):126-139, DOI: 10.24912/jmieb.v7i1.22807</w:t>
      </w:r>
    </w:p>
    <w:p w14:paraId="0B45DCBF" w14:textId="18F680D1" w:rsidR="00CE688F" w:rsidRDefault="00CE688F" w:rsidP="003B7831">
      <w:pPr>
        <w:pStyle w:val="NormalWeb"/>
        <w:ind w:left="480" w:hanging="480"/>
        <w:jc w:val="both"/>
        <w:divId w:val="1372152957"/>
        <w:rPr>
          <w:rFonts w:ascii="Book Antiqua" w:hAnsi="Book Antiqua"/>
          <w:noProof/>
          <w:sz w:val="22"/>
          <w:szCs w:val="22"/>
          <w:lang w:val="id-ID"/>
        </w:rPr>
      </w:pPr>
      <w:r w:rsidRPr="00CE688F">
        <w:rPr>
          <w:rFonts w:ascii="Book Antiqua" w:hAnsi="Book Antiqua"/>
          <w:noProof/>
          <w:sz w:val="22"/>
          <w:szCs w:val="22"/>
          <w:lang w:val="id-ID"/>
        </w:rPr>
        <w:t>N.Nurhasanah, et.al, (2021), "</w:t>
      </w:r>
      <w:r w:rsidR="002721AD">
        <w:rPr>
          <w:rFonts w:ascii="Book Antiqua" w:hAnsi="Book Antiqua"/>
          <w:noProof/>
          <w:sz w:val="22"/>
          <w:szCs w:val="22"/>
        </w:rPr>
        <w:t>D</w:t>
      </w:r>
      <w:r w:rsidR="002721AD" w:rsidRPr="00CE688F">
        <w:rPr>
          <w:rFonts w:ascii="Book Antiqua" w:hAnsi="Book Antiqua"/>
          <w:noProof/>
          <w:sz w:val="22"/>
          <w:szCs w:val="22"/>
          <w:lang w:val="id-ID"/>
        </w:rPr>
        <w:t xml:space="preserve">etermine of </w:t>
      </w:r>
      <w:r w:rsidR="002721AD">
        <w:rPr>
          <w:rFonts w:ascii="Book Antiqua" w:hAnsi="Book Antiqua"/>
          <w:noProof/>
          <w:sz w:val="22"/>
          <w:szCs w:val="22"/>
        </w:rPr>
        <w:t>S</w:t>
      </w:r>
      <w:r w:rsidR="002721AD" w:rsidRPr="00CE688F">
        <w:rPr>
          <w:rFonts w:ascii="Book Antiqua" w:hAnsi="Book Antiqua"/>
          <w:noProof/>
          <w:sz w:val="22"/>
          <w:szCs w:val="22"/>
          <w:lang w:val="id-ID"/>
        </w:rPr>
        <w:t xml:space="preserve">tock </w:t>
      </w:r>
      <w:r w:rsidR="002721AD">
        <w:rPr>
          <w:rFonts w:ascii="Book Antiqua" w:hAnsi="Book Antiqua"/>
          <w:noProof/>
          <w:sz w:val="22"/>
          <w:szCs w:val="22"/>
        </w:rPr>
        <w:t>P</w:t>
      </w:r>
      <w:r w:rsidR="002721AD" w:rsidRPr="00CE688F">
        <w:rPr>
          <w:rFonts w:ascii="Book Antiqua" w:hAnsi="Book Antiqua"/>
          <w:noProof/>
          <w:sz w:val="22"/>
          <w:szCs w:val="22"/>
          <w:lang w:val="id-ID"/>
        </w:rPr>
        <w:t xml:space="preserve">rice </w:t>
      </w:r>
      <w:r w:rsidR="002721AD">
        <w:rPr>
          <w:rFonts w:ascii="Book Antiqua" w:hAnsi="Book Antiqua"/>
          <w:noProof/>
          <w:sz w:val="22"/>
          <w:szCs w:val="22"/>
        </w:rPr>
        <w:t>V</w:t>
      </w:r>
      <w:r w:rsidR="002721AD" w:rsidRPr="00CE688F">
        <w:rPr>
          <w:rFonts w:ascii="Book Antiqua" w:hAnsi="Book Antiqua"/>
          <w:noProof/>
          <w:sz w:val="22"/>
          <w:szCs w:val="22"/>
          <w:lang w:val="id-ID"/>
        </w:rPr>
        <w:t xml:space="preserve">olatility on </w:t>
      </w:r>
      <w:r w:rsidR="002721AD">
        <w:rPr>
          <w:rFonts w:ascii="Book Antiqua" w:hAnsi="Book Antiqua"/>
          <w:noProof/>
          <w:sz w:val="22"/>
          <w:szCs w:val="22"/>
        </w:rPr>
        <w:t>M</w:t>
      </w:r>
      <w:r w:rsidR="002721AD" w:rsidRPr="00CE688F">
        <w:rPr>
          <w:rFonts w:ascii="Book Antiqua" w:hAnsi="Book Antiqua"/>
          <w:noProof/>
          <w:sz w:val="22"/>
          <w:szCs w:val="22"/>
          <w:lang w:val="id-ID"/>
        </w:rPr>
        <w:t xml:space="preserve">ining </w:t>
      </w:r>
      <w:r w:rsidR="002721AD">
        <w:rPr>
          <w:rFonts w:ascii="Book Antiqua" w:hAnsi="Book Antiqua"/>
          <w:noProof/>
          <w:sz w:val="22"/>
          <w:szCs w:val="22"/>
        </w:rPr>
        <w:t>C</w:t>
      </w:r>
      <w:r w:rsidR="002721AD" w:rsidRPr="00CE688F">
        <w:rPr>
          <w:rFonts w:ascii="Book Antiqua" w:hAnsi="Book Antiqua"/>
          <w:noProof/>
          <w:sz w:val="22"/>
          <w:szCs w:val="22"/>
          <w:lang w:val="id-ID"/>
        </w:rPr>
        <w:t xml:space="preserve">ompanies on the </w:t>
      </w:r>
      <w:r w:rsidR="002721AD">
        <w:rPr>
          <w:rFonts w:ascii="Book Antiqua" w:hAnsi="Book Antiqua"/>
          <w:noProof/>
          <w:sz w:val="22"/>
          <w:szCs w:val="22"/>
        </w:rPr>
        <w:t>I</w:t>
      </w:r>
      <w:r w:rsidR="002721AD" w:rsidRPr="00CE688F">
        <w:rPr>
          <w:rFonts w:ascii="Book Antiqua" w:hAnsi="Book Antiqua"/>
          <w:noProof/>
          <w:sz w:val="22"/>
          <w:szCs w:val="22"/>
          <w:lang w:val="id-ID"/>
        </w:rPr>
        <w:t xml:space="preserve">ndonesia </w:t>
      </w:r>
      <w:r w:rsidR="002721AD">
        <w:rPr>
          <w:rFonts w:ascii="Book Antiqua" w:hAnsi="Book Antiqua"/>
          <w:noProof/>
          <w:sz w:val="22"/>
          <w:szCs w:val="22"/>
        </w:rPr>
        <w:t>S</w:t>
      </w:r>
      <w:r w:rsidR="002721AD" w:rsidRPr="00CE688F">
        <w:rPr>
          <w:rFonts w:ascii="Book Antiqua" w:hAnsi="Book Antiqua"/>
          <w:noProof/>
          <w:sz w:val="22"/>
          <w:szCs w:val="22"/>
          <w:lang w:val="id-ID"/>
        </w:rPr>
        <w:t xml:space="preserve">tock </w:t>
      </w:r>
      <w:r w:rsidR="002721AD">
        <w:rPr>
          <w:rFonts w:ascii="Book Antiqua" w:hAnsi="Book Antiqua"/>
          <w:noProof/>
          <w:sz w:val="22"/>
          <w:szCs w:val="22"/>
        </w:rPr>
        <w:t>E</w:t>
      </w:r>
      <w:r w:rsidR="002721AD" w:rsidRPr="00CE688F">
        <w:rPr>
          <w:rFonts w:ascii="Book Antiqua" w:hAnsi="Book Antiqua"/>
          <w:noProof/>
          <w:sz w:val="22"/>
          <w:szCs w:val="22"/>
          <w:lang w:val="id-ID"/>
        </w:rPr>
        <w:t>xchange</w:t>
      </w:r>
      <w:r w:rsidRPr="00CE688F">
        <w:rPr>
          <w:rFonts w:ascii="Book Antiqua" w:hAnsi="Book Antiqua"/>
          <w:noProof/>
          <w:sz w:val="22"/>
          <w:szCs w:val="22"/>
          <w:lang w:val="id-ID"/>
        </w:rPr>
        <w:t xml:space="preserve">", November, </w:t>
      </w:r>
      <w:r w:rsidRPr="002721AD">
        <w:rPr>
          <w:rFonts w:ascii="Book Antiqua" w:hAnsi="Book Antiqua"/>
          <w:i/>
          <w:iCs/>
          <w:noProof/>
          <w:sz w:val="22"/>
          <w:szCs w:val="22"/>
          <w:lang w:val="id-ID"/>
        </w:rPr>
        <w:t>M</w:t>
      </w:r>
      <w:r w:rsidR="000500C3" w:rsidRPr="002721AD">
        <w:rPr>
          <w:rFonts w:ascii="Book Antiqua" w:hAnsi="Book Antiqua"/>
          <w:i/>
          <w:iCs/>
          <w:noProof/>
          <w:sz w:val="22"/>
          <w:szCs w:val="22"/>
          <w:lang w:val="id-ID"/>
        </w:rPr>
        <w:t>orfai</w:t>
      </w:r>
      <w:r w:rsidRPr="002721AD">
        <w:rPr>
          <w:rFonts w:ascii="Book Antiqua" w:hAnsi="Book Antiqua"/>
          <w:i/>
          <w:iCs/>
          <w:noProof/>
          <w:sz w:val="22"/>
          <w:szCs w:val="22"/>
          <w:lang w:val="id-ID"/>
        </w:rPr>
        <w:t xml:space="preserve"> J</w:t>
      </w:r>
      <w:r w:rsidR="000500C3" w:rsidRPr="002721AD">
        <w:rPr>
          <w:rFonts w:ascii="Book Antiqua" w:hAnsi="Book Antiqua"/>
          <w:i/>
          <w:iCs/>
          <w:noProof/>
          <w:sz w:val="22"/>
          <w:szCs w:val="22"/>
          <w:lang w:val="id-ID"/>
        </w:rPr>
        <w:t>ournal</w:t>
      </w:r>
      <w:r w:rsidRPr="00CE688F">
        <w:rPr>
          <w:rFonts w:ascii="Book Antiqua" w:hAnsi="Book Antiqua"/>
          <w:noProof/>
          <w:sz w:val="22"/>
          <w:szCs w:val="22"/>
          <w:lang w:val="id-ID"/>
        </w:rPr>
        <w:t xml:space="preserve"> 1(2):213-224, DOI: 10.54443/morfai.v1i2.71</w:t>
      </w:r>
    </w:p>
    <w:p w14:paraId="25579697" w14:textId="77777777" w:rsidR="00D565B3" w:rsidRPr="000D1D54" w:rsidRDefault="00D565B3" w:rsidP="003B7831">
      <w:pPr>
        <w:pStyle w:val="NormalWeb"/>
        <w:ind w:left="480" w:hanging="480"/>
        <w:jc w:val="both"/>
        <w:divId w:val="1372152957"/>
        <w:rPr>
          <w:rFonts w:ascii="Book Antiqua" w:hAnsi="Book Antiqua"/>
          <w:noProof/>
          <w:sz w:val="22"/>
          <w:szCs w:val="22"/>
          <w:lang w:val="id-ID"/>
        </w:rPr>
      </w:pPr>
    </w:p>
    <w:p w14:paraId="365E8DCB" w14:textId="22743C90" w:rsidR="00312DA9" w:rsidRPr="000D1D54" w:rsidRDefault="00312DA9" w:rsidP="00E92FED">
      <w:pPr>
        <w:pStyle w:val="DaftarParagraf"/>
        <w:spacing w:line="480" w:lineRule="auto"/>
        <w:ind w:left="0"/>
        <w:jc w:val="both"/>
        <w:rPr>
          <w:rFonts w:ascii="Book Antiqua" w:hAnsi="Book Antiqua" w:cs="Times New Roman"/>
          <w:b/>
          <w:bCs/>
          <w:sz w:val="24"/>
          <w:szCs w:val="24"/>
          <w:lang w:val="id-ID"/>
        </w:rPr>
      </w:pPr>
      <w:r w:rsidRPr="000D1D54">
        <w:rPr>
          <w:rFonts w:ascii="Book Antiqua" w:hAnsi="Book Antiqua" w:cs="Times New Roman"/>
          <w:b/>
          <w:bCs/>
          <w:lang w:val="id-ID"/>
        </w:rPr>
        <w:fldChar w:fldCharType="end"/>
      </w:r>
    </w:p>
    <w:sectPr w:rsidR="00312DA9" w:rsidRPr="000D1D54" w:rsidSect="006A0D47">
      <w:headerReference w:type="default" r:id="rId13"/>
      <w:footerReference w:type="default" r:id="rId14"/>
      <w:pgSz w:w="11906" w:h="16838" w:code="9"/>
      <w:pgMar w:top="1701" w:right="1440" w:bottom="1701" w:left="1701" w:header="107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85DB" w14:textId="77777777" w:rsidR="009E165C" w:rsidRDefault="009E165C" w:rsidP="00D64EA0">
      <w:pPr>
        <w:spacing w:after="0" w:line="240" w:lineRule="auto"/>
      </w:pPr>
      <w:r>
        <w:separator/>
      </w:r>
    </w:p>
  </w:endnote>
  <w:endnote w:type="continuationSeparator" w:id="0">
    <w:p w14:paraId="7F99477C" w14:textId="77777777" w:rsidR="009E165C" w:rsidRDefault="009E165C" w:rsidP="00D6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0"/>
        <w:szCs w:val="20"/>
      </w:rPr>
      <w:id w:val="-1268613591"/>
      <w:docPartObj>
        <w:docPartGallery w:val="Page Numbers (Bottom of Page)"/>
        <w:docPartUnique/>
      </w:docPartObj>
    </w:sdtPr>
    <w:sdtEndPr/>
    <w:sdtContent>
      <w:p w14:paraId="150BA2DE" w14:textId="4C89B6AB" w:rsidR="00EA60D1" w:rsidRPr="00EA60D1" w:rsidRDefault="00EA60D1">
        <w:pPr>
          <w:pStyle w:val="Footer"/>
          <w:jc w:val="center"/>
          <w:rPr>
            <w:rFonts w:ascii="Book Antiqua" w:hAnsi="Book Antiqua"/>
            <w:sz w:val="20"/>
            <w:szCs w:val="20"/>
          </w:rPr>
        </w:pPr>
        <w:r w:rsidRPr="00EA60D1">
          <w:rPr>
            <w:rFonts w:ascii="Book Antiqua" w:hAnsi="Book Antiqua"/>
            <w:sz w:val="20"/>
            <w:szCs w:val="20"/>
          </w:rPr>
          <w:t>[</w:t>
        </w:r>
        <w:r w:rsidRPr="00EA60D1">
          <w:rPr>
            <w:rFonts w:ascii="Book Antiqua" w:hAnsi="Book Antiqua"/>
            <w:sz w:val="20"/>
            <w:szCs w:val="20"/>
          </w:rPr>
          <w:fldChar w:fldCharType="begin"/>
        </w:r>
        <w:r w:rsidRPr="00EA60D1">
          <w:rPr>
            <w:rFonts w:ascii="Book Antiqua" w:hAnsi="Book Antiqua"/>
            <w:sz w:val="20"/>
            <w:szCs w:val="20"/>
          </w:rPr>
          <w:instrText xml:space="preserve"> PAGE   \* MERGEFORMAT </w:instrText>
        </w:r>
        <w:r w:rsidRPr="00EA60D1">
          <w:rPr>
            <w:rFonts w:ascii="Book Antiqua" w:hAnsi="Book Antiqua"/>
            <w:sz w:val="20"/>
            <w:szCs w:val="20"/>
          </w:rPr>
          <w:fldChar w:fldCharType="separate"/>
        </w:r>
        <w:r w:rsidRPr="00EA60D1">
          <w:rPr>
            <w:rFonts w:ascii="Book Antiqua" w:hAnsi="Book Antiqua"/>
            <w:noProof/>
            <w:sz w:val="20"/>
            <w:szCs w:val="20"/>
          </w:rPr>
          <w:t>2</w:t>
        </w:r>
        <w:r w:rsidRPr="00EA60D1">
          <w:rPr>
            <w:rFonts w:ascii="Book Antiqua" w:hAnsi="Book Antiqua"/>
            <w:noProof/>
            <w:sz w:val="20"/>
            <w:szCs w:val="20"/>
          </w:rPr>
          <w:fldChar w:fldCharType="end"/>
        </w:r>
        <w:r w:rsidRPr="00EA60D1">
          <w:rPr>
            <w:rFonts w:ascii="Book Antiqua" w:hAnsi="Book Antiqua"/>
            <w:sz w:val="20"/>
            <w:szCs w:val="20"/>
          </w:rPr>
          <w:t>]</w:t>
        </w:r>
      </w:p>
    </w:sdtContent>
  </w:sdt>
  <w:p w14:paraId="5C24A667" w14:textId="77777777" w:rsidR="006D139D" w:rsidRDefault="006D1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A399" w14:textId="77777777" w:rsidR="009E165C" w:rsidRDefault="009E165C" w:rsidP="00D64EA0">
      <w:pPr>
        <w:spacing w:after="0" w:line="240" w:lineRule="auto"/>
      </w:pPr>
      <w:r>
        <w:separator/>
      </w:r>
    </w:p>
  </w:footnote>
  <w:footnote w:type="continuationSeparator" w:id="0">
    <w:p w14:paraId="451AF013" w14:textId="77777777" w:rsidR="009E165C" w:rsidRDefault="009E165C" w:rsidP="00D64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01E6" w14:textId="2361534D" w:rsidR="00B25104" w:rsidRPr="00ED71D4" w:rsidRDefault="00B25104" w:rsidP="00B25104">
    <w:pPr>
      <w:pStyle w:val="Header"/>
      <w:pBdr>
        <w:bottom w:val="single" w:sz="4" w:space="1" w:color="auto"/>
      </w:pBdr>
      <w:jc w:val="center"/>
      <w:rPr>
        <w:rFonts w:ascii="Book Antiqua" w:hAnsi="Book Antiqua"/>
        <w:i/>
        <w:iCs/>
        <w:lang w:val="id-ID"/>
      </w:rPr>
    </w:pPr>
    <w:r w:rsidRPr="00ED71D4">
      <w:rPr>
        <w:rFonts w:ascii="Book Antiqua" w:hAnsi="Book Antiqua"/>
        <w:i/>
        <w:iCs/>
        <w:lang w:val="id-ID"/>
      </w:rPr>
      <w:t>Jurnal Keuangan dan Perbankan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4B3F"/>
    <w:multiLevelType w:val="hybridMultilevel"/>
    <w:tmpl w:val="C8AAC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F4229"/>
    <w:multiLevelType w:val="hybridMultilevel"/>
    <w:tmpl w:val="4F10A290"/>
    <w:lvl w:ilvl="0" w:tplc="226C10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4242B41"/>
    <w:multiLevelType w:val="hybridMultilevel"/>
    <w:tmpl w:val="E65E60C8"/>
    <w:lvl w:ilvl="0" w:tplc="0409000F">
      <w:start w:val="1"/>
      <w:numFmt w:val="decimal"/>
      <w:lvlText w:val="%1."/>
      <w:lvlJc w:val="left"/>
      <w:pPr>
        <w:ind w:left="720" w:hanging="360"/>
      </w:pPr>
      <w:rPr>
        <w:rFonts w:hint="default"/>
      </w:rPr>
    </w:lvl>
    <w:lvl w:ilvl="1" w:tplc="3684DB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5643F"/>
    <w:multiLevelType w:val="hybridMultilevel"/>
    <w:tmpl w:val="0888A8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25166"/>
    <w:multiLevelType w:val="hybridMultilevel"/>
    <w:tmpl w:val="3BD01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66A1444"/>
    <w:multiLevelType w:val="hybridMultilevel"/>
    <w:tmpl w:val="4B08F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824259">
    <w:abstractNumId w:val="2"/>
  </w:num>
  <w:num w:numId="2" w16cid:durableId="1209611881">
    <w:abstractNumId w:val="5"/>
  </w:num>
  <w:num w:numId="3" w16cid:durableId="191186271">
    <w:abstractNumId w:val="1"/>
  </w:num>
  <w:num w:numId="4" w16cid:durableId="1922908744">
    <w:abstractNumId w:val="4"/>
  </w:num>
  <w:num w:numId="5" w16cid:durableId="1614434491">
    <w:abstractNumId w:val="3"/>
  </w:num>
  <w:num w:numId="6" w16cid:durableId="123516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7E0NDK1MLcwMTBW0lEKTi0uzszPAykwqgUA2cgc5ywAAAA="/>
    <w:docVar w:name="EN.InstantFormat" w:val="&lt;ENInstantFormat&gt;&lt;Enabled&gt;1&lt;/Enabled&gt;&lt;ScanUnformatted&gt;1&lt;/ScanUnformatted&gt;&lt;ScanChanges&gt;1&lt;/ScanChanges&gt;&lt;Suspended&gt;0&lt;/Suspended&gt;&lt;/ENInstantFormat&gt;"/>
    <w:docVar w:name="EN.Layout" w:val="&lt;ENLayout&gt;&lt;Style&gt;Accounting Review&lt;/Style&gt;&lt;LeftDelim&gt;{&lt;/LeftDelim&gt;&lt;RightDelim&gt;}&lt;/RightDelim&gt;&lt;FontName&gt;Calibri&lt;/FontName&gt;&lt;FontSize&gt;11&lt;/FontSize&gt;&lt;ReflistTitle&gt;REFERENSI&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177CF2"/>
    <w:rsid w:val="00002C1A"/>
    <w:rsid w:val="00006C24"/>
    <w:rsid w:val="00006D68"/>
    <w:rsid w:val="00015DBA"/>
    <w:rsid w:val="00017BC7"/>
    <w:rsid w:val="000217A6"/>
    <w:rsid w:val="0002762E"/>
    <w:rsid w:val="00031BD0"/>
    <w:rsid w:val="000500C3"/>
    <w:rsid w:val="00072DEA"/>
    <w:rsid w:val="000804D2"/>
    <w:rsid w:val="000A3A39"/>
    <w:rsid w:val="000B311A"/>
    <w:rsid w:val="000B450D"/>
    <w:rsid w:val="000C06FB"/>
    <w:rsid w:val="000C52E6"/>
    <w:rsid w:val="000D1D54"/>
    <w:rsid w:val="000D5E39"/>
    <w:rsid w:val="00115D8F"/>
    <w:rsid w:val="00116472"/>
    <w:rsid w:val="0012256E"/>
    <w:rsid w:val="0013013A"/>
    <w:rsid w:val="001321C9"/>
    <w:rsid w:val="00132B78"/>
    <w:rsid w:val="00167351"/>
    <w:rsid w:val="00173E78"/>
    <w:rsid w:val="00177CF2"/>
    <w:rsid w:val="001B4819"/>
    <w:rsid w:val="002152B3"/>
    <w:rsid w:val="00233EA4"/>
    <w:rsid w:val="002374FF"/>
    <w:rsid w:val="002450BF"/>
    <w:rsid w:val="00246ADE"/>
    <w:rsid w:val="00256A65"/>
    <w:rsid w:val="002629AD"/>
    <w:rsid w:val="0026653E"/>
    <w:rsid w:val="002721AD"/>
    <w:rsid w:val="002737AE"/>
    <w:rsid w:val="00286931"/>
    <w:rsid w:val="002A3F5C"/>
    <w:rsid w:val="002B34F4"/>
    <w:rsid w:val="002B6AB7"/>
    <w:rsid w:val="002E7173"/>
    <w:rsid w:val="00312DA9"/>
    <w:rsid w:val="0031734D"/>
    <w:rsid w:val="00355649"/>
    <w:rsid w:val="00357548"/>
    <w:rsid w:val="003604AE"/>
    <w:rsid w:val="003661C6"/>
    <w:rsid w:val="00370DF7"/>
    <w:rsid w:val="00373ACD"/>
    <w:rsid w:val="00382268"/>
    <w:rsid w:val="003A0E49"/>
    <w:rsid w:val="003A4C5E"/>
    <w:rsid w:val="003B0041"/>
    <w:rsid w:val="003B2509"/>
    <w:rsid w:val="003B2FE7"/>
    <w:rsid w:val="003B7831"/>
    <w:rsid w:val="003C6700"/>
    <w:rsid w:val="00416E02"/>
    <w:rsid w:val="0043762C"/>
    <w:rsid w:val="00470E42"/>
    <w:rsid w:val="00480C10"/>
    <w:rsid w:val="00486D1C"/>
    <w:rsid w:val="00495466"/>
    <w:rsid w:val="004961D4"/>
    <w:rsid w:val="004A0548"/>
    <w:rsid w:val="004A5C4C"/>
    <w:rsid w:val="004A7032"/>
    <w:rsid w:val="004E3A43"/>
    <w:rsid w:val="00501D6F"/>
    <w:rsid w:val="00502DF4"/>
    <w:rsid w:val="00516E09"/>
    <w:rsid w:val="005417EE"/>
    <w:rsid w:val="00590811"/>
    <w:rsid w:val="005A7FD8"/>
    <w:rsid w:val="005B266E"/>
    <w:rsid w:val="005D680D"/>
    <w:rsid w:val="005E6294"/>
    <w:rsid w:val="005F0448"/>
    <w:rsid w:val="005F0FEA"/>
    <w:rsid w:val="005F1DB7"/>
    <w:rsid w:val="0060755D"/>
    <w:rsid w:val="00607EF4"/>
    <w:rsid w:val="00617BA3"/>
    <w:rsid w:val="00617F10"/>
    <w:rsid w:val="00625DE4"/>
    <w:rsid w:val="00642875"/>
    <w:rsid w:val="00646D18"/>
    <w:rsid w:val="00661AF4"/>
    <w:rsid w:val="006A0D47"/>
    <w:rsid w:val="006A0FEB"/>
    <w:rsid w:val="006B21B5"/>
    <w:rsid w:val="006B7442"/>
    <w:rsid w:val="006D139D"/>
    <w:rsid w:val="006F0B21"/>
    <w:rsid w:val="006F2715"/>
    <w:rsid w:val="00737EBB"/>
    <w:rsid w:val="007401DB"/>
    <w:rsid w:val="00742293"/>
    <w:rsid w:val="00743A9F"/>
    <w:rsid w:val="00750D0A"/>
    <w:rsid w:val="00765C19"/>
    <w:rsid w:val="00790F76"/>
    <w:rsid w:val="007934C8"/>
    <w:rsid w:val="007C0FA7"/>
    <w:rsid w:val="007D77B7"/>
    <w:rsid w:val="007E2115"/>
    <w:rsid w:val="00825CB7"/>
    <w:rsid w:val="008311EC"/>
    <w:rsid w:val="00836249"/>
    <w:rsid w:val="008576ED"/>
    <w:rsid w:val="00877522"/>
    <w:rsid w:val="00892871"/>
    <w:rsid w:val="00893BC5"/>
    <w:rsid w:val="008A5FE1"/>
    <w:rsid w:val="008B06C1"/>
    <w:rsid w:val="008B4327"/>
    <w:rsid w:val="008C5929"/>
    <w:rsid w:val="008D66B0"/>
    <w:rsid w:val="008F7C7A"/>
    <w:rsid w:val="0091234C"/>
    <w:rsid w:val="0094268A"/>
    <w:rsid w:val="009439E9"/>
    <w:rsid w:val="00964277"/>
    <w:rsid w:val="00986B8C"/>
    <w:rsid w:val="009A6C30"/>
    <w:rsid w:val="009C6E49"/>
    <w:rsid w:val="009E165C"/>
    <w:rsid w:val="009E2710"/>
    <w:rsid w:val="009E7D3B"/>
    <w:rsid w:val="009F5962"/>
    <w:rsid w:val="00A37CE5"/>
    <w:rsid w:val="00A61678"/>
    <w:rsid w:val="00A62B31"/>
    <w:rsid w:val="00A65E0A"/>
    <w:rsid w:val="00A705B0"/>
    <w:rsid w:val="00A8567D"/>
    <w:rsid w:val="00A94C44"/>
    <w:rsid w:val="00AC5384"/>
    <w:rsid w:val="00AD08BE"/>
    <w:rsid w:val="00AD2138"/>
    <w:rsid w:val="00AD5FCE"/>
    <w:rsid w:val="00AE4B02"/>
    <w:rsid w:val="00AE7078"/>
    <w:rsid w:val="00B22268"/>
    <w:rsid w:val="00B25104"/>
    <w:rsid w:val="00B43755"/>
    <w:rsid w:val="00B51B82"/>
    <w:rsid w:val="00B82036"/>
    <w:rsid w:val="00BE50A7"/>
    <w:rsid w:val="00C02DE7"/>
    <w:rsid w:val="00C06895"/>
    <w:rsid w:val="00C20DC5"/>
    <w:rsid w:val="00C24CE9"/>
    <w:rsid w:val="00C63B5A"/>
    <w:rsid w:val="00C907FB"/>
    <w:rsid w:val="00C936BD"/>
    <w:rsid w:val="00CB4603"/>
    <w:rsid w:val="00CB4F75"/>
    <w:rsid w:val="00CB7E2F"/>
    <w:rsid w:val="00CC5CDB"/>
    <w:rsid w:val="00CD7BCE"/>
    <w:rsid w:val="00CE31C2"/>
    <w:rsid w:val="00CE3F7E"/>
    <w:rsid w:val="00CE688F"/>
    <w:rsid w:val="00D00B85"/>
    <w:rsid w:val="00D01222"/>
    <w:rsid w:val="00D14F09"/>
    <w:rsid w:val="00D20442"/>
    <w:rsid w:val="00D521C2"/>
    <w:rsid w:val="00D565B3"/>
    <w:rsid w:val="00D601CC"/>
    <w:rsid w:val="00D64EA0"/>
    <w:rsid w:val="00D800FA"/>
    <w:rsid w:val="00D86B33"/>
    <w:rsid w:val="00D91E2E"/>
    <w:rsid w:val="00DE5799"/>
    <w:rsid w:val="00E017AD"/>
    <w:rsid w:val="00E104AB"/>
    <w:rsid w:val="00E2000C"/>
    <w:rsid w:val="00E35EC7"/>
    <w:rsid w:val="00E35F3C"/>
    <w:rsid w:val="00E37DCF"/>
    <w:rsid w:val="00E55446"/>
    <w:rsid w:val="00E714A1"/>
    <w:rsid w:val="00E833DF"/>
    <w:rsid w:val="00E847E1"/>
    <w:rsid w:val="00E92FED"/>
    <w:rsid w:val="00EA60D1"/>
    <w:rsid w:val="00EB6797"/>
    <w:rsid w:val="00ED1BE6"/>
    <w:rsid w:val="00ED71D4"/>
    <w:rsid w:val="00EE2AD2"/>
    <w:rsid w:val="00EF468C"/>
    <w:rsid w:val="00F04E07"/>
    <w:rsid w:val="00F334E0"/>
    <w:rsid w:val="00F3727A"/>
    <w:rsid w:val="00F4036E"/>
    <w:rsid w:val="00F66F84"/>
    <w:rsid w:val="00F70DBB"/>
    <w:rsid w:val="00F76A11"/>
    <w:rsid w:val="00FD4A18"/>
    <w:rsid w:val="00FE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01D5"/>
  <w15:chartTrackingRefBased/>
  <w15:docId w15:val="{1E2C23CF-D33A-4055-BBB8-70BFED02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01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836249"/>
    <w:rPr>
      <w:color w:val="0563C1" w:themeColor="hyperlink"/>
      <w:u w:val="single"/>
    </w:rPr>
  </w:style>
  <w:style w:type="character" w:customStyle="1" w:styleId="UnresolvedMention1">
    <w:name w:val="Unresolved Mention1"/>
    <w:basedOn w:val="FontParagrafDefault"/>
    <w:uiPriority w:val="99"/>
    <w:semiHidden/>
    <w:unhideWhenUsed/>
    <w:rsid w:val="00836249"/>
    <w:rPr>
      <w:color w:val="605E5C"/>
      <w:shd w:val="clear" w:color="auto" w:fill="E1DFDD"/>
    </w:rPr>
  </w:style>
  <w:style w:type="paragraph" w:styleId="DaftarParagraf">
    <w:name w:val="List Paragraph"/>
    <w:aliases w:val="SUB SUB 32,normal,Body of text,List Paragraph1,skripsi"/>
    <w:basedOn w:val="Normal"/>
    <w:link w:val="DaftarParagrafKAR"/>
    <w:uiPriority w:val="34"/>
    <w:qFormat/>
    <w:rsid w:val="00D800FA"/>
    <w:pPr>
      <w:ind w:left="720"/>
      <w:contextualSpacing/>
    </w:pPr>
  </w:style>
  <w:style w:type="paragraph" w:styleId="Header">
    <w:name w:val="header"/>
    <w:basedOn w:val="Normal"/>
    <w:link w:val="HeaderKAR"/>
    <w:uiPriority w:val="99"/>
    <w:unhideWhenUsed/>
    <w:rsid w:val="00382268"/>
    <w:pPr>
      <w:tabs>
        <w:tab w:val="center" w:pos="4680"/>
        <w:tab w:val="right" w:pos="9360"/>
      </w:tabs>
      <w:spacing w:after="0" w:line="240" w:lineRule="auto"/>
    </w:pPr>
  </w:style>
  <w:style w:type="character" w:customStyle="1" w:styleId="HeaderKAR">
    <w:name w:val="Header KAR"/>
    <w:basedOn w:val="FontParagrafDefault"/>
    <w:link w:val="Header"/>
    <w:uiPriority w:val="99"/>
    <w:rsid w:val="00382268"/>
  </w:style>
  <w:style w:type="table" w:styleId="TabelBiasa2">
    <w:name w:val="Plain Table 2"/>
    <w:basedOn w:val="TabelNormal"/>
    <w:uiPriority w:val="42"/>
    <w:rsid w:val="003822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12DA9"/>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KAR"/>
    <w:uiPriority w:val="99"/>
    <w:unhideWhenUsed/>
    <w:rsid w:val="00D64EA0"/>
    <w:pPr>
      <w:tabs>
        <w:tab w:val="center" w:pos="4680"/>
        <w:tab w:val="right" w:pos="9360"/>
      </w:tabs>
      <w:spacing w:after="0" w:line="240" w:lineRule="auto"/>
    </w:pPr>
  </w:style>
  <w:style w:type="character" w:customStyle="1" w:styleId="FooterKAR">
    <w:name w:val="Footer KAR"/>
    <w:basedOn w:val="FontParagrafDefault"/>
    <w:link w:val="Footer"/>
    <w:uiPriority w:val="99"/>
    <w:rsid w:val="00D64EA0"/>
  </w:style>
  <w:style w:type="paragraph" w:styleId="TeksBalon">
    <w:name w:val="Balloon Text"/>
    <w:basedOn w:val="Normal"/>
    <w:link w:val="TeksBalonKAR"/>
    <w:uiPriority w:val="99"/>
    <w:semiHidden/>
    <w:unhideWhenUsed/>
    <w:rsid w:val="006D139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6D139D"/>
    <w:rPr>
      <w:rFonts w:ascii="Segoe UI" w:hAnsi="Segoe UI" w:cs="Segoe UI"/>
      <w:sz w:val="18"/>
      <w:szCs w:val="18"/>
    </w:rPr>
  </w:style>
  <w:style w:type="character" w:styleId="SebutanYangBelumTerselesaikan">
    <w:name w:val="Unresolved Mention"/>
    <w:basedOn w:val="FontParagrafDefault"/>
    <w:uiPriority w:val="99"/>
    <w:semiHidden/>
    <w:unhideWhenUsed/>
    <w:rsid w:val="000D5E39"/>
    <w:rPr>
      <w:color w:val="605E5C"/>
      <w:shd w:val="clear" w:color="auto" w:fill="E1DFDD"/>
    </w:rPr>
  </w:style>
  <w:style w:type="paragraph" w:styleId="HTMLSudahDiformat">
    <w:name w:val="HTML Preformatted"/>
    <w:basedOn w:val="Normal"/>
    <w:link w:val="HTMLSudahDiformatKAR"/>
    <w:uiPriority w:val="99"/>
    <w:unhideWhenUsed/>
    <w:rsid w:val="000A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0A3A39"/>
    <w:rPr>
      <w:rFonts w:ascii="Courier New" w:eastAsia="Times New Roman" w:hAnsi="Courier New" w:cs="Courier New"/>
      <w:sz w:val="20"/>
      <w:szCs w:val="20"/>
    </w:rPr>
  </w:style>
  <w:style w:type="character" w:customStyle="1" w:styleId="y2iqfc">
    <w:name w:val="y2iqfc"/>
    <w:basedOn w:val="FontParagrafDefault"/>
    <w:rsid w:val="000A3A39"/>
  </w:style>
  <w:style w:type="character" w:customStyle="1" w:styleId="DaftarParagrafKAR">
    <w:name w:val="Daftar Paragraf KAR"/>
    <w:aliases w:val="SUB SUB 32 KAR,normal KAR,Body of text KAR,List Paragraph1 KAR,skripsi KAR"/>
    <w:link w:val="DaftarParagraf"/>
    <w:uiPriority w:val="34"/>
    <w:locked/>
    <w:rsid w:val="000A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43702">
      <w:bodyDiv w:val="1"/>
      <w:marLeft w:val="0"/>
      <w:marRight w:val="0"/>
      <w:marTop w:val="0"/>
      <w:marBottom w:val="0"/>
      <w:divBdr>
        <w:top w:val="none" w:sz="0" w:space="0" w:color="auto"/>
        <w:left w:val="none" w:sz="0" w:space="0" w:color="auto"/>
        <w:bottom w:val="none" w:sz="0" w:space="0" w:color="auto"/>
        <w:right w:val="none" w:sz="0" w:space="0" w:color="auto"/>
      </w:divBdr>
      <w:divsChild>
        <w:div w:id="223875285">
          <w:marLeft w:val="0"/>
          <w:marRight w:val="0"/>
          <w:marTop w:val="0"/>
          <w:marBottom w:val="0"/>
          <w:divBdr>
            <w:top w:val="none" w:sz="0" w:space="0" w:color="auto"/>
            <w:left w:val="none" w:sz="0" w:space="0" w:color="auto"/>
            <w:bottom w:val="none" w:sz="0" w:space="0" w:color="auto"/>
            <w:right w:val="none" w:sz="0" w:space="0" w:color="auto"/>
          </w:divBdr>
          <w:divsChild>
            <w:div w:id="41756533">
              <w:marLeft w:val="0"/>
              <w:marRight w:val="0"/>
              <w:marTop w:val="0"/>
              <w:marBottom w:val="0"/>
              <w:divBdr>
                <w:top w:val="none" w:sz="0" w:space="0" w:color="auto"/>
                <w:left w:val="none" w:sz="0" w:space="0" w:color="auto"/>
                <w:bottom w:val="none" w:sz="0" w:space="0" w:color="auto"/>
                <w:right w:val="none" w:sz="0" w:space="0" w:color="auto"/>
              </w:divBdr>
              <w:divsChild>
                <w:div w:id="406924674">
                  <w:marLeft w:val="0"/>
                  <w:marRight w:val="0"/>
                  <w:marTop w:val="0"/>
                  <w:marBottom w:val="0"/>
                  <w:divBdr>
                    <w:top w:val="none" w:sz="0" w:space="0" w:color="auto"/>
                    <w:left w:val="none" w:sz="0" w:space="0" w:color="auto"/>
                    <w:bottom w:val="none" w:sz="0" w:space="0" w:color="auto"/>
                    <w:right w:val="none" w:sz="0" w:space="0" w:color="auto"/>
                  </w:divBdr>
                  <w:divsChild>
                    <w:div w:id="1695378568">
                      <w:marLeft w:val="0"/>
                      <w:marRight w:val="0"/>
                      <w:marTop w:val="0"/>
                      <w:marBottom w:val="0"/>
                      <w:divBdr>
                        <w:top w:val="none" w:sz="0" w:space="0" w:color="auto"/>
                        <w:left w:val="none" w:sz="0" w:space="0" w:color="auto"/>
                        <w:bottom w:val="none" w:sz="0" w:space="0" w:color="auto"/>
                        <w:right w:val="none" w:sz="0" w:space="0" w:color="auto"/>
                      </w:divBdr>
                      <w:divsChild>
                        <w:div w:id="1143350863">
                          <w:marLeft w:val="0"/>
                          <w:marRight w:val="0"/>
                          <w:marTop w:val="0"/>
                          <w:marBottom w:val="0"/>
                          <w:divBdr>
                            <w:top w:val="none" w:sz="0" w:space="0" w:color="auto"/>
                            <w:left w:val="none" w:sz="0" w:space="0" w:color="auto"/>
                            <w:bottom w:val="none" w:sz="0" w:space="0" w:color="auto"/>
                            <w:right w:val="none" w:sz="0" w:space="0" w:color="auto"/>
                          </w:divBdr>
                          <w:divsChild>
                            <w:div w:id="1968468867">
                              <w:marLeft w:val="0"/>
                              <w:marRight w:val="0"/>
                              <w:marTop w:val="0"/>
                              <w:marBottom w:val="0"/>
                              <w:divBdr>
                                <w:top w:val="none" w:sz="0" w:space="0" w:color="auto"/>
                                <w:left w:val="none" w:sz="0" w:space="0" w:color="auto"/>
                                <w:bottom w:val="none" w:sz="0" w:space="0" w:color="auto"/>
                                <w:right w:val="none" w:sz="0" w:space="0" w:color="auto"/>
                              </w:divBdr>
                              <w:divsChild>
                                <w:div w:id="1330207733">
                                  <w:marLeft w:val="0"/>
                                  <w:marRight w:val="0"/>
                                  <w:marTop w:val="0"/>
                                  <w:marBottom w:val="0"/>
                                  <w:divBdr>
                                    <w:top w:val="none" w:sz="0" w:space="0" w:color="auto"/>
                                    <w:left w:val="none" w:sz="0" w:space="0" w:color="auto"/>
                                    <w:bottom w:val="none" w:sz="0" w:space="0" w:color="auto"/>
                                    <w:right w:val="none" w:sz="0" w:space="0" w:color="auto"/>
                                  </w:divBdr>
                                  <w:divsChild>
                                    <w:div w:id="1350914579">
                                      <w:marLeft w:val="0"/>
                                      <w:marRight w:val="0"/>
                                      <w:marTop w:val="0"/>
                                      <w:marBottom w:val="0"/>
                                      <w:divBdr>
                                        <w:top w:val="none" w:sz="0" w:space="0" w:color="auto"/>
                                        <w:left w:val="none" w:sz="0" w:space="0" w:color="auto"/>
                                        <w:bottom w:val="none" w:sz="0" w:space="0" w:color="auto"/>
                                        <w:right w:val="none" w:sz="0" w:space="0" w:color="auto"/>
                                      </w:divBdr>
                                      <w:divsChild>
                                        <w:div w:id="1541169211">
                                          <w:marLeft w:val="0"/>
                                          <w:marRight w:val="0"/>
                                          <w:marTop w:val="0"/>
                                          <w:marBottom w:val="0"/>
                                          <w:divBdr>
                                            <w:top w:val="none" w:sz="0" w:space="0" w:color="auto"/>
                                            <w:left w:val="none" w:sz="0" w:space="0" w:color="auto"/>
                                            <w:bottom w:val="none" w:sz="0" w:space="0" w:color="auto"/>
                                            <w:right w:val="none" w:sz="0" w:space="0" w:color="auto"/>
                                          </w:divBdr>
                                          <w:divsChild>
                                            <w:div w:id="1505129398">
                                              <w:marLeft w:val="0"/>
                                              <w:marRight w:val="0"/>
                                              <w:marTop w:val="0"/>
                                              <w:marBottom w:val="0"/>
                                              <w:divBdr>
                                                <w:top w:val="none" w:sz="0" w:space="0" w:color="auto"/>
                                                <w:left w:val="none" w:sz="0" w:space="0" w:color="auto"/>
                                                <w:bottom w:val="none" w:sz="0" w:space="0" w:color="auto"/>
                                                <w:right w:val="none" w:sz="0" w:space="0" w:color="auto"/>
                                              </w:divBdr>
                                              <w:divsChild>
                                                <w:div w:id="380635274">
                                                  <w:marLeft w:val="0"/>
                                                  <w:marRight w:val="0"/>
                                                  <w:marTop w:val="0"/>
                                                  <w:marBottom w:val="0"/>
                                                  <w:divBdr>
                                                    <w:top w:val="none" w:sz="0" w:space="0" w:color="auto"/>
                                                    <w:left w:val="none" w:sz="0" w:space="0" w:color="auto"/>
                                                    <w:bottom w:val="none" w:sz="0" w:space="0" w:color="auto"/>
                                                    <w:right w:val="none" w:sz="0" w:space="0" w:color="auto"/>
                                                  </w:divBdr>
                                                  <w:divsChild>
                                                    <w:div w:id="1706100718">
                                                      <w:marLeft w:val="0"/>
                                                      <w:marRight w:val="0"/>
                                                      <w:marTop w:val="0"/>
                                                      <w:marBottom w:val="0"/>
                                                      <w:divBdr>
                                                        <w:top w:val="none" w:sz="0" w:space="0" w:color="auto"/>
                                                        <w:left w:val="none" w:sz="0" w:space="0" w:color="auto"/>
                                                        <w:bottom w:val="none" w:sz="0" w:space="0" w:color="auto"/>
                                                        <w:right w:val="none" w:sz="0" w:space="0" w:color="auto"/>
                                                      </w:divBdr>
                                                      <w:divsChild>
                                                        <w:div w:id="640963672">
                                                          <w:marLeft w:val="0"/>
                                                          <w:marRight w:val="0"/>
                                                          <w:marTop w:val="0"/>
                                                          <w:marBottom w:val="0"/>
                                                          <w:divBdr>
                                                            <w:top w:val="none" w:sz="0" w:space="0" w:color="auto"/>
                                                            <w:left w:val="none" w:sz="0" w:space="0" w:color="auto"/>
                                                            <w:bottom w:val="none" w:sz="0" w:space="0" w:color="auto"/>
                                                            <w:right w:val="none" w:sz="0" w:space="0" w:color="auto"/>
                                                          </w:divBdr>
                                                          <w:divsChild>
                                                            <w:div w:id="13721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33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png"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idx.co.id"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www.idx.co.id" TargetMode="External" /><Relationship Id="rId4" Type="http://schemas.openxmlformats.org/officeDocument/2006/relationships/settings" Target="settings.xml" /><Relationship Id="rId9" Type="http://schemas.openxmlformats.org/officeDocument/2006/relationships/hyperlink" Target="mailto:nijuli.nuryani07@gmail.com"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CEB07-5868-4D67-AF12-37ABC90074B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5713</Words>
  <Characters>32568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Ainine Nugroho</dc:creator>
  <cp:keywords/>
  <dc:description/>
  <cp:lastModifiedBy>n.budiasni@gmail.com</cp:lastModifiedBy>
  <cp:revision>2</cp:revision>
  <cp:lastPrinted>2020-12-15T05:38:00Z</cp:lastPrinted>
  <dcterms:created xsi:type="dcterms:W3CDTF">2023-11-29T10:16:00Z</dcterms:created>
  <dcterms:modified xsi:type="dcterms:W3CDTF">2023-11-29T10:16:00Z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212017512@student.uksw.edu@www.mendeley.com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