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438" w:rsidRDefault="00E25332">
      <w:pPr>
        <w:jc w:val="center"/>
        <w:rPr>
          <w:rFonts w:ascii="Cambria" w:eastAsia="Times New Roman" w:hAnsi="Cambria" w:cs="Times New Roman"/>
          <w:b/>
          <w:sz w:val="28"/>
          <w:szCs w:val="28"/>
        </w:rPr>
      </w:pPr>
      <w:r>
        <w:rPr>
          <w:rFonts w:ascii="Cambria" w:eastAsia="Times New Roman" w:hAnsi="Cambria" w:cs="Times New Roman"/>
          <w:b/>
          <w:sz w:val="28"/>
          <w:szCs w:val="28"/>
        </w:rPr>
        <w:t>Intellectual Capital and Bank Profitability: Evidence from Conventional and Islamic Bank in Indonesia</w:t>
      </w:r>
    </w:p>
    <w:p w:rsidR="00444438" w:rsidRDefault="00E25332">
      <w:pPr>
        <w:spacing w:after="240" w:line="240" w:lineRule="auto"/>
        <w:jc w:val="center"/>
        <w:rPr>
          <w:rFonts w:ascii="Cambria" w:eastAsia="Times New Roman" w:hAnsi="Cambria" w:cs="Times New Roman"/>
          <w:b/>
          <w:bCs/>
          <w:color w:val="000000"/>
          <w:sz w:val="24"/>
          <w:szCs w:val="24"/>
        </w:rPr>
      </w:pPr>
      <w:r>
        <w:rPr>
          <w:rFonts w:ascii="Cambria" w:eastAsia="Times New Roman" w:hAnsi="Cambria" w:cs="Times New Roman"/>
          <w:b/>
          <w:bCs/>
          <w:color w:val="000000"/>
          <w:sz w:val="24"/>
          <w:szCs w:val="24"/>
        </w:rPr>
        <w:t xml:space="preserve">Danes </w:t>
      </w:r>
      <w:proofErr w:type="spellStart"/>
      <w:r>
        <w:rPr>
          <w:rFonts w:ascii="Cambria" w:eastAsia="Times New Roman" w:hAnsi="Cambria" w:cs="Times New Roman"/>
          <w:b/>
          <w:bCs/>
          <w:color w:val="000000"/>
          <w:sz w:val="24"/>
          <w:szCs w:val="24"/>
        </w:rPr>
        <w:t>Quirira</w:t>
      </w:r>
      <w:proofErr w:type="spellEnd"/>
      <w:r>
        <w:rPr>
          <w:rFonts w:ascii="Cambria" w:eastAsia="Times New Roman" w:hAnsi="Cambria" w:cs="Times New Roman"/>
          <w:b/>
          <w:bCs/>
          <w:color w:val="000000"/>
          <w:sz w:val="24"/>
          <w:szCs w:val="24"/>
        </w:rPr>
        <w:t xml:space="preserve"> Octavio</w:t>
      </w:r>
      <w:r>
        <w:rPr>
          <w:rFonts w:ascii="Cambria" w:eastAsia="Times New Roman" w:hAnsi="Cambria" w:cs="Times New Roman"/>
          <w:b/>
          <w:bCs/>
          <w:color w:val="000000"/>
          <w:sz w:val="24"/>
          <w:szCs w:val="24"/>
          <w:vertAlign w:val="superscript"/>
        </w:rPr>
        <w:t>1</w:t>
      </w:r>
      <w:r>
        <w:rPr>
          <w:rFonts w:ascii="Cambria" w:eastAsia="Times New Roman" w:hAnsi="Cambria" w:cs="Times New Roman"/>
          <w:b/>
          <w:bCs/>
          <w:color w:val="000000"/>
          <w:sz w:val="24"/>
          <w:szCs w:val="24"/>
        </w:rPr>
        <w:t>, Yuli Soesetio</w:t>
      </w:r>
      <w:r>
        <w:rPr>
          <w:rFonts w:ascii="Cambria" w:eastAsia="Times New Roman" w:hAnsi="Cambria" w:cs="Times New Roman"/>
          <w:b/>
          <w:bCs/>
          <w:color w:val="000000"/>
          <w:sz w:val="24"/>
          <w:szCs w:val="24"/>
          <w:vertAlign w:val="superscript"/>
        </w:rPr>
        <w:t>2</w:t>
      </w:r>
      <w:r>
        <w:rPr>
          <w:rFonts w:ascii="Cambria" w:eastAsia="Times New Roman" w:hAnsi="Cambria" w:cs="Times New Roman"/>
          <w:b/>
          <w:bCs/>
          <w:color w:val="000000"/>
          <w:sz w:val="24"/>
          <w:szCs w:val="24"/>
        </w:rPr>
        <w:t xml:space="preserve"> </w:t>
      </w:r>
    </w:p>
    <w:p w:rsidR="00444438" w:rsidRDefault="00E25332">
      <w:pPr>
        <w:spacing w:after="0" w:line="240" w:lineRule="auto"/>
        <w:jc w:val="center"/>
        <w:rPr>
          <w:rFonts w:ascii="Cambria" w:eastAsia="Times New Roman" w:hAnsi="Cambria" w:cs="Times New Roman"/>
          <w:bCs/>
          <w:color w:val="000000"/>
          <w:sz w:val="20"/>
          <w:szCs w:val="20"/>
        </w:rPr>
      </w:pPr>
      <w:r>
        <w:rPr>
          <w:rFonts w:ascii="Cambria" w:eastAsia="Times New Roman" w:hAnsi="Cambria" w:cs="Times New Roman"/>
          <w:bCs/>
          <w:color w:val="000000"/>
          <w:sz w:val="20"/>
          <w:szCs w:val="20"/>
          <w:vertAlign w:val="superscript"/>
        </w:rPr>
        <w:t>1</w:t>
      </w:r>
      <w:r>
        <w:rPr>
          <w:rFonts w:ascii="Cambria" w:eastAsia="Times New Roman" w:hAnsi="Cambria" w:cs="Times New Roman"/>
          <w:bCs/>
          <w:color w:val="000000"/>
          <w:sz w:val="20"/>
          <w:szCs w:val="20"/>
        </w:rPr>
        <w:t>Management, Economy, State University of Malang</w:t>
      </w:r>
    </w:p>
    <w:p w:rsidR="00444438" w:rsidRDefault="00E25332">
      <w:pPr>
        <w:spacing w:after="0" w:line="240" w:lineRule="auto"/>
        <w:jc w:val="center"/>
        <w:rPr>
          <w:rFonts w:ascii="Cambria" w:eastAsia="Times New Roman" w:hAnsi="Cambria" w:cs="Times New Roman"/>
          <w:bCs/>
          <w:color w:val="000000"/>
          <w:sz w:val="20"/>
          <w:szCs w:val="20"/>
        </w:rPr>
      </w:pPr>
      <w:r>
        <w:rPr>
          <w:rFonts w:ascii="Cambria" w:eastAsia="Times New Roman" w:hAnsi="Cambria" w:cs="Times New Roman"/>
          <w:bCs/>
          <w:color w:val="000000"/>
          <w:sz w:val="20"/>
          <w:szCs w:val="20"/>
        </w:rPr>
        <w:t>Jl. Semarang No. 5, Malang, 65145, Indonesia</w:t>
      </w:r>
    </w:p>
    <w:p w:rsidR="00444438" w:rsidRDefault="00E25332">
      <w:pPr>
        <w:spacing w:after="0" w:line="240" w:lineRule="auto"/>
        <w:jc w:val="center"/>
        <w:rPr>
          <w:rFonts w:ascii="Cambria" w:eastAsia="Times New Roman" w:hAnsi="Cambria" w:cs="Times New Roman"/>
          <w:bCs/>
          <w:color w:val="000000"/>
          <w:sz w:val="20"/>
          <w:szCs w:val="20"/>
        </w:rPr>
      </w:pPr>
      <w:r>
        <w:rPr>
          <w:rFonts w:ascii="Cambria" w:eastAsia="Times New Roman" w:hAnsi="Cambria" w:cs="Times New Roman"/>
          <w:bCs/>
          <w:color w:val="000000"/>
          <w:sz w:val="20"/>
          <w:szCs w:val="20"/>
          <w:vertAlign w:val="superscript"/>
        </w:rPr>
        <w:t>2</w:t>
      </w:r>
      <w:r>
        <w:rPr>
          <w:rFonts w:ascii="Cambria" w:eastAsia="Times New Roman" w:hAnsi="Cambria" w:cs="Times New Roman"/>
          <w:bCs/>
          <w:color w:val="000000"/>
          <w:sz w:val="20"/>
          <w:szCs w:val="20"/>
        </w:rPr>
        <w:t>Economy, State University of Malang</w:t>
      </w:r>
    </w:p>
    <w:p w:rsidR="00444438" w:rsidRDefault="00E25332">
      <w:pPr>
        <w:spacing w:after="0" w:line="240" w:lineRule="auto"/>
        <w:jc w:val="center"/>
        <w:rPr>
          <w:rFonts w:ascii="Cambria" w:eastAsia="Times New Roman" w:hAnsi="Cambria" w:cs="Times New Roman"/>
          <w:bCs/>
          <w:color w:val="000000"/>
          <w:sz w:val="20"/>
          <w:szCs w:val="20"/>
        </w:rPr>
      </w:pPr>
      <w:r>
        <w:rPr>
          <w:rFonts w:ascii="Cambria" w:eastAsia="Times New Roman" w:hAnsi="Cambria" w:cs="Times New Roman"/>
          <w:bCs/>
          <w:color w:val="000000"/>
          <w:sz w:val="20"/>
          <w:szCs w:val="20"/>
        </w:rPr>
        <w:t>Jl. Semarang No. 5, Malang, 65145, Indonesia</w:t>
      </w:r>
    </w:p>
    <w:p w:rsidR="00444438" w:rsidRDefault="00444438">
      <w:pPr>
        <w:spacing w:after="0" w:line="240" w:lineRule="auto"/>
        <w:rPr>
          <w:rFonts w:ascii="Cambria" w:eastAsia="Times New Roman" w:hAnsi="Cambria" w:cs="Times New Roman"/>
          <w:sz w:val="20"/>
          <w:szCs w:val="20"/>
        </w:rPr>
      </w:pPr>
    </w:p>
    <w:tbl>
      <w:tblPr>
        <w:tblW w:w="2410" w:type="dxa"/>
        <w:tblBorders>
          <w:top w:val="single" w:sz="4" w:space="0" w:color="auto"/>
          <w:bottom w:val="single" w:sz="4" w:space="0" w:color="auto"/>
        </w:tblBorders>
        <w:tblLayout w:type="fixed"/>
        <w:tblLook w:val="04A0" w:firstRow="1" w:lastRow="0" w:firstColumn="1" w:lastColumn="0" w:noHBand="0" w:noVBand="1"/>
      </w:tblPr>
      <w:tblGrid>
        <w:gridCol w:w="2410"/>
      </w:tblGrid>
      <w:tr w:rsidR="00444438">
        <w:trPr>
          <w:trHeight w:val="870"/>
        </w:trPr>
        <w:tc>
          <w:tcPr>
            <w:tcW w:w="2410" w:type="dxa"/>
            <w:shd w:val="clear" w:color="auto" w:fill="auto"/>
          </w:tcPr>
          <w:p w:rsidR="00444438" w:rsidRDefault="00E25332">
            <w:pPr>
              <w:spacing w:after="0" w:line="240" w:lineRule="auto"/>
              <w:rPr>
                <w:rFonts w:ascii="Cambria" w:hAnsi="Cambria"/>
                <w:b/>
                <w:color w:val="000000"/>
                <w:sz w:val="18"/>
                <w:szCs w:val="18"/>
              </w:rPr>
            </w:pPr>
            <w:r>
              <w:rPr>
                <w:rFonts w:ascii="Cambria" w:hAnsi="Cambria"/>
                <w:b/>
                <w:color w:val="000000"/>
                <w:sz w:val="18"/>
                <w:szCs w:val="18"/>
              </w:rPr>
              <w:t>Article history:</w:t>
            </w:r>
          </w:p>
          <w:p w:rsidR="00444438" w:rsidRDefault="00E25332">
            <w:pPr>
              <w:spacing w:after="0" w:line="240" w:lineRule="auto"/>
              <w:rPr>
                <w:rFonts w:ascii="Cambria" w:hAnsi="Cambria"/>
                <w:color w:val="000000"/>
                <w:sz w:val="18"/>
                <w:szCs w:val="18"/>
              </w:rPr>
            </w:pPr>
            <w:r>
              <w:rPr>
                <w:rFonts w:ascii="Cambria" w:hAnsi="Cambria"/>
                <w:color w:val="000000"/>
                <w:sz w:val="18"/>
                <w:szCs w:val="18"/>
              </w:rPr>
              <w:t xml:space="preserve">Received: </w:t>
            </w:r>
            <w:r>
              <w:rPr>
                <w:rFonts w:ascii="Cambria" w:hAnsi="Cambria" w:cs="Tahoma"/>
                <w:color w:val="222222"/>
                <w:sz w:val="18"/>
                <w:szCs w:val="18"/>
                <w:shd w:val="clear" w:color="auto" w:fill="FFFFFF"/>
              </w:rPr>
              <w:t>2018-00-00</w:t>
            </w:r>
          </w:p>
          <w:p w:rsidR="00444438" w:rsidRDefault="00E25332">
            <w:pPr>
              <w:spacing w:after="0" w:line="240" w:lineRule="auto"/>
              <w:rPr>
                <w:rFonts w:ascii="Cambria" w:hAnsi="Cambria"/>
                <w:color w:val="000000"/>
                <w:sz w:val="18"/>
                <w:szCs w:val="18"/>
              </w:rPr>
            </w:pPr>
            <w:r>
              <w:rPr>
                <w:rFonts w:ascii="Cambria" w:hAnsi="Cambria"/>
                <w:color w:val="000000"/>
                <w:sz w:val="18"/>
                <w:szCs w:val="18"/>
              </w:rPr>
              <w:t xml:space="preserve">Revised: </w:t>
            </w:r>
            <w:r>
              <w:rPr>
                <w:rFonts w:ascii="Cambria" w:hAnsi="Cambria" w:cs="Tahoma"/>
                <w:color w:val="222222"/>
                <w:sz w:val="18"/>
                <w:szCs w:val="18"/>
                <w:shd w:val="clear" w:color="auto" w:fill="FFFFFF"/>
              </w:rPr>
              <w:t>2018-00-00 </w:t>
            </w:r>
          </w:p>
          <w:p w:rsidR="00444438" w:rsidRDefault="00E25332">
            <w:pPr>
              <w:spacing w:after="0" w:line="240" w:lineRule="auto"/>
              <w:rPr>
                <w:rFonts w:ascii="Cambria" w:hAnsi="Cambria"/>
                <w:color w:val="000000"/>
                <w:sz w:val="18"/>
                <w:szCs w:val="18"/>
              </w:rPr>
            </w:pPr>
            <w:r>
              <w:rPr>
                <w:rFonts w:ascii="Cambria" w:hAnsi="Cambria"/>
                <w:color w:val="000000"/>
                <w:sz w:val="18"/>
                <w:szCs w:val="18"/>
              </w:rPr>
              <w:t>Accepted: 2018-00-00</w:t>
            </w:r>
          </w:p>
        </w:tc>
      </w:tr>
    </w:tbl>
    <w:p w:rsidR="00444438" w:rsidRDefault="00444438">
      <w:pPr>
        <w:pStyle w:val="Ventura-AuthorAddress"/>
        <w:rPr>
          <w:rFonts w:ascii="Cambria" w:hAnsi="Cambria"/>
          <w:i w:val="0"/>
        </w:rPr>
      </w:pPr>
    </w:p>
    <w:p w:rsidR="00444438" w:rsidRDefault="00E25332">
      <w:pPr>
        <w:spacing w:after="0" w:line="240" w:lineRule="auto"/>
        <w:rPr>
          <w:rFonts w:ascii="Cambria" w:hAnsi="Cambria" w:cs="Arial"/>
          <w:color w:val="FF0000"/>
          <w:sz w:val="20"/>
          <w:szCs w:val="20"/>
        </w:rPr>
      </w:pPr>
      <w:r>
        <w:rPr>
          <w:rFonts w:ascii="Cambria" w:hAnsi="Cambria"/>
          <w:noProof/>
          <w:sz w:val="20"/>
          <w:szCs w:val="20"/>
        </w:rPr>
        <w:drawing>
          <wp:inline distT="0" distB="0" distL="0" distR="0">
            <wp:extent cx="142875" cy="142875"/>
            <wp:effectExtent l="0" t="0" r="9525" b="9525"/>
            <wp:docPr id="1026" name="Picture 4"/>
            <wp:cNvGraphicFramePr/>
            <a:graphic xmlns:a="http://schemas.openxmlformats.org/drawingml/2006/main">
              <a:graphicData uri="http://schemas.openxmlformats.org/drawingml/2006/picture">
                <pic:pic xmlns:pic="http://schemas.openxmlformats.org/drawingml/2006/picture">
                  <pic:nvPicPr>
                    <pic:cNvPr id="1026" name="Picture 4"/>
                    <pic:cNvPicPr/>
                  </pic:nvPicPr>
                  <pic:blipFill>
                    <a:blip r:embed="rId6" cstate="print"/>
                    <a:srcRect/>
                    <a:stretch>
                      <a:fillRect/>
                    </a:stretch>
                  </pic:blipFill>
                  <pic:spPr>
                    <a:xfrm>
                      <a:off x="0" y="0"/>
                      <a:ext cx="142875" cy="142875"/>
                    </a:xfrm>
                    <a:prstGeom prst="rect">
                      <a:avLst/>
                    </a:prstGeom>
                    <a:ln>
                      <a:noFill/>
                    </a:ln>
                  </pic:spPr>
                </pic:pic>
              </a:graphicData>
            </a:graphic>
          </wp:inline>
        </w:drawing>
      </w:r>
      <w:r>
        <w:rPr>
          <w:rFonts w:ascii="Cambria" w:hAnsi="Cambria" w:cs="Arial"/>
          <w:sz w:val="20"/>
          <w:szCs w:val="20"/>
        </w:rPr>
        <w:t xml:space="preserve"> Corresponding Author:</w:t>
      </w:r>
    </w:p>
    <w:p w:rsidR="00444438" w:rsidRDefault="00E25332">
      <w:pPr>
        <w:spacing w:after="0" w:line="240" w:lineRule="auto"/>
        <w:rPr>
          <w:rFonts w:ascii="Cambria" w:hAnsi="Cambria" w:cs="Arial"/>
          <w:sz w:val="20"/>
          <w:szCs w:val="20"/>
        </w:rPr>
      </w:pPr>
      <w:r>
        <w:rPr>
          <w:rFonts w:ascii="Cambria" w:hAnsi="Cambria" w:cs="Arial"/>
          <w:b/>
          <w:sz w:val="20"/>
          <w:szCs w:val="20"/>
        </w:rPr>
        <w:t xml:space="preserve">Danes </w:t>
      </w:r>
      <w:proofErr w:type="spellStart"/>
      <w:r>
        <w:rPr>
          <w:rFonts w:ascii="Cambria" w:hAnsi="Cambria" w:cs="Arial"/>
          <w:b/>
          <w:sz w:val="20"/>
          <w:szCs w:val="20"/>
        </w:rPr>
        <w:t>Quirira</w:t>
      </w:r>
      <w:proofErr w:type="spellEnd"/>
      <w:r>
        <w:rPr>
          <w:rFonts w:ascii="Cambria" w:hAnsi="Cambria" w:cs="Arial"/>
          <w:sz w:val="20"/>
          <w:szCs w:val="20"/>
        </w:rPr>
        <w:t xml:space="preserve">: </w:t>
      </w:r>
    </w:p>
    <w:p w:rsidR="00444438" w:rsidRDefault="00E25332">
      <w:pPr>
        <w:spacing w:after="0" w:line="240" w:lineRule="auto"/>
        <w:rPr>
          <w:rFonts w:ascii="Cambria" w:hAnsi="Cambria"/>
          <w:sz w:val="20"/>
          <w:szCs w:val="20"/>
          <w:lang w:val="id-ID"/>
        </w:rPr>
      </w:pPr>
      <w:r>
        <w:rPr>
          <w:rFonts w:ascii="Cambria" w:hAnsi="Cambria" w:cs="Arial"/>
          <w:sz w:val="20"/>
          <w:szCs w:val="20"/>
        </w:rPr>
        <w:t>Tel. +62 818 0206 6105</w:t>
      </w:r>
    </w:p>
    <w:p w:rsidR="00444438" w:rsidRDefault="00E25332">
      <w:pPr>
        <w:spacing w:after="0" w:line="240" w:lineRule="auto"/>
        <w:rPr>
          <w:rFonts w:ascii="Cambria" w:hAnsi="Cambria"/>
          <w:sz w:val="20"/>
          <w:szCs w:val="20"/>
        </w:rPr>
      </w:pPr>
      <w:r>
        <w:rPr>
          <w:rFonts w:ascii="Cambria" w:hAnsi="Cambria"/>
          <w:sz w:val="20"/>
          <w:szCs w:val="20"/>
        </w:rPr>
        <w:t xml:space="preserve">E-mail: </w:t>
      </w:r>
      <w:r>
        <w:rPr>
          <w:rStyle w:val="Hyperlink"/>
          <w:rFonts w:ascii="Cambria" w:hAnsi="Cambria"/>
          <w:sz w:val="20"/>
          <w:szCs w:val="20"/>
        </w:rPr>
        <w:t>danes.quirira.fe@um.ac.id</w:t>
      </w:r>
    </w:p>
    <w:p w:rsidR="00444438" w:rsidRDefault="00E25332">
      <w:pPr>
        <w:spacing w:after="0" w:line="240" w:lineRule="auto"/>
        <w:rPr>
          <w:rFonts w:ascii="Cambria" w:hAnsi="Cambria"/>
          <w:sz w:val="20"/>
          <w:szCs w:val="20"/>
        </w:rPr>
      </w:pPr>
      <w:r>
        <w:rPr>
          <w:rFonts w:ascii="Cambria" w:hAnsi="Cambria"/>
          <w:b/>
          <w:sz w:val="20"/>
          <w:szCs w:val="20"/>
        </w:rPr>
        <w:t>Yuli Soesetio</w:t>
      </w:r>
      <w:r>
        <w:rPr>
          <w:rFonts w:ascii="Cambria" w:hAnsi="Cambria"/>
          <w:sz w:val="20"/>
          <w:szCs w:val="20"/>
        </w:rPr>
        <w:t>:</w:t>
      </w:r>
    </w:p>
    <w:p w:rsidR="00444438" w:rsidRDefault="00E25332">
      <w:pPr>
        <w:spacing w:after="0" w:line="240" w:lineRule="auto"/>
        <w:rPr>
          <w:rFonts w:ascii="Cambria" w:hAnsi="Cambria"/>
          <w:sz w:val="20"/>
          <w:szCs w:val="20"/>
        </w:rPr>
      </w:pPr>
      <w:r>
        <w:rPr>
          <w:rFonts w:ascii="Cambria" w:hAnsi="Cambria"/>
          <w:sz w:val="20"/>
          <w:szCs w:val="20"/>
        </w:rPr>
        <w:t>Tel. +62 813 330 0448</w:t>
      </w:r>
    </w:p>
    <w:p w:rsidR="00444438" w:rsidRDefault="00E25332">
      <w:pPr>
        <w:spacing w:after="0" w:line="240" w:lineRule="auto"/>
        <w:rPr>
          <w:rFonts w:ascii="Cambria" w:hAnsi="Cambria"/>
          <w:sz w:val="20"/>
          <w:szCs w:val="20"/>
        </w:rPr>
      </w:pPr>
      <w:r>
        <w:rPr>
          <w:rFonts w:ascii="Cambria" w:hAnsi="Cambria"/>
          <w:sz w:val="20"/>
          <w:szCs w:val="20"/>
        </w:rPr>
        <w:t xml:space="preserve">E-mail: </w:t>
      </w:r>
      <w:hyperlink r:id="rId7" w:history="1">
        <w:r>
          <w:rPr>
            <w:rStyle w:val="Hyperlink"/>
            <w:rFonts w:ascii="Cambria" w:hAnsi="Cambria"/>
            <w:sz w:val="20"/>
            <w:szCs w:val="20"/>
          </w:rPr>
          <w:t>yuli.soesetio.fe@um.ac.id</w:t>
        </w:r>
      </w:hyperlink>
    </w:p>
    <w:p w:rsidR="00444438" w:rsidRDefault="00444438">
      <w:pPr>
        <w:spacing w:after="0" w:line="240" w:lineRule="auto"/>
        <w:rPr>
          <w:rFonts w:ascii="Cambria" w:hAnsi="Cambria"/>
          <w:color w:val="000000"/>
          <w:sz w:val="20"/>
          <w:szCs w:val="20"/>
        </w:rPr>
      </w:pPr>
    </w:p>
    <w:p w:rsidR="00444438" w:rsidRDefault="00444438">
      <w:pPr>
        <w:spacing w:after="0" w:line="240" w:lineRule="auto"/>
        <w:rPr>
          <w:rFonts w:ascii="Cambria" w:eastAsia="Times New Roman" w:hAnsi="Cambria" w:cs="Times New Roman"/>
          <w:sz w:val="24"/>
          <w:szCs w:val="24"/>
        </w:rPr>
      </w:pPr>
    </w:p>
    <w:p w:rsidR="00444438" w:rsidRDefault="00E25332">
      <w:pPr>
        <w:jc w:val="center"/>
        <w:rPr>
          <w:rFonts w:ascii="Cambria" w:hAnsi="Cambria"/>
          <w:b/>
          <w:sz w:val="48"/>
          <w:szCs w:val="48"/>
        </w:rPr>
      </w:pPr>
      <w:r>
        <w:rPr>
          <w:rFonts w:ascii="Cambria" w:hAnsi="Cambria"/>
          <w:b/>
        </w:rPr>
        <w:t>Abstract</w:t>
      </w:r>
    </w:p>
    <w:p w:rsidR="00444438" w:rsidRDefault="00E25332">
      <w:pPr>
        <w:spacing w:after="0" w:line="240" w:lineRule="auto"/>
        <w:jc w:val="both"/>
        <w:rPr>
          <w:rFonts w:ascii="Cambria" w:eastAsia="Times New Roman" w:hAnsi="Cambria" w:cs="Times New Roman"/>
          <w:color w:val="000000"/>
          <w:sz w:val="20"/>
          <w:szCs w:val="20"/>
          <w:shd w:val="clear" w:color="auto" w:fill="FFFFFF"/>
        </w:rPr>
      </w:pPr>
      <w:r>
        <w:rPr>
          <w:rFonts w:ascii="Cambria" w:eastAsia="Times New Roman" w:hAnsi="Cambria" w:cs="Times New Roman"/>
          <w:color w:val="000000"/>
          <w:sz w:val="20"/>
          <w:szCs w:val="20"/>
        </w:rPr>
        <w:t xml:space="preserve">This study investigates the effect of intellectual capital on conventional and Islamic bank profitability in Indonesia. Our data consist of conventional and Islamic banks operated in Indonesia form 2010 to 2016 annually. Since our data are panel, we employ panel regression. Intellectual capital </w:t>
      </w:r>
      <w:proofErr w:type="gramStart"/>
      <w:r>
        <w:rPr>
          <w:rFonts w:ascii="Cambria" w:eastAsia="Times New Roman" w:hAnsi="Cambria" w:cs="Times New Roman"/>
          <w:color w:val="000000"/>
          <w:sz w:val="20"/>
          <w:szCs w:val="20"/>
        </w:rPr>
        <w:t>is measured</w:t>
      </w:r>
      <w:proofErr w:type="gramEnd"/>
      <w:r>
        <w:rPr>
          <w:rFonts w:ascii="Cambria" w:eastAsia="Times New Roman" w:hAnsi="Cambria" w:cs="Times New Roman"/>
          <w:color w:val="000000"/>
          <w:sz w:val="20"/>
          <w:szCs w:val="20"/>
        </w:rPr>
        <w:t xml:space="preserve"> by using Value Added Intellectual Capital (VAIC). Our result show that intellectual capital has significant impact on bank profitability only in conventional bank. We also attempt to estimate the impact of VAIC component, such as Human Capital Efficiency (HCE), Structural Capital Efficiency (SCE) and Capital Employed Efficiency (CEE), on conventional and Islamic bank profitability. The results show that HCE is strongly significant in both bank. However, CEE, only significant in Islamic banks, while SCE does not have significant effect on both type of bank profitability. Our results indicate that conventional banks synergize their intellectual and physical capital in creating profit better than Islamic banks. Thus, this research could be a critique to Indonesian Islamic banking industry in determining and overcome their weakness. </w:t>
      </w:r>
    </w:p>
    <w:p w:rsidR="00444438" w:rsidRDefault="00444438">
      <w:pPr>
        <w:spacing w:after="0" w:line="240" w:lineRule="auto"/>
        <w:jc w:val="both"/>
        <w:rPr>
          <w:rFonts w:ascii="Cambria" w:eastAsia="Times New Roman" w:hAnsi="Cambria" w:cs="Times New Roman"/>
          <w:color w:val="000000"/>
          <w:sz w:val="20"/>
          <w:szCs w:val="20"/>
          <w:shd w:val="clear" w:color="auto" w:fill="FFFFFF"/>
        </w:rPr>
      </w:pPr>
    </w:p>
    <w:p w:rsidR="00444438" w:rsidRDefault="00E25332">
      <w:pPr>
        <w:spacing w:after="0" w:line="240" w:lineRule="auto"/>
        <w:jc w:val="both"/>
        <w:rPr>
          <w:rFonts w:ascii="Cambria" w:eastAsia="Times New Roman" w:hAnsi="Cambria" w:cs="Times New Roman"/>
          <w:sz w:val="20"/>
          <w:szCs w:val="20"/>
        </w:rPr>
      </w:pPr>
      <w:r>
        <w:rPr>
          <w:rFonts w:ascii="Cambria" w:eastAsia="Times New Roman" w:hAnsi="Cambria" w:cs="Times New Roman"/>
          <w:b/>
          <w:bCs/>
          <w:color w:val="000000"/>
          <w:sz w:val="20"/>
          <w:szCs w:val="20"/>
        </w:rPr>
        <w:t xml:space="preserve">Keywords: </w:t>
      </w:r>
      <w:r>
        <w:rPr>
          <w:rFonts w:ascii="Cambria" w:eastAsia="Times New Roman" w:hAnsi="Cambria" w:cs="Times New Roman"/>
          <w:color w:val="000000"/>
          <w:sz w:val="20"/>
          <w:szCs w:val="20"/>
        </w:rPr>
        <w:t>bank profitability, Intellectual Capital, VAIC.</w:t>
      </w:r>
    </w:p>
    <w:p w:rsidR="00444438" w:rsidRDefault="00E25332">
      <w:pPr>
        <w:spacing w:after="0" w:line="240" w:lineRule="auto"/>
        <w:jc w:val="both"/>
        <w:rPr>
          <w:rFonts w:ascii="Cambria" w:eastAsia="Times New Roman" w:hAnsi="Cambria" w:cs="Times New Roman"/>
          <w:sz w:val="20"/>
          <w:szCs w:val="20"/>
        </w:rPr>
      </w:pPr>
      <w:r>
        <w:rPr>
          <w:rFonts w:ascii="Cambria" w:eastAsia="Times New Roman" w:hAnsi="Cambria" w:cs="Times New Roman"/>
          <w:b/>
          <w:bCs/>
          <w:color w:val="000000"/>
          <w:sz w:val="20"/>
          <w:szCs w:val="20"/>
        </w:rPr>
        <w:t xml:space="preserve">JEL Classification: </w:t>
      </w:r>
      <w:r>
        <w:rPr>
          <w:rFonts w:ascii="Cambria" w:eastAsia="Times New Roman" w:hAnsi="Cambria" w:cs="Times New Roman"/>
          <w:color w:val="000000"/>
          <w:sz w:val="20"/>
          <w:szCs w:val="20"/>
        </w:rPr>
        <w:t>G21, G32, G32</w:t>
      </w:r>
    </w:p>
    <w:p w:rsidR="00444438" w:rsidRDefault="00444438">
      <w:pPr>
        <w:spacing w:after="0" w:line="240" w:lineRule="auto"/>
        <w:rPr>
          <w:rFonts w:ascii="Times New Roman" w:eastAsia="Times New Roman" w:hAnsi="Times New Roman" w:cs="Times New Roman"/>
          <w:sz w:val="24"/>
          <w:szCs w:val="24"/>
        </w:rPr>
      </w:pPr>
    </w:p>
    <w:p w:rsidR="00444438" w:rsidRDefault="00444438">
      <w:pPr>
        <w:spacing w:after="0" w:line="240" w:lineRule="auto"/>
        <w:ind w:firstLine="567"/>
        <w:jc w:val="both"/>
        <w:rPr>
          <w:rFonts w:ascii="Book Antiqua" w:eastAsia="Times New Roman" w:hAnsi="Book Antiqua" w:cs="Times New Roman"/>
          <w:sz w:val="24"/>
          <w:szCs w:val="24"/>
        </w:rPr>
      </w:pPr>
    </w:p>
    <w:p w:rsidR="00444438" w:rsidRDefault="00E25332">
      <w:pPr>
        <w:pStyle w:val="ListParagraph"/>
        <w:numPr>
          <w:ilvl w:val="0"/>
          <w:numId w:val="1"/>
        </w:numPr>
        <w:spacing w:after="0" w:line="240" w:lineRule="auto"/>
        <w:ind w:left="567" w:hanging="567"/>
        <w:jc w:val="both"/>
        <w:rPr>
          <w:rFonts w:eastAsia="Times New Roman" w:cs="Calibri"/>
          <w:b/>
          <w:color w:val="000000"/>
          <w:sz w:val="24"/>
          <w:szCs w:val="24"/>
          <w:shd w:val="clear" w:color="auto" w:fill="FFFFFF"/>
        </w:rPr>
      </w:pPr>
      <w:r>
        <w:rPr>
          <w:rFonts w:eastAsia="Times New Roman" w:cs="Calibri"/>
          <w:b/>
          <w:color w:val="000000"/>
          <w:sz w:val="24"/>
          <w:szCs w:val="24"/>
          <w:shd w:val="clear" w:color="auto" w:fill="FFFFFF"/>
        </w:rPr>
        <w:t>Introduction</w:t>
      </w:r>
    </w:p>
    <w:p w:rsidR="00444438" w:rsidRDefault="00444438">
      <w:pPr>
        <w:spacing w:after="0" w:line="240" w:lineRule="auto"/>
        <w:jc w:val="both"/>
        <w:rPr>
          <w:rFonts w:ascii="Book Antiqua" w:eastAsia="Times New Roman" w:hAnsi="Book Antiqua" w:cs="Times New Roman"/>
          <w:color w:val="000000"/>
          <w:sz w:val="20"/>
          <w:szCs w:val="20"/>
          <w:shd w:val="clear" w:color="auto" w:fill="FFFFFF"/>
        </w:rPr>
      </w:pPr>
    </w:p>
    <w:p w:rsidR="00444438" w:rsidRDefault="00E25332">
      <w:pPr>
        <w:ind w:firstLine="426"/>
        <w:jc w:val="both"/>
        <w:rPr>
          <w:rFonts w:asciiTheme="majorHAnsi" w:hAnsiTheme="majorHAnsi"/>
          <w:color w:val="000000"/>
          <w:sz w:val="20"/>
          <w:szCs w:val="20"/>
        </w:rPr>
      </w:pPr>
      <w:r>
        <w:rPr>
          <w:rFonts w:asciiTheme="majorHAnsi" w:hAnsiTheme="majorHAnsi"/>
          <w:sz w:val="20"/>
          <w:szCs w:val="20"/>
        </w:rPr>
        <w:t xml:space="preserve">In the recent years, knowledge-based resource </w:t>
      </w:r>
      <w:proofErr w:type="gramStart"/>
      <w:r>
        <w:rPr>
          <w:rFonts w:asciiTheme="majorHAnsi" w:hAnsiTheme="majorHAnsi"/>
          <w:sz w:val="20"/>
          <w:szCs w:val="20"/>
        </w:rPr>
        <w:t>has been considered</w:t>
      </w:r>
      <w:proofErr w:type="gramEnd"/>
      <w:r>
        <w:rPr>
          <w:rFonts w:asciiTheme="majorHAnsi" w:hAnsiTheme="majorHAnsi"/>
          <w:sz w:val="20"/>
          <w:szCs w:val="20"/>
        </w:rPr>
        <w:t xml:space="preserve"> as a factor that play important role in creating value and competitive advantage of the firms (</w:t>
      </w:r>
      <w:proofErr w:type="spellStart"/>
      <w:r>
        <w:rPr>
          <w:rFonts w:asciiTheme="majorHAnsi" w:hAnsiTheme="majorHAnsi"/>
          <w:sz w:val="20"/>
          <w:szCs w:val="20"/>
        </w:rPr>
        <w:t>Pablos</w:t>
      </w:r>
      <w:proofErr w:type="spellEnd"/>
      <w:r>
        <w:rPr>
          <w:rFonts w:asciiTheme="majorHAnsi" w:hAnsiTheme="majorHAnsi"/>
          <w:sz w:val="20"/>
          <w:szCs w:val="20"/>
        </w:rPr>
        <w:t xml:space="preserve">, 2002). </w:t>
      </w:r>
      <w:r>
        <w:rPr>
          <w:rFonts w:asciiTheme="majorHAnsi" w:hAnsiTheme="majorHAnsi"/>
          <w:color w:val="000000"/>
          <w:sz w:val="20"/>
          <w:szCs w:val="20"/>
        </w:rPr>
        <w:t xml:space="preserve">As a need to improve, </w:t>
      </w:r>
      <w:proofErr w:type="gramStart"/>
      <w:r>
        <w:rPr>
          <w:rFonts w:asciiTheme="majorHAnsi" w:hAnsiTheme="majorHAnsi"/>
          <w:color w:val="000000"/>
          <w:sz w:val="20"/>
          <w:szCs w:val="20"/>
        </w:rPr>
        <w:t>resources which have been embedded within organization</w:t>
      </w:r>
      <w:proofErr w:type="gramEnd"/>
      <w:r>
        <w:rPr>
          <w:rFonts w:asciiTheme="majorHAnsi" w:hAnsiTheme="majorHAnsi"/>
          <w:color w:val="000000"/>
          <w:sz w:val="20"/>
          <w:szCs w:val="20"/>
        </w:rPr>
        <w:t xml:space="preserve"> should be organized well. Then, the notion of intellectual capital is arise. </w:t>
      </w:r>
    </w:p>
    <w:p w:rsidR="00444438" w:rsidRDefault="00E25332">
      <w:pPr>
        <w:ind w:firstLine="426"/>
        <w:jc w:val="both"/>
        <w:rPr>
          <w:rFonts w:asciiTheme="majorHAnsi" w:hAnsiTheme="majorHAnsi"/>
          <w:sz w:val="20"/>
          <w:szCs w:val="20"/>
        </w:rPr>
      </w:pPr>
      <w:r>
        <w:rPr>
          <w:rFonts w:asciiTheme="majorHAnsi" w:hAnsiTheme="majorHAnsi"/>
          <w:sz w:val="20"/>
          <w:szCs w:val="20"/>
        </w:rPr>
        <w:t xml:space="preserve">Indonesia is a potential market for </w:t>
      </w:r>
      <w:proofErr w:type="spellStart"/>
      <w:proofErr w:type="gramStart"/>
      <w:r>
        <w:rPr>
          <w:rFonts w:asciiTheme="majorHAnsi" w:hAnsiTheme="majorHAnsi"/>
          <w:sz w:val="20"/>
          <w:szCs w:val="20"/>
        </w:rPr>
        <w:t>islamic</w:t>
      </w:r>
      <w:proofErr w:type="spellEnd"/>
      <w:proofErr w:type="gramEnd"/>
      <w:r>
        <w:rPr>
          <w:rFonts w:asciiTheme="majorHAnsi" w:hAnsiTheme="majorHAnsi"/>
          <w:sz w:val="20"/>
          <w:szCs w:val="20"/>
        </w:rPr>
        <w:t xml:space="preserve"> bank because the majority of people is </w:t>
      </w:r>
      <w:proofErr w:type="spellStart"/>
      <w:r>
        <w:rPr>
          <w:rFonts w:asciiTheme="majorHAnsi" w:hAnsiTheme="majorHAnsi"/>
          <w:sz w:val="20"/>
          <w:szCs w:val="20"/>
        </w:rPr>
        <w:t>moeslem</w:t>
      </w:r>
      <w:proofErr w:type="spellEnd"/>
      <w:r>
        <w:rPr>
          <w:rFonts w:asciiTheme="majorHAnsi" w:hAnsiTheme="majorHAnsi"/>
          <w:sz w:val="20"/>
          <w:szCs w:val="20"/>
        </w:rPr>
        <w:t xml:space="preserve">. However, Islamic banks in Indonesia </w:t>
      </w:r>
      <w:proofErr w:type="gramStart"/>
      <w:r>
        <w:rPr>
          <w:rFonts w:asciiTheme="majorHAnsi" w:hAnsiTheme="majorHAnsi"/>
          <w:sz w:val="20"/>
          <w:szCs w:val="20"/>
        </w:rPr>
        <w:t>is lacked</w:t>
      </w:r>
      <w:proofErr w:type="gramEnd"/>
      <w:r>
        <w:rPr>
          <w:rFonts w:asciiTheme="majorHAnsi" w:hAnsiTheme="majorHAnsi"/>
          <w:sz w:val="20"/>
          <w:szCs w:val="20"/>
        </w:rPr>
        <w:t xml:space="preserve"> of growth. Indeed, </w:t>
      </w:r>
      <w:proofErr w:type="spellStart"/>
      <w:proofErr w:type="gramStart"/>
      <w:r>
        <w:rPr>
          <w:rFonts w:asciiTheme="majorHAnsi" w:hAnsiTheme="majorHAnsi"/>
          <w:sz w:val="20"/>
          <w:szCs w:val="20"/>
        </w:rPr>
        <w:t>islamic</w:t>
      </w:r>
      <w:proofErr w:type="spellEnd"/>
      <w:proofErr w:type="gramEnd"/>
      <w:r>
        <w:rPr>
          <w:rFonts w:asciiTheme="majorHAnsi" w:hAnsiTheme="majorHAnsi"/>
          <w:sz w:val="20"/>
          <w:szCs w:val="20"/>
        </w:rPr>
        <w:t xml:space="preserve"> banks have achieved the target of market share, 5%. However, the market share </w:t>
      </w:r>
      <w:proofErr w:type="spellStart"/>
      <w:proofErr w:type="gramStart"/>
      <w:r>
        <w:rPr>
          <w:rFonts w:asciiTheme="majorHAnsi" w:hAnsiTheme="majorHAnsi"/>
          <w:sz w:val="20"/>
          <w:szCs w:val="20"/>
        </w:rPr>
        <w:t>islamic</w:t>
      </w:r>
      <w:proofErr w:type="spellEnd"/>
      <w:proofErr w:type="gramEnd"/>
      <w:r>
        <w:rPr>
          <w:rFonts w:asciiTheme="majorHAnsi" w:hAnsiTheme="majorHAnsi"/>
          <w:sz w:val="20"/>
          <w:szCs w:val="20"/>
        </w:rPr>
        <w:t xml:space="preserve"> bank relatively remain stagnant. Some practitioners argue that </w:t>
      </w:r>
      <w:proofErr w:type="spellStart"/>
      <w:proofErr w:type="gramStart"/>
      <w:r>
        <w:rPr>
          <w:rFonts w:asciiTheme="majorHAnsi" w:hAnsiTheme="majorHAnsi"/>
          <w:sz w:val="20"/>
          <w:szCs w:val="20"/>
        </w:rPr>
        <w:t>islamic</w:t>
      </w:r>
      <w:proofErr w:type="spellEnd"/>
      <w:proofErr w:type="gramEnd"/>
      <w:r>
        <w:rPr>
          <w:rFonts w:asciiTheme="majorHAnsi" w:hAnsiTheme="majorHAnsi"/>
          <w:sz w:val="20"/>
          <w:szCs w:val="20"/>
        </w:rPr>
        <w:t xml:space="preserve"> bank has inferior management skill compared to conventional banks. Thus, in </w:t>
      </w:r>
      <w:proofErr w:type="gramStart"/>
      <w:r>
        <w:rPr>
          <w:rFonts w:asciiTheme="majorHAnsi" w:hAnsiTheme="majorHAnsi"/>
          <w:sz w:val="20"/>
          <w:szCs w:val="20"/>
        </w:rPr>
        <w:t>this</w:t>
      </w:r>
      <w:proofErr w:type="gramEnd"/>
      <w:r>
        <w:rPr>
          <w:rFonts w:asciiTheme="majorHAnsi" w:hAnsiTheme="majorHAnsi"/>
          <w:sz w:val="20"/>
          <w:szCs w:val="20"/>
        </w:rPr>
        <w:t xml:space="preserve"> study we focus on investigate the effectiveness of intellectual capital in </w:t>
      </w:r>
      <w:proofErr w:type="spellStart"/>
      <w:r>
        <w:rPr>
          <w:rFonts w:asciiTheme="majorHAnsi" w:hAnsiTheme="majorHAnsi"/>
          <w:sz w:val="20"/>
          <w:szCs w:val="20"/>
        </w:rPr>
        <w:t>islamic</w:t>
      </w:r>
      <w:proofErr w:type="spellEnd"/>
      <w:r>
        <w:rPr>
          <w:rFonts w:asciiTheme="majorHAnsi" w:hAnsiTheme="majorHAnsi"/>
          <w:sz w:val="20"/>
          <w:szCs w:val="20"/>
        </w:rPr>
        <w:t xml:space="preserve"> an conventional banks. Intellectual capital is a concept that the ability of organization in digging information, organize the data, and using their asset effectively. This concept is mostly in the form of intangible asset and does not shown in financial statement. Intellectual capital may be more essential in </w:t>
      </w:r>
      <w:proofErr w:type="spellStart"/>
      <w:proofErr w:type="gramStart"/>
      <w:r>
        <w:rPr>
          <w:rFonts w:asciiTheme="majorHAnsi" w:hAnsiTheme="majorHAnsi"/>
          <w:sz w:val="20"/>
          <w:szCs w:val="20"/>
        </w:rPr>
        <w:t>islamic</w:t>
      </w:r>
      <w:proofErr w:type="spellEnd"/>
      <w:proofErr w:type="gramEnd"/>
      <w:r>
        <w:rPr>
          <w:rFonts w:asciiTheme="majorHAnsi" w:hAnsiTheme="majorHAnsi"/>
          <w:sz w:val="20"/>
          <w:szCs w:val="20"/>
        </w:rPr>
        <w:t xml:space="preserve"> bank, rather than conventional bank since Islamic banking industry finances small micro enterprises more than conventional banking (</w:t>
      </w:r>
      <w:proofErr w:type="spellStart"/>
      <w:r>
        <w:rPr>
          <w:rFonts w:asciiTheme="majorHAnsi" w:hAnsiTheme="majorHAnsi"/>
          <w:sz w:val="20"/>
          <w:szCs w:val="20"/>
        </w:rPr>
        <w:t>Shaban</w:t>
      </w:r>
      <w:proofErr w:type="spellEnd"/>
      <w:r>
        <w:rPr>
          <w:rFonts w:asciiTheme="majorHAnsi" w:hAnsiTheme="majorHAnsi"/>
          <w:sz w:val="20"/>
          <w:szCs w:val="20"/>
        </w:rPr>
        <w:t xml:space="preserve"> et al, 2014). This activity largely relies on soft information and need creative method to extract. Thus, intellectual capital may become importance to Islamic banks. In addition, </w:t>
      </w:r>
      <w:proofErr w:type="spellStart"/>
      <w:proofErr w:type="gramStart"/>
      <w:r>
        <w:rPr>
          <w:rFonts w:asciiTheme="majorHAnsi" w:hAnsiTheme="majorHAnsi"/>
          <w:sz w:val="20"/>
          <w:szCs w:val="20"/>
        </w:rPr>
        <w:t>islamic</w:t>
      </w:r>
      <w:proofErr w:type="spellEnd"/>
      <w:proofErr w:type="gramEnd"/>
      <w:r>
        <w:rPr>
          <w:rFonts w:asciiTheme="majorHAnsi" w:hAnsiTheme="majorHAnsi"/>
          <w:sz w:val="20"/>
          <w:szCs w:val="20"/>
        </w:rPr>
        <w:t xml:space="preserve"> banks investment options are more limited than conventional banks. For example, </w:t>
      </w:r>
      <w:proofErr w:type="spellStart"/>
      <w:proofErr w:type="gramStart"/>
      <w:r>
        <w:rPr>
          <w:rFonts w:asciiTheme="majorHAnsi" w:hAnsiTheme="majorHAnsi"/>
          <w:sz w:val="20"/>
          <w:szCs w:val="20"/>
        </w:rPr>
        <w:t>islamic</w:t>
      </w:r>
      <w:proofErr w:type="spellEnd"/>
      <w:proofErr w:type="gramEnd"/>
      <w:r>
        <w:rPr>
          <w:rFonts w:asciiTheme="majorHAnsi" w:hAnsiTheme="majorHAnsi"/>
          <w:sz w:val="20"/>
          <w:szCs w:val="20"/>
        </w:rPr>
        <w:t xml:space="preserve"> banks </w:t>
      </w:r>
      <w:proofErr w:type="spellStart"/>
      <w:r>
        <w:rPr>
          <w:rFonts w:asciiTheme="majorHAnsi" w:hAnsiTheme="majorHAnsi"/>
          <w:sz w:val="20"/>
          <w:szCs w:val="20"/>
        </w:rPr>
        <w:t>can not</w:t>
      </w:r>
      <w:proofErr w:type="spellEnd"/>
      <w:r>
        <w:rPr>
          <w:rFonts w:asciiTheme="majorHAnsi" w:hAnsiTheme="majorHAnsi"/>
          <w:sz w:val="20"/>
          <w:szCs w:val="20"/>
        </w:rPr>
        <w:t xml:space="preserve"> invest their funds in derivative asset since it is considered as a gambling based on </w:t>
      </w:r>
      <w:proofErr w:type="spellStart"/>
      <w:r>
        <w:rPr>
          <w:rFonts w:asciiTheme="majorHAnsi" w:hAnsiTheme="majorHAnsi"/>
          <w:sz w:val="20"/>
          <w:szCs w:val="20"/>
        </w:rPr>
        <w:t>syariah</w:t>
      </w:r>
      <w:proofErr w:type="spellEnd"/>
      <w:r>
        <w:rPr>
          <w:rFonts w:asciiTheme="majorHAnsi" w:hAnsiTheme="majorHAnsi"/>
          <w:sz w:val="20"/>
          <w:szCs w:val="20"/>
        </w:rPr>
        <w:t xml:space="preserve"> law. Therefore, </w:t>
      </w:r>
      <w:proofErr w:type="spellStart"/>
      <w:proofErr w:type="gramStart"/>
      <w:r>
        <w:rPr>
          <w:rFonts w:asciiTheme="majorHAnsi" w:hAnsiTheme="majorHAnsi"/>
          <w:sz w:val="20"/>
          <w:szCs w:val="20"/>
        </w:rPr>
        <w:t>islamic</w:t>
      </w:r>
      <w:proofErr w:type="spellEnd"/>
      <w:proofErr w:type="gramEnd"/>
      <w:r>
        <w:rPr>
          <w:rFonts w:asciiTheme="majorHAnsi" w:hAnsiTheme="majorHAnsi"/>
          <w:sz w:val="20"/>
          <w:szCs w:val="20"/>
        </w:rPr>
        <w:t xml:space="preserve"> bank manager should have abundant information to optimize their investment.    </w:t>
      </w:r>
    </w:p>
    <w:p w:rsidR="00444438" w:rsidRDefault="00E25332">
      <w:pPr>
        <w:ind w:firstLine="426"/>
        <w:jc w:val="both"/>
        <w:rPr>
          <w:rFonts w:asciiTheme="majorHAnsi" w:hAnsiTheme="majorHAnsi"/>
          <w:sz w:val="20"/>
          <w:szCs w:val="20"/>
        </w:rPr>
      </w:pPr>
      <w:r>
        <w:rPr>
          <w:rFonts w:asciiTheme="majorHAnsi" w:hAnsiTheme="majorHAnsi"/>
          <w:sz w:val="20"/>
          <w:szCs w:val="20"/>
        </w:rPr>
        <w:t xml:space="preserve">Our study focus the impact of intellectual capital application in banking industry since intellectual capital is more crucial in banking industry than any other industries. Banking industry uses </w:t>
      </w:r>
      <w:proofErr w:type="gramStart"/>
      <w:r>
        <w:rPr>
          <w:rFonts w:asciiTheme="majorHAnsi" w:hAnsiTheme="majorHAnsi"/>
          <w:sz w:val="20"/>
          <w:szCs w:val="20"/>
        </w:rPr>
        <w:t>a lot of</w:t>
      </w:r>
      <w:proofErr w:type="gramEnd"/>
      <w:r>
        <w:rPr>
          <w:rFonts w:asciiTheme="majorHAnsi" w:hAnsiTheme="majorHAnsi"/>
          <w:sz w:val="20"/>
          <w:szCs w:val="20"/>
        </w:rPr>
        <w:t xml:space="preserve"> intangible assets for its operation and survival (Kamath, 2007) and it is highly service-oriented industry (</w:t>
      </w:r>
      <w:proofErr w:type="spellStart"/>
      <w:r>
        <w:rPr>
          <w:rFonts w:asciiTheme="majorHAnsi" w:hAnsiTheme="majorHAnsi"/>
          <w:sz w:val="20"/>
          <w:szCs w:val="20"/>
        </w:rPr>
        <w:t>Meles</w:t>
      </w:r>
      <w:proofErr w:type="spellEnd"/>
      <w:r>
        <w:rPr>
          <w:rFonts w:asciiTheme="majorHAnsi" w:hAnsiTheme="majorHAnsi"/>
          <w:sz w:val="20"/>
          <w:szCs w:val="20"/>
        </w:rPr>
        <w:t xml:space="preserve"> et al. 2016). Nevertheless, most empirical intellectual capital studies only focus on conventional bank or </w:t>
      </w:r>
      <w:proofErr w:type="spellStart"/>
      <w:proofErr w:type="gramStart"/>
      <w:r>
        <w:rPr>
          <w:rFonts w:asciiTheme="majorHAnsi" w:hAnsiTheme="majorHAnsi"/>
          <w:sz w:val="20"/>
          <w:szCs w:val="20"/>
        </w:rPr>
        <w:t>islamic</w:t>
      </w:r>
      <w:proofErr w:type="spellEnd"/>
      <w:proofErr w:type="gramEnd"/>
      <w:r>
        <w:rPr>
          <w:rFonts w:asciiTheme="majorHAnsi" w:hAnsiTheme="majorHAnsi"/>
          <w:sz w:val="20"/>
          <w:szCs w:val="20"/>
        </w:rPr>
        <w:t xml:space="preserve"> bank only. Thus, in this study, we attempt to include conventional banks and </w:t>
      </w:r>
      <w:proofErr w:type="spellStart"/>
      <w:proofErr w:type="gramStart"/>
      <w:r>
        <w:rPr>
          <w:rFonts w:asciiTheme="majorHAnsi" w:hAnsiTheme="majorHAnsi"/>
          <w:sz w:val="20"/>
          <w:szCs w:val="20"/>
        </w:rPr>
        <w:t>islamic</w:t>
      </w:r>
      <w:proofErr w:type="spellEnd"/>
      <w:proofErr w:type="gramEnd"/>
      <w:r>
        <w:rPr>
          <w:rFonts w:asciiTheme="majorHAnsi" w:hAnsiTheme="majorHAnsi"/>
          <w:sz w:val="20"/>
          <w:szCs w:val="20"/>
        </w:rPr>
        <w:t xml:space="preserve"> banks. By examining both, we could compare and understand whether any differences of intellectual capital applied between them. </w:t>
      </w:r>
    </w:p>
    <w:p w:rsidR="00444438" w:rsidRDefault="00E25332">
      <w:pPr>
        <w:ind w:firstLine="426"/>
        <w:jc w:val="both"/>
        <w:rPr>
          <w:rFonts w:asciiTheme="majorHAnsi" w:hAnsiTheme="majorHAnsi"/>
          <w:sz w:val="20"/>
          <w:szCs w:val="20"/>
        </w:rPr>
      </w:pPr>
      <w:r>
        <w:rPr>
          <w:rFonts w:asciiTheme="majorHAnsi" w:hAnsiTheme="majorHAnsi"/>
          <w:sz w:val="20"/>
          <w:szCs w:val="20"/>
        </w:rPr>
        <w:t xml:space="preserve">In this study, we examine the effect of intellectual capital on bank profitability. Our sample is 102 conventional banks and 12 Islamic banks operated in Indonesia between 2010 and 2016. VAIC developed by </w:t>
      </w:r>
      <w:proofErr w:type="spellStart"/>
      <w:r>
        <w:rPr>
          <w:rFonts w:asciiTheme="majorHAnsi" w:hAnsiTheme="majorHAnsi"/>
          <w:sz w:val="20"/>
          <w:szCs w:val="20"/>
        </w:rPr>
        <w:t>Pulic</w:t>
      </w:r>
      <w:proofErr w:type="spellEnd"/>
      <w:r>
        <w:rPr>
          <w:rFonts w:asciiTheme="majorHAnsi" w:hAnsiTheme="majorHAnsi"/>
          <w:sz w:val="20"/>
          <w:szCs w:val="20"/>
        </w:rPr>
        <w:t xml:space="preserve"> (1998) </w:t>
      </w:r>
      <w:proofErr w:type="gramStart"/>
      <w:r>
        <w:rPr>
          <w:rFonts w:asciiTheme="majorHAnsi" w:hAnsiTheme="majorHAnsi"/>
          <w:sz w:val="20"/>
          <w:szCs w:val="20"/>
        </w:rPr>
        <w:t>is chosen</w:t>
      </w:r>
      <w:proofErr w:type="gramEnd"/>
      <w:r>
        <w:rPr>
          <w:rFonts w:asciiTheme="majorHAnsi" w:hAnsiTheme="majorHAnsi"/>
          <w:sz w:val="20"/>
          <w:szCs w:val="20"/>
        </w:rPr>
        <w:t xml:space="preserve"> to measure intellectual capital since this indicator is widely recognized as intellectual </w:t>
      </w:r>
      <w:r>
        <w:rPr>
          <w:rFonts w:asciiTheme="majorHAnsi" w:hAnsiTheme="majorHAnsi"/>
          <w:sz w:val="20"/>
          <w:szCs w:val="20"/>
        </w:rPr>
        <w:lastRenderedPageBreak/>
        <w:t xml:space="preserve">capital measurement in many intellectual capital studies. This research has also contribution to </w:t>
      </w:r>
      <w:proofErr w:type="spellStart"/>
      <w:proofErr w:type="gramStart"/>
      <w:r>
        <w:rPr>
          <w:rFonts w:asciiTheme="majorHAnsi" w:hAnsiTheme="majorHAnsi"/>
          <w:sz w:val="20"/>
          <w:szCs w:val="20"/>
        </w:rPr>
        <w:t>islamic</w:t>
      </w:r>
      <w:proofErr w:type="spellEnd"/>
      <w:proofErr w:type="gramEnd"/>
      <w:r>
        <w:rPr>
          <w:rFonts w:asciiTheme="majorHAnsi" w:hAnsiTheme="majorHAnsi"/>
          <w:sz w:val="20"/>
          <w:szCs w:val="20"/>
        </w:rPr>
        <w:t xml:space="preserve"> economics by examining the behavior of </w:t>
      </w:r>
      <w:proofErr w:type="spellStart"/>
      <w:r>
        <w:rPr>
          <w:rFonts w:asciiTheme="majorHAnsi" w:hAnsiTheme="majorHAnsi"/>
          <w:sz w:val="20"/>
          <w:szCs w:val="20"/>
        </w:rPr>
        <w:t>islamic</w:t>
      </w:r>
      <w:proofErr w:type="spellEnd"/>
      <w:r>
        <w:rPr>
          <w:rFonts w:asciiTheme="majorHAnsi" w:hAnsiTheme="majorHAnsi"/>
          <w:sz w:val="20"/>
          <w:szCs w:val="20"/>
        </w:rPr>
        <w:t xml:space="preserve"> banking. Based on </w:t>
      </w:r>
      <w:proofErr w:type="spellStart"/>
      <w:r>
        <w:rPr>
          <w:rFonts w:asciiTheme="majorHAnsi" w:hAnsiTheme="majorHAnsi"/>
          <w:sz w:val="20"/>
          <w:szCs w:val="20"/>
        </w:rPr>
        <w:t>Susamto</w:t>
      </w:r>
      <w:proofErr w:type="spellEnd"/>
      <w:r>
        <w:rPr>
          <w:rFonts w:asciiTheme="majorHAnsi" w:hAnsiTheme="majorHAnsi"/>
          <w:sz w:val="20"/>
          <w:szCs w:val="20"/>
        </w:rPr>
        <w:t xml:space="preserve"> (2018), our study has a contribution to </w:t>
      </w:r>
      <w:proofErr w:type="spellStart"/>
      <w:proofErr w:type="gramStart"/>
      <w:r>
        <w:rPr>
          <w:rFonts w:asciiTheme="majorHAnsi" w:hAnsiTheme="majorHAnsi"/>
          <w:sz w:val="20"/>
          <w:szCs w:val="20"/>
        </w:rPr>
        <w:t>islamic</w:t>
      </w:r>
      <w:proofErr w:type="spellEnd"/>
      <w:proofErr w:type="gramEnd"/>
      <w:r>
        <w:rPr>
          <w:rFonts w:asciiTheme="majorHAnsi" w:hAnsiTheme="majorHAnsi"/>
          <w:sz w:val="20"/>
          <w:szCs w:val="20"/>
        </w:rPr>
        <w:t xml:space="preserve"> economics by evaluating the actual behavior of </w:t>
      </w:r>
      <w:proofErr w:type="spellStart"/>
      <w:r>
        <w:rPr>
          <w:rFonts w:asciiTheme="majorHAnsi" w:hAnsiTheme="majorHAnsi"/>
          <w:sz w:val="20"/>
          <w:szCs w:val="20"/>
        </w:rPr>
        <w:t>islamic</w:t>
      </w:r>
      <w:proofErr w:type="spellEnd"/>
      <w:r>
        <w:rPr>
          <w:rFonts w:asciiTheme="majorHAnsi" w:hAnsiTheme="majorHAnsi"/>
          <w:sz w:val="20"/>
          <w:szCs w:val="20"/>
        </w:rPr>
        <w:t xml:space="preserve"> banks in managing their intellectual capital and compare it to the behavior of conventional banks. Thus, our study can be an advice to move the behavior </w:t>
      </w:r>
      <w:proofErr w:type="spellStart"/>
      <w:proofErr w:type="gramStart"/>
      <w:r>
        <w:rPr>
          <w:rFonts w:asciiTheme="majorHAnsi" w:hAnsiTheme="majorHAnsi"/>
          <w:sz w:val="20"/>
          <w:szCs w:val="20"/>
        </w:rPr>
        <w:t>islamic</w:t>
      </w:r>
      <w:proofErr w:type="spellEnd"/>
      <w:proofErr w:type="gramEnd"/>
      <w:r>
        <w:rPr>
          <w:rFonts w:asciiTheme="majorHAnsi" w:hAnsiTheme="majorHAnsi"/>
          <w:sz w:val="20"/>
          <w:szCs w:val="20"/>
        </w:rPr>
        <w:t xml:space="preserve"> banks to be closer to its ideal. In addition, the number of studies that using conventional and </w:t>
      </w:r>
      <w:proofErr w:type="spellStart"/>
      <w:proofErr w:type="gramStart"/>
      <w:r>
        <w:rPr>
          <w:rFonts w:asciiTheme="majorHAnsi" w:hAnsiTheme="majorHAnsi"/>
          <w:sz w:val="20"/>
          <w:szCs w:val="20"/>
        </w:rPr>
        <w:t>islamic</w:t>
      </w:r>
      <w:proofErr w:type="spellEnd"/>
      <w:proofErr w:type="gramEnd"/>
      <w:r>
        <w:rPr>
          <w:rFonts w:asciiTheme="majorHAnsi" w:hAnsiTheme="majorHAnsi"/>
          <w:sz w:val="20"/>
          <w:szCs w:val="20"/>
        </w:rPr>
        <w:t xml:space="preserve"> banks data and comparing the result is relatively limited. Most of studies of intellectual capital only analyze either </w:t>
      </w:r>
      <w:proofErr w:type="spellStart"/>
      <w:proofErr w:type="gramStart"/>
      <w:r>
        <w:rPr>
          <w:rFonts w:asciiTheme="majorHAnsi" w:hAnsiTheme="majorHAnsi"/>
          <w:sz w:val="20"/>
          <w:szCs w:val="20"/>
        </w:rPr>
        <w:t>islamic</w:t>
      </w:r>
      <w:proofErr w:type="spellEnd"/>
      <w:proofErr w:type="gramEnd"/>
      <w:r>
        <w:rPr>
          <w:rFonts w:asciiTheme="majorHAnsi" w:hAnsiTheme="majorHAnsi"/>
          <w:sz w:val="20"/>
          <w:szCs w:val="20"/>
        </w:rPr>
        <w:t xml:space="preserve"> banks, conventional banks, or never care its types.  </w:t>
      </w:r>
    </w:p>
    <w:p w:rsidR="00444438" w:rsidRDefault="00E25332">
      <w:pPr>
        <w:spacing w:after="0" w:line="240" w:lineRule="auto"/>
        <w:ind w:firstLine="567"/>
        <w:jc w:val="both"/>
        <w:rPr>
          <w:rFonts w:asciiTheme="majorHAnsi" w:eastAsia="Times New Roman" w:hAnsiTheme="majorHAnsi" w:cs="Times New Roman"/>
          <w:color w:val="000000"/>
          <w:sz w:val="20"/>
          <w:szCs w:val="20"/>
          <w:shd w:val="clear" w:color="auto" w:fill="FFFFFF"/>
        </w:rPr>
      </w:pPr>
      <w:r>
        <w:rPr>
          <w:rFonts w:asciiTheme="majorHAnsi" w:hAnsiTheme="majorHAnsi"/>
          <w:sz w:val="20"/>
          <w:szCs w:val="20"/>
        </w:rPr>
        <w:t xml:space="preserve">Our study consists of five sections. The first section reveals the importance of this study. The second section explains the concept of intellectual capital and reviews some intellectual capital literature. The third section explains data, variables and methods. In the fourth section, the empirical results </w:t>
      </w:r>
      <w:proofErr w:type="gramStart"/>
      <w:r>
        <w:rPr>
          <w:rFonts w:asciiTheme="majorHAnsi" w:hAnsiTheme="majorHAnsi"/>
          <w:sz w:val="20"/>
          <w:szCs w:val="20"/>
        </w:rPr>
        <w:t>are reviewed</w:t>
      </w:r>
      <w:proofErr w:type="gramEnd"/>
      <w:r>
        <w:rPr>
          <w:rFonts w:asciiTheme="majorHAnsi" w:hAnsiTheme="majorHAnsi"/>
          <w:sz w:val="20"/>
          <w:szCs w:val="20"/>
        </w:rPr>
        <w:t>. The last section summarizes the result of this study</w:t>
      </w:r>
    </w:p>
    <w:p w:rsidR="00444438" w:rsidRDefault="00444438">
      <w:pPr>
        <w:spacing w:after="0" w:line="240" w:lineRule="auto"/>
        <w:ind w:firstLine="567"/>
        <w:jc w:val="both"/>
        <w:rPr>
          <w:rFonts w:ascii="Trebuchet MS" w:eastAsia="Times New Roman" w:hAnsi="Trebuchet MS" w:cs="Times New Roman"/>
          <w:color w:val="000000"/>
          <w:sz w:val="20"/>
          <w:szCs w:val="20"/>
          <w:shd w:val="clear" w:color="auto" w:fill="FFFFFF"/>
        </w:rPr>
      </w:pPr>
    </w:p>
    <w:p w:rsidR="00444438" w:rsidRDefault="00444438">
      <w:pPr>
        <w:spacing w:after="0" w:line="240" w:lineRule="auto"/>
        <w:ind w:firstLine="567"/>
        <w:jc w:val="both"/>
        <w:rPr>
          <w:rFonts w:ascii="Book Antiqua" w:eastAsia="Times New Roman" w:hAnsi="Book Antiqua" w:cs="Times New Roman"/>
          <w:sz w:val="24"/>
          <w:szCs w:val="24"/>
        </w:rPr>
      </w:pPr>
    </w:p>
    <w:p w:rsidR="00444438" w:rsidRDefault="00E25332">
      <w:pPr>
        <w:pStyle w:val="ListParagraph"/>
        <w:numPr>
          <w:ilvl w:val="0"/>
          <w:numId w:val="1"/>
        </w:numPr>
        <w:ind w:left="567" w:hanging="567"/>
        <w:rPr>
          <w:rFonts w:cs="Calibri"/>
          <w:b/>
          <w:sz w:val="24"/>
          <w:szCs w:val="24"/>
        </w:rPr>
      </w:pPr>
      <w:r>
        <w:rPr>
          <w:rFonts w:cs="Calibri"/>
          <w:b/>
          <w:sz w:val="24"/>
          <w:szCs w:val="24"/>
        </w:rPr>
        <w:t>Hypotheses Development</w:t>
      </w:r>
    </w:p>
    <w:p w:rsidR="00444438" w:rsidRDefault="00444438">
      <w:pPr>
        <w:pStyle w:val="ListParagraph"/>
        <w:ind w:left="567"/>
        <w:rPr>
          <w:rFonts w:cs="Calibri"/>
          <w:b/>
          <w:sz w:val="24"/>
          <w:szCs w:val="24"/>
        </w:rPr>
      </w:pPr>
    </w:p>
    <w:p w:rsidR="00444438" w:rsidRDefault="00E25332">
      <w:pPr>
        <w:pStyle w:val="ListParagraph"/>
        <w:spacing w:after="0" w:line="240" w:lineRule="auto"/>
        <w:ind w:left="567"/>
        <w:rPr>
          <w:rFonts w:ascii="Times New Roman" w:hAnsi="Times New Roman"/>
          <w:b/>
          <w:i/>
          <w:sz w:val="20"/>
        </w:rPr>
      </w:pPr>
      <w:r>
        <w:rPr>
          <w:rFonts w:ascii="Times New Roman" w:hAnsi="Times New Roman"/>
          <w:b/>
          <w:i/>
          <w:sz w:val="20"/>
        </w:rPr>
        <w:t>The Development of Intellectual Capital</w:t>
      </w:r>
    </w:p>
    <w:p w:rsidR="00444438" w:rsidRDefault="00444438">
      <w:pPr>
        <w:pStyle w:val="ListParagraph"/>
        <w:spacing w:after="0" w:line="240" w:lineRule="auto"/>
        <w:ind w:left="0"/>
        <w:rPr>
          <w:rFonts w:ascii="Times New Roman" w:hAnsi="Times New Roman"/>
          <w:b/>
          <w:i/>
          <w:sz w:val="20"/>
        </w:rPr>
      </w:pPr>
    </w:p>
    <w:p w:rsidR="00444438" w:rsidRDefault="00E25332">
      <w:pPr>
        <w:ind w:firstLine="426"/>
        <w:jc w:val="both"/>
        <w:rPr>
          <w:rFonts w:asciiTheme="majorHAnsi" w:hAnsiTheme="majorHAnsi"/>
          <w:sz w:val="20"/>
          <w:szCs w:val="20"/>
        </w:rPr>
      </w:pPr>
      <w:r>
        <w:rPr>
          <w:rFonts w:asciiTheme="majorHAnsi" w:hAnsiTheme="majorHAnsi"/>
          <w:sz w:val="20"/>
          <w:szCs w:val="20"/>
        </w:rPr>
        <w:t xml:space="preserve">In the last decade, intellectual capital has considered as an important driver in creating </w:t>
      </w:r>
      <w:proofErr w:type="gramStart"/>
      <w:r>
        <w:rPr>
          <w:rFonts w:asciiTheme="majorHAnsi" w:hAnsiTheme="majorHAnsi"/>
          <w:sz w:val="20"/>
          <w:szCs w:val="20"/>
        </w:rPr>
        <w:t>added value</w:t>
      </w:r>
      <w:proofErr w:type="gramEnd"/>
      <w:r>
        <w:rPr>
          <w:rFonts w:asciiTheme="majorHAnsi" w:hAnsiTheme="majorHAnsi"/>
          <w:sz w:val="20"/>
          <w:szCs w:val="20"/>
        </w:rPr>
        <w:t xml:space="preserve"> for the firms. However, intellectual capital is often shows as intangible assets and </w:t>
      </w:r>
      <w:proofErr w:type="gramStart"/>
      <w:r>
        <w:rPr>
          <w:rFonts w:asciiTheme="majorHAnsi" w:hAnsiTheme="majorHAnsi"/>
          <w:sz w:val="20"/>
          <w:szCs w:val="20"/>
        </w:rPr>
        <w:t>is not shown</w:t>
      </w:r>
      <w:proofErr w:type="gramEnd"/>
      <w:r>
        <w:rPr>
          <w:rFonts w:asciiTheme="majorHAnsi" w:hAnsiTheme="majorHAnsi"/>
          <w:sz w:val="20"/>
          <w:szCs w:val="20"/>
        </w:rPr>
        <w:t xml:space="preserve"> on balance sheet explicitly (</w:t>
      </w:r>
      <w:proofErr w:type="spellStart"/>
      <w:r>
        <w:rPr>
          <w:rFonts w:asciiTheme="majorHAnsi" w:hAnsiTheme="majorHAnsi"/>
          <w:sz w:val="20"/>
          <w:szCs w:val="20"/>
        </w:rPr>
        <w:t>Edvinsson</w:t>
      </w:r>
      <w:proofErr w:type="spellEnd"/>
      <w:r>
        <w:rPr>
          <w:rFonts w:asciiTheme="majorHAnsi" w:hAnsiTheme="majorHAnsi"/>
          <w:sz w:val="20"/>
          <w:szCs w:val="20"/>
        </w:rPr>
        <w:t xml:space="preserve">, 1996). Thus, researchers have tried to take identify element that formed intellectual capital. Then, its lead </w:t>
      </w:r>
      <w:proofErr w:type="gramStart"/>
      <w:r>
        <w:rPr>
          <w:rFonts w:asciiTheme="majorHAnsi" w:hAnsiTheme="majorHAnsi"/>
          <w:sz w:val="20"/>
          <w:szCs w:val="20"/>
        </w:rPr>
        <w:t>to</w:t>
      </w:r>
      <w:proofErr w:type="gramEnd"/>
      <w:r>
        <w:rPr>
          <w:rFonts w:asciiTheme="majorHAnsi" w:hAnsiTheme="majorHAnsi"/>
          <w:sz w:val="20"/>
          <w:szCs w:val="20"/>
        </w:rPr>
        <w:t xml:space="preserve"> many varieties of definitions. Take for example; Martinez and Garcia-</w:t>
      </w:r>
      <w:proofErr w:type="spellStart"/>
      <w:r>
        <w:rPr>
          <w:rFonts w:asciiTheme="majorHAnsi" w:hAnsiTheme="majorHAnsi"/>
          <w:sz w:val="20"/>
          <w:szCs w:val="20"/>
        </w:rPr>
        <w:t>Meca</w:t>
      </w:r>
      <w:proofErr w:type="spellEnd"/>
      <w:r>
        <w:rPr>
          <w:rFonts w:asciiTheme="majorHAnsi" w:hAnsiTheme="majorHAnsi"/>
          <w:sz w:val="20"/>
          <w:szCs w:val="20"/>
        </w:rPr>
        <w:t xml:space="preserve"> (2005) propose that intellectual capital consists of knowledge, information, intellectual property and experience that can create wealth. </w:t>
      </w:r>
      <w:proofErr w:type="spellStart"/>
      <w:r>
        <w:rPr>
          <w:rFonts w:asciiTheme="majorHAnsi" w:hAnsiTheme="majorHAnsi"/>
          <w:sz w:val="20"/>
          <w:szCs w:val="20"/>
        </w:rPr>
        <w:t>Bayburina</w:t>
      </w:r>
      <w:proofErr w:type="spellEnd"/>
      <w:r>
        <w:rPr>
          <w:rFonts w:asciiTheme="majorHAnsi" w:hAnsiTheme="majorHAnsi"/>
          <w:sz w:val="20"/>
          <w:szCs w:val="20"/>
        </w:rPr>
        <w:t xml:space="preserve"> and </w:t>
      </w:r>
      <w:proofErr w:type="spellStart"/>
      <w:r>
        <w:rPr>
          <w:rFonts w:asciiTheme="majorHAnsi" w:hAnsiTheme="majorHAnsi"/>
          <w:sz w:val="20"/>
          <w:szCs w:val="20"/>
        </w:rPr>
        <w:t>Golovko</w:t>
      </w:r>
      <w:proofErr w:type="spellEnd"/>
      <w:r>
        <w:rPr>
          <w:rFonts w:asciiTheme="majorHAnsi" w:hAnsiTheme="majorHAnsi"/>
          <w:sz w:val="20"/>
          <w:szCs w:val="20"/>
        </w:rPr>
        <w:t xml:space="preserve"> (2009) explain that intellectual capital includes human capital, process capital, client capital, innovation capital, and network capital. (</w:t>
      </w:r>
      <w:proofErr w:type="spellStart"/>
      <w:r>
        <w:rPr>
          <w:rFonts w:asciiTheme="majorHAnsi" w:hAnsiTheme="majorHAnsi"/>
          <w:sz w:val="20"/>
          <w:szCs w:val="20"/>
        </w:rPr>
        <w:t>Bontis</w:t>
      </w:r>
      <w:proofErr w:type="spellEnd"/>
      <w:r>
        <w:rPr>
          <w:rFonts w:asciiTheme="majorHAnsi" w:hAnsiTheme="majorHAnsi"/>
          <w:sz w:val="20"/>
          <w:szCs w:val="20"/>
        </w:rPr>
        <w:t xml:space="preserve">, 1999) defines intellectual capital as a set human capital, relational capital, and structural capital. </w:t>
      </w:r>
    </w:p>
    <w:p w:rsidR="00444438" w:rsidRDefault="00E25332">
      <w:pPr>
        <w:ind w:firstLine="426"/>
        <w:jc w:val="both"/>
        <w:rPr>
          <w:rFonts w:asciiTheme="majorHAnsi" w:hAnsiTheme="majorHAnsi"/>
          <w:sz w:val="20"/>
          <w:szCs w:val="20"/>
        </w:rPr>
      </w:pPr>
      <w:r>
        <w:rPr>
          <w:rFonts w:asciiTheme="majorHAnsi" w:hAnsiTheme="majorHAnsi"/>
          <w:sz w:val="20"/>
          <w:szCs w:val="20"/>
        </w:rPr>
        <w:t xml:space="preserve">Human capital </w:t>
      </w:r>
      <w:proofErr w:type="gramStart"/>
      <w:r>
        <w:rPr>
          <w:rFonts w:asciiTheme="majorHAnsi" w:hAnsiTheme="majorHAnsi"/>
          <w:sz w:val="20"/>
          <w:szCs w:val="20"/>
        </w:rPr>
        <w:t>is defined</w:t>
      </w:r>
      <w:proofErr w:type="gramEnd"/>
      <w:r>
        <w:rPr>
          <w:rFonts w:asciiTheme="majorHAnsi" w:hAnsiTheme="majorHAnsi"/>
          <w:sz w:val="20"/>
          <w:szCs w:val="20"/>
        </w:rPr>
        <w:t xml:space="preserve"> as collection of individual or employees’ knowledge, skills and expertise that formed organization character (</w:t>
      </w:r>
      <w:proofErr w:type="spellStart"/>
      <w:r>
        <w:rPr>
          <w:rFonts w:asciiTheme="majorHAnsi" w:hAnsiTheme="majorHAnsi"/>
          <w:sz w:val="20"/>
          <w:szCs w:val="20"/>
        </w:rPr>
        <w:t>Bontis</w:t>
      </w:r>
      <w:proofErr w:type="spellEnd"/>
      <w:r>
        <w:rPr>
          <w:rFonts w:asciiTheme="majorHAnsi" w:hAnsiTheme="majorHAnsi"/>
          <w:sz w:val="20"/>
          <w:szCs w:val="20"/>
        </w:rPr>
        <w:t>, 1999). It is the main source of innovation and strategic renewal within organization. Structural capital presents the mechanism and organization structures that support employee to generate their optimum performance and thus enhance organization’s competitive advantage (</w:t>
      </w:r>
      <w:proofErr w:type="spellStart"/>
      <w:r>
        <w:rPr>
          <w:rFonts w:asciiTheme="majorHAnsi" w:hAnsiTheme="majorHAnsi"/>
          <w:sz w:val="20"/>
          <w:szCs w:val="20"/>
        </w:rPr>
        <w:t>Bontis</w:t>
      </w:r>
      <w:proofErr w:type="spellEnd"/>
      <w:r>
        <w:rPr>
          <w:rFonts w:asciiTheme="majorHAnsi" w:hAnsiTheme="majorHAnsi"/>
          <w:sz w:val="20"/>
          <w:szCs w:val="20"/>
        </w:rPr>
        <w:t xml:space="preserve">, 1999). Databases, organization chart, management processes, procedures and business strategies are items related to structural capital. Structural capital </w:t>
      </w:r>
      <w:proofErr w:type="gramStart"/>
      <w:r>
        <w:rPr>
          <w:rFonts w:asciiTheme="majorHAnsi" w:hAnsiTheme="majorHAnsi"/>
          <w:sz w:val="20"/>
          <w:szCs w:val="20"/>
        </w:rPr>
        <w:t>can be referred</w:t>
      </w:r>
      <w:proofErr w:type="gramEnd"/>
      <w:r>
        <w:rPr>
          <w:rFonts w:asciiTheme="majorHAnsi" w:hAnsiTheme="majorHAnsi"/>
          <w:sz w:val="20"/>
          <w:szCs w:val="20"/>
        </w:rPr>
        <w:t xml:space="preserve"> as an activity that have been </w:t>
      </w:r>
      <w:proofErr w:type="spellStart"/>
      <w:r>
        <w:rPr>
          <w:rFonts w:asciiTheme="majorHAnsi" w:hAnsiTheme="majorHAnsi"/>
          <w:sz w:val="20"/>
          <w:szCs w:val="20"/>
        </w:rPr>
        <w:t>planed</w:t>
      </w:r>
      <w:proofErr w:type="spellEnd"/>
      <w:r>
        <w:rPr>
          <w:rFonts w:asciiTheme="majorHAnsi" w:hAnsiTheme="majorHAnsi"/>
          <w:sz w:val="20"/>
          <w:szCs w:val="20"/>
        </w:rPr>
        <w:t xml:space="preserve"> and usually tend to have repetitive traits. Relational Capital (RC) is the complex relationship between organization and external world (</w:t>
      </w:r>
      <w:proofErr w:type="spellStart"/>
      <w:r>
        <w:rPr>
          <w:rFonts w:asciiTheme="majorHAnsi" w:hAnsiTheme="majorHAnsi"/>
          <w:sz w:val="20"/>
          <w:szCs w:val="20"/>
        </w:rPr>
        <w:t>Meles</w:t>
      </w:r>
      <w:proofErr w:type="spellEnd"/>
      <w:r>
        <w:rPr>
          <w:rFonts w:asciiTheme="majorHAnsi" w:hAnsiTheme="majorHAnsi"/>
          <w:sz w:val="20"/>
          <w:szCs w:val="20"/>
        </w:rPr>
        <w:t>, et al 2016). Relational Capital refers to all intangible assets, which regulate and manage the relationships of an organization. It comprises the organization's relationships with its customers, suppliers, shareholders and other stakeholders (</w:t>
      </w:r>
      <w:proofErr w:type="spellStart"/>
      <w:r>
        <w:rPr>
          <w:rFonts w:asciiTheme="majorHAnsi" w:hAnsiTheme="majorHAnsi"/>
          <w:sz w:val="20"/>
          <w:szCs w:val="20"/>
        </w:rPr>
        <w:t>Ozkan</w:t>
      </w:r>
      <w:proofErr w:type="spellEnd"/>
      <w:r>
        <w:rPr>
          <w:rFonts w:asciiTheme="majorHAnsi" w:hAnsiTheme="majorHAnsi"/>
          <w:sz w:val="20"/>
          <w:szCs w:val="20"/>
        </w:rPr>
        <w:t xml:space="preserve"> et al. 2017).</w:t>
      </w:r>
    </w:p>
    <w:p w:rsidR="00444438" w:rsidRDefault="00E25332">
      <w:pPr>
        <w:ind w:firstLine="426"/>
        <w:jc w:val="both"/>
        <w:rPr>
          <w:rFonts w:asciiTheme="majorHAnsi" w:hAnsiTheme="majorHAnsi"/>
          <w:sz w:val="20"/>
          <w:szCs w:val="20"/>
        </w:rPr>
      </w:pPr>
      <w:proofErr w:type="gramStart"/>
      <w:r>
        <w:rPr>
          <w:rFonts w:asciiTheme="majorHAnsi" w:hAnsiTheme="majorHAnsi"/>
          <w:sz w:val="20"/>
          <w:szCs w:val="20"/>
        </w:rPr>
        <w:t>However, there is no measurement that can represent those three elements perfectly.</w:t>
      </w:r>
      <w:proofErr w:type="gramEnd"/>
      <w:r>
        <w:rPr>
          <w:rFonts w:asciiTheme="majorHAnsi" w:hAnsiTheme="majorHAnsi"/>
          <w:sz w:val="20"/>
          <w:szCs w:val="20"/>
        </w:rPr>
        <w:t xml:space="preserve"> The indicators expressing intellectual capital tend to apply subjective judgment (</w:t>
      </w:r>
      <w:proofErr w:type="spellStart"/>
      <w:r>
        <w:rPr>
          <w:rFonts w:asciiTheme="majorHAnsi" w:hAnsiTheme="majorHAnsi"/>
          <w:sz w:val="20"/>
          <w:szCs w:val="20"/>
        </w:rPr>
        <w:t>Pulic</w:t>
      </w:r>
      <w:proofErr w:type="spellEnd"/>
      <w:r>
        <w:rPr>
          <w:rFonts w:asciiTheme="majorHAnsi" w:hAnsiTheme="majorHAnsi"/>
          <w:sz w:val="20"/>
          <w:szCs w:val="20"/>
        </w:rPr>
        <w:t xml:space="preserve">, 1998). Thus, </w:t>
      </w:r>
      <w:proofErr w:type="spellStart"/>
      <w:r>
        <w:rPr>
          <w:rFonts w:asciiTheme="majorHAnsi" w:hAnsiTheme="majorHAnsi"/>
          <w:sz w:val="20"/>
          <w:szCs w:val="20"/>
        </w:rPr>
        <w:t>Pulic</w:t>
      </w:r>
      <w:proofErr w:type="spellEnd"/>
      <w:r>
        <w:rPr>
          <w:rFonts w:asciiTheme="majorHAnsi" w:hAnsiTheme="majorHAnsi"/>
          <w:sz w:val="20"/>
          <w:szCs w:val="20"/>
        </w:rPr>
        <w:t xml:space="preserve"> (1998) propose indicators that can minimize the bias, namely value added intellectual coefficient (VAIC). Based on operational definition, </w:t>
      </w:r>
      <w:r>
        <w:rPr>
          <w:rFonts w:asciiTheme="majorHAnsi" w:hAnsiTheme="majorHAnsi"/>
          <w:caps/>
          <w:sz w:val="20"/>
          <w:szCs w:val="20"/>
        </w:rPr>
        <w:t>VAIC</w:t>
      </w:r>
      <w:r>
        <w:rPr>
          <w:rFonts w:asciiTheme="majorHAnsi" w:hAnsiTheme="majorHAnsi"/>
          <w:sz w:val="20"/>
          <w:szCs w:val="20"/>
        </w:rPr>
        <w:t xml:space="preserve"> calculates the contribution of human capital, structural capital, and physical capital in creating value added for the firm. It changes relational capital to physical capital because physical capital </w:t>
      </w:r>
      <w:proofErr w:type="gramStart"/>
      <w:r>
        <w:rPr>
          <w:rFonts w:asciiTheme="majorHAnsi" w:hAnsiTheme="majorHAnsi"/>
          <w:sz w:val="20"/>
          <w:szCs w:val="20"/>
        </w:rPr>
        <w:t>can be expressed and calculated in monetary terms easier than relational capital</w:t>
      </w:r>
      <w:proofErr w:type="gramEnd"/>
      <w:r>
        <w:rPr>
          <w:rFonts w:asciiTheme="majorHAnsi" w:hAnsiTheme="majorHAnsi"/>
          <w:sz w:val="20"/>
          <w:szCs w:val="20"/>
        </w:rPr>
        <w:t xml:space="preserve">. Physical capital has important role in creating value added because it helps human capital and structural capital to perform well. Firms that have better physical capital can provide more facilities and utilities to support employee in applying their knowledge and procedures. Nowadays, VAIC is widely accepted in almost every intellectual capital empirical studies in measuring intellectual capital. </w:t>
      </w:r>
    </w:p>
    <w:p w:rsidR="00444438" w:rsidRDefault="00E25332">
      <w:pPr>
        <w:ind w:firstLine="426"/>
        <w:jc w:val="both"/>
        <w:rPr>
          <w:rFonts w:asciiTheme="majorHAnsi" w:hAnsiTheme="majorHAnsi"/>
          <w:sz w:val="20"/>
          <w:szCs w:val="20"/>
        </w:rPr>
      </w:pPr>
      <w:proofErr w:type="spellStart"/>
      <w:r>
        <w:rPr>
          <w:rFonts w:asciiTheme="majorHAnsi" w:hAnsiTheme="majorHAnsi"/>
          <w:sz w:val="20"/>
          <w:szCs w:val="20"/>
        </w:rPr>
        <w:t>Pulic’s</w:t>
      </w:r>
      <w:proofErr w:type="spellEnd"/>
      <w:r>
        <w:rPr>
          <w:rFonts w:asciiTheme="majorHAnsi" w:hAnsiTheme="majorHAnsi"/>
          <w:sz w:val="20"/>
          <w:szCs w:val="20"/>
        </w:rPr>
        <w:t xml:space="preserve"> concept of intellectual capital also aligns with resource-based view. Resource-based view sees the exploitation of physical capital in firm needs socially complex resources (Barney, 1991). Firms that </w:t>
      </w:r>
      <w:proofErr w:type="spellStart"/>
      <w:r>
        <w:rPr>
          <w:rFonts w:asciiTheme="majorHAnsi" w:hAnsiTheme="majorHAnsi"/>
          <w:sz w:val="20"/>
          <w:szCs w:val="20"/>
        </w:rPr>
        <w:t>posses</w:t>
      </w:r>
      <w:proofErr w:type="spellEnd"/>
      <w:r>
        <w:rPr>
          <w:rFonts w:asciiTheme="majorHAnsi" w:hAnsiTheme="majorHAnsi"/>
          <w:sz w:val="20"/>
          <w:szCs w:val="20"/>
        </w:rPr>
        <w:t xml:space="preserve"> this socially complex resources can fully exploit their physical capital efficiently more than other </w:t>
      </w:r>
      <w:proofErr w:type="gramStart"/>
      <w:r>
        <w:rPr>
          <w:rFonts w:asciiTheme="majorHAnsi" w:hAnsiTheme="majorHAnsi"/>
          <w:sz w:val="20"/>
          <w:szCs w:val="20"/>
        </w:rPr>
        <w:t>firms</w:t>
      </w:r>
      <w:proofErr w:type="gramEnd"/>
      <w:r>
        <w:rPr>
          <w:rFonts w:asciiTheme="majorHAnsi" w:hAnsiTheme="majorHAnsi"/>
          <w:sz w:val="20"/>
          <w:szCs w:val="20"/>
        </w:rPr>
        <w:t xml:space="preserve">. These socially complex resources are intangible asset associated with culture, knowledge, social relations, business strategy, etc. </w:t>
      </w:r>
    </w:p>
    <w:p w:rsidR="00444438" w:rsidRDefault="00E25332">
      <w:pPr>
        <w:ind w:firstLine="720"/>
        <w:jc w:val="both"/>
        <w:rPr>
          <w:rFonts w:asciiTheme="majorHAnsi" w:hAnsiTheme="majorHAnsi"/>
          <w:sz w:val="20"/>
          <w:szCs w:val="20"/>
        </w:rPr>
      </w:pPr>
      <w:r>
        <w:rPr>
          <w:rFonts w:asciiTheme="majorHAnsi" w:hAnsiTheme="majorHAnsi"/>
          <w:sz w:val="20"/>
          <w:szCs w:val="20"/>
        </w:rPr>
        <w:t xml:space="preserve">There are </w:t>
      </w:r>
      <w:proofErr w:type="gramStart"/>
      <w:r>
        <w:rPr>
          <w:rFonts w:asciiTheme="majorHAnsi" w:hAnsiTheme="majorHAnsi"/>
          <w:sz w:val="20"/>
          <w:szCs w:val="20"/>
        </w:rPr>
        <w:t>a lot of</w:t>
      </w:r>
      <w:proofErr w:type="gramEnd"/>
      <w:r>
        <w:rPr>
          <w:rFonts w:asciiTheme="majorHAnsi" w:hAnsiTheme="majorHAnsi"/>
          <w:sz w:val="20"/>
          <w:szCs w:val="20"/>
        </w:rPr>
        <w:t xml:space="preserve"> studies that have conducted by various researchers. Using 17 </w:t>
      </w:r>
      <w:proofErr w:type="spellStart"/>
      <w:proofErr w:type="gramStart"/>
      <w:r>
        <w:rPr>
          <w:rFonts w:asciiTheme="majorHAnsi" w:hAnsiTheme="majorHAnsi"/>
          <w:sz w:val="20"/>
          <w:szCs w:val="20"/>
        </w:rPr>
        <w:t>islamic</w:t>
      </w:r>
      <w:proofErr w:type="spellEnd"/>
      <w:proofErr w:type="gramEnd"/>
      <w:r>
        <w:rPr>
          <w:rFonts w:asciiTheme="majorHAnsi" w:hAnsiTheme="majorHAnsi"/>
          <w:sz w:val="20"/>
          <w:szCs w:val="20"/>
        </w:rPr>
        <w:t xml:space="preserve"> banks in Malaysia, </w:t>
      </w:r>
      <w:proofErr w:type="spellStart"/>
      <w:r>
        <w:rPr>
          <w:rFonts w:asciiTheme="majorHAnsi" w:hAnsiTheme="majorHAnsi"/>
          <w:sz w:val="20"/>
          <w:szCs w:val="20"/>
        </w:rPr>
        <w:t>Ousama</w:t>
      </w:r>
      <w:proofErr w:type="spellEnd"/>
      <w:r>
        <w:rPr>
          <w:rFonts w:asciiTheme="majorHAnsi" w:hAnsiTheme="majorHAnsi"/>
          <w:sz w:val="20"/>
          <w:szCs w:val="20"/>
        </w:rPr>
        <w:t xml:space="preserve"> and Fatima (2015) found VAIC had positive effect on return on asset and return on equity. They also found that all components of VAIC had positive effect on return on equity, while only CEE that had positive effect on return on asset. Using 5749 annually US banks from 2005 to 2012, </w:t>
      </w:r>
      <w:proofErr w:type="spellStart"/>
      <w:r>
        <w:rPr>
          <w:rFonts w:asciiTheme="majorHAnsi" w:hAnsiTheme="majorHAnsi"/>
          <w:sz w:val="20"/>
          <w:szCs w:val="20"/>
        </w:rPr>
        <w:t>Meles</w:t>
      </w:r>
      <w:proofErr w:type="spellEnd"/>
      <w:r>
        <w:rPr>
          <w:rFonts w:asciiTheme="majorHAnsi" w:hAnsiTheme="majorHAnsi"/>
          <w:sz w:val="20"/>
          <w:szCs w:val="20"/>
        </w:rPr>
        <w:t xml:space="preserve"> et al. (2016) found that VAIC had positive effect on return on average assets and return on average equity. </w:t>
      </w:r>
    </w:p>
    <w:p w:rsidR="00444438" w:rsidRDefault="00E25332">
      <w:pPr>
        <w:ind w:firstLine="720"/>
        <w:jc w:val="both"/>
        <w:rPr>
          <w:rFonts w:asciiTheme="majorHAnsi" w:hAnsiTheme="majorHAnsi"/>
          <w:sz w:val="20"/>
          <w:szCs w:val="20"/>
        </w:rPr>
      </w:pPr>
      <w:r>
        <w:rPr>
          <w:rFonts w:asciiTheme="majorHAnsi" w:hAnsiTheme="majorHAnsi"/>
          <w:sz w:val="20"/>
          <w:szCs w:val="20"/>
        </w:rPr>
        <w:t xml:space="preserve">Some studies have found other results regarding on the correlation between VAIC and bank profitability. </w:t>
      </w:r>
      <w:proofErr w:type="spellStart"/>
      <w:r>
        <w:rPr>
          <w:rFonts w:asciiTheme="majorHAnsi" w:hAnsiTheme="majorHAnsi"/>
          <w:sz w:val="20"/>
          <w:szCs w:val="20"/>
        </w:rPr>
        <w:t>Ozkan</w:t>
      </w:r>
      <w:proofErr w:type="spellEnd"/>
      <w:r>
        <w:rPr>
          <w:rFonts w:asciiTheme="majorHAnsi" w:hAnsiTheme="majorHAnsi"/>
          <w:sz w:val="20"/>
          <w:szCs w:val="20"/>
        </w:rPr>
        <w:t xml:space="preserve"> et al. (2017) using data of 44 Turkey banks found that there was no significant effect between VAIC and return on asset. For VAIC components, only HCE and CEE had positive effect on return on asset. Puntillo (2009), using data of 21 banks listed in Italian Stock Exchange, found that only CEE that has positive impact on return on asset.  </w:t>
      </w:r>
    </w:p>
    <w:p w:rsidR="00444438" w:rsidRDefault="00E25332">
      <w:pPr>
        <w:ind w:firstLine="720"/>
        <w:jc w:val="both"/>
        <w:rPr>
          <w:rFonts w:asciiTheme="majorHAnsi" w:hAnsiTheme="majorHAnsi"/>
          <w:sz w:val="20"/>
          <w:szCs w:val="20"/>
        </w:rPr>
      </w:pPr>
      <w:r>
        <w:rPr>
          <w:rFonts w:asciiTheme="majorHAnsi" w:hAnsiTheme="majorHAnsi"/>
          <w:sz w:val="20"/>
          <w:szCs w:val="20"/>
        </w:rPr>
        <w:t xml:space="preserve">Previous empirical studies were mostly only focused on one type of bank, neither </w:t>
      </w:r>
      <w:proofErr w:type="spellStart"/>
      <w:proofErr w:type="gramStart"/>
      <w:r>
        <w:rPr>
          <w:rFonts w:asciiTheme="majorHAnsi" w:hAnsiTheme="majorHAnsi"/>
          <w:sz w:val="20"/>
          <w:szCs w:val="20"/>
        </w:rPr>
        <w:t>islamic</w:t>
      </w:r>
      <w:proofErr w:type="spellEnd"/>
      <w:proofErr w:type="gramEnd"/>
      <w:r>
        <w:rPr>
          <w:rFonts w:asciiTheme="majorHAnsi" w:hAnsiTheme="majorHAnsi"/>
          <w:sz w:val="20"/>
          <w:szCs w:val="20"/>
        </w:rPr>
        <w:t xml:space="preserve"> nor conventional banks only. Thus, we try to fill the gap by investigate the impact of intellectual capital on </w:t>
      </w:r>
      <w:proofErr w:type="spellStart"/>
      <w:proofErr w:type="gramStart"/>
      <w:r>
        <w:rPr>
          <w:rFonts w:asciiTheme="majorHAnsi" w:hAnsiTheme="majorHAnsi"/>
          <w:sz w:val="20"/>
          <w:szCs w:val="20"/>
        </w:rPr>
        <w:t>islamic</w:t>
      </w:r>
      <w:proofErr w:type="spellEnd"/>
      <w:proofErr w:type="gramEnd"/>
      <w:r>
        <w:rPr>
          <w:rFonts w:asciiTheme="majorHAnsi" w:hAnsiTheme="majorHAnsi"/>
          <w:sz w:val="20"/>
          <w:szCs w:val="20"/>
        </w:rPr>
        <w:t xml:space="preserve"> banks and conventional banks simultaneously. In this research, we investigate the relationship of intellectual capital and its component based on VAIC on bank profitability in </w:t>
      </w:r>
      <w:proofErr w:type="spellStart"/>
      <w:proofErr w:type="gramStart"/>
      <w:r>
        <w:rPr>
          <w:rFonts w:asciiTheme="majorHAnsi" w:hAnsiTheme="majorHAnsi"/>
          <w:sz w:val="20"/>
          <w:szCs w:val="20"/>
        </w:rPr>
        <w:t>islamic</w:t>
      </w:r>
      <w:proofErr w:type="spellEnd"/>
      <w:proofErr w:type="gramEnd"/>
      <w:r>
        <w:rPr>
          <w:rFonts w:asciiTheme="majorHAnsi" w:hAnsiTheme="majorHAnsi"/>
          <w:sz w:val="20"/>
          <w:szCs w:val="20"/>
        </w:rPr>
        <w:t xml:space="preserve"> bank and conventional banks located in Indonesia.</w:t>
      </w:r>
    </w:p>
    <w:p w:rsidR="00444438" w:rsidRDefault="00E25332">
      <w:pPr>
        <w:ind w:firstLine="720"/>
        <w:jc w:val="both"/>
        <w:rPr>
          <w:rFonts w:asciiTheme="majorHAnsi" w:hAnsiTheme="majorHAnsi"/>
          <w:sz w:val="20"/>
          <w:szCs w:val="20"/>
        </w:rPr>
      </w:pPr>
      <w:r>
        <w:rPr>
          <w:rFonts w:asciiTheme="majorHAnsi" w:hAnsiTheme="majorHAnsi"/>
          <w:sz w:val="20"/>
          <w:szCs w:val="20"/>
        </w:rPr>
        <w:lastRenderedPageBreak/>
        <w:t xml:space="preserve">In this research, we investigate the relationship of VAIC and its component on bank profitability in </w:t>
      </w:r>
      <w:proofErr w:type="spellStart"/>
      <w:proofErr w:type="gramStart"/>
      <w:r>
        <w:rPr>
          <w:rFonts w:asciiTheme="majorHAnsi" w:hAnsiTheme="majorHAnsi"/>
          <w:sz w:val="20"/>
          <w:szCs w:val="20"/>
        </w:rPr>
        <w:t>islamic</w:t>
      </w:r>
      <w:proofErr w:type="spellEnd"/>
      <w:proofErr w:type="gramEnd"/>
      <w:r>
        <w:rPr>
          <w:rFonts w:asciiTheme="majorHAnsi" w:hAnsiTheme="majorHAnsi"/>
          <w:sz w:val="20"/>
          <w:szCs w:val="20"/>
        </w:rPr>
        <w:t xml:space="preserve"> bank and conventional banks located in Indonesia. Based on the phenomenon and current debates, some hypotheses </w:t>
      </w:r>
      <w:proofErr w:type="gramStart"/>
      <w:r>
        <w:rPr>
          <w:rFonts w:asciiTheme="majorHAnsi" w:hAnsiTheme="majorHAnsi"/>
          <w:sz w:val="20"/>
          <w:szCs w:val="20"/>
        </w:rPr>
        <w:t>are able to</w:t>
      </w:r>
      <w:proofErr w:type="gramEnd"/>
      <w:r>
        <w:rPr>
          <w:rFonts w:asciiTheme="majorHAnsi" w:hAnsiTheme="majorHAnsi"/>
          <w:sz w:val="20"/>
          <w:szCs w:val="20"/>
        </w:rPr>
        <w:t xml:space="preserve"> be formulated:</w:t>
      </w:r>
    </w:p>
    <w:p w:rsidR="00444438" w:rsidRDefault="00E25332">
      <w:pPr>
        <w:ind w:left="720"/>
        <w:jc w:val="both"/>
        <w:rPr>
          <w:rFonts w:asciiTheme="majorHAnsi" w:hAnsiTheme="majorHAnsi"/>
          <w:sz w:val="20"/>
          <w:szCs w:val="20"/>
        </w:rPr>
      </w:pPr>
      <w:r>
        <w:rPr>
          <w:rFonts w:asciiTheme="majorHAnsi" w:hAnsiTheme="majorHAnsi"/>
          <w:sz w:val="20"/>
          <w:szCs w:val="20"/>
        </w:rPr>
        <w:t>H</w:t>
      </w:r>
      <w:r>
        <w:rPr>
          <w:rFonts w:asciiTheme="majorHAnsi" w:hAnsiTheme="majorHAnsi"/>
          <w:sz w:val="20"/>
          <w:szCs w:val="20"/>
          <w:vertAlign w:val="subscript"/>
        </w:rPr>
        <w:t>1</w:t>
      </w:r>
      <w:r>
        <w:rPr>
          <w:rFonts w:asciiTheme="majorHAnsi" w:hAnsiTheme="majorHAnsi"/>
          <w:sz w:val="20"/>
          <w:szCs w:val="20"/>
        </w:rPr>
        <w:t xml:space="preserve">: The value added intellectual capital coefficient (VAIC) has positive effect on return on asset </w:t>
      </w:r>
    </w:p>
    <w:p w:rsidR="00444438" w:rsidRDefault="00E25332">
      <w:pPr>
        <w:ind w:left="720"/>
        <w:jc w:val="both"/>
        <w:rPr>
          <w:rFonts w:asciiTheme="majorHAnsi" w:hAnsiTheme="majorHAnsi"/>
          <w:sz w:val="20"/>
          <w:szCs w:val="20"/>
        </w:rPr>
      </w:pPr>
      <w:r>
        <w:rPr>
          <w:rFonts w:asciiTheme="majorHAnsi" w:hAnsiTheme="majorHAnsi"/>
          <w:sz w:val="20"/>
          <w:szCs w:val="20"/>
        </w:rPr>
        <w:t>H</w:t>
      </w:r>
      <w:r>
        <w:rPr>
          <w:rFonts w:asciiTheme="majorHAnsi" w:hAnsiTheme="majorHAnsi"/>
          <w:sz w:val="20"/>
          <w:szCs w:val="20"/>
          <w:vertAlign w:val="subscript"/>
        </w:rPr>
        <w:t>2</w:t>
      </w:r>
      <w:r>
        <w:rPr>
          <w:rFonts w:asciiTheme="majorHAnsi" w:hAnsiTheme="majorHAnsi"/>
          <w:sz w:val="20"/>
          <w:szCs w:val="20"/>
        </w:rPr>
        <w:t>: Human capital efficiency coefficient (HCE</w:t>
      </w:r>
      <w:proofErr w:type="gramStart"/>
      <w:r>
        <w:rPr>
          <w:rFonts w:asciiTheme="majorHAnsi" w:hAnsiTheme="majorHAnsi"/>
          <w:sz w:val="20"/>
          <w:szCs w:val="20"/>
        </w:rPr>
        <w:t>) )</w:t>
      </w:r>
      <w:proofErr w:type="gramEnd"/>
      <w:r>
        <w:rPr>
          <w:rFonts w:asciiTheme="majorHAnsi" w:hAnsiTheme="majorHAnsi"/>
          <w:sz w:val="20"/>
          <w:szCs w:val="20"/>
        </w:rPr>
        <w:t xml:space="preserve"> has positive effect on return on asset </w:t>
      </w:r>
    </w:p>
    <w:p w:rsidR="00444438" w:rsidRDefault="00E25332">
      <w:pPr>
        <w:ind w:left="720"/>
        <w:jc w:val="both"/>
        <w:rPr>
          <w:rFonts w:asciiTheme="majorHAnsi" w:hAnsiTheme="majorHAnsi"/>
          <w:sz w:val="20"/>
          <w:szCs w:val="20"/>
        </w:rPr>
      </w:pPr>
      <w:r>
        <w:rPr>
          <w:rFonts w:asciiTheme="majorHAnsi" w:hAnsiTheme="majorHAnsi"/>
          <w:sz w:val="20"/>
          <w:szCs w:val="20"/>
        </w:rPr>
        <w:t>H</w:t>
      </w:r>
      <w:r>
        <w:rPr>
          <w:rFonts w:asciiTheme="majorHAnsi" w:hAnsiTheme="majorHAnsi"/>
          <w:sz w:val="20"/>
          <w:szCs w:val="20"/>
          <w:vertAlign w:val="subscript"/>
        </w:rPr>
        <w:t>3</w:t>
      </w:r>
      <w:r>
        <w:rPr>
          <w:rFonts w:asciiTheme="majorHAnsi" w:hAnsiTheme="majorHAnsi"/>
          <w:sz w:val="20"/>
          <w:szCs w:val="20"/>
        </w:rPr>
        <w:t>: Structural capital efficiency coefficient (SCE</w:t>
      </w:r>
      <w:proofErr w:type="gramStart"/>
      <w:r>
        <w:rPr>
          <w:rFonts w:asciiTheme="majorHAnsi" w:hAnsiTheme="majorHAnsi"/>
          <w:sz w:val="20"/>
          <w:szCs w:val="20"/>
        </w:rPr>
        <w:t>) )</w:t>
      </w:r>
      <w:proofErr w:type="gramEnd"/>
      <w:r>
        <w:rPr>
          <w:rFonts w:asciiTheme="majorHAnsi" w:hAnsiTheme="majorHAnsi"/>
          <w:sz w:val="20"/>
          <w:szCs w:val="20"/>
        </w:rPr>
        <w:t xml:space="preserve"> has positive effect on return on asset </w:t>
      </w:r>
    </w:p>
    <w:p w:rsidR="00444438" w:rsidRDefault="00E25332">
      <w:pPr>
        <w:spacing w:after="0" w:line="240" w:lineRule="auto"/>
        <w:ind w:firstLine="567"/>
        <w:jc w:val="both"/>
        <w:rPr>
          <w:rFonts w:asciiTheme="majorHAnsi" w:eastAsia="Times New Roman" w:hAnsiTheme="majorHAnsi" w:cs="Times New Roman"/>
          <w:color w:val="000000"/>
          <w:sz w:val="20"/>
          <w:szCs w:val="20"/>
          <w:shd w:val="clear" w:color="auto" w:fill="FFFFFF"/>
        </w:rPr>
      </w:pPr>
      <w:r>
        <w:rPr>
          <w:rFonts w:asciiTheme="majorHAnsi" w:hAnsiTheme="majorHAnsi"/>
          <w:sz w:val="20"/>
          <w:szCs w:val="20"/>
        </w:rPr>
        <w:t xml:space="preserve">   H</w:t>
      </w:r>
      <w:r>
        <w:rPr>
          <w:rFonts w:asciiTheme="majorHAnsi" w:hAnsiTheme="majorHAnsi"/>
          <w:sz w:val="20"/>
          <w:szCs w:val="20"/>
          <w:vertAlign w:val="subscript"/>
        </w:rPr>
        <w:t>4</w:t>
      </w:r>
      <w:r>
        <w:rPr>
          <w:rFonts w:asciiTheme="majorHAnsi" w:hAnsiTheme="majorHAnsi"/>
          <w:sz w:val="20"/>
          <w:szCs w:val="20"/>
        </w:rPr>
        <w:t>: Capital employed efficiency coefficient (CEE</w:t>
      </w:r>
      <w:proofErr w:type="gramStart"/>
      <w:r>
        <w:rPr>
          <w:rFonts w:asciiTheme="majorHAnsi" w:hAnsiTheme="majorHAnsi"/>
          <w:sz w:val="20"/>
          <w:szCs w:val="20"/>
        </w:rPr>
        <w:t>) )</w:t>
      </w:r>
      <w:proofErr w:type="gramEnd"/>
      <w:r>
        <w:rPr>
          <w:rFonts w:asciiTheme="majorHAnsi" w:hAnsiTheme="majorHAnsi"/>
          <w:sz w:val="20"/>
          <w:szCs w:val="20"/>
        </w:rPr>
        <w:t xml:space="preserve"> has positive effect on return on asset </w:t>
      </w:r>
    </w:p>
    <w:p w:rsidR="00444438" w:rsidRDefault="00444438">
      <w:pPr>
        <w:spacing w:after="0" w:line="240" w:lineRule="auto"/>
        <w:ind w:firstLine="567"/>
        <w:jc w:val="both"/>
        <w:rPr>
          <w:rFonts w:ascii="Book Antiqua" w:eastAsia="Times New Roman" w:hAnsi="Book Antiqua" w:cs="Times New Roman"/>
          <w:sz w:val="24"/>
          <w:szCs w:val="24"/>
        </w:rPr>
      </w:pPr>
    </w:p>
    <w:p w:rsidR="00444438" w:rsidRDefault="00444438">
      <w:pPr>
        <w:spacing w:after="0" w:line="240" w:lineRule="auto"/>
        <w:ind w:firstLine="567"/>
        <w:jc w:val="both"/>
        <w:rPr>
          <w:rFonts w:ascii="Book Antiqua" w:eastAsia="Times New Roman" w:hAnsi="Book Antiqua" w:cs="Times New Roman"/>
          <w:sz w:val="24"/>
          <w:szCs w:val="24"/>
        </w:rPr>
      </w:pPr>
    </w:p>
    <w:p w:rsidR="00444438" w:rsidRDefault="00E25332">
      <w:pPr>
        <w:pStyle w:val="ListParagraph"/>
        <w:numPr>
          <w:ilvl w:val="0"/>
          <w:numId w:val="1"/>
        </w:numPr>
        <w:spacing w:after="0" w:line="240" w:lineRule="auto"/>
        <w:ind w:left="567" w:hanging="567"/>
        <w:rPr>
          <w:rFonts w:eastAsia="Times New Roman" w:cs="Calibri"/>
          <w:b/>
          <w:sz w:val="24"/>
          <w:szCs w:val="24"/>
        </w:rPr>
      </w:pPr>
      <w:r>
        <w:rPr>
          <w:rFonts w:eastAsia="Times New Roman" w:cs="Calibri"/>
          <w:b/>
          <w:sz w:val="24"/>
          <w:szCs w:val="24"/>
        </w:rPr>
        <w:t>Method, Data, and Analysis</w:t>
      </w:r>
    </w:p>
    <w:p w:rsidR="00444438" w:rsidRDefault="00E25332">
      <w:pPr>
        <w:spacing w:before="120" w:after="120" w:line="240" w:lineRule="auto"/>
        <w:ind w:firstLine="567"/>
        <w:jc w:val="both"/>
        <w:rPr>
          <w:rFonts w:asciiTheme="majorHAnsi" w:hAnsiTheme="majorHAnsi"/>
          <w:sz w:val="20"/>
          <w:szCs w:val="20"/>
        </w:rPr>
      </w:pPr>
      <w:r>
        <w:rPr>
          <w:rFonts w:asciiTheme="majorHAnsi" w:hAnsiTheme="majorHAnsi"/>
          <w:sz w:val="20"/>
          <w:szCs w:val="20"/>
        </w:rPr>
        <w:t xml:space="preserve">Our sample consists of </w:t>
      </w:r>
      <w:proofErr w:type="spellStart"/>
      <w:proofErr w:type="gramStart"/>
      <w:r>
        <w:rPr>
          <w:rFonts w:asciiTheme="majorHAnsi" w:hAnsiTheme="majorHAnsi"/>
          <w:sz w:val="20"/>
          <w:szCs w:val="20"/>
        </w:rPr>
        <w:t>islamic</w:t>
      </w:r>
      <w:proofErr w:type="spellEnd"/>
      <w:proofErr w:type="gramEnd"/>
      <w:r>
        <w:rPr>
          <w:rFonts w:asciiTheme="majorHAnsi" w:hAnsiTheme="majorHAnsi"/>
          <w:sz w:val="20"/>
          <w:szCs w:val="20"/>
        </w:rPr>
        <w:t xml:space="preserve"> banks and conventional banks, both are listed and unlisted in capital market, operated in Indonesia. There are 114 banks, 102 conventional banks and 12 </w:t>
      </w:r>
      <w:proofErr w:type="spellStart"/>
      <w:proofErr w:type="gramStart"/>
      <w:r>
        <w:rPr>
          <w:rFonts w:asciiTheme="majorHAnsi" w:hAnsiTheme="majorHAnsi"/>
          <w:sz w:val="20"/>
          <w:szCs w:val="20"/>
        </w:rPr>
        <w:t>islamic</w:t>
      </w:r>
      <w:proofErr w:type="spellEnd"/>
      <w:proofErr w:type="gramEnd"/>
      <w:r>
        <w:rPr>
          <w:rFonts w:asciiTheme="majorHAnsi" w:hAnsiTheme="majorHAnsi"/>
          <w:sz w:val="20"/>
          <w:szCs w:val="20"/>
        </w:rPr>
        <w:t xml:space="preserve"> banks. Our data are annually, collected from 2010 to 2016. It were collected from Financial Services Authority of </w:t>
      </w:r>
      <w:proofErr w:type="gramStart"/>
      <w:r>
        <w:rPr>
          <w:rFonts w:asciiTheme="majorHAnsi" w:hAnsiTheme="majorHAnsi"/>
          <w:sz w:val="20"/>
          <w:szCs w:val="20"/>
        </w:rPr>
        <w:t>Indonesia  (</w:t>
      </w:r>
      <w:proofErr w:type="gramEnd"/>
      <w:r>
        <w:rPr>
          <w:rFonts w:asciiTheme="majorHAnsi" w:hAnsiTheme="majorHAnsi"/>
          <w:sz w:val="20"/>
          <w:szCs w:val="20"/>
        </w:rPr>
        <w:t xml:space="preserve">OJK). In this study, we only examine banks that currently are still operating in Indonesia. In order to have better standard error, we use clustering standard error in each methods (Cameron and Miller, 2015). Bank level cluster </w:t>
      </w:r>
      <w:proofErr w:type="gramStart"/>
      <w:r>
        <w:rPr>
          <w:rFonts w:asciiTheme="majorHAnsi" w:hAnsiTheme="majorHAnsi"/>
          <w:sz w:val="20"/>
          <w:szCs w:val="20"/>
        </w:rPr>
        <w:t>is used</w:t>
      </w:r>
      <w:proofErr w:type="gramEnd"/>
      <w:r>
        <w:rPr>
          <w:rFonts w:asciiTheme="majorHAnsi" w:hAnsiTheme="majorHAnsi"/>
          <w:sz w:val="20"/>
          <w:szCs w:val="20"/>
        </w:rPr>
        <w:t xml:space="preserve"> to control unobserved effect across bank.</w:t>
      </w:r>
    </w:p>
    <w:p w:rsidR="00444438" w:rsidRDefault="00E25332">
      <w:pPr>
        <w:ind w:firstLine="720"/>
        <w:jc w:val="both"/>
        <w:rPr>
          <w:rFonts w:asciiTheme="majorHAnsi" w:hAnsiTheme="majorHAnsi"/>
          <w:sz w:val="20"/>
          <w:szCs w:val="20"/>
        </w:rPr>
      </w:pPr>
      <w:r>
        <w:rPr>
          <w:rFonts w:asciiTheme="majorHAnsi" w:hAnsiTheme="majorHAnsi"/>
          <w:sz w:val="20"/>
          <w:szCs w:val="20"/>
        </w:rPr>
        <w:t xml:space="preserve">Our dependent variable is return on asset ratio. This variable reflects bank profitability. It generates from the ratio of net income to total asset. This ratio measure the ability of a firm in generating income on certain level of total asset it had. </w:t>
      </w:r>
    </w:p>
    <w:p w:rsidR="00444438" w:rsidRDefault="00E25332">
      <w:pPr>
        <w:spacing w:before="120" w:after="120" w:line="240" w:lineRule="auto"/>
        <w:ind w:left="280" w:firstLine="287"/>
        <w:jc w:val="center"/>
        <w:rPr>
          <w:rFonts w:asciiTheme="majorHAnsi" w:eastAsia="Times New Roman" w:hAnsiTheme="majorHAnsi" w:cs="Times New Roman"/>
          <w:b/>
          <w:bCs/>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ROA</m:t>
              </m:r>
            </m:e>
            <m:sub>
              <m:r>
                <w:rPr>
                  <w:rFonts w:ascii="Cambria Math" w:hAnsi="Cambria Math"/>
                  <w:sz w:val="20"/>
                  <w:szCs w:val="20"/>
                </w:rPr>
                <m:t>i,t</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Net income</m:t>
              </m:r>
            </m:num>
            <m:den>
              <m:r>
                <w:rPr>
                  <w:rFonts w:ascii="Cambria Math" w:hAnsi="Cambria Math"/>
                  <w:sz w:val="20"/>
                  <w:szCs w:val="20"/>
                </w:rPr>
                <m:t>Total asset</m:t>
              </m:r>
            </m:den>
          </m:f>
        </m:oMath>
      </m:oMathPara>
    </w:p>
    <w:p w:rsidR="00444438" w:rsidRDefault="00E25332">
      <w:pPr>
        <w:ind w:firstLine="720"/>
        <w:jc w:val="both"/>
        <w:rPr>
          <w:rFonts w:asciiTheme="majorHAnsi" w:hAnsiTheme="majorHAnsi"/>
          <w:sz w:val="20"/>
          <w:szCs w:val="20"/>
        </w:rPr>
      </w:pPr>
      <w:r>
        <w:rPr>
          <w:rFonts w:asciiTheme="majorHAnsi" w:hAnsiTheme="majorHAnsi"/>
          <w:sz w:val="20"/>
          <w:szCs w:val="20"/>
        </w:rPr>
        <w:t xml:space="preserve">There are two main independent variables in our research. The first variable represents intellectual capital. Intellectual capital </w:t>
      </w:r>
      <w:proofErr w:type="gramStart"/>
      <w:r>
        <w:rPr>
          <w:rFonts w:asciiTheme="majorHAnsi" w:hAnsiTheme="majorHAnsi"/>
          <w:sz w:val="20"/>
          <w:szCs w:val="20"/>
        </w:rPr>
        <w:t>is measured</w:t>
      </w:r>
      <w:proofErr w:type="gramEnd"/>
      <w:r>
        <w:rPr>
          <w:rFonts w:asciiTheme="majorHAnsi" w:hAnsiTheme="majorHAnsi"/>
          <w:sz w:val="20"/>
          <w:szCs w:val="20"/>
        </w:rPr>
        <w:t xml:space="preserve"> by Value added intellectual capital (</w:t>
      </w:r>
      <m:oMath>
        <m:r>
          <w:rPr>
            <w:rFonts w:ascii="Cambria Math" w:hAnsi="Cambria Math"/>
            <w:sz w:val="20"/>
            <w:szCs w:val="20"/>
          </w:rPr>
          <m:t>VAIC</m:t>
        </m:r>
      </m:oMath>
      <w:r>
        <w:rPr>
          <w:rFonts w:asciiTheme="majorHAnsi" w:hAnsiTheme="majorHAnsi"/>
          <w:sz w:val="20"/>
          <w:szCs w:val="20"/>
        </w:rPr>
        <w:t xml:space="preserve">). This measurement </w:t>
      </w:r>
      <w:proofErr w:type="gramStart"/>
      <w:r>
        <w:rPr>
          <w:rFonts w:asciiTheme="majorHAnsi" w:hAnsiTheme="majorHAnsi"/>
          <w:sz w:val="20"/>
          <w:szCs w:val="20"/>
        </w:rPr>
        <w:t>is founded</w:t>
      </w:r>
      <w:proofErr w:type="gramEnd"/>
      <w:r>
        <w:rPr>
          <w:rFonts w:asciiTheme="majorHAnsi" w:hAnsiTheme="majorHAnsi"/>
          <w:sz w:val="20"/>
          <w:szCs w:val="20"/>
        </w:rPr>
        <w:t xml:space="preserve"> by Pulic (1998). </w:t>
      </w:r>
      <m:oMath>
        <m:r>
          <w:rPr>
            <w:rFonts w:ascii="Cambria Math" w:hAnsi="Cambria Math"/>
            <w:sz w:val="20"/>
            <w:szCs w:val="20"/>
          </w:rPr>
          <m:t>VAIC</m:t>
        </m:r>
      </m:oMath>
      <w:r>
        <w:rPr>
          <w:rFonts w:asciiTheme="majorHAnsi" w:hAnsiTheme="majorHAnsi"/>
          <w:sz w:val="20"/>
          <w:szCs w:val="20"/>
        </w:rPr>
        <w:t>, is composed by three component. They are human capital efficiency (</w:t>
      </w:r>
      <m:oMath>
        <m:r>
          <w:rPr>
            <w:rFonts w:ascii="Cambria Math" w:hAnsi="Cambria Math"/>
            <w:sz w:val="20"/>
            <w:szCs w:val="20"/>
          </w:rPr>
          <m:t>HCE</m:t>
        </m:r>
      </m:oMath>
      <w:r>
        <w:rPr>
          <w:rFonts w:asciiTheme="majorHAnsi" w:hAnsiTheme="majorHAnsi"/>
          <w:sz w:val="20"/>
          <w:szCs w:val="20"/>
        </w:rPr>
        <w:t>), capital employed efficiency (</w:t>
      </w:r>
      <m:oMath>
        <m:r>
          <w:rPr>
            <w:rFonts w:ascii="Cambria Math" w:hAnsi="Cambria Math"/>
            <w:sz w:val="20"/>
            <w:szCs w:val="20"/>
          </w:rPr>
          <m:t>CEE</m:t>
        </m:r>
      </m:oMath>
      <w:r>
        <w:rPr>
          <w:rFonts w:asciiTheme="majorHAnsi" w:hAnsiTheme="majorHAnsi"/>
          <w:sz w:val="20"/>
          <w:szCs w:val="20"/>
        </w:rPr>
        <w:t>) and struct</w:t>
      </w:r>
      <w:proofErr w:type="spellStart"/>
      <w:r>
        <w:rPr>
          <w:rFonts w:asciiTheme="majorHAnsi" w:hAnsiTheme="majorHAnsi"/>
          <w:sz w:val="20"/>
          <w:szCs w:val="20"/>
        </w:rPr>
        <w:t>ural</w:t>
      </w:r>
      <w:proofErr w:type="spellEnd"/>
      <w:r>
        <w:rPr>
          <w:rFonts w:asciiTheme="majorHAnsi" w:hAnsiTheme="majorHAnsi"/>
          <w:sz w:val="20"/>
          <w:szCs w:val="20"/>
        </w:rPr>
        <w:t xml:space="preserve"> capital efficiency (</w:t>
      </w:r>
      <m:oMath>
        <m:r>
          <w:rPr>
            <w:rFonts w:ascii="Cambria Math" w:hAnsi="Cambria Math"/>
            <w:sz w:val="20"/>
            <w:szCs w:val="20"/>
          </w:rPr>
          <m:t>SCE</m:t>
        </m:r>
      </m:oMath>
      <w:r>
        <w:rPr>
          <w:rFonts w:asciiTheme="majorHAnsi" w:hAnsiTheme="majorHAnsi"/>
          <w:sz w:val="20"/>
          <w:szCs w:val="20"/>
        </w:rPr>
        <w:t xml:space="preserve">). This component also included separately with VAIC as main independent variables since </w:t>
      </w:r>
      <m:oMath>
        <m:r>
          <w:rPr>
            <w:rFonts w:ascii="Cambria Math" w:hAnsi="Cambria Math"/>
            <w:sz w:val="20"/>
            <w:szCs w:val="20"/>
          </w:rPr>
          <m:t>VAIC</m:t>
        </m:r>
      </m:oMath>
      <w:r>
        <w:rPr>
          <w:rFonts w:asciiTheme="majorHAnsi" w:eastAsiaTheme="minorEastAsia" w:hAnsiTheme="majorHAnsi"/>
          <w:sz w:val="20"/>
          <w:szCs w:val="20"/>
        </w:rPr>
        <w:t xml:space="preserve"> measures all whole components in one measurement. By examine it separately, </w:t>
      </w:r>
      <w:r>
        <w:rPr>
          <w:rFonts w:asciiTheme="majorHAnsi" w:hAnsiTheme="majorHAnsi"/>
          <w:sz w:val="20"/>
          <w:szCs w:val="20"/>
        </w:rPr>
        <w:t xml:space="preserve">we could found which component is more important in creating bank profitability. </w:t>
      </w:r>
    </w:p>
    <w:p w:rsidR="00444438" w:rsidRDefault="00E25332">
      <w:pPr>
        <w:jc w:val="center"/>
        <w:rPr>
          <w:rFonts w:asciiTheme="majorHAnsi" w:hAnsiTheme="majorHAnsi"/>
          <w:sz w:val="20"/>
          <w:szCs w:val="20"/>
        </w:rPr>
      </w:pPr>
      <m:oMath>
        <m:sSub>
          <m:sSubPr>
            <m:ctrlPr>
              <w:rPr>
                <w:rFonts w:ascii="Cambria Math" w:hAnsi="Cambria Math"/>
                <w:i/>
                <w:sz w:val="20"/>
                <w:szCs w:val="20"/>
              </w:rPr>
            </m:ctrlPr>
          </m:sSubPr>
          <m:e>
            <m:r>
              <w:rPr>
                <w:rFonts w:ascii="Cambria Math" w:hAnsi="Cambria Math"/>
                <w:sz w:val="20"/>
                <w:szCs w:val="20"/>
              </w:rPr>
              <m:t>VAIC</m:t>
            </m:r>
          </m:e>
          <m:sub>
            <m:r>
              <w:rPr>
                <w:rFonts w:ascii="Cambria Math" w:hAnsi="Cambria Math"/>
                <w:sz w:val="20"/>
                <w:szCs w:val="20"/>
              </w:rPr>
              <m:t>i,t</m:t>
            </m:r>
          </m:sub>
        </m:sSub>
        <m:r>
          <w:rPr>
            <w:rFonts w:ascii="Cambria Math" w:hAnsi="Cambria Math"/>
            <w:sz w:val="20"/>
            <w:szCs w:val="20"/>
          </w:rPr>
          <m:t>=HCE+SCE+CEE</m:t>
        </m:r>
      </m:oMath>
      <w:r>
        <w:rPr>
          <w:rFonts w:asciiTheme="majorHAnsi" w:hAnsiTheme="majorHAnsi"/>
          <w:sz w:val="20"/>
          <w:szCs w:val="20"/>
        </w:rPr>
        <w:t xml:space="preserve"> </w:t>
      </w:r>
    </w:p>
    <w:p w:rsidR="00444438" w:rsidRDefault="00E25332">
      <w:pPr>
        <w:ind w:firstLine="720"/>
        <w:jc w:val="both"/>
        <w:rPr>
          <w:rFonts w:asciiTheme="majorHAnsi" w:hAnsiTheme="majorHAnsi"/>
          <w:sz w:val="20"/>
          <w:szCs w:val="20"/>
        </w:rPr>
      </w:pPr>
      <w:r>
        <w:rPr>
          <w:rFonts w:asciiTheme="majorHAnsi" w:hAnsiTheme="majorHAnsi"/>
          <w:sz w:val="20"/>
          <w:szCs w:val="20"/>
        </w:rPr>
        <w:t xml:space="preserve">In order to calculate </w:t>
      </w:r>
      <m:oMath>
        <m:r>
          <m:rPr>
            <m:sty m:val="p"/>
          </m:rPr>
          <w:rPr>
            <w:rFonts w:ascii="Cambria Math" w:hAnsi="Cambria Math"/>
            <w:sz w:val="20"/>
            <w:szCs w:val="20"/>
          </w:rPr>
          <m:t>VAIC</m:t>
        </m:r>
      </m:oMath>
      <w:r>
        <w:rPr>
          <w:rFonts w:asciiTheme="majorHAnsi" w:hAnsiTheme="majorHAnsi"/>
          <w:sz w:val="20"/>
          <w:szCs w:val="20"/>
        </w:rPr>
        <w:t xml:space="preserve"> and its components, the total value added (</w:t>
      </w:r>
      <m:oMath>
        <m:r>
          <m:rPr>
            <m:sty m:val="p"/>
          </m:rPr>
          <w:rPr>
            <w:rFonts w:ascii="Cambria Math" w:hAnsi="Cambria Math"/>
            <w:sz w:val="20"/>
            <w:szCs w:val="20"/>
          </w:rPr>
          <m:t>VA</m:t>
        </m:r>
      </m:oMath>
      <w:r>
        <w:rPr>
          <w:rFonts w:asciiTheme="majorHAnsi" w:hAnsiTheme="majorHAnsi"/>
          <w:sz w:val="20"/>
          <w:szCs w:val="20"/>
        </w:rPr>
        <w:t xml:space="preserve">) is needed to be calculated first. </w:t>
      </w:r>
      <m:oMath>
        <m:r>
          <m:rPr>
            <m:sty m:val="p"/>
          </m:rPr>
          <w:rPr>
            <w:rFonts w:ascii="Cambria Math" w:hAnsi="Cambria Math"/>
            <w:sz w:val="20"/>
            <w:szCs w:val="20"/>
          </w:rPr>
          <m:t xml:space="preserve">VA </m:t>
        </m:r>
      </m:oMath>
      <w:r>
        <w:rPr>
          <w:rFonts w:asciiTheme="majorHAnsi" w:hAnsiTheme="majorHAnsi"/>
          <w:sz w:val="20"/>
          <w:szCs w:val="20"/>
        </w:rPr>
        <w:t xml:space="preserve"> </w:t>
      </w:r>
      <w:proofErr w:type="gramStart"/>
      <w:r>
        <w:rPr>
          <w:rFonts w:asciiTheme="majorHAnsi" w:hAnsiTheme="majorHAnsi"/>
          <w:sz w:val="20"/>
          <w:szCs w:val="20"/>
        </w:rPr>
        <w:t>is</w:t>
      </w:r>
      <w:proofErr w:type="gramEnd"/>
      <w:r>
        <w:rPr>
          <w:rFonts w:asciiTheme="majorHAnsi" w:hAnsiTheme="majorHAnsi"/>
          <w:sz w:val="20"/>
          <w:szCs w:val="20"/>
        </w:rPr>
        <w:t xml:space="preserve"> the organization’s abil</w:t>
      </w:r>
      <w:proofErr w:type="spellStart"/>
      <w:r>
        <w:rPr>
          <w:rFonts w:asciiTheme="majorHAnsi" w:hAnsiTheme="majorHAnsi"/>
          <w:sz w:val="20"/>
          <w:szCs w:val="20"/>
        </w:rPr>
        <w:t>ity</w:t>
      </w:r>
      <w:proofErr w:type="spellEnd"/>
      <w:r>
        <w:rPr>
          <w:rFonts w:asciiTheme="majorHAnsi" w:hAnsiTheme="majorHAnsi"/>
          <w:sz w:val="20"/>
          <w:szCs w:val="20"/>
        </w:rPr>
        <w:t xml:space="preserve"> to in creating value added. It </w:t>
      </w:r>
      <w:proofErr w:type="gramStart"/>
      <w:r>
        <w:rPr>
          <w:rFonts w:asciiTheme="majorHAnsi" w:hAnsiTheme="majorHAnsi"/>
          <w:sz w:val="20"/>
          <w:szCs w:val="20"/>
        </w:rPr>
        <w:t>is calculated</w:t>
      </w:r>
      <w:proofErr w:type="gramEnd"/>
      <w:r>
        <w:rPr>
          <w:rFonts w:asciiTheme="majorHAnsi" w:hAnsiTheme="majorHAnsi"/>
          <w:sz w:val="20"/>
          <w:szCs w:val="20"/>
        </w:rPr>
        <w:t xml:space="preserve"> as the difference between output and input. The output is the total revenue generated by the services provided by the bank to the clients and the input is all the expenses occurred during the production minus personnel expense.</w:t>
      </w:r>
    </w:p>
    <w:p w:rsidR="00444438" w:rsidRDefault="00E25332">
      <w:pPr>
        <w:jc w:val="center"/>
        <w:rPr>
          <w:rFonts w:asciiTheme="majorHAnsi" w:hAnsiTheme="majorHAnsi"/>
          <w:sz w:val="20"/>
          <w:szCs w:val="20"/>
        </w:rPr>
      </w:pPr>
      <m:oMath>
        <m:r>
          <w:rPr>
            <w:rFonts w:ascii="Cambria Math" w:hAnsi="Cambria Math"/>
            <w:sz w:val="20"/>
            <w:szCs w:val="20"/>
          </w:rPr>
          <m:t>VA=OUT-INT</m:t>
        </m:r>
      </m:oMath>
      <w:r>
        <w:rPr>
          <w:rFonts w:asciiTheme="majorHAnsi" w:hAnsiTheme="majorHAnsi"/>
          <w:sz w:val="20"/>
          <w:szCs w:val="20"/>
        </w:rPr>
        <w:t xml:space="preserve">    </w:t>
      </w:r>
    </w:p>
    <w:p w:rsidR="00444438" w:rsidRDefault="00E25332">
      <w:pPr>
        <w:ind w:firstLine="720"/>
        <w:jc w:val="both"/>
        <w:rPr>
          <w:rFonts w:asciiTheme="majorHAnsi" w:hAnsiTheme="majorHAnsi"/>
          <w:sz w:val="20"/>
          <w:szCs w:val="20"/>
        </w:rPr>
      </w:pPr>
      <w:r>
        <w:rPr>
          <w:rFonts w:asciiTheme="majorHAnsi" w:hAnsiTheme="majorHAnsi"/>
          <w:sz w:val="20"/>
          <w:szCs w:val="20"/>
        </w:rPr>
        <w:t>Human capital efficiency (</w:t>
      </w:r>
      <m:oMath>
        <m:r>
          <m:rPr>
            <m:sty m:val="p"/>
          </m:rPr>
          <w:rPr>
            <w:rFonts w:ascii="Cambria Math" w:hAnsi="Cambria Math"/>
            <w:sz w:val="20"/>
            <w:szCs w:val="20"/>
          </w:rPr>
          <m:t>HCE</m:t>
        </m:r>
      </m:oMath>
      <w:r>
        <w:rPr>
          <w:rFonts w:asciiTheme="majorHAnsi" w:hAnsiTheme="majorHAnsi"/>
          <w:sz w:val="20"/>
          <w:szCs w:val="20"/>
        </w:rPr>
        <w:t>) is defined as the contribution of one unit of human capital expenses on value added. The human capital expenses (</w:t>
      </w:r>
      <m:oMath>
        <m:r>
          <m:rPr>
            <m:sty m:val="p"/>
          </m:rPr>
          <w:rPr>
            <w:rFonts w:ascii="Cambria Math" w:hAnsi="Cambria Math"/>
            <w:sz w:val="20"/>
            <w:szCs w:val="20"/>
          </w:rPr>
          <m:t>HC</m:t>
        </m:r>
      </m:oMath>
      <w:r>
        <w:rPr>
          <w:rFonts w:asciiTheme="majorHAnsi" w:hAnsiTheme="majorHAnsi"/>
          <w:sz w:val="20"/>
          <w:szCs w:val="20"/>
        </w:rPr>
        <w:t xml:space="preserve">) based on bank’s overall payroll. </w:t>
      </w:r>
    </w:p>
    <w:p w:rsidR="00444438" w:rsidRDefault="00E25332">
      <w:pPr>
        <w:jc w:val="center"/>
        <w:rPr>
          <w:rFonts w:asciiTheme="majorHAnsi" w:hAnsiTheme="majorHAnsi"/>
          <w:sz w:val="20"/>
          <w:szCs w:val="20"/>
        </w:rPr>
      </w:pPr>
      <m:oMathPara>
        <m:oMath>
          <m:r>
            <w:rPr>
              <w:rFonts w:ascii="Cambria Math" w:hAnsi="Cambria Math"/>
              <w:sz w:val="20"/>
              <w:szCs w:val="20"/>
            </w:rPr>
            <m:t>HCE=</m:t>
          </m:r>
          <m:f>
            <m:fPr>
              <m:ctrlPr>
                <w:rPr>
                  <w:rFonts w:ascii="Cambria Math" w:hAnsi="Cambria Math"/>
                  <w:i/>
                  <w:sz w:val="20"/>
                  <w:szCs w:val="20"/>
                </w:rPr>
              </m:ctrlPr>
            </m:fPr>
            <m:num>
              <m:r>
                <w:rPr>
                  <w:rFonts w:ascii="Cambria Math" w:hAnsi="Cambria Math"/>
                  <w:sz w:val="20"/>
                  <w:szCs w:val="20"/>
                </w:rPr>
                <m:t>VA</m:t>
              </m:r>
            </m:num>
            <m:den>
              <m:r>
                <w:rPr>
                  <w:rFonts w:ascii="Cambria Math" w:hAnsi="Cambria Math"/>
                  <w:sz w:val="20"/>
                  <w:szCs w:val="20"/>
                </w:rPr>
                <m:t>HC</m:t>
              </m:r>
            </m:den>
          </m:f>
        </m:oMath>
      </m:oMathPara>
    </w:p>
    <w:p w:rsidR="00444438" w:rsidRDefault="00E25332">
      <w:pPr>
        <w:ind w:firstLine="720"/>
        <w:jc w:val="both"/>
        <w:rPr>
          <w:rFonts w:asciiTheme="majorHAnsi" w:hAnsiTheme="majorHAnsi"/>
          <w:sz w:val="20"/>
          <w:szCs w:val="20"/>
        </w:rPr>
      </w:pPr>
      <w:r>
        <w:rPr>
          <w:rFonts w:asciiTheme="majorHAnsi" w:hAnsiTheme="majorHAnsi"/>
          <w:sz w:val="20"/>
          <w:szCs w:val="20"/>
        </w:rPr>
        <w:t xml:space="preserve">The second component </w:t>
      </w:r>
      <w:proofErr w:type="gramStart"/>
      <w:r>
        <w:rPr>
          <w:rFonts w:asciiTheme="majorHAnsi" w:hAnsiTheme="majorHAnsi"/>
          <w:sz w:val="20"/>
          <w:szCs w:val="20"/>
        </w:rPr>
        <w:t xml:space="preserve">is </w:t>
      </w:r>
      <w:proofErr w:type="gramEnd"/>
      <m:oMath>
        <m:r>
          <m:rPr>
            <m:sty m:val="p"/>
          </m:rPr>
          <w:rPr>
            <w:rFonts w:ascii="Cambria Math" w:hAnsi="Cambria Math"/>
            <w:sz w:val="20"/>
            <w:szCs w:val="20"/>
          </w:rPr>
          <m:t>SCE</m:t>
        </m:r>
      </m:oMath>
      <w:r>
        <w:rPr>
          <w:rFonts w:asciiTheme="majorHAnsi" w:hAnsiTheme="majorHAnsi"/>
          <w:sz w:val="20"/>
          <w:szCs w:val="20"/>
        </w:rPr>
        <w:t>. This phase measures the contibution of structural capital (</w:t>
      </w:r>
      <m:oMath>
        <m:r>
          <m:rPr>
            <m:sty m:val="p"/>
          </m:rPr>
          <w:rPr>
            <w:rFonts w:ascii="Cambria Math" w:hAnsi="Cambria Math"/>
            <w:sz w:val="20"/>
            <w:szCs w:val="20"/>
          </w:rPr>
          <m:t>SC</m:t>
        </m:r>
      </m:oMath>
      <w:r>
        <w:rPr>
          <w:rFonts w:asciiTheme="majorHAnsi" w:hAnsiTheme="majorHAnsi"/>
          <w:sz w:val="20"/>
          <w:szCs w:val="20"/>
        </w:rPr>
        <w:t xml:space="preserve">) in generating value added.  </w:t>
      </w:r>
      <m:oMath>
        <m:r>
          <m:rPr>
            <m:sty m:val="p"/>
          </m:rPr>
          <w:rPr>
            <w:rFonts w:ascii="Cambria Math" w:hAnsi="Cambria Math"/>
            <w:sz w:val="20"/>
            <w:szCs w:val="20"/>
          </w:rPr>
          <m:t>SC</m:t>
        </m:r>
      </m:oMath>
      <w:r>
        <w:rPr>
          <w:rFonts w:asciiTheme="majorHAnsi" w:hAnsiTheme="majorHAnsi"/>
          <w:sz w:val="20"/>
          <w:szCs w:val="20"/>
        </w:rPr>
        <w:t xml:space="preserve"> </w:t>
      </w:r>
      <w:proofErr w:type="gramStart"/>
      <w:r>
        <w:rPr>
          <w:rFonts w:asciiTheme="majorHAnsi" w:hAnsiTheme="majorHAnsi"/>
          <w:sz w:val="20"/>
          <w:szCs w:val="20"/>
        </w:rPr>
        <w:t>is</w:t>
      </w:r>
      <w:proofErr w:type="gramEnd"/>
      <w:r>
        <w:rPr>
          <w:rFonts w:asciiTheme="majorHAnsi" w:hAnsiTheme="majorHAnsi"/>
          <w:sz w:val="20"/>
          <w:szCs w:val="20"/>
        </w:rPr>
        <w:t xml:space="preserve"> calculated by substracting </w:t>
      </w:r>
      <m:oMath>
        <m:r>
          <m:rPr>
            <m:sty m:val="p"/>
          </m:rPr>
          <w:rPr>
            <w:rFonts w:ascii="Cambria Math" w:hAnsi="Cambria Math"/>
            <w:sz w:val="20"/>
            <w:szCs w:val="20"/>
          </w:rPr>
          <m:t>HC</m:t>
        </m:r>
      </m:oMath>
      <w:r>
        <w:rPr>
          <w:rFonts w:asciiTheme="majorHAnsi" w:hAnsiTheme="majorHAnsi"/>
          <w:sz w:val="20"/>
          <w:szCs w:val="20"/>
        </w:rPr>
        <w:t xml:space="preserve"> from </w:t>
      </w:r>
      <m:oMath>
        <m:r>
          <m:rPr>
            <m:sty m:val="p"/>
          </m:rPr>
          <w:rPr>
            <w:rFonts w:ascii="Cambria Math" w:hAnsi="Cambria Math"/>
            <w:sz w:val="20"/>
            <w:szCs w:val="20"/>
          </w:rPr>
          <m:t>VA</m:t>
        </m:r>
      </m:oMath>
      <w:r>
        <w:rPr>
          <w:rFonts w:asciiTheme="majorHAnsi" w:hAnsiTheme="majorHAnsi"/>
          <w:sz w:val="20"/>
          <w:szCs w:val="20"/>
        </w:rPr>
        <w:t>. Here is the formula:</w:t>
      </w:r>
    </w:p>
    <w:p w:rsidR="00444438" w:rsidRDefault="00E25332">
      <w:pPr>
        <w:jc w:val="center"/>
        <w:rPr>
          <w:rFonts w:asciiTheme="majorHAnsi" w:eastAsiaTheme="minorEastAsia" w:hAnsiTheme="majorHAnsi"/>
          <w:sz w:val="20"/>
          <w:szCs w:val="20"/>
        </w:rPr>
      </w:pPr>
      <m:oMath>
        <m:r>
          <w:rPr>
            <w:rFonts w:ascii="Cambria Math" w:hAnsi="Cambria Math"/>
            <w:sz w:val="20"/>
            <w:szCs w:val="20"/>
          </w:rPr>
          <m:t>SC=VA-HC</m:t>
        </m:r>
      </m:oMath>
      <w:r>
        <w:rPr>
          <w:rFonts w:asciiTheme="majorHAnsi" w:eastAsiaTheme="minorEastAsia" w:hAnsiTheme="majorHAnsi"/>
          <w:sz w:val="20"/>
          <w:szCs w:val="20"/>
        </w:rPr>
        <w:tab/>
      </w:r>
    </w:p>
    <w:p w:rsidR="00444438" w:rsidRDefault="00E25332">
      <w:pPr>
        <w:jc w:val="center"/>
        <w:rPr>
          <w:rFonts w:asciiTheme="majorHAnsi" w:hAnsiTheme="majorHAnsi"/>
          <w:sz w:val="20"/>
          <w:szCs w:val="20"/>
        </w:rPr>
      </w:pPr>
      <m:oMathPara>
        <m:oMath>
          <m:r>
            <w:rPr>
              <w:rFonts w:ascii="Cambria Math" w:hAnsi="Cambria Math"/>
              <w:sz w:val="20"/>
              <w:szCs w:val="20"/>
            </w:rPr>
            <m:t>SCE=</m:t>
          </m:r>
          <m:f>
            <m:fPr>
              <m:ctrlPr>
                <w:rPr>
                  <w:rFonts w:ascii="Cambria Math" w:hAnsi="Cambria Math"/>
                  <w:i/>
                  <w:sz w:val="20"/>
                  <w:szCs w:val="20"/>
                </w:rPr>
              </m:ctrlPr>
            </m:fPr>
            <m:num>
              <m:r>
                <w:rPr>
                  <w:rFonts w:ascii="Cambria Math" w:hAnsi="Cambria Math"/>
                  <w:sz w:val="20"/>
                  <w:szCs w:val="20"/>
                </w:rPr>
                <m:t>SC</m:t>
              </m:r>
            </m:num>
            <m:den>
              <m:r>
                <w:rPr>
                  <w:rFonts w:ascii="Cambria Math" w:hAnsi="Cambria Math"/>
                  <w:sz w:val="20"/>
                  <w:szCs w:val="20"/>
                </w:rPr>
                <m:t>VA</m:t>
              </m:r>
            </m:den>
          </m:f>
        </m:oMath>
      </m:oMathPara>
    </w:p>
    <w:p w:rsidR="00444438" w:rsidRDefault="00E25332">
      <w:pPr>
        <w:ind w:firstLine="720"/>
        <w:jc w:val="both"/>
        <w:rPr>
          <w:rFonts w:asciiTheme="majorHAnsi" w:hAnsiTheme="majorHAnsi"/>
          <w:sz w:val="20"/>
          <w:szCs w:val="20"/>
        </w:rPr>
      </w:pPr>
      <w:r>
        <w:rPr>
          <w:rFonts w:asciiTheme="majorHAnsi" w:hAnsiTheme="majorHAnsi"/>
          <w:sz w:val="20"/>
          <w:szCs w:val="20"/>
        </w:rPr>
        <w:t xml:space="preserve">The last </w:t>
      </w:r>
      <w:proofErr w:type="gramStart"/>
      <w:r>
        <w:rPr>
          <w:rFonts w:asciiTheme="majorHAnsi" w:hAnsiTheme="majorHAnsi"/>
          <w:sz w:val="20"/>
          <w:szCs w:val="20"/>
        </w:rPr>
        <w:t>component,</w:t>
      </w:r>
      <w:proofErr w:type="gramEnd"/>
      <w:r>
        <w:rPr>
          <w:rFonts w:asciiTheme="majorHAnsi" w:hAnsiTheme="majorHAnsi"/>
          <w:sz w:val="20"/>
          <w:szCs w:val="20"/>
        </w:rPr>
        <w:t xml:space="preserve"> </w:t>
      </w:r>
      <m:oMath>
        <m:r>
          <m:rPr>
            <m:sty m:val="p"/>
          </m:rPr>
          <w:rPr>
            <w:rFonts w:ascii="Cambria Math" w:hAnsi="Cambria Math"/>
            <w:sz w:val="20"/>
            <w:szCs w:val="20"/>
          </w:rPr>
          <m:t>CEE</m:t>
        </m:r>
      </m:oMath>
      <w:r>
        <w:rPr>
          <w:rFonts w:asciiTheme="majorHAnsi" w:hAnsiTheme="majorHAnsi"/>
          <w:sz w:val="20"/>
          <w:szCs w:val="20"/>
        </w:rPr>
        <w:t xml:space="preserve"> represents the contribution of tangible asset on bank value added. Having good tangible asset (physical and financial asset), intellectual capital will perform more effective and efficient, for example, bank that has good computer server can reduce the number of error then increase customers satisfaction in transferring their money. In this formula, </w:t>
      </w:r>
      <m:oMath>
        <m:r>
          <m:rPr>
            <m:sty m:val="p"/>
          </m:rPr>
          <w:rPr>
            <w:rFonts w:ascii="Cambria Math" w:hAnsi="Cambria Math"/>
            <w:sz w:val="20"/>
            <w:szCs w:val="20"/>
          </w:rPr>
          <m:t xml:space="preserve">CE </m:t>
        </m:r>
      </m:oMath>
      <w:r>
        <w:rPr>
          <w:rFonts w:asciiTheme="majorHAnsi" w:hAnsiTheme="majorHAnsi"/>
          <w:sz w:val="20"/>
          <w:szCs w:val="20"/>
        </w:rPr>
        <w:t>refers to the sum of physical and financial capital of the banks (Chen et al., 2005). Here is the formula of calculating CE and CEE:</w:t>
      </w:r>
    </w:p>
    <w:p w:rsidR="00444438" w:rsidRDefault="00E25332">
      <w:pPr>
        <w:jc w:val="center"/>
        <w:rPr>
          <w:rFonts w:asciiTheme="majorHAnsi" w:hAnsiTheme="majorHAnsi"/>
          <w:sz w:val="20"/>
          <w:szCs w:val="20"/>
        </w:rPr>
      </w:pPr>
      <m:oMathPara>
        <m:oMath>
          <m:r>
            <m:rPr>
              <m:sty m:val="p"/>
            </m:rPr>
            <w:rPr>
              <w:rFonts w:ascii="Cambria Math" w:hAnsi="Cambria Math"/>
              <w:sz w:val="20"/>
              <w:szCs w:val="20"/>
            </w:rPr>
            <m:t>CE=Phisycal Asset+Financial Asset</m:t>
          </m:r>
        </m:oMath>
      </m:oMathPara>
    </w:p>
    <w:p w:rsidR="00444438" w:rsidRDefault="00E25332">
      <w:pPr>
        <w:spacing w:before="120" w:after="120" w:line="240" w:lineRule="auto"/>
        <w:ind w:left="280" w:hanging="260"/>
        <w:jc w:val="both"/>
        <w:rPr>
          <w:rFonts w:asciiTheme="majorHAnsi" w:eastAsia="Times New Roman" w:hAnsiTheme="majorHAnsi" w:cs="Times New Roman"/>
          <w:b/>
          <w:bCs/>
          <w:color w:val="000000"/>
          <w:sz w:val="20"/>
          <w:szCs w:val="20"/>
        </w:rPr>
      </w:pPr>
      <m:oMathPara>
        <m:oMath>
          <m:r>
            <m:rPr>
              <m:sty m:val="p"/>
            </m:rPr>
            <w:rPr>
              <w:rFonts w:ascii="Cambria Math" w:hAnsi="Cambria Math"/>
              <w:sz w:val="20"/>
              <w:szCs w:val="20"/>
            </w:rPr>
            <m:t>CEE=</m:t>
          </m:r>
          <m:f>
            <m:fPr>
              <m:ctrlPr>
                <w:rPr>
                  <w:rFonts w:ascii="Cambria Math" w:hAnsi="Cambria Math"/>
                  <w:sz w:val="20"/>
                  <w:szCs w:val="20"/>
                </w:rPr>
              </m:ctrlPr>
            </m:fPr>
            <m:num>
              <m:r>
                <m:rPr>
                  <m:sty m:val="p"/>
                </m:rPr>
                <w:rPr>
                  <w:rFonts w:ascii="Cambria Math" w:hAnsi="Cambria Math"/>
                  <w:sz w:val="20"/>
                  <w:szCs w:val="20"/>
                </w:rPr>
                <m:t>VA</m:t>
              </m:r>
            </m:num>
            <m:den>
              <m:r>
                <m:rPr>
                  <m:sty m:val="p"/>
                </m:rPr>
                <w:rPr>
                  <w:rFonts w:ascii="Cambria Math" w:hAnsi="Cambria Math"/>
                  <w:sz w:val="20"/>
                  <w:szCs w:val="20"/>
                </w:rPr>
                <m:t>CE</m:t>
              </m:r>
            </m:den>
          </m:f>
        </m:oMath>
      </m:oMathPara>
    </w:p>
    <w:p w:rsidR="00444438" w:rsidRDefault="00E25332">
      <w:pPr>
        <w:ind w:firstLine="720"/>
        <w:jc w:val="both"/>
        <w:rPr>
          <w:rFonts w:asciiTheme="majorHAnsi" w:eastAsiaTheme="minorEastAsia" w:hAnsiTheme="majorHAnsi"/>
          <w:sz w:val="20"/>
          <w:szCs w:val="20"/>
        </w:rPr>
      </w:pPr>
      <w:r>
        <w:rPr>
          <w:rFonts w:asciiTheme="majorHAnsi" w:eastAsiaTheme="minorEastAsia" w:hAnsiTheme="majorHAnsi"/>
          <w:sz w:val="20"/>
          <w:szCs w:val="20"/>
        </w:rPr>
        <w:t xml:space="preserve">To prevent omitted variable bias, control variables are included. Those variables consist of two categories, such as bank level variables and macroeconomics variables. Bank level variables are banks size, capital ratio, </w:t>
      </w:r>
      <w:proofErr w:type="gramStart"/>
      <w:r>
        <w:rPr>
          <w:rFonts w:asciiTheme="majorHAnsi" w:eastAsiaTheme="minorEastAsia" w:hAnsiTheme="majorHAnsi"/>
          <w:sz w:val="20"/>
          <w:szCs w:val="20"/>
        </w:rPr>
        <w:t>loan loss provision ratio</w:t>
      </w:r>
      <w:proofErr w:type="gramEnd"/>
      <w:r>
        <w:rPr>
          <w:rFonts w:asciiTheme="majorHAnsi" w:eastAsiaTheme="minorEastAsia" w:hAnsiTheme="majorHAnsi"/>
          <w:sz w:val="20"/>
          <w:szCs w:val="20"/>
        </w:rPr>
        <w:t xml:space="preserve">, loan ratio and bank efficiency. Inflation and growth of gross domestic product are macroeconomic variables. </w:t>
      </w:r>
    </w:p>
    <w:p w:rsidR="00444438" w:rsidRDefault="00E25332">
      <w:pPr>
        <w:ind w:firstLine="720"/>
        <w:jc w:val="both"/>
        <w:rPr>
          <w:rFonts w:asciiTheme="majorHAnsi" w:eastAsiaTheme="minorEastAsia" w:hAnsiTheme="majorHAnsi"/>
          <w:sz w:val="20"/>
          <w:szCs w:val="20"/>
          <w:highlight w:val="yellow"/>
        </w:rPr>
      </w:pPr>
      <w:r>
        <w:rPr>
          <w:rFonts w:asciiTheme="majorHAnsi" w:eastAsiaTheme="minorEastAsia" w:hAnsiTheme="majorHAnsi"/>
          <w:sz w:val="20"/>
          <w:szCs w:val="20"/>
        </w:rPr>
        <w:t xml:space="preserve">Bank size </w:t>
      </w:r>
      <w:proofErr w:type="gramStart"/>
      <w:r>
        <w:rPr>
          <w:rFonts w:asciiTheme="majorHAnsi" w:eastAsiaTheme="minorEastAsia" w:hAnsiTheme="majorHAnsi"/>
          <w:sz w:val="20"/>
          <w:szCs w:val="20"/>
        </w:rPr>
        <w:t>is measured</w:t>
      </w:r>
      <w:proofErr w:type="gramEnd"/>
      <w:r>
        <w:rPr>
          <w:rFonts w:asciiTheme="majorHAnsi" w:eastAsiaTheme="minorEastAsia" w:hAnsiTheme="majorHAnsi"/>
          <w:sz w:val="20"/>
          <w:szCs w:val="20"/>
        </w:rPr>
        <w:t xml:space="preserve"> as natural logarithm of banks total asset (</w:t>
      </w:r>
      <w:proofErr w:type="spellStart"/>
      <w:r>
        <w:rPr>
          <w:rFonts w:asciiTheme="majorHAnsi" w:eastAsiaTheme="minorEastAsia" w:hAnsiTheme="majorHAnsi"/>
          <w:sz w:val="20"/>
          <w:szCs w:val="20"/>
        </w:rPr>
        <w:t>LnTA</w:t>
      </w:r>
      <w:proofErr w:type="spellEnd"/>
      <w:r>
        <w:rPr>
          <w:rFonts w:asciiTheme="majorHAnsi" w:eastAsiaTheme="minorEastAsia" w:hAnsiTheme="majorHAnsi"/>
          <w:sz w:val="20"/>
          <w:szCs w:val="20"/>
        </w:rPr>
        <w:t>). Bank with large size has economic of scale, reducing it cost significantly (Bourke, 1989; Goddard et al 2004). Thus, we expect bank size has positive effect on bank profitability. Capital ratio, measured by equity to total asset (CAP), reflects additional power of bank to face financial crises or unstable macroeconomic condition (</w:t>
      </w:r>
      <w:proofErr w:type="spellStart"/>
      <w:r>
        <w:rPr>
          <w:rFonts w:asciiTheme="majorHAnsi" w:eastAsiaTheme="minorEastAsia" w:hAnsiTheme="majorHAnsi"/>
          <w:sz w:val="20"/>
          <w:szCs w:val="20"/>
        </w:rPr>
        <w:t>Menicucci</w:t>
      </w:r>
      <w:proofErr w:type="spellEnd"/>
      <w:r>
        <w:rPr>
          <w:rFonts w:asciiTheme="majorHAnsi" w:eastAsiaTheme="minorEastAsia" w:hAnsiTheme="majorHAnsi"/>
          <w:sz w:val="20"/>
          <w:szCs w:val="20"/>
        </w:rPr>
        <w:t xml:space="preserve"> and </w:t>
      </w:r>
      <w:proofErr w:type="spellStart"/>
      <w:r>
        <w:rPr>
          <w:rFonts w:asciiTheme="majorHAnsi" w:eastAsiaTheme="minorEastAsia" w:hAnsiTheme="majorHAnsi"/>
          <w:sz w:val="20"/>
          <w:szCs w:val="20"/>
        </w:rPr>
        <w:t>Paolucci</w:t>
      </w:r>
      <w:proofErr w:type="spellEnd"/>
      <w:r>
        <w:rPr>
          <w:rFonts w:asciiTheme="majorHAnsi" w:eastAsiaTheme="minorEastAsia" w:hAnsiTheme="majorHAnsi"/>
          <w:sz w:val="20"/>
          <w:szCs w:val="20"/>
        </w:rPr>
        <w:t xml:space="preserve">, 2016). </w:t>
      </w:r>
      <w:proofErr w:type="gramStart"/>
      <w:r>
        <w:rPr>
          <w:rFonts w:asciiTheme="majorHAnsi" w:eastAsiaTheme="minorEastAsia" w:hAnsiTheme="majorHAnsi"/>
          <w:sz w:val="20"/>
          <w:szCs w:val="20"/>
        </w:rPr>
        <w:lastRenderedPageBreak/>
        <w:t>well</w:t>
      </w:r>
      <w:proofErr w:type="gramEnd"/>
      <w:r>
        <w:rPr>
          <w:rFonts w:asciiTheme="majorHAnsi" w:eastAsiaTheme="minorEastAsia" w:hAnsiTheme="majorHAnsi"/>
          <w:sz w:val="20"/>
          <w:szCs w:val="20"/>
        </w:rPr>
        <w:t xml:space="preserve"> capitalized banks tend to have less cost of capital, causing a positive effect on bank profitability. Loan loss provision shows how much expense set aside as an allowance for uncollected loans relative to its total loans (LLP). In other words, this ratio reflects bank’s loan portfolio quality. The high number of this ratio indicates higher risk of the loan portfolio and, therefore, a lower profitability (Miller and </w:t>
      </w:r>
      <w:proofErr w:type="spellStart"/>
      <w:r>
        <w:rPr>
          <w:rFonts w:asciiTheme="majorHAnsi" w:eastAsiaTheme="minorEastAsia" w:hAnsiTheme="majorHAnsi"/>
          <w:sz w:val="20"/>
          <w:szCs w:val="20"/>
        </w:rPr>
        <w:t>Noulas</w:t>
      </w:r>
      <w:proofErr w:type="spellEnd"/>
      <w:r>
        <w:rPr>
          <w:rFonts w:asciiTheme="majorHAnsi" w:eastAsiaTheme="minorEastAsia" w:hAnsiTheme="majorHAnsi"/>
          <w:sz w:val="20"/>
          <w:szCs w:val="20"/>
        </w:rPr>
        <w:t>, 1997). Thus, we expect loan loss provision ratio negatively affect bank profitability. Total loan to total asset or famously called as loan ratio (LOANTA) is ratio that reflect the ability of bank to fulfill the loan relative to its total asset. The impact of loan ratio on bank profitability is very difficult to predict. Higher loan ratio may lead to higher credit risk and, therefore, reduces its profitability (</w:t>
      </w:r>
      <w:proofErr w:type="spellStart"/>
      <w:r>
        <w:rPr>
          <w:rFonts w:asciiTheme="majorHAnsi" w:eastAsiaTheme="minorEastAsia" w:hAnsiTheme="majorHAnsi"/>
          <w:sz w:val="20"/>
          <w:szCs w:val="20"/>
        </w:rPr>
        <w:t>Staikauras</w:t>
      </w:r>
      <w:proofErr w:type="spellEnd"/>
      <w:r>
        <w:rPr>
          <w:rFonts w:asciiTheme="majorHAnsi" w:eastAsiaTheme="minorEastAsia" w:hAnsiTheme="majorHAnsi"/>
          <w:sz w:val="20"/>
          <w:szCs w:val="20"/>
        </w:rPr>
        <w:t xml:space="preserve"> and Wood, 2004). However, bank with high loan ratio may have high profit as the consequences of the added business activity. Even though this variable has no steady impact direction on bank profitability, we still include this variable to avoid omitted variable bias. </w:t>
      </w:r>
    </w:p>
    <w:p w:rsidR="00444438" w:rsidRDefault="00E25332">
      <w:pPr>
        <w:spacing w:before="120" w:after="120" w:line="240" w:lineRule="auto"/>
        <w:ind w:firstLine="720"/>
        <w:jc w:val="both"/>
        <w:rPr>
          <w:rFonts w:asciiTheme="majorHAnsi" w:eastAsia="Times New Roman" w:hAnsiTheme="majorHAnsi" w:cs="Times New Roman"/>
          <w:color w:val="000000"/>
          <w:sz w:val="20"/>
          <w:szCs w:val="20"/>
        </w:rPr>
      </w:pPr>
      <w:r>
        <w:rPr>
          <w:rFonts w:asciiTheme="majorHAnsi" w:eastAsiaTheme="minorEastAsia" w:hAnsiTheme="majorHAnsi"/>
          <w:sz w:val="20"/>
          <w:szCs w:val="20"/>
        </w:rPr>
        <w:t>For macroeconomic variables, inflation (INF) and growth of gross domestic product (</w:t>
      </w:r>
      <w:proofErr w:type="spellStart"/>
      <w:r>
        <w:rPr>
          <w:rFonts w:asciiTheme="majorHAnsi" w:eastAsiaTheme="minorEastAsia" w:hAnsiTheme="majorHAnsi"/>
          <w:sz w:val="20"/>
          <w:szCs w:val="20"/>
        </w:rPr>
        <w:t>GrGDP</w:t>
      </w:r>
      <w:proofErr w:type="spellEnd"/>
      <w:r>
        <w:rPr>
          <w:rFonts w:asciiTheme="majorHAnsi" w:eastAsiaTheme="minorEastAsia" w:hAnsiTheme="majorHAnsi"/>
          <w:sz w:val="20"/>
          <w:szCs w:val="20"/>
        </w:rPr>
        <w:t xml:space="preserve">) are included in our models. </w:t>
      </w:r>
      <w:proofErr w:type="spellStart"/>
      <w:r>
        <w:rPr>
          <w:rFonts w:asciiTheme="majorHAnsi" w:eastAsiaTheme="minorEastAsia" w:hAnsiTheme="majorHAnsi"/>
          <w:sz w:val="20"/>
          <w:szCs w:val="20"/>
        </w:rPr>
        <w:t>Demirguc-Kunt</w:t>
      </w:r>
      <w:proofErr w:type="spellEnd"/>
      <w:r>
        <w:rPr>
          <w:rFonts w:asciiTheme="majorHAnsi" w:eastAsiaTheme="minorEastAsia" w:hAnsiTheme="majorHAnsi"/>
          <w:sz w:val="20"/>
          <w:szCs w:val="20"/>
        </w:rPr>
        <w:t xml:space="preserve"> and Huizinga (2000) identify that business cycle can be reflected by growth of gross domestic product. They found growth of gross </w:t>
      </w:r>
      <w:proofErr w:type="spellStart"/>
      <w:r>
        <w:rPr>
          <w:rFonts w:asciiTheme="majorHAnsi" w:eastAsiaTheme="minorEastAsia" w:hAnsiTheme="majorHAnsi"/>
          <w:sz w:val="20"/>
          <w:szCs w:val="20"/>
        </w:rPr>
        <w:t>dometic</w:t>
      </w:r>
      <w:proofErr w:type="spellEnd"/>
      <w:r>
        <w:rPr>
          <w:rFonts w:asciiTheme="majorHAnsi" w:eastAsiaTheme="minorEastAsia" w:hAnsiTheme="majorHAnsi"/>
          <w:sz w:val="20"/>
          <w:szCs w:val="20"/>
        </w:rPr>
        <w:t xml:space="preserve"> product has positive association with bank profitability. For inflation, it has no fix association with bank profitability. Some studies found that there is positive association with bank profitability (</w:t>
      </w:r>
      <w:proofErr w:type="spellStart"/>
      <w:r>
        <w:rPr>
          <w:rFonts w:asciiTheme="majorHAnsi" w:eastAsiaTheme="minorEastAsia" w:hAnsiTheme="majorHAnsi"/>
          <w:sz w:val="20"/>
          <w:szCs w:val="20"/>
        </w:rPr>
        <w:t>Demirguc-Kunt</w:t>
      </w:r>
      <w:proofErr w:type="spellEnd"/>
      <w:r>
        <w:rPr>
          <w:rFonts w:asciiTheme="majorHAnsi" w:eastAsiaTheme="minorEastAsia" w:hAnsiTheme="majorHAnsi"/>
          <w:sz w:val="20"/>
          <w:szCs w:val="20"/>
        </w:rPr>
        <w:t xml:space="preserve"> and Huizinga, 2000; Tan and </w:t>
      </w:r>
      <w:proofErr w:type="spellStart"/>
      <w:r>
        <w:rPr>
          <w:rFonts w:asciiTheme="majorHAnsi" w:eastAsiaTheme="minorEastAsia" w:hAnsiTheme="majorHAnsi"/>
          <w:sz w:val="20"/>
          <w:szCs w:val="20"/>
        </w:rPr>
        <w:t>Floros</w:t>
      </w:r>
      <w:proofErr w:type="spellEnd"/>
      <w:r>
        <w:rPr>
          <w:rFonts w:asciiTheme="majorHAnsi" w:eastAsiaTheme="minorEastAsia" w:hAnsiTheme="majorHAnsi"/>
          <w:sz w:val="20"/>
          <w:szCs w:val="20"/>
        </w:rPr>
        <w:t>, 2012), while others found reversed result (</w:t>
      </w:r>
      <w:proofErr w:type="spellStart"/>
      <w:r>
        <w:rPr>
          <w:rFonts w:asciiTheme="majorHAnsi" w:eastAsiaTheme="minorEastAsia" w:hAnsiTheme="majorHAnsi"/>
          <w:sz w:val="20"/>
          <w:szCs w:val="20"/>
        </w:rPr>
        <w:t>Sufian</w:t>
      </w:r>
      <w:proofErr w:type="spellEnd"/>
      <w:r>
        <w:rPr>
          <w:rFonts w:asciiTheme="majorHAnsi" w:eastAsiaTheme="minorEastAsia" w:hAnsiTheme="majorHAnsi"/>
          <w:sz w:val="20"/>
          <w:szCs w:val="20"/>
        </w:rPr>
        <w:t xml:space="preserve"> and Chong, 2008). Boyd and Champ (2006) suggest that if future inflation </w:t>
      </w:r>
      <w:proofErr w:type="gramStart"/>
      <w:r>
        <w:rPr>
          <w:rFonts w:asciiTheme="majorHAnsi" w:eastAsiaTheme="minorEastAsia" w:hAnsiTheme="majorHAnsi"/>
          <w:sz w:val="20"/>
          <w:szCs w:val="20"/>
        </w:rPr>
        <w:t>can be anticipated</w:t>
      </w:r>
      <w:proofErr w:type="gramEnd"/>
      <w:r>
        <w:rPr>
          <w:rFonts w:asciiTheme="majorHAnsi" w:eastAsiaTheme="minorEastAsia" w:hAnsiTheme="majorHAnsi"/>
          <w:sz w:val="20"/>
          <w:szCs w:val="20"/>
        </w:rPr>
        <w:t xml:space="preserve"> by banks and the rate of inflation is not extreme, it will not harm bank profitability</w:t>
      </w:r>
    </w:p>
    <w:p w:rsidR="00444438" w:rsidRDefault="00E25332">
      <w:pPr>
        <w:pStyle w:val="ListParagraph"/>
        <w:numPr>
          <w:ilvl w:val="0"/>
          <w:numId w:val="1"/>
        </w:numPr>
        <w:spacing w:before="120" w:after="120" w:line="240" w:lineRule="auto"/>
        <w:ind w:left="567" w:hanging="567"/>
        <w:jc w:val="both"/>
        <w:rPr>
          <w:rFonts w:eastAsia="Times New Roman" w:cs="Calibri"/>
          <w:b/>
          <w:sz w:val="24"/>
          <w:szCs w:val="24"/>
        </w:rPr>
      </w:pPr>
      <w:r>
        <w:rPr>
          <w:rFonts w:eastAsia="Times New Roman" w:cs="Calibri"/>
          <w:b/>
          <w:color w:val="000000"/>
          <w:sz w:val="24"/>
          <w:szCs w:val="24"/>
        </w:rPr>
        <w:t>Results</w:t>
      </w:r>
    </w:p>
    <w:p w:rsidR="00444438" w:rsidRDefault="00E25332">
      <w:pPr>
        <w:spacing w:before="120" w:after="120" w:line="240" w:lineRule="auto"/>
        <w:ind w:firstLine="567"/>
        <w:jc w:val="both"/>
        <w:outlineLvl w:val="0"/>
        <w:rPr>
          <w:rFonts w:asciiTheme="minorHAnsi" w:eastAsia="Times New Roman" w:hAnsiTheme="minorHAnsi" w:cstheme="minorHAnsi"/>
          <w:color w:val="000000"/>
          <w:sz w:val="24"/>
          <w:szCs w:val="24"/>
        </w:rPr>
      </w:pPr>
      <w:r>
        <w:rPr>
          <w:rFonts w:asciiTheme="minorHAnsi" w:hAnsiTheme="minorHAnsi" w:cstheme="minorHAnsi"/>
          <w:b/>
          <w:i/>
          <w:sz w:val="24"/>
          <w:szCs w:val="24"/>
        </w:rPr>
        <w:t>Statistic Descriptive and Correlation Matrix</w:t>
      </w:r>
      <w:r>
        <w:rPr>
          <w:rFonts w:asciiTheme="minorHAnsi" w:eastAsia="Times New Roman" w:hAnsiTheme="minorHAnsi" w:cstheme="minorHAnsi"/>
          <w:color w:val="000000"/>
          <w:sz w:val="24"/>
          <w:szCs w:val="24"/>
        </w:rPr>
        <w:t xml:space="preserve"> </w:t>
      </w:r>
    </w:p>
    <w:p w:rsidR="00444438" w:rsidRDefault="00E25332">
      <w:pPr>
        <w:ind w:firstLine="720"/>
        <w:jc w:val="both"/>
        <w:rPr>
          <w:rFonts w:asciiTheme="majorHAnsi" w:eastAsiaTheme="minorEastAsia" w:hAnsiTheme="majorHAnsi"/>
          <w:sz w:val="20"/>
          <w:szCs w:val="20"/>
        </w:rPr>
      </w:pPr>
      <w:r>
        <w:rPr>
          <w:rFonts w:asciiTheme="majorHAnsi" w:eastAsiaTheme="minorEastAsia" w:hAnsiTheme="majorHAnsi"/>
          <w:sz w:val="20"/>
          <w:szCs w:val="20"/>
        </w:rPr>
        <w:t xml:space="preserve">Our data are unbalanced and collected annually from 2010 and 2016. The total observations are 793 observations, 713 for conventional banks and 80 for </w:t>
      </w:r>
      <w:proofErr w:type="spellStart"/>
      <w:proofErr w:type="gramStart"/>
      <w:r>
        <w:rPr>
          <w:rFonts w:asciiTheme="majorHAnsi" w:eastAsiaTheme="minorEastAsia" w:hAnsiTheme="majorHAnsi"/>
          <w:sz w:val="20"/>
          <w:szCs w:val="20"/>
        </w:rPr>
        <w:t>islamic</w:t>
      </w:r>
      <w:proofErr w:type="spellEnd"/>
      <w:proofErr w:type="gramEnd"/>
      <w:r>
        <w:rPr>
          <w:rFonts w:asciiTheme="majorHAnsi" w:eastAsiaTheme="minorEastAsia" w:hAnsiTheme="majorHAnsi"/>
          <w:sz w:val="20"/>
          <w:szCs w:val="20"/>
        </w:rPr>
        <w:t xml:space="preserve"> banks. Our statistic descriptive shows </w:t>
      </w:r>
      <w:proofErr w:type="gramStart"/>
      <w:r>
        <w:rPr>
          <w:rFonts w:asciiTheme="majorHAnsi" w:eastAsiaTheme="minorEastAsia" w:hAnsiTheme="majorHAnsi"/>
          <w:sz w:val="20"/>
          <w:szCs w:val="20"/>
        </w:rPr>
        <w:t>mean,</w:t>
      </w:r>
      <w:proofErr w:type="gramEnd"/>
      <w:r>
        <w:rPr>
          <w:rFonts w:asciiTheme="majorHAnsi" w:eastAsiaTheme="minorEastAsia" w:hAnsiTheme="majorHAnsi"/>
          <w:sz w:val="20"/>
          <w:szCs w:val="20"/>
        </w:rPr>
        <w:t xml:space="preserve"> standard deviation, minimum value, maximum value and Mann-Whitney z-test result. This descriptive statistic shows the basic profiles and differences between conventional and </w:t>
      </w:r>
      <w:proofErr w:type="spellStart"/>
      <w:proofErr w:type="gramStart"/>
      <w:r>
        <w:rPr>
          <w:rFonts w:asciiTheme="majorHAnsi" w:eastAsiaTheme="minorEastAsia" w:hAnsiTheme="majorHAnsi"/>
          <w:sz w:val="20"/>
          <w:szCs w:val="20"/>
        </w:rPr>
        <w:t>islamic</w:t>
      </w:r>
      <w:proofErr w:type="spellEnd"/>
      <w:proofErr w:type="gramEnd"/>
      <w:r>
        <w:rPr>
          <w:rFonts w:asciiTheme="majorHAnsi" w:eastAsiaTheme="minorEastAsia" w:hAnsiTheme="majorHAnsi"/>
          <w:sz w:val="20"/>
          <w:szCs w:val="20"/>
        </w:rPr>
        <w:t xml:space="preserve"> banks data. Before we compare the profile of conventional and </w:t>
      </w:r>
      <w:proofErr w:type="spellStart"/>
      <w:proofErr w:type="gramStart"/>
      <w:r>
        <w:rPr>
          <w:rFonts w:asciiTheme="majorHAnsi" w:eastAsiaTheme="minorEastAsia" w:hAnsiTheme="majorHAnsi"/>
          <w:sz w:val="20"/>
          <w:szCs w:val="20"/>
        </w:rPr>
        <w:t>islamic</w:t>
      </w:r>
      <w:proofErr w:type="spellEnd"/>
      <w:proofErr w:type="gramEnd"/>
      <w:r>
        <w:rPr>
          <w:rFonts w:asciiTheme="majorHAnsi" w:eastAsiaTheme="minorEastAsia" w:hAnsiTheme="majorHAnsi"/>
          <w:sz w:val="20"/>
          <w:szCs w:val="20"/>
        </w:rPr>
        <w:t xml:space="preserve"> banks, we found an odd as it is shown on the table above. The value of loan loss provision of conventional banks is zero. Thus, we try to find the explanation. Based on data, we found that four foreign conventional banks have </w:t>
      </w:r>
      <w:proofErr w:type="gramStart"/>
      <w:r>
        <w:rPr>
          <w:rFonts w:asciiTheme="majorHAnsi" w:eastAsiaTheme="minorEastAsia" w:hAnsiTheme="majorHAnsi"/>
          <w:sz w:val="20"/>
          <w:szCs w:val="20"/>
        </w:rPr>
        <w:t>zero loan loss provision</w:t>
      </w:r>
      <w:proofErr w:type="gramEnd"/>
      <w:r>
        <w:rPr>
          <w:rFonts w:asciiTheme="majorHAnsi" w:eastAsiaTheme="minorEastAsia" w:hAnsiTheme="majorHAnsi"/>
          <w:sz w:val="20"/>
          <w:szCs w:val="20"/>
        </w:rPr>
        <w:t xml:space="preserve">. Our finding aligns with Financial Services Authority (OJK) since they have asked foreign bank to give more contribution on Indonesia economy. </w:t>
      </w:r>
    </w:p>
    <w:p w:rsidR="00444438" w:rsidRDefault="00E25332">
      <w:pPr>
        <w:jc w:val="center"/>
        <w:rPr>
          <w:rFonts w:asciiTheme="majorHAnsi" w:hAnsiTheme="majorHAnsi"/>
          <w:sz w:val="20"/>
          <w:szCs w:val="20"/>
        </w:rPr>
      </w:pPr>
      <w:r>
        <w:rPr>
          <w:rFonts w:asciiTheme="majorHAnsi" w:hAnsiTheme="majorHAnsi"/>
          <w:sz w:val="20"/>
          <w:szCs w:val="20"/>
        </w:rPr>
        <w:t>TABLE 1. Statistic Descriptive</w:t>
      </w:r>
    </w:p>
    <w:tbl>
      <w:tblPr>
        <w:tblW w:w="9371" w:type="dxa"/>
        <w:jc w:val="center"/>
        <w:tblLayout w:type="fixed"/>
        <w:tblLook w:val="04A0" w:firstRow="1" w:lastRow="0" w:firstColumn="1" w:lastColumn="0" w:noHBand="0" w:noVBand="1"/>
      </w:tblPr>
      <w:tblGrid>
        <w:gridCol w:w="984"/>
        <w:gridCol w:w="555"/>
        <w:gridCol w:w="780"/>
        <w:gridCol w:w="720"/>
        <w:gridCol w:w="825"/>
        <w:gridCol w:w="720"/>
        <w:gridCol w:w="555"/>
        <w:gridCol w:w="701"/>
        <w:gridCol w:w="813"/>
        <w:gridCol w:w="855"/>
        <w:gridCol w:w="765"/>
        <w:gridCol w:w="1098"/>
      </w:tblGrid>
      <w:tr w:rsidR="00444438">
        <w:trPr>
          <w:trHeight w:val="315"/>
          <w:jc w:val="center"/>
        </w:trPr>
        <w:tc>
          <w:tcPr>
            <w:tcW w:w="984"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Variable</w:t>
            </w:r>
          </w:p>
        </w:tc>
        <w:tc>
          <w:tcPr>
            <w:tcW w:w="3600" w:type="dxa"/>
            <w:gridSpan w:val="5"/>
            <w:tcBorders>
              <w:top w:val="single" w:sz="8" w:space="0" w:color="auto"/>
              <w:left w:val="nil"/>
              <w:bottom w:val="single" w:sz="8" w:space="0" w:color="auto"/>
              <w:right w:val="single" w:sz="4" w:space="0" w:color="auto"/>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Conventional Banks</w:t>
            </w:r>
          </w:p>
        </w:tc>
        <w:tc>
          <w:tcPr>
            <w:tcW w:w="3689" w:type="dxa"/>
            <w:gridSpan w:val="5"/>
            <w:tcBorders>
              <w:top w:val="single" w:sz="8" w:space="0" w:color="auto"/>
              <w:left w:val="single" w:sz="4" w:space="0" w:color="auto"/>
              <w:bottom w:val="nil"/>
              <w:right w:val="single" w:sz="8" w:space="0" w:color="000000"/>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Islamic Banks</w:t>
            </w:r>
          </w:p>
        </w:tc>
        <w:tc>
          <w:tcPr>
            <w:tcW w:w="1098" w:type="dxa"/>
            <w:tcBorders>
              <w:top w:val="single" w:sz="8" w:space="0" w:color="auto"/>
              <w:left w:val="single" w:sz="8" w:space="0" w:color="auto"/>
              <w:bottom w:val="single" w:sz="8" w:space="0" w:color="000000"/>
              <w:right w:val="single" w:sz="8" w:space="0" w:color="auto"/>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z-test</w:t>
            </w:r>
          </w:p>
        </w:tc>
      </w:tr>
      <w:tr w:rsidR="00444438">
        <w:trPr>
          <w:trHeight w:val="315"/>
          <w:jc w:val="center"/>
        </w:trPr>
        <w:tc>
          <w:tcPr>
            <w:tcW w:w="984" w:type="dxa"/>
            <w:vMerge/>
            <w:tcBorders>
              <w:top w:val="single" w:sz="8" w:space="0" w:color="auto"/>
              <w:left w:val="single" w:sz="8" w:space="0" w:color="auto"/>
              <w:bottom w:val="single" w:sz="8" w:space="0" w:color="000000"/>
              <w:right w:val="single" w:sz="8" w:space="0" w:color="auto"/>
            </w:tcBorders>
            <w:vAlign w:val="center"/>
          </w:tcPr>
          <w:p w:rsidR="00444438" w:rsidRDefault="00444438">
            <w:pPr>
              <w:spacing w:after="0" w:line="240" w:lineRule="auto"/>
              <w:jc w:val="center"/>
              <w:rPr>
                <w:rFonts w:asciiTheme="majorHAnsi" w:eastAsia="Times New Roman" w:hAnsiTheme="majorHAnsi"/>
                <w:color w:val="000000"/>
                <w:sz w:val="20"/>
                <w:szCs w:val="20"/>
                <w:lang w:eastAsia="id-ID"/>
              </w:rPr>
            </w:pPr>
          </w:p>
        </w:tc>
        <w:tc>
          <w:tcPr>
            <w:tcW w:w="555" w:type="dxa"/>
            <w:tcBorders>
              <w:top w:val="nil"/>
              <w:left w:val="nil"/>
              <w:bottom w:val="single" w:sz="8" w:space="0" w:color="auto"/>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proofErr w:type="spellStart"/>
            <w:r>
              <w:rPr>
                <w:rFonts w:asciiTheme="majorHAnsi" w:eastAsia="Times New Roman" w:hAnsiTheme="majorHAnsi"/>
                <w:color w:val="000000"/>
                <w:sz w:val="20"/>
                <w:szCs w:val="20"/>
                <w:lang w:eastAsia="id-ID"/>
              </w:rPr>
              <w:t>Obs</w:t>
            </w:r>
            <w:proofErr w:type="spellEnd"/>
          </w:p>
        </w:tc>
        <w:tc>
          <w:tcPr>
            <w:tcW w:w="780" w:type="dxa"/>
            <w:tcBorders>
              <w:top w:val="nil"/>
              <w:left w:val="nil"/>
              <w:bottom w:val="single" w:sz="8" w:space="0" w:color="auto"/>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Mean</w:t>
            </w:r>
          </w:p>
        </w:tc>
        <w:tc>
          <w:tcPr>
            <w:tcW w:w="720" w:type="dxa"/>
            <w:tcBorders>
              <w:top w:val="nil"/>
              <w:left w:val="nil"/>
              <w:bottom w:val="single" w:sz="8" w:space="0" w:color="auto"/>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Std. Dev.</w:t>
            </w:r>
          </w:p>
        </w:tc>
        <w:tc>
          <w:tcPr>
            <w:tcW w:w="825" w:type="dxa"/>
            <w:tcBorders>
              <w:top w:val="nil"/>
              <w:left w:val="nil"/>
              <w:bottom w:val="single" w:sz="8" w:space="0" w:color="auto"/>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Min</w:t>
            </w:r>
          </w:p>
        </w:tc>
        <w:tc>
          <w:tcPr>
            <w:tcW w:w="720" w:type="dxa"/>
            <w:tcBorders>
              <w:top w:val="nil"/>
              <w:left w:val="nil"/>
              <w:bottom w:val="single" w:sz="8" w:space="0" w:color="auto"/>
              <w:right w:val="single" w:sz="8" w:space="0" w:color="auto"/>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Max</w:t>
            </w:r>
          </w:p>
        </w:tc>
        <w:tc>
          <w:tcPr>
            <w:tcW w:w="555" w:type="dxa"/>
            <w:tcBorders>
              <w:top w:val="single" w:sz="8" w:space="0" w:color="auto"/>
              <w:left w:val="nil"/>
              <w:bottom w:val="single" w:sz="8" w:space="0" w:color="auto"/>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proofErr w:type="spellStart"/>
            <w:r>
              <w:rPr>
                <w:rFonts w:asciiTheme="majorHAnsi" w:eastAsia="Times New Roman" w:hAnsiTheme="majorHAnsi"/>
                <w:color w:val="000000"/>
                <w:sz w:val="20"/>
                <w:szCs w:val="20"/>
                <w:lang w:eastAsia="id-ID"/>
              </w:rPr>
              <w:t>Obs</w:t>
            </w:r>
            <w:proofErr w:type="spellEnd"/>
          </w:p>
        </w:tc>
        <w:tc>
          <w:tcPr>
            <w:tcW w:w="701" w:type="dxa"/>
            <w:tcBorders>
              <w:top w:val="single" w:sz="8" w:space="0" w:color="auto"/>
              <w:left w:val="nil"/>
              <w:bottom w:val="single" w:sz="8" w:space="0" w:color="auto"/>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Mean</w:t>
            </w:r>
          </w:p>
        </w:tc>
        <w:tc>
          <w:tcPr>
            <w:tcW w:w="813" w:type="dxa"/>
            <w:tcBorders>
              <w:top w:val="single" w:sz="8" w:space="0" w:color="auto"/>
              <w:left w:val="nil"/>
              <w:bottom w:val="single" w:sz="8" w:space="0" w:color="auto"/>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Std. Dev.</w:t>
            </w:r>
          </w:p>
        </w:tc>
        <w:tc>
          <w:tcPr>
            <w:tcW w:w="855" w:type="dxa"/>
            <w:tcBorders>
              <w:top w:val="single" w:sz="8" w:space="0" w:color="auto"/>
              <w:left w:val="nil"/>
              <w:bottom w:val="single" w:sz="8" w:space="0" w:color="auto"/>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Min</w:t>
            </w:r>
          </w:p>
        </w:tc>
        <w:tc>
          <w:tcPr>
            <w:tcW w:w="765" w:type="dxa"/>
            <w:tcBorders>
              <w:top w:val="single" w:sz="8" w:space="0" w:color="auto"/>
              <w:left w:val="nil"/>
              <w:bottom w:val="single" w:sz="8" w:space="0" w:color="auto"/>
              <w:right w:val="single" w:sz="8" w:space="0" w:color="auto"/>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Max</w:t>
            </w:r>
          </w:p>
        </w:tc>
        <w:tc>
          <w:tcPr>
            <w:tcW w:w="1098" w:type="dxa"/>
            <w:tcBorders>
              <w:top w:val="single" w:sz="8" w:space="0" w:color="auto"/>
              <w:left w:val="single" w:sz="8" w:space="0" w:color="auto"/>
              <w:bottom w:val="single" w:sz="8" w:space="0" w:color="000000"/>
              <w:right w:val="single" w:sz="8" w:space="0" w:color="auto"/>
            </w:tcBorders>
            <w:vAlign w:val="center"/>
          </w:tcPr>
          <w:p w:rsidR="00444438" w:rsidRDefault="00444438">
            <w:pPr>
              <w:spacing w:after="0" w:line="240" w:lineRule="auto"/>
              <w:jc w:val="center"/>
              <w:rPr>
                <w:rFonts w:asciiTheme="majorHAnsi" w:eastAsia="Times New Roman" w:hAnsiTheme="majorHAnsi"/>
                <w:color w:val="000000"/>
                <w:sz w:val="20"/>
                <w:szCs w:val="20"/>
                <w:lang w:eastAsia="id-ID"/>
              </w:rPr>
            </w:pPr>
          </w:p>
        </w:tc>
      </w:tr>
      <w:tr w:rsidR="00444438">
        <w:trPr>
          <w:trHeight w:val="300"/>
          <w:jc w:val="center"/>
        </w:trPr>
        <w:tc>
          <w:tcPr>
            <w:tcW w:w="984" w:type="dxa"/>
            <w:tcBorders>
              <w:top w:val="nil"/>
              <w:left w:val="single" w:sz="8" w:space="0" w:color="auto"/>
              <w:bottom w:val="nil"/>
              <w:right w:val="single" w:sz="8" w:space="0" w:color="auto"/>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ROA</w:t>
            </w:r>
          </w:p>
        </w:tc>
        <w:tc>
          <w:tcPr>
            <w:tcW w:w="55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713</w:t>
            </w:r>
          </w:p>
        </w:tc>
        <w:tc>
          <w:tcPr>
            <w:tcW w:w="780"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0.013</w:t>
            </w:r>
          </w:p>
        </w:tc>
        <w:tc>
          <w:tcPr>
            <w:tcW w:w="720"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0.015</w:t>
            </w:r>
          </w:p>
        </w:tc>
        <w:tc>
          <w:tcPr>
            <w:tcW w:w="82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-0.117</w:t>
            </w:r>
          </w:p>
        </w:tc>
        <w:tc>
          <w:tcPr>
            <w:tcW w:w="720" w:type="dxa"/>
            <w:tcBorders>
              <w:top w:val="nil"/>
              <w:left w:val="nil"/>
              <w:bottom w:val="nil"/>
              <w:right w:val="single" w:sz="8" w:space="0" w:color="auto"/>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0.053</w:t>
            </w:r>
          </w:p>
        </w:tc>
        <w:tc>
          <w:tcPr>
            <w:tcW w:w="55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80</w:t>
            </w:r>
          </w:p>
        </w:tc>
        <w:tc>
          <w:tcPr>
            <w:tcW w:w="701"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0.004</w:t>
            </w:r>
          </w:p>
        </w:tc>
        <w:tc>
          <w:tcPr>
            <w:tcW w:w="813"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0.027</w:t>
            </w:r>
          </w:p>
        </w:tc>
        <w:tc>
          <w:tcPr>
            <w:tcW w:w="85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-0.169</w:t>
            </w:r>
          </w:p>
        </w:tc>
        <w:tc>
          <w:tcPr>
            <w:tcW w:w="76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0.056</w:t>
            </w:r>
          </w:p>
        </w:tc>
        <w:tc>
          <w:tcPr>
            <w:tcW w:w="1098" w:type="dxa"/>
            <w:tcBorders>
              <w:top w:val="nil"/>
              <w:left w:val="single" w:sz="8" w:space="0" w:color="auto"/>
              <w:bottom w:val="nil"/>
              <w:right w:val="single" w:sz="8" w:space="0" w:color="auto"/>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5.588***</w:t>
            </w:r>
          </w:p>
        </w:tc>
      </w:tr>
      <w:tr w:rsidR="00444438">
        <w:trPr>
          <w:trHeight w:val="300"/>
          <w:jc w:val="center"/>
        </w:trPr>
        <w:tc>
          <w:tcPr>
            <w:tcW w:w="984" w:type="dxa"/>
            <w:tcBorders>
              <w:top w:val="nil"/>
              <w:left w:val="single" w:sz="8" w:space="0" w:color="auto"/>
              <w:bottom w:val="nil"/>
              <w:right w:val="single" w:sz="8" w:space="0" w:color="auto"/>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LLP</w:t>
            </w:r>
          </w:p>
        </w:tc>
        <w:tc>
          <w:tcPr>
            <w:tcW w:w="55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713</w:t>
            </w:r>
          </w:p>
        </w:tc>
        <w:tc>
          <w:tcPr>
            <w:tcW w:w="780"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0.021</w:t>
            </w:r>
          </w:p>
        </w:tc>
        <w:tc>
          <w:tcPr>
            <w:tcW w:w="720"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0.032</w:t>
            </w:r>
          </w:p>
        </w:tc>
        <w:tc>
          <w:tcPr>
            <w:tcW w:w="82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0.000</w:t>
            </w:r>
          </w:p>
        </w:tc>
        <w:tc>
          <w:tcPr>
            <w:tcW w:w="720" w:type="dxa"/>
            <w:tcBorders>
              <w:top w:val="nil"/>
              <w:left w:val="nil"/>
              <w:bottom w:val="nil"/>
              <w:right w:val="single" w:sz="8" w:space="0" w:color="auto"/>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0.613</w:t>
            </w:r>
          </w:p>
        </w:tc>
        <w:tc>
          <w:tcPr>
            <w:tcW w:w="55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80</w:t>
            </w:r>
          </w:p>
        </w:tc>
        <w:tc>
          <w:tcPr>
            <w:tcW w:w="701"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0.033</w:t>
            </w:r>
          </w:p>
        </w:tc>
        <w:tc>
          <w:tcPr>
            <w:tcW w:w="813"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0.057</w:t>
            </w:r>
          </w:p>
        </w:tc>
        <w:tc>
          <w:tcPr>
            <w:tcW w:w="85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0.009</w:t>
            </w:r>
          </w:p>
        </w:tc>
        <w:tc>
          <w:tcPr>
            <w:tcW w:w="76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0.414</w:t>
            </w:r>
          </w:p>
        </w:tc>
        <w:tc>
          <w:tcPr>
            <w:tcW w:w="1098" w:type="dxa"/>
            <w:tcBorders>
              <w:top w:val="nil"/>
              <w:left w:val="single" w:sz="8" w:space="0" w:color="auto"/>
              <w:bottom w:val="nil"/>
              <w:right w:val="single" w:sz="8" w:space="0" w:color="auto"/>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-5.760**</w:t>
            </w:r>
          </w:p>
        </w:tc>
      </w:tr>
      <w:tr w:rsidR="00444438">
        <w:trPr>
          <w:trHeight w:val="300"/>
          <w:jc w:val="center"/>
        </w:trPr>
        <w:tc>
          <w:tcPr>
            <w:tcW w:w="984" w:type="dxa"/>
            <w:tcBorders>
              <w:top w:val="nil"/>
              <w:left w:val="single" w:sz="8" w:space="0" w:color="auto"/>
              <w:bottom w:val="nil"/>
              <w:right w:val="single" w:sz="8" w:space="0" w:color="auto"/>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LOANTA</w:t>
            </w:r>
          </w:p>
        </w:tc>
        <w:tc>
          <w:tcPr>
            <w:tcW w:w="55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713</w:t>
            </w:r>
          </w:p>
        </w:tc>
        <w:tc>
          <w:tcPr>
            <w:tcW w:w="780"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0.629</w:t>
            </w:r>
          </w:p>
        </w:tc>
        <w:tc>
          <w:tcPr>
            <w:tcW w:w="720"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0.114</w:t>
            </w:r>
          </w:p>
        </w:tc>
        <w:tc>
          <w:tcPr>
            <w:tcW w:w="82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0.092</w:t>
            </w:r>
          </w:p>
        </w:tc>
        <w:tc>
          <w:tcPr>
            <w:tcW w:w="720" w:type="dxa"/>
            <w:tcBorders>
              <w:top w:val="nil"/>
              <w:left w:val="nil"/>
              <w:bottom w:val="nil"/>
              <w:right w:val="single" w:sz="8" w:space="0" w:color="auto"/>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0.880</w:t>
            </w:r>
          </w:p>
        </w:tc>
        <w:tc>
          <w:tcPr>
            <w:tcW w:w="55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80</w:t>
            </w:r>
          </w:p>
        </w:tc>
        <w:tc>
          <w:tcPr>
            <w:tcW w:w="701"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0.685</w:t>
            </w:r>
          </w:p>
        </w:tc>
        <w:tc>
          <w:tcPr>
            <w:tcW w:w="813"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0.123</w:t>
            </w:r>
          </w:p>
        </w:tc>
        <w:tc>
          <w:tcPr>
            <w:tcW w:w="85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0.082</w:t>
            </w:r>
          </w:p>
        </w:tc>
        <w:tc>
          <w:tcPr>
            <w:tcW w:w="76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0.890</w:t>
            </w:r>
          </w:p>
        </w:tc>
        <w:tc>
          <w:tcPr>
            <w:tcW w:w="1098" w:type="dxa"/>
            <w:tcBorders>
              <w:top w:val="nil"/>
              <w:left w:val="single" w:sz="8" w:space="0" w:color="auto"/>
              <w:bottom w:val="nil"/>
              <w:right w:val="single" w:sz="8" w:space="0" w:color="auto"/>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-5.719***</w:t>
            </w:r>
          </w:p>
        </w:tc>
      </w:tr>
      <w:tr w:rsidR="00444438">
        <w:trPr>
          <w:trHeight w:val="300"/>
          <w:jc w:val="center"/>
        </w:trPr>
        <w:tc>
          <w:tcPr>
            <w:tcW w:w="984" w:type="dxa"/>
            <w:tcBorders>
              <w:top w:val="nil"/>
              <w:left w:val="single" w:sz="8" w:space="0" w:color="auto"/>
              <w:bottom w:val="nil"/>
              <w:right w:val="single" w:sz="8" w:space="0" w:color="auto"/>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CAP</w:t>
            </w:r>
          </w:p>
        </w:tc>
        <w:tc>
          <w:tcPr>
            <w:tcW w:w="55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713</w:t>
            </w:r>
          </w:p>
        </w:tc>
        <w:tc>
          <w:tcPr>
            <w:tcW w:w="780"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0.149</w:t>
            </w:r>
          </w:p>
        </w:tc>
        <w:tc>
          <w:tcPr>
            <w:tcW w:w="720"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0.096</w:t>
            </w:r>
          </w:p>
        </w:tc>
        <w:tc>
          <w:tcPr>
            <w:tcW w:w="82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-0.009</w:t>
            </w:r>
          </w:p>
        </w:tc>
        <w:tc>
          <w:tcPr>
            <w:tcW w:w="720" w:type="dxa"/>
            <w:tcBorders>
              <w:top w:val="nil"/>
              <w:left w:val="nil"/>
              <w:bottom w:val="nil"/>
              <w:right w:val="single" w:sz="8" w:space="0" w:color="auto"/>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0.889</w:t>
            </w:r>
          </w:p>
        </w:tc>
        <w:tc>
          <w:tcPr>
            <w:tcW w:w="55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80</w:t>
            </w:r>
          </w:p>
        </w:tc>
        <w:tc>
          <w:tcPr>
            <w:tcW w:w="701"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0.167</w:t>
            </w:r>
          </w:p>
        </w:tc>
        <w:tc>
          <w:tcPr>
            <w:tcW w:w="813"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0.124</w:t>
            </w:r>
          </w:p>
        </w:tc>
        <w:tc>
          <w:tcPr>
            <w:tcW w:w="85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0.055</w:t>
            </w:r>
          </w:p>
        </w:tc>
        <w:tc>
          <w:tcPr>
            <w:tcW w:w="76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0.613</w:t>
            </w:r>
          </w:p>
        </w:tc>
        <w:tc>
          <w:tcPr>
            <w:tcW w:w="1098" w:type="dxa"/>
            <w:tcBorders>
              <w:top w:val="nil"/>
              <w:left w:val="single" w:sz="8" w:space="0" w:color="auto"/>
              <w:bottom w:val="nil"/>
              <w:right w:val="single" w:sz="8" w:space="0" w:color="auto"/>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hAnsiTheme="majorHAnsi"/>
                <w:sz w:val="20"/>
                <w:szCs w:val="20"/>
              </w:rPr>
              <w:t>0.834</w:t>
            </w:r>
          </w:p>
        </w:tc>
      </w:tr>
      <w:tr w:rsidR="00444438">
        <w:trPr>
          <w:trHeight w:val="300"/>
          <w:jc w:val="center"/>
        </w:trPr>
        <w:tc>
          <w:tcPr>
            <w:tcW w:w="984" w:type="dxa"/>
            <w:tcBorders>
              <w:top w:val="nil"/>
              <w:left w:val="single" w:sz="8" w:space="0" w:color="auto"/>
              <w:bottom w:val="nil"/>
              <w:right w:val="single" w:sz="8" w:space="0" w:color="auto"/>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VAIC</w:t>
            </w:r>
          </w:p>
        </w:tc>
        <w:tc>
          <w:tcPr>
            <w:tcW w:w="55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713</w:t>
            </w:r>
          </w:p>
        </w:tc>
        <w:tc>
          <w:tcPr>
            <w:tcW w:w="780"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2.870</w:t>
            </w:r>
          </w:p>
        </w:tc>
        <w:tc>
          <w:tcPr>
            <w:tcW w:w="720"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2.381</w:t>
            </w:r>
          </w:p>
        </w:tc>
        <w:tc>
          <w:tcPr>
            <w:tcW w:w="82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-22.40</w:t>
            </w:r>
          </w:p>
        </w:tc>
        <w:tc>
          <w:tcPr>
            <w:tcW w:w="720" w:type="dxa"/>
            <w:tcBorders>
              <w:top w:val="nil"/>
              <w:left w:val="nil"/>
              <w:bottom w:val="nil"/>
              <w:right w:val="single" w:sz="8" w:space="0" w:color="auto"/>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18.45</w:t>
            </w:r>
          </w:p>
        </w:tc>
        <w:tc>
          <w:tcPr>
            <w:tcW w:w="55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80</w:t>
            </w:r>
          </w:p>
        </w:tc>
        <w:tc>
          <w:tcPr>
            <w:tcW w:w="701"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2.731</w:t>
            </w:r>
          </w:p>
        </w:tc>
        <w:tc>
          <w:tcPr>
            <w:tcW w:w="813"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3.687</w:t>
            </w:r>
          </w:p>
        </w:tc>
        <w:tc>
          <w:tcPr>
            <w:tcW w:w="85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-11.61</w:t>
            </w:r>
          </w:p>
        </w:tc>
        <w:tc>
          <w:tcPr>
            <w:tcW w:w="76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29.30</w:t>
            </w:r>
          </w:p>
        </w:tc>
        <w:tc>
          <w:tcPr>
            <w:tcW w:w="1098" w:type="dxa"/>
            <w:tcBorders>
              <w:top w:val="nil"/>
              <w:left w:val="single" w:sz="8" w:space="0" w:color="auto"/>
              <w:bottom w:val="nil"/>
              <w:right w:val="single" w:sz="8" w:space="0" w:color="auto"/>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1.883*</w:t>
            </w:r>
          </w:p>
        </w:tc>
      </w:tr>
      <w:tr w:rsidR="00444438">
        <w:trPr>
          <w:trHeight w:val="300"/>
          <w:jc w:val="center"/>
        </w:trPr>
        <w:tc>
          <w:tcPr>
            <w:tcW w:w="984" w:type="dxa"/>
            <w:tcBorders>
              <w:top w:val="nil"/>
              <w:left w:val="single" w:sz="8" w:space="0" w:color="auto"/>
              <w:bottom w:val="nil"/>
              <w:right w:val="single" w:sz="8" w:space="0" w:color="auto"/>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HCE</w:t>
            </w:r>
          </w:p>
        </w:tc>
        <w:tc>
          <w:tcPr>
            <w:tcW w:w="55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713</w:t>
            </w:r>
          </w:p>
        </w:tc>
        <w:tc>
          <w:tcPr>
            <w:tcW w:w="780"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2.340</w:t>
            </w:r>
          </w:p>
        </w:tc>
        <w:tc>
          <w:tcPr>
            <w:tcW w:w="720"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1.942</w:t>
            </w:r>
          </w:p>
        </w:tc>
        <w:tc>
          <w:tcPr>
            <w:tcW w:w="82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-16.06</w:t>
            </w:r>
          </w:p>
        </w:tc>
        <w:tc>
          <w:tcPr>
            <w:tcW w:w="720" w:type="dxa"/>
            <w:tcBorders>
              <w:top w:val="nil"/>
              <w:left w:val="nil"/>
              <w:bottom w:val="nil"/>
              <w:right w:val="single" w:sz="8" w:space="0" w:color="auto"/>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17.47</w:t>
            </w:r>
          </w:p>
        </w:tc>
        <w:tc>
          <w:tcPr>
            <w:tcW w:w="55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80</w:t>
            </w:r>
          </w:p>
        </w:tc>
        <w:tc>
          <w:tcPr>
            <w:tcW w:w="701"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1.759</w:t>
            </w:r>
          </w:p>
        </w:tc>
        <w:tc>
          <w:tcPr>
            <w:tcW w:w="813"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2.124</w:t>
            </w:r>
          </w:p>
        </w:tc>
        <w:tc>
          <w:tcPr>
            <w:tcW w:w="85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-12.52</w:t>
            </w:r>
          </w:p>
        </w:tc>
        <w:tc>
          <w:tcPr>
            <w:tcW w:w="76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6.400</w:t>
            </w:r>
          </w:p>
        </w:tc>
        <w:tc>
          <w:tcPr>
            <w:tcW w:w="1098" w:type="dxa"/>
            <w:tcBorders>
              <w:top w:val="nil"/>
              <w:left w:val="single" w:sz="8" w:space="0" w:color="auto"/>
              <w:bottom w:val="nil"/>
              <w:right w:val="single" w:sz="8" w:space="0" w:color="auto"/>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2.630***</w:t>
            </w:r>
          </w:p>
        </w:tc>
      </w:tr>
      <w:tr w:rsidR="00444438">
        <w:trPr>
          <w:trHeight w:val="300"/>
          <w:jc w:val="center"/>
        </w:trPr>
        <w:tc>
          <w:tcPr>
            <w:tcW w:w="984" w:type="dxa"/>
            <w:tcBorders>
              <w:top w:val="nil"/>
              <w:left w:val="single" w:sz="8" w:space="0" w:color="auto"/>
              <w:bottom w:val="nil"/>
              <w:right w:val="single" w:sz="8" w:space="0" w:color="auto"/>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SCE</w:t>
            </w:r>
          </w:p>
        </w:tc>
        <w:tc>
          <w:tcPr>
            <w:tcW w:w="55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713</w:t>
            </w:r>
          </w:p>
        </w:tc>
        <w:tc>
          <w:tcPr>
            <w:tcW w:w="780"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0.479</w:t>
            </w:r>
          </w:p>
        </w:tc>
        <w:tc>
          <w:tcPr>
            <w:tcW w:w="720"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1.156</w:t>
            </w:r>
          </w:p>
        </w:tc>
        <w:tc>
          <w:tcPr>
            <w:tcW w:w="82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-22.45</w:t>
            </w:r>
          </w:p>
        </w:tc>
        <w:tc>
          <w:tcPr>
            <w:tcW w:w="720" w:type="dxa"/>
            <w:tcBorders>
              <w:top w:val="nil"/>
              <w:left w:val="nil"/>
              <w:bottom w:val="nil"/>
              <w:right w:val="single" w:sz="8" w:space="0" w:color="auto"/>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11.77</w:t>
            </w:r>
          </w:p>
        </w:tc>
        <w:tc>
          <w:tcPr>
            <w:tcW w:w="55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80</w:t>
            </w:r>
          </w:p>
        </w:tc>
        <w:tc>
          <w:tcPr>
            <w:tcW w:w="701"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0.931</w:t>
            </w:r>
          </w:p>
        </w:tc>
        <w:tc>
          <w:tcPr>
            <w:tcW w:w="813"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3.284</w:t>
            </w:r>
          </w:p>
        </w:tc>
        <w:tc>
          <w:tcPr>
            <w:tcW w:w="85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-0.127</w:t>
            </w:r>
          </w:p>
        </w:tc>
        <w:tc>
          <w:tcPr>
            <w:tcW w:w="76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29.34</w:t>
            </w:r>
          </w:p>
        </w:tc>
        <w:tc>
          <w:tcPr>
            <w:tcW w:w="1098" w:type="dxa"/>
            <w:tcBorders>
              <w:top w:val="nil"/>
              <w:left w:val="single" w:sz="8" w:space="0" w:color="auto"/>
              <w:bottom w:val="nil"/>
              <w:right w:val="single" w:sz="8" w:space="0" w:color="auto"/>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1.128</w:t>
            </w:r>
          </w:p>
        </w:tc>
      </w:tr>
      <w:tr w:rsidR="00444438">
        <w:trPr>
          <w:trHeight w:val="300"/>
          <w:jc w:val="center"/>
        </w:trPr>
        <w:tc>
          <w:tcPr>
            <w:tcW w:w="984" w:type="dxa"/>
            <w:tcBorders>
              <w:top w:val="nil"/>
              <w:left w:val="single" w:sz="8" w:space="0" w:color="auto"/>
              <w:bottom w:val="nil"/>
              <w:right w:val="single" w:sz="8" w:space="0" w:color="auto"/>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CEE</w:t>
            </w:r>
          </w:p>
        </w:tc>
        <w:tc>
          <w:tcPr>
            <w:tcW w:w="55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713</w:t>
            </w:r>
          </w:p>
        </w:tc>
        <w:tc>
          <w:tcPr>
            <w:tcW w:w="780"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0.051</w:t>
            </w:r>
          </w:p>
        </w:tc>
        <w:tc>
          <w:tcPr>
            <w:tcW w:w="720"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0.260</w:t>
            </w:r>
          </w:p>
        </w:tc>
        <w:tc>
          <w:tcPr>
            <w:tcW w:w="82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-0.126</w:t>
            </w:r>
          </w:p>
        </w:tc>
        <w:tc>
          <w:tcPr>
            <w:tcW w:w="720" w:type="dxa"/>
            <w:tcBorders>
              <w:top w:val="nil"/>
              <w:left w:val="nil"/>
              <w:bottom w:val="nil"/>
              <w:right w:val="single" w:sz="8" w:space="0" w:color="auto"/>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5.382</w:t>
            </w:r>
          </w:p>
        </w:tc>
        <w:tc>
          <w:tcPr>
            <w:tcW w:w="55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80</w:t>
            </w:r>
          </w:p>
        </w:tc>
        <w:tc>
          <w:tcPr>
            <w:tcW w:w="701"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0.040</w:t>
            </w:r>
          </w:p>
        </w:tc>
        <w:tc>
          <w:tcPr>
            <w:tcW w:w="813"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0.044</w:t>
            </w:r>
          </w:p>
        </w:tc>
        <w:tc>
          <w:tcPr>
            <w:tcW w:w="85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-0.169</w:t>
            </w:r>
          </w:p>
        </w:tc>
        <w:tc>
          <w:tcPr>
            <w:tcW w:w="76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0.181</w:t>
            </w:r>
          </w:p>
        </w:tc>
        <w:tc>
          <w:tcPr>
            <w:tcW w:w="1098" w:type="dxa"/>
            <w:tcBorders>
              <w:top w:val="nil"/>
              <w:left w:val="single" w:sz="8" w:space="0" w:color="auto"/>
              <w:bottom w:val="nil"/>
              <w:right w:val="single" w:sz="8" w:space="0" w:color="auto"/>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-0.618</w:t>
            </w:r>
          </w:p>
        </w:tc>
      </w:tr>
      <w:tr w:rsidR="00444438">
        <w:trPr>
          <w:trHeight w:val="300"/>
          <w:jc w:val="center"/>
        </w:trPr>
        <w:tc>
          <w:tcPr>
            <w:tcW w:w="984" w:type="dxa"/>
            <w:tcBorders>
              <w:top w:val="nil"/>
              <w:left w:val="single" w:sz="8" w:space="0" w:color="auto"/>
              <w:bottom w:val="nil"/>
              <w:right w:val="single" w:sz="8" w:space="0" w:color="auto"/>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proofErr w:type="spellStart"/>
            <w:r>
              <w:rPr>
                <w:rFonts w:asciiTheme="majorHAnsi" w:eastAsia="Times New Roman" w:hAnsiTheme="majorHAnsi"/>
                <w:color w:val="000000"/>
                <w:sz w:val="20"/>
                <w:szCs w:val="20"/>
                <w:lang w:eastAsia="id-ID"/>
              </w:rPr>
              <w:t>LnTA</w:t>
            </w:r>
            <w:proofErr w:type="spellEnd"/>
          </w:p>
        </w:tc>
        <w:tc>
          <w:tcPr>
            <w:tcW w:w="55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713</w:t>
            </w:r>
          </w:p>
        </w:tc>
        <w:tc>
          <w:tcPr>
            <w:tcW w:w="780"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16.21</w:t>
            </w:r>
          </w:p>
        </w:tc>
        <w:tc>
          <w:tcPr>
            <w:tcW w:w="720"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1.700</w:t>
            </w:r>
          </w:p>
        </w:tc>
        <w:tc>
          <w:tcPr>
            <w:tcW w:w="82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11.797</w:t>
            </w:r>
          </w:p>
        </w:tc>
        <w:tc>
          <w:tcPr>
            <w:tcW w:w="720" w:type="dxa"/>
            <w:tcBorders>
              <w:top w:val="nil"/>
              <w:left w:val="nil"/>
              <w:bottom w:val="nil"/>
              <w:right w:val="single" w:sz="8" w:space="0" w:color="auto"/>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20.68</w:t>
            </w:r>
          </w:p>
        </w:tc>
        <w:tc>
          <w:tcPr>
            <w:tcW w:w="55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80</w:t>
            </w:r>
          </w:p>
        </w:tc>
        <w:tc>
          <w:tcPr>
            <w:tcW w:w="701"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15.66</w:t>
            </w:r>
          </w:p>
        </w:tc>
        <w:tc>
          <w:tcPr>
            <w:tcW w:w="813"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1.334</w:t>
            </w:r>
          </w:p>
        </w:tc>
        <w:tc>
          <w:tcPr>
            <w:tcW w:w="85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12.727</w:t>
            </w:r>
          </w:p>
        </w:tc>
        <w:tc>
          <w:tcPr>
            <w:tcW w:w="76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18.18</w:t>
            </w:r>
          </w:p>
        </w:tc>
        <w:tc>
          <w:tcPr>
            <w:tcW w:w="1098" w:type="dxa"/>
            <w:tcBorders>
              <w:top w:val="nil"/>
              <w:left w:val="single" w:sz="8" w:space="0" w:color="auto"/>
              <w:bottom w:val="nil"/>
              <w:right w:val="single" w:sz="8" w:space="0" w:color="auto"/>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2.840***</w:t>
            </w:r>
          </w:p>
        </w:tc>
      </w:tr>
      <w:tr w:rsidR="00444438">
        <w:trPr>
          <w:trHeight w:val="300"/>
          <w:jc w:val="center"/>
        </w:trPr>
        <w:tc>
          <w:tcPr>
            <w:tcW w:w="984" w:type="dxa"/>
            <w:tcBorders>
              <w:top w:val="nil"/>
              <w:left w:val="single" w:sz="8" w:space="0" w:color="auto"/>
              <w:bottom w:val="nil"/>
              <w:right w:val="single" w:sz="8" w:space="0" w:color="auto"/>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proofErr w:type="spellStart"/>
            <w:r>
              <w:rPr>
                <w:rFonts w:asciiTheme="majorHAnsi" w:eastAsia="Times New Roman" w:hAnsiTheme="majorHAnsi"/>
                <w:color w:val="000000"/>
                <w:sz w:val="20"/>
                <w:szCs w:val="20"/>
                <w:lang w:eastAsia="id-ID"/>
              </w:rPr>
              <w:t>GrGDP</w:t>
            </w:r>
            <w:proofErr w:type="spellEnd"/>
          </w:p>
        </w:tc>
        <w:tc>
          <w:tcPr>
            <w:tcW w:w="55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713</w:t>
            </w:r>
          </w:p>
        </w:tc>
        <w:tc>
          <w:tcPr>
            <w:tcW w:w="780"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0.056</w:t>
            </w:r>
          </w:p>
        </w:tc>
        <w:tc>
          <w:tcPr>
            <w:tcW w:w="720"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0.005</w:t>
            </w:r>
          </w:p>
        </w:tc>
        <w:tc>
          <w:tcPr>
            <w:tcW w:w="82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0.049</w:t>
            </w:r>
          </w:p>
        </w:tc>
        <w:tc>
          <w:tcPr>
            <w:tcW w:w="720" w:type="dxa"/>
            <w:tcBorders>
              <w:top w:val="nil"/>
              <w:left w:val="nil"/>
              <w:bottom w:val="nil"/>
              <w:right w:val="single" w:sz="8" w:space="0" w:color="auto"/>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0.065</w:t>
            </w:r>
          </w:p>
        </w:tc>
        <w:tc>
          <w:tcPr>
            <w:tcW w:w="55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80</w:t>
            </w:r>
          </w:p>
        </w:tc>
        <w:tc>
          <w:tcPr>
            <w:tcW w:w="701"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0.056</w:t>
            </w:r>
          </w:p>
        </w:tc>
        <w:tc>
          <w:tcPr>
            <w:tcW w:w="813"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0.005</w:t>
            </w:r>
          </w:p>
        </w:tc>
        <w:tc>
          <w:tcPr>
            <w:tcW w:w="85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0.049</w:t>
            </w:r>
          </w:p>
        </w:tc>
        <w:tc>
          <w:tcPr>
            <w:tcW w:w="76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0.065</w:t>
            </w:r>
          </w:p>
        </w:tc>
        <w:tc>
          <w:tcPr>
            <w:tcW w:w="1098" w:type="dxa"/>
            <w:tcBorders>
              <w:top w:val="nil"/>
              <w:left w:val="single" w:sz="8" w:space="0" w:color="auto"/>
              <w:bottom w:val="nil"/>
              <w:right w:val="single" w:sz="8" w:space="0" w:color="auto"/>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0.211</w:t>
            </w:r>
          </w:p>
        </w:tc>
      </w:tr>
      <w:tr w:rsidR="00444438">
        <w:trPr>
          <w:trHeight w:val="315"/>
          <w:jc w:val="center"/>
        </w:trPr>
        <w:tc>
          <w:tcPr>
            <w:tcW w:w="984" w:type="dxa"/>
            <w:tcBorders>
              <w:top w:val="nil"/>
              <w:left w:val="single" w:sz="8" w:space="0" w:color="auto"/>
              <w:bottom w:val="single" w:sz="8" w:space="0" w:color="auto"/>
              <w:right w:val="single" w:sz="8" w:space="0" w:color="auto"/>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INF</w:t>
            </w:r>
          </w:p>
        </w:tc>
        <w:tc>
          <w:tcPr>
            <w:tcW w:w="555" w:type="dxa"/>
            <w:tcBorders>
              <w:top w:val="nil"/>
              <w:left w:val="nil"/>
              <w:bottom w:val="single" w:sz="8" w:space="0" w:color="auto"/>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713</w:t>
            </w:r>
          </w:p>
        </w:tc>
        <w:tc>
          <w:tcPr>
            <w:tcW w:w="780" w:type="dxa"/>
            <w:tcBorders>
              <w:top w:val="nil"/>
              <w:left w:val="nil"/>
              <w:bottom w:val="single" w:sz="8" w:space="0" w:color="auto"/>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0.054</w:t>
            </w:r>
          </w:p>
        </w:tc>
        <w:tc>
          <w:tcPr>
            <w:tcW w:w="720" w:type="dxa"/>
            <w:tcBorders>
              <w:top w:val="nil"/>
              <w:left w:val="nil"/>
              <w:bottom w:val="single" w:sz="8" w:space="0" w:color="auto"/>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0.022</w:t>
            </w:r>
          </w:p>
        </w:tc>
        <w:tc>
          <w:tcPr>
            <w:tcW w:w="825" w:type="dxa"/>
            <w:tcBorders>
              <w:top w:val="nil"/>
              <w:left w:val="nil"/>
              <w:bottom w:val="single" w:sz="8" w:space="0" w:color="auto"/>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0.030</w:t>
            </w:r>
          </w:p>
        </w:tc>
        <w:tc>
          <w:tcPr>
            <w:tcW w:w="720" w:type="dxa"/>
            <w:tcBorders>
              <w:top w:val="nil"/>
              <w:left w:val="nil"/>
              <w:bottom w:val="single" w:sz="8" w:space="0" w:color="auto"/>
              <w:right w:val="single" w:sz="8" w:space="0" w:color="auto"/>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0.083</w:t>
            </w:r>
          </w:p>
        </w:tc>
        <w:tc>
          <w:tcPr>
            <w:tcW w:w="555" w:type="dxa"/>
            <w:tcBorders>
              <w:top w:val="nil"/>
              <w:left w:val="nil"/>
              <w:bottom w:val="single" w:sz="8" w:space="0" w:color="auto"/>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80</w:t>
            </w:r>
          </w:p>
        </w:tc>
        <w:tc>
          <w:tcPr>
            <w:tcW w:w="701" w:type="dxa"/>
            <w:tcBorders>
              <w:top w:val="nil"/>
              <w:left w:val="nil"/>
              <w:bottom w:val="single" w:sz="8" w:space="0" w:color="auto"/>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0.054</w:t>
            </w:r>
          </w:p>
        </w:tc>
        <w:tc>
          <w:tcPr>
            <w:tcW w:w="813" w:type="dxa"/>
            <w:tcBorders>
              <w:top w:val="nil"/>
              <w:left w:val="nil"/>
              <w:bottom w:val="single" w:sz="8" w:space="0" w:color="auto"/>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0.022</w:t>
            </w:r>
          </w:p>
        </w:tc>
        <w:tc>
          <w:tcPr>
            <w:tcW w:w="855" w:type="dxa"/>
            <w:tcBorders>
              <w:top w:val="nil"/>
              <w:left w:val="nil"/>
              <w:bottom w:val="single" w:sz="8" w:space="0" w:color="auto"/>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0.030</w:t>
            </w:r>
          </w:p>
        </w:tc>
        <w:tc>
          <w:tcPr>
            <w:tcW w:w="765" w:type="dxa"/>
            <w:tcBorders>
              <w:top w:val="nil"/>
              <w:left w:val="nil"/>
              <w:bottom w:val="single" w:sz="8" w:space="0" w:color="auto"/>
              <w:right w:val="nil"/>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0.083</w:t>
            </w:r>
          </w:p>
        </w:tc>
        <w:tc>
          <w:tcPr>
            <w:tcW w:w="1098" w:type="dxa"/>
            <w:tcBorders>
              <w:top w:val="nil"/>
              <w:left w:val="single" w:sz="8" w:space="0" w:color="auto"/>
              <w:bottom w:val="single" w:sz="8" w:space="0" w:color="auto"/>
              <w:right w:val="single" w:sz="8" w:space="0" w:color="auto"/>
            </w:tcBorders>
            <w:shd w:val="clear" w:color="auto" w:fill="auto"/>
            <w:vAlign w:val="bottom"/>
          </w:tcPr>
          <w:p w:rsidR="00444438" w:rsidRDefault="00E25332">
            <w:pPr>
              <w:spacing w:after="0" w:line="240" w:lineRule="auto"/>
              <w:jc w:val="center"/>
              <w:rPr>
                <w:rFonts w:asciiTheme="majorHAnsi" w:eastAsia="Times New Roman" w:hAnsiTheme="majorHAnsi"/>
                <w:color w:val="000000"/>
                <w:sz w:val="20"/>
                <w:szCs w:val="20"/>
                <w:lang w:eastAsia="id-ID"/>
              </w:rPr>
            </w:pPr>
            <w:r>
              <w:rPr>
                <w:rFonts w:asciiTheme="majorHAnsi" w:eastAsia="Times New Roman" w:hAnsiTheme="majorHAnsi"/>
                <w:color w:val="000000"/>
                <w:sz w:val="20"/>
                <w:szCs w:val="20"/>
                <w:lang w:eastAsia="id-ID"/>
              </w:rPr>
              <w:t>0.100</w:t>
            </w:r>
          </w:p>
        </w:tc>
      </w:tr>
    </w:tbl>
    <w:p w:rsidR="00444438" w:rsidRDefault="00E25332">
      <w:pPr>
        <w:jc w:val="both"/>
        <w:rPr>
          <w:rFonts w:ascii="Times New Roman" w:hAnsi="Times New Roman"/>
          <w:color w:val="000000"/>
          <w:sz w:val="16"/>
          <w:szCs w:val="16"/>
        </w:rPr>
      </w:pPr>
      <w:r>
        <w:rPr>
          <w:rFonts w:ascii="Times New Roman" w:hAnsi="Times New Roman"/>
          <w:color w:val="000000"/>
          <w:sz w:val="16"/>
          <w:szCs w:val="16"/>
        </w:rPr>
        <w:t xml:space="preserve">ROA denotes return on asset, VAIC denotes value added intellectual capital, LLP denotes loan loss provision, LOANTA denotes loan to total asset, CAP denotes equity to total asset, </w:t>
      </w:r>
      <w:proofErr w:type="spellStart"/>
      <w:r>
        <w:rPr>
          <w:rFonts w:ascii="Times New Roman" w:hAnsi="Times New Roman"/>
          <w:color w:val="000000"/>
          <w:sz w:val="16"/>
          <w:szCs w:val="16"/>
        </w:rPr>
        <w:t>LnTA</w:t>
      </w:r>
      <w:proofErr w:type="spellEnd"/>
      <w:r>
        <w:rPr>
          <w:rFonts w:ascii="Times New Roman" w:hAnsi="Times New Roman"/>
          <w:color w:val="000000"/>
          <w:sz w:val="16"/>
          <w:szCs w:val="16"/>
        </w:rPr>
        <w:t xml:space="preserve"> denotes natural logarithm of total asset, </w:t>
      </w:r>
      <w:proofErr w:type="spellStart"/>
      <w:r>
        <w:rPr>
          <w:rFonts w:ascii="Times New Roman" w:hAnsi="Times New Roman"/>
          <w:color w:val="000000"/>
          <w:sz w:val="16"/>
          <w:szCs w:val="16"/>
        </w:rPr>
        <w:t>GrGdp</w:t>
      </w:r>
      <w:proofErr w:type="spellEnd"/>
      <w:r>
        <w:rPr>
          <w:rFonts w:ascii="Times New Roman" w:hAnsi="Times New Roman"/>
          <w:color w:val="000000"/>
          <w:sz w:val="16"/>
          <w:szCs w:val="16"/>
        </w:rPr>
        <w:t xml:space="preserve"> denotes growth of gross domestic product, and INF denotes inflation rate. Asterisk (***), (**) and (*) indicate statistically difference at 1%, 5%, and 10% significance level</w:t>
      </w:r>
    </w:p>
    <w:p w:rsidR="00444438" w:rsidRDefault="00E25332">
      <w:pPr>
        <w:ind w:firstLine="720"/>
        <w:jc w:val="both"/>
        <w:rPr>
          <w:rFonts w:asciiTheme="majorHAnsi" w:hAnsiTheme="majorHAnsi"/>
          <w:sz w:val="20"/>
          <w:szCs w:val="20"/>
        </w:rPr>
      </w:pPr>
      <w:r>
        <w:rPr>
          <w:rFonts w:asciiTheme="majorHAnsi" w:hAnsiTheme="majorHAnsi"/>
          <w:sz w:val="20"/>
          <w:szCs w:val="20"/>
        </w:rPr>
        <w:t xml:space="preserve">Overall, the performance indicators show that conventional banks have outperform </w:t>
      </w:r>
      <w:proofErr w:type="spellStart"/>
      <w:proofErr w:type="gramStart"/>
      <w:r>
        <w:rPr>
          <w:rFonts w:asciiTheme="majorHAnsi" w:hAnsiTheme="majorHAnsi"/>
          <w:sz w:val="20"/>
          <w:szCs w:val="20"/>
        </w:rPr>
        <w:t>islamic</w:t>
      </w:r>
      <w:proofErr w:type="spellEnd"/>
      <w:proofErr w:type="gramEnd"/>
      <w:r>
        <w:rPr>
          <w:rFonts w:asciiTheme="majorHAnsi" w:hAnsiTheme="majorHAnsi"/>
          <w:sz w:val="20"/>
          <w:szCs w:val="20"/>
        </w:rPr>
        <w:t xml:space="preserve"> banks. Based on return on asset, the value of average return on asset of conventional banks surpasses </w:t>
      </w:r>
      <w:proofErr w:type="spellStart"/>
      <w:proofErr w:type="gramStart"/>
      <w:r>
        <w:rPr>
          <w:rFonts w:asciiTheme="majorHAnsi" w:hAnsiTheme="majorHAnsi"/>
          <w:sz w:val="20"/>
          <w:szCs w:val="20"/>
        </w:rPr>
        <w:t>islamic</w:t>
      </w:r>
      <w:proofErr w:type="spellEnd"/>
      <w:proofErr w:type="gramEnd"/>
      <w:r>
        <w:rPr>
          <w:rFonts w:asciiTheme="majorHAnsi" w:hAnsiTheme="majorHAnsi"/>
          <w:sz w:val="20"/>
          <w:szCs w:val="20"/>
        </w:rPr>
        <w:t xml:space="preserve"> banks significantly. The average value of loan loss provision of conventional banks is also significantly less than </w:t>
      </w:r>
      <w:proofErr w:type="spellStart"/>
      <w:proofErr w:type="gramStart"/>
      <w:r>
        <w:rPr>
          <w:rFonts w:asciiTheme="majorHAnsi" w:hAnsiTheme="majorHAnsi"/>
          <w:sz w:val="20"/>
          <w:szCs w:val="20"/>
        </w:rPr>
        <w:t>islamic</w:t>
      </w:r>
      <w:proofErr w:type="spellEnd"/>
      <w:proofErr w:type="gramEnd"/>
      <w:r>
        <w:rPr>
          <w:rFonts w:asciiTheme="majorHAnsi" w:hAnsiTheme="majorHAnsi"/>
          <w:sz w:val="20"/>
          <w:szCs w:val="20"/>
        </w:rPr>
        <w:t xml:space="preserve"> banks. It indicates that the quality of conventional banking industry loan is better than </w:t>
      </w:r>
      <w:proofErr w:type="spellStart"/>
      <w:proofErr w:type="gramStart"/>
      <w:r>
        <w:rPr>
          <w:rFonts w:asciiTheme="majorHAnsi" w:hAnsiTheme="majorHAnsi"/>
          <w:sz w:val="20"/>
          <w:szCs w:val="20"/>
        </w:rPr>
        <w:t>islamic</w:t>
      </w:r>
      <w:proofErr w:type="spellEnd"/>
      <w:proofErr w:type="gramEnd"/>
      <w:r>
        <w:rPr>
          <w:rFonts w:asciiTheme="majorHAnsi" w:hAnsiTheme="majorHAnsi"/>
          <w:sz w:val="20"/>
          <w:szCs w:val="20"/>
        </w:rPr>
        <w:t xml:space="preserve"> banking industry. The average value of loan ratio of </w:t>
      </w:r>
      <w:proofErr w:type="spellStart"/>
      <w:proofErr w:type="gramStart"/>
      <w:r>
        <w:rPr>
          <w:rFonts w:asciiTheme="majorHAnsi" w:hAnsiTheme="majorHAnsi"/>
          <w:sz w:val="20"/>
          <w:szCs w:val="20"/>
        </w:rPr>
        <w:t>islamic</w:t>
      </w:r>
      <w:proofErr w:type="spellEnd"/>
      <w:proofErr w:type="gramEnd"/>
      <w:r>
        <w:rPr>
          <w:rFonts w:asciiTheme="majorHAnsi" w:hAnsiTheme="majorHAnsi"/>
          <w:sz w:val="20"/>
          <w:szCs w:val="20"/>
        </w:rPr>
        <w:t xml:space="preserve"> banks strongly exceeds conventional banks. It means </w:t>
      </w:r>
      <w:proofErr w:type="spellStart"/>
      <w:proofErr w:type="gramStart"/>
      <w:r>
        <w:rPr>
          <w:rFonts w:asciiTheme="majorHAnsi" w:hAnsiTheme="majorHAnsi"/>
          <w:sz w:val="20"/>
          <w:szCs w:val="20"/>
        </w:rPr>
        <w:t>islamic</w:t>
      </w:r>
      <w:proofErr w:type="spellEnd"/>
      <w:proofErr w:type="gramEnd"/>
      <w:r>
        <w:rPr>
          <w:rFonts w:asciiTheme="majorHAnsi" w:hAnsiTheme="majorHAnsi"/>
          <w:sz w:val="20"/>
          <w:szCs w:val="20"/>
        </w:rPr>
        <w:t xml:space="preserve"> banks have more courage to put their asset more on credit. Our statistic descriptive also shows that the average value of ln total asset of conventional banks is significantly bigger than </w:t>
      </w:r>
      <w:proofErr w:type="spellStart"/>
      <w:proofErr w:type="gramStart"/>
      <w:r>
        <w:rPr>
          <w:rFonts w:asciiTheme="majorHAnsi" w:hAnsiTheme="majorHAnsi"/>
          <w:sz w:val="20"/>
          <w:szCs w:val="20"/>
        </w:rPr>
        <w:t>islamic</w:t>
      </w:r>
      <w:proofErr w:type="spellEnd"/>
      <w:proofErr w:type="gramEnd"/>
      <w:r>
        <w:rPr>
          <w:rFonts w:asciiTheme="majorHAnsi" w:hAnsiTheme="majorHAnsi"/>
          <w:sz w:val="20"/>
          <w:szCs w:val="20"/>
        </w:rPr>
        <w:t xml:space="preserve"> banks. For the intellectual capital indicators, VAIC and HCE shows significantly difference between </w:t>
      </w:r>
      <w:proofErr w:type="spellStart"/>
      <w:proofErr w:type="gramStart"/>
      <w:r>
        <w:rPr>
          <w:rFonts w:asciiTheme="majorHAnsi" w:hAnsiTheme="majorHAnsi"/>
          <w:sz w:val="20"/>
          <w:szCs w:val="20"/>
        </w:rPr>
        <w:t>islamic</w:t>
      </w:r>
      <w:proofErr w:type="spellEnd"/>
      <w:proofErr w:type="gramEnd"/>
      <w:r>
        <w:rPr>
          <w:rFonts w:asciiTheme="majorHAnsi" w:hAnsiTheme="majorHAnsi"/>
          <w:sz w:val="20"/>
          <w:szCs w:val="20"/>
        </w:rPr>
        <w:t xml:space="preserve"> and conventional banks. Its show that conventional banks, on the average, have VAIC and HCE higher than </w:t>
      </w:r>
      <w:proofErr w:type="spellStart"/>
      <w:proofErr w:type="gramStart"/>
      <w:r>
        <w:rPr>
          <w:rFonts w:asciiTheme="majorHAnsi" w:hAnsiTheme="majorHAnsi"/>
          <w:sz w:val="20"/>
          <w:szCs w:val="20"/>
        </w:rPr>
        <w:t>islamic</w:t>
      </w:r>
      <w:proofErr w:type="spellEnd"/>
      <w:proofErr w:type="gramEnd"/>
      <w:r>
        <w:rPr>
          <w:rFonts w:asciiTheme="majorHAnsi" w:hAnsiTheme="majorHAnsi"/>
          <w:sz w:val="20"/>
          <w:szCs w:val="20"/>
        </w:rPr>
        <w:t xml:space="preserve"> banks.  </w:t>
      </w:r>
    </w:p>
    <w:p w:rsidR="00444438" w:rsidRDefault="00E25332">
      <w:pPr>
        <w:ind w:firstLine="720"/>
        <w:jc w:val="both"/>
        <w:rPr>
          <w:rFonts w:asciiTheme="majorHAnsi" w:hAnsiTheme="majorHAnsi"/>
          <w:sz w:val="20"/>
          <w:szCs w:val="20"/>
        </w:rPr>
      </w:pPr>
      <w:r>
        <w:rPr>
          <w:rFonts w:asciiTheme="majorHAnsi" w:hAnsiTheme="majorHAnsi"/>
          <w:sz w:val="20"/>
          <w:szCs w:val="20"/>
        </w:rPr>
        <w:t xml:space="preserve">In addition, we also shows correlation matrix of each independent variables in order to show that there is no </w:t>
      </w:r>
      <w:proofErr w:type="spellStart"/>
      <w:r>
        <w:rPr>
          <w:rFonts w:asciiTheme="majorHAnsi" w:hAnsiTheme="majorHAnsi"/>
          <w:sz w:val="20"/>
          <w:szCs w:val="20"/>
        </w:rPr>
        <w:t>multicolinearity</w:t>
      </w:r>
      <w:proofErr w:type="spellEnd"/>
      <w:r>
        <w:rPr>
          <w:rFonts w:asciiTheme="majorHAnsi" w:hAnsiTheme="majorHAnsi"/>
          <w:sz w:val="20"/>
          <w:szCs w:val="20"/>
        </w:rPr>
        <w:t xml:space="preserve">. Since we conduct two regressions based on the type of banks, conventional and </w:t>
      </w:r>
      <w:proofErr w:type="spellStart"/>
      <w:proofErr w:type="gramStart"/>
      <w:r>
        <w:rPr>
          <w:rFonts w:asciiTheme="majorHAnsi" w:hAnsiTheme="majorHAnsi"/>
          <w:sz w:val="20"/>
          <w:szCs w:val="20"/>
        </w:rPr>
        <w:t>islamic</w:t>
      </w:r>
      <w:proofErr w:type="spellEnd"/>
      <w:proofErr w:type="gramEnd"/>
      <w:r>
        <w:rPr>
          <w:rFonts w:asciiTheme="majorHAnsi" w:hAnsiTheme="majorHAnsi"/>
          <w:sz w:val="20"/>
          <w:szCs w:val="20"/>
        </w:rPr>
        <w:t xml:space="preserve"> banks, we also divide our correlation matrix into two category. We also omit the correlation of VAIC on its component since by definition, the correlation of VAIC on its component, HCE, SCE and CEE, must be have correlation. To make our table more efficient, we show two correlation matrixes on one table. The correlation matrix of conventional banks data are shown in bold letter, while </w:t>
      </w:r>
      <w:proofErr w:type="spellStart"/>
      <w:proofErr w:type="gramStart"/>
      <w:r>
        <w:rPr>
          <w:rFonts w:asciiTheme="majorHAnsi" w:hAnsiTheme="majorHAnsi"/>
          <w:sz w:val="20"/>
          <w:szCs w:val="20"/>
        </w:rPr>
        <w:t>islamic</w:t>
      </w:r>
      <w:proofErr w:type="spellEnd"/>
      <w:proofErr w:type="gramEnd"/>
      <w:r>
        <w:rPr>
          <w:rFonts w:asciiTheme="majorHAnsi" w:hAnsiTheme="majorHAnsi"/>
          <w:sz w:val="20"/>
          <w:szCs w:val="20"/>
        </w:rPr>
        <w:t xml:space="preserve"> banks are in italic letter. Our result shows that there is no value more than 0.800. Thus, we can conclude that there is </w:t>
      </w:r>
      <w:proofErr w:type="spellStart"/>
      <w:r>
        <w:rPr>
          <w:rFonts w:asciiTheme="majorHAnsi" w:hAnsiTheme="majorHAnsi"/>
          <w:sz w:val="20"/>
          <w:szCs w:val="20"/>
        </w:rPr>
        <w:t>multicolienarity</w:t>
      </w:r>
      <w:proofErr w:type="spellEnd"/>
      <w:r>
        <w:rPr>
          <w:rFonts w:asciiTheme="majorHAnsi" w:hAnsiTheme="majorHAnsi"/>
          <w:sz w:val="20"/>
          <w:szCs w:val="20"/>
        </w:rPr>
        <w:t xml:space="preserve"> on each independent variable. </w:t>
      </w:r>
    </w:p>
    <w:p w:rsidR="00444438" w:rsidRDefault="00E25332">
      <w:pPr>
        <w:ind w:firstLine="720"/>
        <w:jc w:val="both"/>
        <w:rPr>
          <w:rFonts w:asciiTheme="majorHAnsi" w:hAnsiTheme="majorHAnsi"/>
          <w:sz w:val="20"/>
          <w:szCs w:val="20"/>
        </w:rPr>
      </w:pPr>
      <w:r>
        <w:rPr>
          <w:rFonts w:asciiTheme="majorHAnsi" w:hAnsiTheme="majorHAnsi"/>
          <w:sz w:val="20"/>
          <w:szCs w:val="20"/>
        </w:rPr>
        <w:t>Table 2. Correlation Matrix</w:t>
      </w:r>
    </w:p>
    <w:tbl>
      <w:tblPr>
        <w:tblW w:w="7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03"/>
        <w:gridCol w:w="720"/>
        <w:gridCol w:w="810"/>
        <w:gridCol w:w="728"/>
        <w:gridCol w:w="660"/>
        <w:gridCol w:w="660"/>
        <w:gridCol w:w="645"/>
        <w:gridCol w:w="645"/>
        <w:gridCol w:w="636"/>
        <w:gridCol w:w="645"/>
        <w:gridCol w:w="652"/>
      </w:tblGrid>
      <w:tr w:rsidR="00444438">
        <w:trPr>
          <w:trHeight w:val="280"/>
          <w:jc w:val="center"/>
        </w:trPr>
        <w:tc>
          <w:tcPr>
            <w:tcW w:w="1003" w:type="dxa"/>
            <w:shd w:val="clear" w:color="auto" w:fill="auto"/>
            <w:vAlign w:val="center"/>
          </w:tcPr>
          <w:p w:rsidR="00444438" w:rsidRDefault="00444438">
            <w:pPr>
              <w:spacing w:after="0" w:line="240" w:lineRule="auto"/>
              <w:jc w:val="center"/>
              <w:rPr>
                <w:rFonts w:asciiTheme="majorHAnsi" w:eastAsia="Times New Roman" w:hAnsiTheme="majorHAnsi"/>
                <w:sz w:val="20"/>
                <w:szCs w:val="20"/>
                <w:lang w:eastAsia="id-ID"/>
              </w:rPr>
            </w:pPr>
          </w:p>
        </w:tc>
        <w:tc>
          <w:tcPr>
            <w:tcW w:w="720" w:type="dxa"/>
            <w:shd w:val="clear" w:color="auto" w:fill="auto"/>
            <w:vAlign w:val="center"/>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LLP</w:t>
            </w:r>
          </w:p>
        </w:tc>
        <w:tc>
          <w:tcPr>
            <w:tcW w:w="810" w:type="dxa"/>
            <w:shd w:val="clear" w:color="auto" w:fill="auto"/>
            <w:vAlign w:val="center"/>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LOANTA</w:t>
            </w:r>
          </w:p>
        </w:tc>
        <w:tc>
          <w:tcPr>
            <w:tcW w:w="728" w:type="dxa"/>
            <w:shd w:val="clear" w:color="auto" w:fill="auto"/>
            <w:vAlign w:val="center"/>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CAP</w:t>
            </w:r>
          </w:p>
        </w:tc>
        <w:tc>
          <w:tcPr>
            <w:tcW w:w="660" w:type="dxa"/>
            <w:shd w:val="clear" w:color="auto" w:fill="auto"/>
            <w:vAlign w:val="center"/>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VAIC</w:t>
            </w:r>
          </w:p>
        </w:tc>
        <w:tc>
          <w:tcPr>
            <w:tcW w:w="660" w:type="dxa"/>
            <w:shd w:val="clear" w:color="auto" w:fill="auto"/>
            <w:vAlign w:val="center"/>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HCE</w:t>
            </w:r>
          </w:p>
        </w:tc>
        <w:tc>
          <w:tcPr>
            <w:tcW w:w="645" w:type="dxa"/>
            <w:shd w:val="clear" w:color="auto" w:fill="auto"/>
            <w:vAlign w:val="center"/>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SCE</w:t>
            </w:r>
          </w:p>
        </w:tc>
        <w:tc>
          <w:tcPr>
            <w:tcW w:w="645" w:type="dxa"/>
            <w:shd w:val="clear" w:color="auto" w:fill="auto"/>
            <w:vAlign w:val="center"/>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CEE</w:t>
            </w:r>
          </w:p>
        </w:tc>
        <w:tc>
          <w:tcPr>
            <w:tcW w:w="636" w:type="dxa"/>
            <w:shd w:val="clear" w:color="auto" w:fill="auto"/>
            <w:vAlign w:val="center"/>
          </w:tcPr>
          <w:p w:rsidR="00444438" w:rsidRDefault="00E25332">
            <w:pPr>
              <w:spacing w:after="0" w:line="240" w:lineRule="auto"/>
              <w:jc w:val="center"/>
              <w:rPr>
                <w:rFonts w:asciiTheme="majorHAnsi" w:eastAsia="Times New Roman" w:hAnsiTheme="majorHAnsi"/>
                <w:sz w:val="20"/>
                <w:szCs w:val="20"/>
                <w:lang w:eastAsia="id-ID"/>
              </w:rPr>
            </w:pPr>
            <w:proofErr w:type="spellStart"/>
            <w:r>
              <w:rPr>
                <w:rFonts w:asciiTheme="majorHAnsi" w:eastAsia="Times New Roman" w:hAnsiTheme="majorHAnsi"/>
                <w:sz w:val="20"/>
                <w:szCs w:val="20"/>
                <w:lang w:eastAsia="id-ID"/>
              </w:rPr>
              <w:t>LnTA</w:t>
            </w:r>
            <w:proofErr w:type="spellEnd"/>
          </w:p>
        </w:tc>
        <w:tc>
          <w:tcPr>
            <w:tcW w:w="645" w:type="dxa"/>
            <w:shd w:val="clear" w:color="auto" w:fill="auto"/>
            <w:vAlign w:val="center"/>
          </w:tcPr>
          <w:p w:rsidR="00444438" w:rsidRDefault="00E25332">
            <w:pPr>
              <w:spacing w:after="0" w:line="240" w:lineRule="auto"/>
              <w:jc w:val="center"/>
              <w:rPr>
                <w:rFonts w:asciiTheme="majorHAnsi" w:eastAsia="Times New Roman" w:hAnsiTheme="majorHAnsi"/>
                <w:sz w:val="20"/>
                <w:szCs w:val="20"/>
                <w:lang w:eastAsia="id-ID"/>
              </w:rPr>
            </w:pPr>
            <w:proofErr w:type="spellStart"/>
            <w:r>
              <w:rPr>
                <w:rFonts w:asciiTheme="majorHAnsi" w:eastAsia="Times New Roman" w:hAnsiTheme="majorHAnsi"/>
                <w:sz w:val="20"/>
                <w:szCs w:val="20"/>
                <w:lang w:eastAsia="id-ID"/>
              </w:rPr>
              <w:t>GrGDP</w:t>
            </w:r>
            <w:proofErr w:type="spellEnd"/>
          </w:p>
        </w:tc>
        <w:tc>
          <w:tcPr>
            <w:tcW w:w="652" w:type="dxa"/>
            <w:shd w:val="clear" w:color="auto" w:fill="auto"/>
            <w:vAlign w:val="center"/>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INF</w:t>
            </w:r>
          </w:p>
        </w:tc>
      </w:tr>
      <w:tr w:rsidR="00444438">
        <w:trPr>
          <w:trHeight w:val="280"/>
          <w:jc w:val="center"/>
        </w:trPr>
        <w:tc>
          <w:tcPr>
            <w:tcW w:w="1003" w:type="dxa"/>
            <w:shd w:val="clear" w:color="auto" w:fill="auto"/>
            <w:vAlign w:val="center"/>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LLP</w:t>
            </w:r>
          </w:p>
        </w:tc>
        <w:tc>
          <w:tcPr>
            <w:tcW w:w="720" w:type="dxa"/>
            <w:shd w:val="clear" w:color="auto" w:fill="auto"/>
            <w:vAlign w:val="center"/>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1</w:t>
            </w:r>
          </w:p>
        </w:tc>
        <w:tc>
          <w:tcPr>
            <w:tcW w:w="810" w:type="dxa"/>
            <w:shd w:val="clear" w:color="auto" w:fill="auto"/>
            <w:vAlign w:val="center"/>
          </w:tcPr>
          <w:p w:rsidR="00444438" w:rsidRDefault="00E25332">
            <w:pPr>
              <w:spacing w:after="0" w:line="240" w:lineRule="auto"/>
              <w:jc w:val="center"/>
              <w:rPr>
                <w:rFonts w:asciiTheme="majorHAnsi" w:eastAsia="Times New Roman" w:hAnsiTheme="majorHAnsi"/>
                <w:i/>
                <w:iCs/>
                <w:sz w:val="20"/>
                <w:szCs w:val="20"/>
                <w:lang w:eastAsia="id-ID"/>
              </w:rPr>
            </w:pPr>
            <w:r>
              <w:rPr>
                <w:rFonts w:asciiTheme="majorHAnsi" w:eastAsia="Times New Roman" w:hAnsiTheme="majorHAnsi"/>
                <w:i/>
                <w:iCs/>
                <w:sz w:val="20"/>
                <w:szCs w:val="20"/>
                <w:lang w:eastAsia="id-ID"/>
              </w:rPr>
              <w:t>0,134</w:t>
            </w:r>
          </w:p>
        </w:tc>
        <w:tc>
          <w:tcPr>
            <w:tcW w:w="728" w:type="dxa"/>
            <w:shd w:val="clear" w:color="auto" w:fill="auto"/>
            <w:vAlign w:val="center"/>
          </w:tcPr>
          <w:p w:rsidR="00444438" w:rsidRDefault="00E25332">
            <w:pPr>
              <w:spacing w:after="0" w:line="240" w:lineRule="auto"/>
              <w:jc w:val="center"/>
              <w:rPr>
                <w:rFonts w:asciiTheme="majorHAnsi" w:eastAsia="Times New Roman" w:hAnsiTheme="majorHAnsi"/>
                <w:i/>
                <w:iCs/>
                <w:sz w:val="20"/>
                <w:szCs w:val="20"/>
                <w:lang w:eastAsia="id-ID"/>
              </w:rPr>
            </w:pPr>
            <w:r>
              <w:rPr>
                <w:rFonts w:asciiTheme="majorHAnsi" w:eastAsia="Times New Roman" w:hAnsiTheme="majorHAnsi"/>
                <w:i/>
                <w:iCs/>
                <w:sz w:val="20"/>
                <w:szCs w:val="20"/>
                <w:lang w:eastAsia="id-ID"/>
              </w:rPr>
              <w:t>0,292</w:t>
            </w:r>
          </w:p>
        </w:tc>
        <w:tc>
          <w:tcPr>
            <w:tcW w:w="660" w:type="dxa"/>
            <w:shd w:val="clear" w:color="auto" w:fill="auto"/>
            <w:vAlign w:val="center"/>
          </w:tcPr>
          <w:p w:rsidR="00444438" w:rsidRDefault="00E25332">
            <w:pPr>
              <w:spacing w:after="0" w:line="240" w:lineRule="auto"/>
              <w:jc w:val="center"/>
              <w:rPr>
                <w:rFonts w:asciiTheme="majorHAnsi" w:eastAsia="Times New Roman" w:hAnsiTheme="majorHAnsi"/>
                <w:i/>
                <w:iCs/>
                <w:sz w:val="20"/>
                <w:szCs w:val="20"/>
                <w:lang w:eastAsia="id-ID"/>
              </w:rPr>
            </w:pPr>
            <w:r>
              <w:rPr>
                <w:rFonts w:asciiTheme="majorHAnsi" w:eastAsia="Times New Roman" w:hAnsiTheme="majorHAnsi"/>
                <w:i/>
                <w:iCs/>
                <w:sz w:val="20"/>
                <w:szCs w:val="20"/>
                <w:lang w:eastAsia="id-ID"/>
              </w:rPr>
              <w:t>-0,418</w:t>
            </w:r>
          </w:p>
        </w:tc>
        <w:tc>
          <w:tcPr>
            <w:tcW w:w="660" w:type="dxa"/>
            <w:shd w:val="clear" w:color="auto" w:fill="auto"/>
            <w:vAlign w:val="center"/>
          </w:tcPr>
          <w:p w:rsidR="00444438" w:rsidRDefault="00E25332">
            <w:pPr>
              <w:spacing w:after="0" w:line="240" w:lineRule="auto"/>
              <w:jc w:val="center"/>
              <w:rPr>
                <w:rFonts w:asciiTheme="majorHAnsi" w:eastAsia="Times New Roman" w:hAnsiTheme="majorHAnsi"/>
                <w:i/>
                <w:iCs/>
                <w:sz w:val="20"/>
                <w:szCs w:val="20"/>
                <w:lang w:eastAsia="id-ID"/>
              </w:rPr>
            </w:pPr>
            <w:r>
              <w:rPr>
                <w:rFonts w:asciiTheme="majorHAnsi" w:eastAsia="Times New Roman" w:hAnsiTheme="majorHAnsi"/>
                <w:i/>
                <w:iCs/>
                <w:sz w:val="20"/>
                <w:szCs w:val="20"/>
                <w:lang w:eastAsia="id-ID"/>
              </w:rPr>
              <w:t>-0,726</w:t>
            </w:r>
          </w:p>
        </w:tc>
        <w:tc>
          <w:tcPr>
            <w:tcW w:w="645" w:type="dxa"/>
            <w:shd w:val="clear" w:color="auto" w:fill="auto"/>
            <w:vAlign w:val="center"/>
          </w:tcPr>
          <w:p w:rsidR="00444438" w:rsidRDefault="00E25332">
            <w:pPr>
              <w:spacing w:after="0" w:line="240" w:lineRule="auto"/>
              <w:jc w:val="center"/>
              <w:rPr>
                <w:rFonts w:asciiTheme="majorHAnsi" w:eastAsia="Times New Roman" w:hAnsiTheme="majorHAnsi"/>
                <w:i/>
                <w:iCs/>
                <w:sz w:val="20"/>
                <w:szCs w:val="20"/>
                <w:lang w:eastAsia="id-ID"/>
              </w:rPr>
            </w:pPr>
            <w:r>
              <w:rPr>
                <w:rFonts w:asciiTheme="majorHAnsi" w:eastAsia="Times New Roman" w:hAnsiTheme="majorHAnsi"/>
                <w:i/>
                <w:iCs/>
                <w:sz w:val="20"/>
                <w:szCs w:val="20"/>
                <w:lang w:eastAsia="id-ID"/>
              </w:rPr>
              <w:t>0,009</w:t>
            </w:r>
          </w:p>
        </w:tc>
        <w:tc>
          <w:tcPr>
            <w:tcW w:w="645" w:type="dxa"/>
            <w:shd w:val="clear" w:color="auto" w:fill="auto"/>
            <w:vAlign w:val="center"/>
          </w:tcPr>
          <w:p w:rsidR="00444438" w:rsidRDefault="00E25332">
            <w:pPr>
              <w:spacing w:after="0" w:line="240" w:lineRule="auto"/>
              <w:jc w:val="center"/>
              <w:rPr>
                <w:rFonts w:asciiTheme="majorHAnsi" w:eastAsia="Times New Roman" w:hAnsiTheme="majorHAnsi"/>
                <w:i/>
                <w:iCs/>
                <w:sz w:val="20"/>
                <w:szCs w:val="20"/>
                <w:lang w:eastAsia="id-ID"/>
              </w:rPr>
            </w:pPr>
            <w:r>
              <w:rPr>
                <w:rFonts w:asciiTheme="majorHAnsi" w:eastAsia="Times New Roman" w:hAnsiTheme="majorHAnsi"/>
                <w:i/>
                <w:iCs/>
                <w:sz w:val="20"/>
                <w:szCs w:val="20"/>
                <w:lang w:eastAsia="id-ID"/>
              </w:rPr>
              <w:t>-0,6</w:t>
            </w:r>
          </w:p>
        </w:tc>
        <w:tc>
          <w:tcPr>
            <w:tcW w:w="636" w:type="dxa"/>
            <w:shd w:val="clear" w:color="auto" w:fill="auto"/>
            <w:vAlign w:val="center"/>
          </w:tcPr>
          <w:p w:rsidR="00444438" w:rsidRDefault="00E25332">
            <w:pPr>
              <w:spacing w:after="0" w:line="240" w:lineRule="auto"/>
              <w:jc w:val="center"/>
              <w:rPr>
                <w:rFonts w:asciiTheme="majorHAnsi" w:eastAsia="Times New Roman" w:hAnsiTheme="majorHAnsi"/>
                <w:i/>
                <w:iCs/>
                <w:sz w:val="20"/>
                <w:szCs w:val="20"/>
                <w:lang w:eastAsia="id-ID"/>
              </w:rPr>
            </w:pPr>
            <w:r>
              <w:rPr>
                <w:rFonts w:asciiTheme="majorHAnsi" w:eastAsia="Times New Roman" w:hAnsiTheme="majorHAnsi"/>
                <w:i/>
                <w:iCs/>
                <w:sz w:val="20"/>
                <w:szCs w:val="20"/>
                <w:lang w:eastAsia="id-ID"/>
              </w:rPr>
              <w:t>-0,113</w:t>
            </w:r>
          </w:p>
        </w:tc>
        <w:tc>
          <w:tcPr>
            <w:tcW w:w="645" w:type="dxa"/>
            <w:shd w:val="clear" w:color="auto" w:fill="auto"/>
            <w:vAlign w:val="center"/>
          </w:tcPr>
          <w:p w:rsidR="00444438" w:rsidRDefault="00E25332">
            <w:pPr>
              <w:spacing w:after="0" w:line="240" w:lineRule="auto"/>
              <w:jc w:val="center"/>
              <w:rPr>
                <w:rFonts w:asciiTheme="majorHAnsi" w:eastAsia="Times New Roman" w:hAnsiTheme="majorHAnsi"/>
                <w:i/>
                <w:iCs/>
                <w:sz w:val="20"/>
                <w:szCs w:val="20"/>
                <w:lang w:eastAsia="id-ID"/>
              </w:rPr>
            </w:pPr>
            <w:r>
              <w:rPr>
                <w:rFonts w:asciiTheme="majorHAnsi" w:eastAsia="Times New Roman" w:hAnsiTheme="majorHAnsi"/>
                <w:i/>
                <w:iCs/>
                <w:sz w:val="20"/>
                <w:szCs w:val="20"/>
                <w:lang w:eastAsia="id-ID"/>
              </w:rPr>
              <w:t>-0,199</w:t>
            </w:r>
          </w:p>
        </w:tc>
        <w:tc>
          <w:tcPr>
            <w:tcW w:w="652" w:type="dxa"/>
            <w:shd w:val="clear" w:color="auto" w:fill="auto"/>
            <w:vAlign w:val="center"/>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-0,192</w:t>
            </w:r>
          </w:p>
        </w:tc>
      </w:tr>
      <w:tr w:rsidR="00444438">
        <w:trPr>
          <w:trHeight w:val="280"/>
          <w:jc w:val="center"/>
        </w:trPr>
        <w:tc>
          <w:tcPr>
            <w:tcW w:w="1003" w:type="dxa"/>
            <w:shd w:val="clear" w:color="auto" w:fill="auto"/>
            <w:vAlign w:val="center"/>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LOANTA</w:t>
            </w:r>
          </w:p>
        </w:tc>
        <w:tc>
          <w:tcPr>
            <w:tcW w:w="720"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0.008</w:t>
            </w:r>
          </w:p>
        </w:tc>
        <w:tc>
          <w:tcPr>
            <w:tcW w:w="810" w:type="dxa"/>
            <w:shd w:val="clear" w:color="auto" w:fill="auto"/>
            <w:vAlign w:val="center"/>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1</w:t>
            </w:r>
          </w:p>
        </w:tc>
        <w:tc>
          <w:tcPr>
            <w:tcW w:w="728" w:type="dxa"/>
            <w:shd w:val="clear" w:color="auto" w:fill="auto"/>
            <w:vAlign w:val="center"/>
          </w:tcPr>
          <w:p w:rsidR="00444438" w:rsidRDefault="00E25332">
            <w:pPr>
              <w:spacing w:after="0" w:line="240" w:lineRule="auto"/>
              <w:jc w:val="center"/>
              <w:rPr>
                <w:rFonts w:asciiTheme="majorHAnsi" w:eastAsia="Times New Roman" w:hAnsiTheme="majorHAnsi"/>
                <w:i/>
                <w:iCs/>
                <w:sz w:val="20"/>
                <w:szCs w:val="20"/>
                <w:lang w:eastAsia="id-ID"/>
              </w:rPr>
            </w:pPr>
            <w:r>
              <w:rPr>
                <w:rFonts w:asciiTheme="majorHAnsi" w:eastAsia="Times New Roman" w:hAnsiTheme="majorHAnsi"/>
                <w:i/>
                <w:iCs/>
                <w:sz w:val="20"/>
                <w:szCs w:val="20"/>
                <w:lang w:eastAsia="id-ID"/>
              </w:rPr>
              <w:t>-0,432</w:t>
            </w:r>
          </w:p>
        </w:tc>
        <w:tc>
          <w:tcPr>
            <w:tcW w:w="660" w:type="dxa"/>
            <w:shd w:val="clear" w:color="auto" w:fill="auto"/>
            <w:vAlign w:val="center"/>
          </w:tcPr>
          <w:p w:rsidR="00444438" w:rsidRDefault="00E25332">
            <w:pPr>
              <w:spacing w:after="0" w:line="240" w:lineRule="auto"/>
              <w:jc w:val="center"/>
              <w:rPr>
                <w:rFonts w:asciiTheme="majorHAnsi" w:eastAsia="Times New Roman" w:hAnsiTheme="majorHAnsi"/>
                <w:i/>
                <w:iCs/>
                <w:sz w:val="20"/>
                <w:szCs w:val="20"/>
                <w:lang w:eastAsia="id-ID"/>
              </w:rPr>
            </w:pPr>
            <w:r>
              <w:rPr>
                <w:rFonts w:asciiTheme="majorHAnsi" w:eastAsia="Times New Roman" w:hAnsiTheme="majorHAnsi"/>
                <w:i/>
                <w:iCs/>
                <w:sz w:val="20"/>
                <w:szCs w:val="20"/>
                <w:lang w:eastAsia="id-ID"/>
              </w:rPr>
              <w:t>-0,341</w:t>
            </w:r>
          </w:p>
        </w:tc>
        <w:tc>
          <w:tcPr>
            <w:tcW w:w="660" w:type="dxa"/>
            <w:shd w:val="clear" w:color="auto" w:fill="auto"/>
            <w:vAlign w:val="center"/>
          </w:tcPr>
          <w:p w:rsidR="00444438" w:rsidRDefault="00E25332">
            <w:pPr>
              <w:spacing w:after="0" w:line="240" w:lineRule="auto"/>
              <w:jc w:val="center"/>
              <w:rPr>
                <w:rFonts w:asciiTheme="majorHAnsi" w:eastAsia="Times New Roman" w:hAnsiTheme="majorHAnsi"/>
                <w:i/>
                <w:iCs/>
                <w:sz w:val="20"/>
                <w:szCs w:val="20"/>
                <w:lang w:eastAsia="id-ID"/>
              </w:rPr>
            </w:pPr>
            <w:r>
              <w:rPr>
                <w:rFonts w:asciiTheme="majorHAnsi" w:eastAsia="Times New Roman" w:hAnsiTheme="majorHAnsi"/>
                <w:i/>
                <w:iCs/>
                <w:sz w:val="20"/>
                <w:szCs w:val="20"/>
                <w:lang w:eastAsia="id-ID"/>
              </w:rPr>
              <w:t>-0,3</w:t>
            </w:r>
          </w:p>
        </w:tc>
        <w:tc>
          <w:tcPr>
            <w:tcW w:w="645" w:type="dxa"/>
            <w:shd w:val="clear" w:color="auto" w:fill="auto"/>
            <w:vAlign w:val="center"/>
          </w:tcPr>
          <w:p w:rsidR="00444438" w:rsidRDefault="00E25332">
            <w:pPr>
              <w:spacing w:after="0" w:line="240" w:lineRule="auto"/>
              <w:jc w:val="center"/>
              <w:rPr>
                <w:rFonts w:asciiTheme="majorHAnsi" w:eastAsia="Times New Roman" w:hAnsiTheme="majorHAnsi"/>
                <w:i/>
                <w:iCs/>
                <w:sz w:val="20"/>
                <w:szCs w:val="20"/>
                <w:lang w:eastAsia="id-ID"/>
              </w:rPr>
            </w:pPr>
            <w:r>
              <w:rPr>
                <w:rFonts w:asciiTheme="majorHAnsi" w:eastAsia="Times New Roman" w:hAnsiTheme="majorHAnsi"/>
                <w:i/>
                <w:iCs/>
                <w:sz w:val="20"/>
                <w:szCs w:val="20"/>
                <w:lang w:eastAsia="id-ID"/>
              </w:rPr>
              <w:t>-0,187</w:t>
            </w:r>
          </w:p>
        </w:tc>
        <w:tc>
          <w:tcPr>
            <w:tcW w:w="645" w:type="dxa"/>
            <w:shd w:val="clear" w:color="auto" w:fill="auto"/>
            <w:vAlign w:val="center"/>
          </w:tcPr>
          <w:p w:rsidR="00444438" w:rsidRDefault="00E25332">
            <w:pPr>
              <w:spacing w:after="0" w:line="240" w:lineRule="auto"/>
              <w:jc w:val="center"/>
              <w:rPr>
                <w:rFonts w:asciiTheme="majorHAnsi" w:eastAsia="Times New Roman" w:hAnsiTheme="majorHAnsi"/>
                <w:i/>
                <w:iCs/>
                <w:sz w:val="20"/>
                <w:szCs w:val="20"/>
                <w:lang w:eastAsia="id-ID"/>
              </w:rPr>
            </w:pPr>
            <w:r>
              <w:rPr>
                <w:rFonts w:asciiTheme="majorHAnsi" w:eastAsia="Times New Roman" w:hAnsiTheme="majorHAnsi"/>
                <w:i/>
                <w:iCs/>
                <w:sz w:val="20"/>
                <w:szCs w:val="20"/>
                <w:lang w:eastAsia="id-ID"/>
              </w:rPr>
              <w:t>-0,176</w:t>
            </w:r>
          </w:p>
        </w:tc>
        <w:tc>
          <w:tcPr>
            <w:tcW w:w="636" w:type="dxa"/>
            <w:shd w:val="clear" w:color="auto" w:fill="auto"/>
            <w:vAlign w:val="center"/>
          </w:tcPr>
          <w:p w:rsidR="00444438" w:rsidRDefault="00E25332">
            <w:pPr>
              <w:spacing w:after="0" w:line="240" w:lineRule="auto"/>
              <w:jc w:val="center"/>
              <w:rPr>
                <w:rFonts w:asciiTheme="majorHAnsi" w:eastAsia="Times New Roman" w:hAnsiTheme="majorHAnsi"/>
                <w:i/>
                <w:iCs/>
                <w:sz w:val="20"/>
                <w:szCs w:val="20"/>
                <w:lang w:eastAsia="id-ID"/>
              </w:rPr>
            </w:pPr>
            <w:r>
              <w:rPr>
                <w:rFonts w:asciiTheme="majorHAnsi" w:eastAsia="Times New Roman" w:hAnsiTheme="majorHAnsi"/>
                <w:i/>
                <w:iCs/>
                <w:sz w:val="20"/>
                <w:szCs w:val="20"/>
                <w:lang w:eastAsia="id-ID"/>
              </w:rPr>
              <w:t>0,509</w:t>
            </w:r>
          </w:p>
        </w:tc>
        <w:tc>
          <w:tcPr>
            <w:tcW w:w="645" w:type="dxa"/>
            <w:shd w:val="clear" w:color="auto" w:fill="auto"/>
            <w:vAlign w:val="center"/>
          </w:tcPr>
          <w:p w:rsidR="00444438" w:rsidRDefault="00E25332">
            <w:pPr>
              <w:spacing w:after="0" w:line="240" w:lineRule="auto"/>
              <w:jc w:val="center"/>
              <w:rPr>
                <w:rFonts w:asciiTheme="majorHAnsi" w:eastAsia="Times New Roman" w:hAnsiTheme="majorHAnsi"/>
                <w:i/>
                <w:iCs/>
                <w:sz w:val="20"/>
                <w:szCs w:val="20"/>
                <w:lang w:eastAsia="id-ID"/>
              </w:rPr>
            </w:pPr>
            <w:r>
              <w:rPr>
                <w:rFonts w:asciiTheme="majorHAnsi" w:eastAsia="Times New Roman" w:hAnsiTheme="majorHAnsi"/>
                <w:i/>
                <w:iCs/>
                <w:sz w:val="20"/>
                <w:szCs w:val="20"/>
                <w:lang w:eastAsia="id-ID"/>
              </w:rPr>
              <w:t>-0,405</w:t>
            </w:r>
          </w:p>
        </w:tc>
        <w:tc>
          <w:tcPr>
            <w:tcW w:w="652" w:type="dxa"/>
            <w:shd w:val="clear" w:color="auto" w:fill="auto"/>
            <w:vAlign w:val="center"/>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-0,025</w:t>
            </w:r>
          </w:p>
        </w:tc>
      </w:tr>
      <w:tr w:rsidR="00444438">
        <w:trPr>
          <w:trHeight w:val="280"/>
          <w:jc w:val="center"/>
        </w:trPr>
        <w:tc>
          <w:tcPr>
            <w:tcW w:w="1003" w:type="dxa"/>
            <w:shd w:val="clear" w:color="auto" w:fill="auto"/>
            <w:vAlign w:val="center"/>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CAP</w:t>
            </w:r>
          </w:p>
        </w:tc>
        <w:tc>
          <w:tcPr>
            <w:tcW w:w="720"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-0.065</w:t>
            </w:r>
          </w:p>
        </w:tc>
        <w:tc>
          <w:tcPr>
            <w:tcW w:w="810"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-0.187</w:t>
            </w:r>
          </w:p>
        </w:tc>
        <w:tc>
          <w:tcPr>
            <w:tcW w:w="728" w:type="dxa"/>
            <w:shd w:val="clear" w:color="auto" w:fill="auto"/>
            <w:vAlign w:val="center"/>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1</w:t>
            </w:r>
          </w:p>
        </w:tc>
        <w:tc>
          <w:tcPr>
            <w:tcW w:w="660" w:type="dxa"/>
            <w:shd w:val="clear" w:color="auto" w:fill="auto"/>
            <w:vAlign w:val="center"/>
          </w:tcPr>
          <w:p w:rsidR="00444438" w:rsidRDefault="00E25332">
            <w:pPr>
              <w:spacing w:after="0" w:line="240" w:lineRule="auto"/>
              <w:jc w:val="center"/>
              <w:rPr>
                <w:rFonts w:asciiTheme="majorHAnsi" w:eastAsia="Times New Roman" w:hAnsiTheme="majorHAnsi"/>
                <w:i/>
                <w:iCs/>
                <w:sz w:val="20"/>
                <w:szCs w:val="20"/>
                <w:lang w:eastAsia="id-ID"/>
              </w:rPr>
            </w:pPr>
            <w:r>
              <w:rPr>
                <w:rFonts w:asciiTheme="majorHAnsi" w:eastAsia="Times New Roman" w:hAnsiTheme="majorHAnsi"/>
                <w:i/>
                <w:iCs/>
                <w:sz w:val="20"/>
                <w:szCs w:val="20"/>
                <w:lang w:eastAsia="id-ID"/>
              </w:rPr>
              <w:t>0,158</w:t>
            </w:r>
          </w:p>
        </w:tc>
        <w:tc>
          <w:tcPr>
            <w:tcW w:w="660" w:type="dxa"/>
            <w:shd w:val="clear" w:color="auto" w:fill="auto"/>
            <w:vAlign w:val="center"/>
          </w:tcPr>
          <w:p w:rsidR="00444438" w:rsidRDefault="00E25332">
            <w:pPr>
              <w:spacing w:after="0" w:line="240" w:lineRule="auto"/>
              <w:jc w:val="center"/>
              <w:rPr>
                <w:rFonts w:asciiTheme="majorHAnsi" w:eastAsia="Times New Roman" w:hAnsiTheme="majorHAnsi"/>
                <w:i/>
                <w:iCs/>
                <w:sz w:val="20"/>
                <w:szCs w:val="20"/>
                <w:lang w:eastAsia="id-ID"/>
              </w:rPr>
            </w:pPr>
            <w:r>
              <w:rPr>
                <w:rFonts w:asciiTheme="majorHAnsi" w:eastAsia="Times New Roman" w:hAnsiTheme="majorHAnsi"/>
                <w:i/>
                <w:iCs/>
                <w:sz w:val="20"/>
                <w:szCs w:val="20"/>
                <w:lang w:eastAsia="id-ID"/>
              </w:rPr>
              <w:t>0,032</w:t>
            </w:r>
          </w:p>
        </w:tc>
        <w:tc>
          <w:tcPr>
            <w:tcW w:w="645" w:type="dxa"/>
            <w:shd w:val="clear" w:color="auto" w:fill="auto"/>
            <w:vAlign w:val="center"/>
          </w:tcPr>
          <w:p w:rsidR="00444438" w:rsidRDefault="00E25332">
            <w:pPr>
              <w:spacing w:after="0" w:line="240" w:lineRule="auto"/>
              <w:jc w:val="center"/>
              <w:rPr>
                <w:rFonts w:asciiTheme="majorHAnsi" w:eastAsia="Times New Roman" w:hAnsiTheme="majorHAnsi"/>
                <w:i/>
                <w:iCs/>
                <w:sz w:val="20"/>
                <w:szCs w:val="20"/>
                <w:lang w:eastAsia="id-ID"/>
              </w:rPr>
            </w:pPr>
            <w:r>
              <w:rPr>
                <w:rFonts w:asciiTheme="majorHAnsi" w:eastAsia="Times New Roman" w:hAnsiTheme="majorHAnsi"/>
                <w:i/>
                <w:iCs/>
                <w:sz w:val="20"/>
                <w:szCs w:val="20"/>
                <w:lang w:eastAsia="id-ID"/>
              </w:rPr>
              <w:t>0,157</w:t>
            </w:r>
          </w:p>
        </w:tc>
        <w:tc>
          <w:tcPr>
            <w:tcW w:w="645" w:type="dxa"/>
            <w:shd w:val="clear" w:color="auto" w:fill="auto"/>
            <w:vAlign w:val="center"/>
          </w:tcPr>
          <w:p w:rsidR="00444438" w:rsidRDefault="00E25332">
            <w:pPr>
              <w:spacing w:after="0" w:line="240" w:lineRule="auto"/>
              <w:jc w:val="center"/>
              <w:rPr>
                <w:rFonts w:asciiTheme="majorHAnsi" w:eastAsia="Times New Roman" w:hAnsiTheme="majorHAnsi"/>
                <w:i/>
                <w:iCs/>
                <w:sz w:val="20"/>
                <w:szCs w:val="20"/>
                <w:lang w:eastAsia="id-ID"/>
              </w:rPr>
            </w:pPr>
            <w:r>
              <w:rPr>
                <w:rFonts w:asciiTheme="majorHAnsi" w:eastAsia="Times New Roman" w:hAnsiTheme="majorHAnsi"/>
                <w:i/>
                <w:iCs/>
                <w:sz w:val="20"/>
                <w:szCs w:val="20"/>
                <w:lang w:eastAsia="id-ID"/>
              </w:rPr>
              <w:t>-0,07</w:t>
            </w:r>
          </w:p>
        </w:tc>
        <w:tc>
          <w:tcPr>
            <w:tcW w:w="636" w:type="dxa"/>
            <w:shd w:val="clear" w:color="auto" w:fill="auto"/>
            <w:vAlign w:val="center"/>
          </w:tcPr>
          <w:p w:rsidR="00444438" w:rsidRDefault="00E25332">
            <w:pPr>
              <w:spacing w:after="0" w:line="240" w:lineRule="auto"/>
              <w:jc w:val="center"/>
              <w:rPr>
                <w:rFonts w:asciiTheme="majorHAnsi" w:eastAsia="Times New Roman" w:hAnsiTheme="majorHAnsi"/>
                <w:i/>
                <w:iCs/>
                <w:sz w:val="20"/>
                <w:szCs w:val="20"/>
                <w:lang w:eastAsia="id-ID"/>
              </w:rPr>
            </w:pPr>
            <w:r>
              <w:rPr>
                <w:rFonts w:asciiTheme="majorHAnsi" w:eastAsia="Times New Roman" w:hAnsiTheme="majorHAnsi"/>
                <w:i/>
                <w:iCs/>
                <w:sz w:val="20"/>
                <w:szCs w:val="20"/>
                <w:lang w:eastAsia="id-ID"/>
              </w:rPr>
              <w:t>-0,638</w:t>
            </w:r>
          </w:p>
        </w:tc>
        <w:tc>
          <w:tcPr>
            <w:tcW w:w="645" w:type="dxa"/>
            <w:shd w:val="clear" w:color="auto" w:fill="auto"/>
            <w:vAlign w:val="center"/>
          </w:tcPr>
          <w:p w:rsidR="00444438" w:rsidRDefault="00E25332">
            <w:pPr>
              <w:spacing w:after="0" w:line="240" w:lineRule="auto"/>
              <w:jc w:val="center"/>
              <w:rPr>
                <w:rFonts w:asciiTheme="majorHAnsi" w:eastAsia="Times New Roman" w:hAnsiTheme="majorHAnsi"/>
                <w:i/>
                <w:iCs/>
                <w:sz w:val="20"/>
                <w:szCs w:val="20"/>
                <w:lang w:eastAsia="id-ID"/>
              </w:rPr>
            </w:pPr>
            <w:r>
              <w:rPr>
                <w:rFonts w:asciiTheme="majorHAnsi" w:eastAsia="Times New Roman" w:hAnsiTheme="majorHAnsi"/>
                <w:i/>
                <w:iCs/>
                <w:sz w:val="20"/>
                <w:szCs w:val="20"/>
                <w:lang w:eastAsia="id-ID"/>
              </w:rPr>
              <w:t>0,171</w:t>
            </w:r>
          </w:p>
        </w:tc>
        <w:tc>
          <w:tcPr>
            <w:tcW w:w="652" w:type="dxa"/>
            <w:shd w:val="clear" w:color="auto" w:fill="auto"/>
            <w:vAlign w:val="center"/>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-0,025</w:t>
            </w:r>
          </w:p>
        </w:tc>
      </w:tr>
      <w:tr w:rsidR="00444438">
        <w:trPr>
          <w:trHeight w:val="280"/>
          <w:jc w:val="center"/>
        </w:trPr>
        <w:tc>
          <w:tcPr>
            <w:tcW w:w="1003" w:type="dxa"/>
            <w:shd w:val="clear" w:color="auto" w:fill="auto"/>
            <w:vAlign w:val="center"/>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VAIC</w:t>
            </w:r>
          </w:p>
        </w:tc>
        <w:tc>
          <w:tcPr>
            <w:tcW w:w="720"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-0.067</w:t>
            </w:r>
          </w:p>
        </w:tc>
        <w:tc>
          <w:tcPr>
            <w:tcW w:w="810"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0.103</w:t>
            </w:r>
          </w:p>
        </w:tc>
        <w:tc>
          <w:tcPr>
            <w:tcW w:w="728"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-0.102</w:t>
            </w:r>
          </w:p>
        </w:tc>
        <w:tc>
          <w:tcPr>
            <w:tcW w:w="660" w:type="dxa"/>
            <w:shd w:val="clear" w:color="auto" w:fill="auto"/>
            <w:vAlign w:val="center"/>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1</w:t>
            </w:r>
          </w:p>
        </w:tc>
        <w:tc>
          <w:tcPr>
            <w:tcW w:w="660" w:type="dxa"/>
            <w:shd w:val="clear" w:color="auto" w:fill="auto"/>
            <w:vAlign w:val="center"/>
          </w:tcPr>
          <w:p w:rsidR="00444438" w:rsidRDefault="00E25332">
            <w:pPr>
              <w:spacing w:after="0" w:line="240" w:lineRule="auto"/>
              <w:jc w:val="center"/>
              <w:rPr>
                <w:rFonts w:asciiTheme="majorHAnsi" w:eastAsia="Times New Roman" w:hAnsiTheme="majorHAnsi"/>
                <w:i/>
                <w:iCs/>
                <w:sz w:val="20"/>
                <w:szCs w:val="20"/>
                <w:lang w:eastAsia="id-ID"/>
              </w:rPr>
            </w:pPr>
            <w:r>
              <w:rPr>
                <w:rFonts w:asciiTheme="majorHAnsi" w:eastAsia="Times New Roman" w:hAnsiTheme="majorHAnsi"/>
                <w:i/>
                <w:iCs/>
                <w:sz w:val="20"/>
                <w:szCs w:val="20"/>
                <w:lang w:eastAsia="id-ID"/>
              </w:rPr>
              <w:t>0,47</w:t>
            </w:r>
          </w:p>
        </w:tc>
        <w:tc>
          <w:tcPr>
            <w:tcW w:w="645" w:type="dxa"/>
            <w:shd w:val="clear" w:color="auto" w:fill="auto"/>
            <w:vAlign w:val="center"/>
          </w:tcPr>
          <w:p w:rsidR="00444438" w:rsidRDefault="00E25332">
            <w:pPr>
              <w:spacing w:after="0" w:line="240" w:lineRule="auto"/>
              <w:jc w:val="center"/>
              <w:rPr>
                <w:rFonts w:asciiTheme="majorHAnsi" w:eastAsia="Times New Roman" w:hAnsiTheme="majorHAnsi"/>
                <w:i/>
                <w:iCs/>
                <w:sz w:val="20"/>
                <w:szCs w:val="20"/>
                <w:lang w:eastAsia="id-ID"/>
              </w:rPr>
            </w:pPr>
            <w:r>
              <w:rPr>
                <w:rFonts w:asciiTheme="majorHAnsi" w:eastAsia="Times New Roman" w:hAnsiTheme="majorHAnsi"/>
                <w:i/>
                <w:iCs/>
                <w:sz w:val="20"/>
                <w:szCs w:val="20"/>
                <w:lang w:eastAsia="id-ID"/>
              </w:rPr>
              <w:t>0,815</w:t>
            </w:r>
          </w:p>
        </w:tc>
        <w:tc>
          <w:tcPr>
            <w:tcW w:w="645" w:type="dxa"/>
            <w:shd w:val="clear" w:color="auto" w:fill="auto"/>
            <w:vAlign w:val="center"/>
          </w:tcPr>
          <w:p w:rsidR="00444438" w:rsidRDefault="00E25332">
            <w:pPr>
              <w:spacing w:after="0" w:line="240" w:lineRule="auto"/>
              <w:jc w:val="center"/>
              <w:rPr>
                <w:rFonts w:asciiTheme="majorHAnsi" w:eastAsia="Times New Roman" w:hAnsiTheme="majorHAnsi"/>
                <w:i/>
                <w:iCs/>
                <w:sz w:val="20"/>
                <w:szCs w:val="20"/>
                <w:lang w:eastAsia="id-ID"/>
              </w:rPr>
            </w:pPr>
            <w:r>
              <w:rPr>
                <w:rFonts w:asciiTheme="majorHAnsi" w:eastAsia="Times New Roman" w:hAnsiTheme="majorHAnsi"/>
                <w:i/>
                <w:iCs/>
                <w:sz w:val="20"/>
                <w:szCs w:val="20"/>
                <w:lang w:eastAsia="id-ID"/>
              </w:rPr>
              <w:t>0,259</w:t>
            </w:r>
          </w:p>
        </w:tc>
        <w:tc>
          <w:tcPr>
            <w:tcW w:w="636" w:type="dxa"/>
            <w:shd w:val="clear" w:color="auto" w:fill="auto"/>
            <w:vAlign w:val="center"/>
          </w:tcPr>
          <w:p w:rsidR="00444438" w:rsidRDefault="00E25332">
            <w:pPr>
              <w:spacing w:after="0" w:line="240" w:lineRule="auto"/>
              <w:jc w:val="center"/>
              <w:rPr>
                <w:rFonts w:asciiTheme="majorHAnsi" w:eastAsia="Times New Roman" w:hAnsiTheme="majorHAnsi"/>
                <w:i/>
                <w:iCs/>
                <w:sz w:val="20"/>
                <w:szCs w:val="20"/>
                <w:lang w:eastAsia="id-ID"/>
              </w:rPr>
            </w:pPr>
            <w:r>
              <w:rPr>
                <w:rFonts w:asciiTheme="majorHAnsi" w:eastAsia="Times New Roman" w:hAnsiTheme="majorHAnsi"/>
                <w:i/>
                <w:iCs/>
                <w:sz w:val="20"/>
                <w:szCs w:val="20"/>
                <w:lang w:eastAsia="id-ID"/>
              </w:rPr>
              <w:t>-0,225</w:t>
            </w:r>
          </w:p>
        </w:tc>
        <w:tc>
          <w:tcPr>
            <w:tcW w:w="645" w:type="dxa"/>
            <w:shd w:val="clear" w:color="auto" w:fill="auto"/>
            <w:vAlign w:val="center"/>
          </w:tcPr>
          <w:p w:rsidR="00444438" w:rsidRDefault="00E25332">
            <w:pPr>
              <w:spacing w:after="0" w:line="240" w:lineRule="auto"/>
              <w:jc w:val="center"/>
              <w:rPr>
                <w:rFonts w:asciiTheme="majorHAnsi" w:eastAsia="Times New Roman" w:hAnsiTheme="majorHAnsi"/>
                <w:i/>
                <w:iCs/>
                <w:sz w:val="20"/>
                <w:szCs w:val="20"/>
                <w:lang w:eastAsia="id-ID"/>
              </w:rPr>
            </w:pPr>
            <w:r>
              <w:rPr>
                <w:rFonts w:asciiTheme="majorHAnsi" w:eastAsia="Times New Roman" w:hAnsiTheme="majorHAnsi"/>
                <w:i/>
                <w:iCs/>
                <w:sz w:val="20"/>
                <w:szCs w:val="20"/>
                <w:lang w:eastAsia="id-ID"/>
              </w:rPr>
              <w:t>0,298</w:t>
            </w:r>
          </w:p>
        </w:tc>
        <w:tc>
          <w:tcPr>
            <w:tcW w:w="652" w:type="dxa"/>
            <w:shd w:val="clear" w:color="auto" w:fill="auto"/>
            <w:vAlign w:val="center"/>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0,168</w:t>
            </w:r>
          </w:p>
        </w:tc>
      </w:tr>
      <w:tr w:rsidR="00444438">
        <w:trPr>
          <w:trHeight w:val="280"/>
          <w:jc w:val="center"/>
        </w:trPr>
        <w:tc>
          <w:tcPr>
            <w:tcW w:w="1003" w:type="dxa"/>
            <w:shd w:val="clear" w:color="auto" w:fill="auto"/>
            <w:vAlign w:val="center"/>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HCE</w:t>
            </w:r>
          </w:p>
        </w:tc>
        <w:tc>
          <w:tcPr>
            <w:tcW w:w="720"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-0.102</w:t>
            </w:r>
          </w:p>
        </w:tc>
        <w:tc>
          <w:tcPr>
            <w:tcW w:w="810"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0.107</w:t>
            </w:r>
          </w:p>
        </w:tc>
        <w:tc>
          <w:tcPr>
            <w:tcW w:w="728"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-0.112</w:t>
            </w:r>
          </w:p>
        </w:tc>
        <w:tc>
          <w:tcPr>
            <w:tcW w:w="660"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0.868</w:t>
            </w:r>
          </w:p>
        </w:tc>
        <w:tc>
          <w:tcPr>
            <w:tcW w:w="660" w:type="dxa"/>
            <w:shd w:val="clear" w:color="auto" w:fill="auto"/>
            <w:vAlign w:val="center"/>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1</w:t>
            </w:r>
          </w:p>
        </w:tc>
        <w:tc>
          <w:tcPr>
            <w:tcW w:w="645" w:type="dxa"/>
            <w:shd w:val="clear" w:color="auto" w:fill="auto"/>
            <w:vAlign w:val="center"/>
          </w:tcPr>
          <w:p w:rsidR="00444438" w:rsidRDefault="00E25332">
            <w:pPr>
              <w:spacing w:after="0" w:line="240" w:lineRule="auto"/>
              <w:jc w:val="center"/>
              <w:rPr>
                <w:rFonts w:asciiTheme="majorHAnsi" w:eastAsia="Times New Roman" w:hAnsiTheme="majorHAnsi"/>
                <w:i/>
                <w:iCs/>
                <w:sz w:val="20"/>
                <w:szCs w:val="20"/>
                <w:lang w:eastAsia="id-ID"/>
              </w:rPr>
            </w:pPr>
            <w:r>
              <w:rPr>
                <w:rFonts w:asciiTheme="majorHAnsi" w:eastAsia="Times New Roman" w:hAnsiTheme="majorHAnsi"/>
                <w:i/>
                <w:iCs/>
                <w:sz w:val="20"/>
                <w:szCs w:val="20"/>
                <w:lang w:eastAsia="id-ID"/>
              </w:rPr>
              <w:t>-0,128</w:t>
            </w:r>
          </w:p>
        </w:tc>
        <w:tc>
          <w:tcPr>
            <w:tcW w:w="645" w:type="dxa"/>
            <w:shd w:val="clear" w:color="auto" w:fill="auto"/>
            <w:vAlign w:val="center"/>
          </w:tcPr>
          <w:p w:rsidR="00444438" w:rsidRDefault="00E25332">
            <w:pPr>
              <w:spacing w:after="0" w:line="240" w:lineRule="auto"/>
              <w:jc w:val="center"/>
              <w:rPr>
                <w:rFonts w:asciiTheme="majorHAnsi" w:eastAsia="Times New Roman" w:hAnsiTheme="majorHAnsi"/>
                <w:i/>
                <w:iCs/>
                <w:sz w:val="20"/>
                <w:szCs w:val="20"/>
                <w:lang w:eastAsia="id-ID"/>
              </w:rPr>
            </w:pPr>
            <w:r>
              <w:rPr>
                <w:rFonts w:asciiTheme="majorHAnsi" w:eastAsia="Times New Roman" w:hAnsiTheme="majorHAnsi"/>
                <w:i/>
                <w:iCs/>
                <w:sz w:val="20"/>
                <w:szCs w:val="20"/>
                <w:lang w:eastAsia="id-ID"/>
              </w:rPr>
              <w:t>0,662</w:t>
            </w:r>
          </w:p>
        </w:tc>
        <w:tc>
          <w:tcPr>
            <w:tcW w:w="636" w:type="dxa"/>
            <w:shd w:val="clear" w:color="auto" w:fill="auto"/>
            <w:vAlign w:val="center"/>
          </w:tcPr>
          <w:p w:rsidR="00444438" w:rsidRDefault="00E25332">
            <w:pPr>
              <w:spacing w:after="0" w:line="240" w:lineRule="auto"/>
              <w:jc w:val="center"/>
              <w:rPr>
                <w:rFonts w:asciiTheme="majorHAnsi" w:eastAsia="Times New Roman" w:hAnsiTheme="majorHAnsi"/>
                <w:i/>
                <w:iCs/>
                <w:sz w:val="20"/>
                <w:szCs w:val="20"/>
                <w:lang w:eastAsia="id-ID"/>
              </w:rPr>
            </w:pPr>
            <w:r>
              <w:rPr>
                <w:rFonts w:asciiTheme="majorHAnsi" w:eastAsia="Times New Roman" w:hAnsiTheme="majorHAnsi"/>
                <w:i/>
                <w:iCs/>
                <w:sz w:val="20"/>
                <w:szCs w:val="20"/>
                <w:lang w:eastAsia="id-ID"/>
              </w:rPr>
              <w:t>0,028</w:t>
            </w:r>
          </w:p>
        </w:tc>
        <w:tc>
          <w:tcPr>
            <w:tcW w:w="645" w:type="dxa"/>
            <w:shd w:val="clear" w:color="auto" w:fill="auto"/>
            <w:vAlign w:val="center"/>
          </w:tcPr>
          <w:p w:rsidR="00444438" w:rsidRDefault="00E25332">
            <w:pPr>
              <w:spacing w:after="0" w:line="240" w:lineRule="auto"/>
              <w:jc w:val="center"/>
              <w:rPr>
                <w:rFonts w:asciiTheme="majorHAnsi" w:eastAsia="Times New Roman" w:hAnsiTheme="majorHAnsi"/>
                <w:i/>
                <w:iCs/>
                <w:sz w:val="20"/>
                <w:szCs w:val="20"/>
                <w:lang w:eastAsia="id-ID"/>
              </w:rPr>
            </w:pPr>
            <w:r>
              <w:rPr>
                <w:rFonts w:asciiTheme="majorHAnsi" w:eastAsia="Times New Roman" w:hAnsiTheme="majorHAnsi"/>
                <w:i/>
                <w:iCs/>
                <w:sz w:val="20"/>
                <w:szCs w:val="20"/>
                <w:lang w:eastAsia="id-ID"/>
              </w:rPr>
              <w:t>0,238</w:t>
            </w:r>
          </w:p>
        </w:tc>
        <w:tc>
          <w:tcPr>
            <w:tcW w:w="652" w:type="dxa"/>
            <w:shd w:val="clear" w:color="auto" w:fill="auto"/>
            <w:vAlign w:val="center"/>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0,22</w:t>
            </w:r>
          </w:p>
        </w:tc>
      </w:tr>
      <w:tr w:rsidR="00444438">
        <w:trPr>
          <w:trHeight w:val="280"/>
          <w:jc w:val="center"/>
        </w:trPr>
        <w:tc>
          <w:tcPr>
            <w:tcW w:w="1003" w:type="dxa"/>
            <w:shd w:val="clear" w:color="auto" w:fill="auto"/>
            <w:vAlign w:val="center"/>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SCE</w:t>
            </w:r>
          </w:p>
        </w:tc>
        <w:tc>
          <w:tcPr>
            <w:tcW w:w="720"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0.034</w:t>
            </w:r>
          </w:p>
        </w:tc>
        <w:tc>
          <w:tcPr>
            <w:tcW w:w="810"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0.023</w:t>
            </w:r>
          </w:p>
        </w:tc>
        <w:tc>
          <w:tcPr>
            <w:tcW w:w="728"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-0.024</w:t>
            </w:r>
          </w:p>
        </w:tc>
        <w:tc>
          <w:tcPr>
            <w:tcW w:w="660"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0.567</w:t>
            </w:r>
          </w:p>
        </w:tc>
        <w:tc>
          <w:tcPr>
            <w:tcW w:w="660"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0.098</w:t>
            </w:r>
          </w:p>
        </w:tc>
        <w:tc>
          <w:tcPr>
            <w:tcW w:w="645" w:type="dxa"/>
            <w:shd w:val="clear" w:color="auto" w:fill="auto"/>
            <w:vAlign w:val="center"/>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1</w:t>
            </w:r>
          </w:p>
        </w:tc>
        <w:tc>
          <w:tcPr>
            <w:tcW w:w="645" w:type="dxa"/>
            <w:shd w:val="clear" w:color="auto" w:fill="auto"/>
            <w:vAlign w:val="center"/>
          </w:tcPr>
          <w:p w:rsidR="00444438" w:rsidRDefault="00E25332">
            <w:pPr>
              <w:spacing w:after="0" w:line="240" w:lineRule="auto"/>
              <w:jc w:val="center"/>
              <w:rPr>
                <w:rFonts w:asciiTheme="majorHAnsi" w:eastAsia="Times New Roman" w:hAnsiTheme="majorHAnsi"/>
                <w:i/>
                <w:iCs/>
                <w:sz w:val="20"/>
                <w:szCs w:val="20"/>
                <w:lang w:eastAsia="id-ID"/>
              </w:rPr>
            </w:pPr>
            <w:r>
              <w:rPr>
                <w:rFonts w:asciiTheme="majorHAnsi" w:eastAsia="Times New Roman" w:hAnsiTheme="majorHAnsi"/>
                <w:i/>
                <w:iCs/>
                <w:sz w:val="20"/>
                <w:szCs w:val="20"/>
                <w:lang w:eastAsia="id-ID"/>
              </w:rPr>
              <w:t>-0,151</w:t>
            </w:r>
          </w:p>
        </w:tc>
        <w:tc>
          <w:tcPr>
            <w:tcW w:w="636" w:type="dxa"/>
            <w:shd w:val="clear" w:color="auto" w:fill="auto"/>
            <w:vAlign w:val="center"/>
          </w:tcPr>
          <w:p w:rsidR="00444438" w:rsidRDefault="00E25332">
            <w:pPr>
              <w:spacing w:after="0" w:line="240" w:lineRule="auto"/>
              <w:jc w:val="center"/>
              <w:rPr>
                <w:rFonts w:asciiTheme="majorHAnsi" w:eastAsia="Times New Roman" w:hAnsiTheme="majorHAnsi"/>
                <w:i/>
                <w:iCs/>
                <w:sz w:val="20"/>
                <w:szCs w:val="20"/>
                <w:lang w:eastAsia="id-ID"/>
              </w:rPr>
            </w:pPr>
            <w:r>
              <w:rPr>
                <w:rFonts w:asciiTheme="majorHAnsi" w:eastAsia="Times New Roman" w:hAnsiTheme="majorHAnsi"/>
                <w:i/>
                <w:iCs/>
                <w:sz w:val="20"/>
                <w:szCs w:val="20"/>
                <w:lang w:eastAsia="id-ID"/>
              </w:rPr>
              <w:t>-0,271</w:t>
            </w:r>
          </w:p>
        </w:tc>
        <w:tc>
          <w:tcPr>
            <w:tcW w:w="645" w:type="dxa"/>
            <w:shd w:val="clear" w:color="auto" w:fill="auto"/>
            <w:vAlign w:val="center"/>
          </w:tcPr>
          <w:p w:rsidR="00444438" w:rsidRDefault="00E25332">
            <w:pPr>
              <w:spacing w:after="0" w:line="240" w:lineRule="auto"/>
              <w:jc w:val="center"/>
              <w:rPr>
                <w:rFonts w:asciiTheme="majorHAnsi" w:eastAsia="Times New Roman" w:hAnsiTheme="majorHAnsi"/>
                <w:i/>
                <w:iCs/>
                <w:sz w:val="20"/>
                <w:szCs w:val="20"/>
                <w:lang w:eastAsia="id-ID"/>
              </w:rPr>
            </w:pPr>
            <w:r>
              <w:rPr>
                <w:rFonts w:asciiTheme="majorHAnsi" w:eastAsia="Times New Roman" w:hAnsiTheme="majorHAnsi"/>
                <w:i/>
                <w:iCs/>
                <w:sz w:val="20"/>
                <w:szCs w:val="20"/>
                <w:lang w:eastAsia="id-ID"/>
              </w:rPr>
              <w:t>0,18</w:t>
            </w:r>
          </w:p>
        </w:tc>
        <w:tc>
          <w:tcPr>
            <w:tcW w:w="652" w:type="dxa"/>
            <w:shd w:val="clear" w:color="auto" w:fill="auto"/>
            <w:vAlign w:val="center"/>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0,045</w:t>
            </w:r>
          </w:p>
        </w:tc>
      </w:tr>
      <w:tr w:rsidR="00444438">
        <w:trPr>
          <w:trHeight w:val="280"/>
          <w:jc w:val="center"/>
        </w:trPr>
        <w:tc>
          <w:tcPr>
            <w:tcW w:w="1003" w:type="dxa"/>
            <w:shd w:val="clear" w:color="auto" w:fill="auto"/>
            <w:vAlign w:val="center"/>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CEE</w:t>
            </w:r>
          </w:p>
        </w:tc>
        <w:tc>
          <w:tcPr>
            <w:tcW w:w="720"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-0.005</w:t>
            </w:r>
          </w:p>
        </w:tc>
        <w:tc>
          <w:tcPr>
            <w:tcW w:w="810"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0.047</w:t>
            </w:r>
          </w:p>
        </w:tc>
        <w:tc>
          <w:tcPr>
            <w:tcW w:w="728"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0.002</w:t>
            </w:r>
          </w:p>
        </w:tc>
        <w:tc>
          <w:tcPr>
            <w:tcW w:w="660"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0.154</w:t>
            </w:r>
          </w:p>
        </w:tc>
        <w:tc>
          <w:tcPr>
            <w:tcW w:w="660"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0.050</w:t>
            </w:r>
          </w:p>
        </w:tc>
        <w:tc>
          <w:tcPr>
            <w:tcW w:w="645"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0.011</w:t>
            </w:r>
          </w:p>
        </w:tc>
        <w:tc>
          <w:tcPr>
            <w:tcW w:w="645" w:type="dxa"/>
            <w:shd w:val="clear" w:color="auto" w:fill="auto"/>
            <w:vAlign w:val="center"/>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1</w:t>
            </w:r>
          </w:p>
        </w:tc>
        <w:tc>
          <w:tcPr>
            <w:tcW w:w="636" w:type="dxa"/>
            <w:shd w:val="clear" w:color="auto" w:fill="auto"/>
            <w:vAlign w:val="center"/>
          </w:tcPr>
          <w:p w:rsidR="00444438" w:rsidRDefault="00E25332">
            <w:pPr>
              <w:spacing w:after="0" w:line="240" w:lineRule="auto"/>
              <w:jc w:val="center"/>
              <w:rPr>
                <w:rFonts w:asciiTheme="majorHAnsi" w:eastAsia="Times New Roman" w:hAnsiTheme="majorHAnsi"/>
                <w:i/>
                <w:iCs/>
                <w:sz w:val="20"/>
                <w:szCs w:val="20"/>
                <w:lang w:eastAsia="id-ID"/>
              </w:rPr>
            </w:pPr>
            <w:r>
              <w:rPr>
                <w:rFonts w:asciiTheme="majorHAnsi" w:eastAsia="Times New Roman" w:hAnsiTheme="majorHAnsi"/>
                <w:i/>
                <w:iCs/>
                <w:sz w:val="20"/>
                <w:szCs w:val="20"/>
                <w:lang w:eastAsia="id-ID"/>
              </w:rPr>
              <w:t>0,046</w:t>
            </w:r>
          </w:p>
        </w:tc>
        <w:tc>
          <w:tcPr>
            <w:tcW w:w="645" w:type="dxa"/>
            <w:shd w:val="clear" w:color="auto" w:fill="auto"/>
            <w:vAlign w:val="center"/>
          </w:tcPr>
          <w:p w:rsidR="00444438" w:rsidRDefault="00E25332">
            <w:pPr>
              <w:spacing w:after="0" w:line="240" w:lineRule="auto"/>
              <w:jc w:val="center"/>
              <w:rPr>
                <w:rFonts w:asciiTheme="majorHAnsi" w:eastAsia="Times New Roman" w:hAnsiTheme="majorHAnsi"/>
                <w:i/>
                <w:iCs/>
                <w:sz w:val="20"/>
                <w:szCs w:val="20"/>
                <w:lang w:eastAsia="id-ID"/>
              </w:rPr>
            </w:pPr>
            <w:r>
              <w:rPr>
                <w:rFonts w:asciiTheme="majorHAnsi" w:eastAsia="Times New Roman" w:hAnsiTheme="majorHAnsi"/>
                <w:i/>
                <w:iCs/>
                <w:sz w:val="20"/>
                <w:szCs w:val="20"/>
                <w:lang w:eastAsia="id-ID"/>
              </w:rPr>
              <w:t>0,113</w:t>
            </w:r>
          </w:p>
        </w:tc>
        <w:tc>
          <w:tcPr>
            <w:tcW w:w="652" w:type="dxa"/>
            <w:shd w:val="clear" w:color="auto" w:fill="auto"/>
            <w:vAlign w:val="center"/>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0,149</w:t>
            </w:r>
          </w:p>
        </w:tc>
      </w:tr>
      <w:tr w:rsidR="00444438">
        <w:trPr>
          <w:trHeight w:val="280"/>
          <w:jc w:val="center"/>
        </w:trPr>
        <w:tc>
          <w:tcPr>
            <w:tcW w:w="1003" w:type="dxa"/>
            <w:shd w:val="clear" w:color="auto" w:fill="auto"/>
            <w:vAlign w:val="center"/>
          </w:tcPr>
          <w:p w:rsidR="00444438" w:rsidRDefault="00E25332">
            <w:pPr>
              <w:spacing w:after="0" w:line="240" w:lineRule="auto"/>
              <w:jc w:val="center"/>
              <w:rPr>
                <w:rFonts w:asciiTheme="majorHAnsi" w:eastAsia="Times New Roman" w:hAnsiTheme="majorHAnsi"/>
                <w:sz w:val="20"/>
                <w:szCs w:val="20"/>
                <w:lang w:eastAsia="id-ID"/>
              </w:rPr>
            </w:pPr>
            <w:proofErr w:type="spellStart"/>
            <w:r>
              <w:rPr>
                <w:rFonts w:asciiTheme="majorHAnsi" w:eastAsia="Times New Roman" w:hAnsiTheme="majorHAnsi"/>
                <w:sz w:val="20"/>
                <w:szCs w:val="20"/>
                <w:lang w:eastAsia="id-ID"/>
              </w:rPr>
              <w:t>LnTA</w:t>
            </w:r>
            <w:proofErr w:type="spellEnd"/>
          </w:p>
        </w:tc>
        <w:tc>
          <w:tcPr>
            <w:tcW w:w="720"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0.157</w:t>
            </w:r>
          </w:p>
        </w:tc>
        <w:tc>
          <w:tcPr>
            <w:tcW w:w="810"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0.159</w:t>
            </w:r>
          </w:p>
        </w:tc>
        <w:tc>
          <w:tcPr>
            <w:tcW w:w="728"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-0.442</w:t>
            </w:r>
          </w:p>
        </w:tc>
        <w:tc>
          <w:tcPr>
            <w:tcW w:w="660"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0.223</w:t>
            </w:r>
          </w:p>
        </w:tc>
        <w:tc>
          <w:tcPr>
            <w:tcW w:w="660"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0.243</w:t>
            </w:r>
          </w:p>
        </w:tc>
        <w:tc>
          <w:tcPr>
            <w:tcW w:w="645"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0.051</w:t>
            </w:r>
          </w:p>
        </w:tc>
        <w:tc>
          <w:tcPr>
            <w:tcW w:w="645"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-0.001</w:t>
            </w:r>
          </w:p>
        </w:tc>
        <w:tc>
          <w:tcPr>
            <w:tcW w:w="636" w:type="dxa"/>
            <w:shd w:val="clear" w:color="auto" w:fill="auto"/>
            <w:vAlign w:val="center"/>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1</w:t>
            </w:r>
          </w:p>
        </w:tc>
        <w:tc>
          <w:tcPr>
            <w:tcW w:w="645" w:type="dxa"/>
            <w:shd w:val="clear" w:color="auto" w:fill="auto"/>
            <w:vAlign w:val="center"/>
          </w:tcPr>
          <w:p w:rsidR="00444438" w:rsidRDefault="00E25332">
            <w:pPr>
              <w:spacing w:after="0" w:line="240" w:lineRule="auto"/>
              <w:jc w:val="center"/>
              <w:rPr>
                <w:rFonts w:asciiTheme="majorHAnsi" w:eastAsia="Times New Roman" w:hAnsiTheme="majorHAnsi"/>
                <w:i/>
                <w:iCs/>
                <w:sz w:val="20"/>
                <w:szCs w:val="20"/>
                <w:lang w:eastAsia="id-ID"/>
              </w:rPr>
            </w:pPr>
            <w:r>
              <w:rPr>
                <w:rFonts w:asciiTheme="majorHAnsi" w:eastAsia="Times New Roman" w:hAnsiTheme="majorHAnsi"/>
                <w:i/>
                <w:iCs/>
                <w:sz w:val="20"/>
                <w:szCs w:val="20"/>
                <w:lang w:eastAsia="id-ID"/>
              </w:rPr>
              <w:t>-0,293</w:t>
            </w:r>
          </w:p>
        </w:tc>
        <w:tc>
          <w:tcPr>
            <w:tcW w:w="652" w:type="dxa"/>
            <w:shd w:val="clear" w:color="auto" w:fill="auto"/>
            <w:vAlign w:val="center"/>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-0,048</w:t>
            </w:r>
          </w:p>
        </w:tc>
      </w:tr>
      <w:tr w:rsidR="00444438">
        <w:trPr>
          <w:trHeight w:val="280"/>
          <w:jc w:val="center"/>
        </w:trPr>
        <w:tc>
          <w:tcPr>
            <w:tcW w:w="1003" w:type="dxa"/>
            <w:shd w:val="clear" w:color="auto" w:fill="auto"/>
            <w:vAlign w:val="center"/>
          </w:tcPr>
          <w:p w:rsidR="00444438" w:rsidRDefault="00E25332">
            <w:pPr>
              <w:spacing w:after="0" w:line="240" w:lineRule="auto"/>
              <w:jc w:val="center"/>
              <w:rPr>
                <w:rFonts w:asciiTheme="majorHAnsi" w:eastAsia="Times New Roman" w:hAnsiTheme="majorHAnsi"/>
                <w:sz w:val="20"/>
                <w:szCs w:val="20"/>
                <w:lang w:eastAsia="id-ID"/>
              </w:rPr>
            </w:pPr>
            <w:proofErr w:type="spellStart"/>
            <w:r>
              <w:rPr>
                <w:rFonts w:asciiTheme="majorHAnsi" w:eastAsia="Times New Roman" w:hAnsiTheme="majorHAnsi"/>
                <w:sz w:val="20"/>
                <w:szCs w:val="20"/>
                <w:lang w:eastAsia="id-ID"/>
              </w:rPr>
              <w:t>GrGDP</w:t>
            </w:r>
            <w:proofErr w:type="spellEnd"/>
          </w:p>
        </w:tc>
        <w:tc>
          <w:tcPr>
            <w:tcW w:w="720"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0.047</w:t>
            </w:r>
          </w:p>
        </w:tc>
        <w:tc>
          <w:tcPr>
            <w:tcW w:w="810"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-0.170</w:t>
            </w:r>
          </w:p>
        </w:tc>
        <w:tc>
          <w:tcPr>
            <w:tcW w:w="728"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-0.033</w:t>
            </w:r>
          </w:p>
        </w:tc>
        <w:tc>
          <w:tcPr>
            <w:tcW w:w="660"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0.060</w:t>
            </w:r>
          </w:p>
        </w:tc>
        <w:tc>
          <w:tcPr>
            <w:tcW w:w="660"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0.064</w:t>
            </w:r>
          </w:p>
        </w:tc>
        <w:tc>
          <w:tcPr>
            <w:tcW w:w="645"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0.024</w:t>
            </w:r>
          </w:p>
        </w:tc>
        <w:tc>
          <w:tcPr>
            <w:tcW w:w="645"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-0.036</w:t>
            </w:r>
          </w:p>
        </w:tc>
        <w:tc>
          <w:tcPr>
            <w:tcW w:w="636"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-0.189</w:t>
            </w:r>
          </w:p>
        </w:tc>
        <w:tc>
          <w:tcPr>
            <w:tcW w:w="645" w:type="dxa"/>
            <w:shd w:val="clear" w:color="auto" w:fill="auto"/>
            <w:vAlign w:val="center"/>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1</w:t>
            </w:r>
          </w:p>
        </w:tc>
        <w:tc>
          <w:tcPr>
            <w:tcW w:w="652" w:type="dxa"/>
            <w:shd w:val="clear" w:color="auto" w:fill="auto"/>
            <w:vAlign w:val="center"/>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0,171</w:t>
            </w:r>
          </w:p>
        </w:tc>
      </w:tr>
      <w:tr w:rsidR="00444438">
        <w:trPr>
          <w:trHeight w:val="280"/>
          <w:jc w:val="center"/>
        </w:trPr>
        <w:tc>
          <w:tcPr>
            <w:tcW w:w="1003" w:type="dxa"/>
            <w:shd w:val="clear" w:color="auto" w:fill="auto"/>
            <w:vAlign w:val="center"/>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INF</w:t>
            </w:r>
          </w:p>
        </w:tc>
        <w:tc>
          <w:tcPr>
            <w:tcW w:w="720"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-0.024</w:t>
            </w:r>
          </w:p>
        </w:tc>
        <w:tc>
          <w:tcPr>
            <w:tcW w:w="810"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0.030</w:t>
            </w:r>
          </w:p>
        </w:tc>
        <w:tc>
          <w:tcPr>
            <w:tcW w:w="728"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-0.054</w:t>
            </w:r>
          </w:p>
        </w:tc>
        <w:tc>
          <w:tcPr>
            <w:tcW w:w="660"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0.055</w:t>
            </w:r>
          </w:p>
        </w:tc>
        <w:tc>
          <w:tcPr>
            <w:tcW w:w="660"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0.071</w:t>
            </w:r>
          </w:p>
        </w:tc>
        <w:tc>
          <w:tcPr>
            <w:tcW w:w="645"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0.004</w:t>
            </w:r>
          </w:p>
        </w:tc>
        <w:tc>
          <w:tcPr>
            <w:tcW w:w="645"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-0.045</w:t>
            </w:r>
          </w:p>
        </w:tc>
        <w:tc>
          <w:tcPr>
            <w:tcW w:w="636"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-0.042</w:t>
            </w:r>
          </w:p>
        </w:tc>
        <w:tc>
          <w:tcPr>
            <w:tcW w:w="645" w:type="dxa"/>
            <w:shd w:val="clear" w:color="auto" w:fill="auto"/>
            <w:vAlign w:val="center"/>
          </w:tcPr>
          <w:p w:rsidR="00444438" w:rsidRDefault="00E25332">
            <w:pPr>
              <w:spacing w:after="0" w:line="240" w:lineRule="auto"/>
              <w:jc w:val="center"/>
              <w:rPr>
                <w:rFonts w:asciiTheme="majorHAnsi" w:eastAsia="Times New Roman" w:hAnsiTheme="majorHAnsi"/>
                <w:b/>
                <w:bCs/>
                <w:sz w:val="20"/>
                <w:szCs w:val="20"/>
                <w:lang w:eastAsia="id-ID"/>
              </w:rPr>
            </w:pPr>
            <w:r>
              <w:rPr>
                <w:rFonts w:asciiTheme="majorHAnsi" w:eastAsia="Times New Roman" w:hAnsiTheme="majorHAnsi"/>
                <w:b/>
                <w:bCs/>
                <w:sz w:val="20"/>
                <w:szCs w:val="20"/>
                <w:lang w:eastAsia="id-ID"/>
              </w:rPr>
              <w:t>0.170</w:t>
            </w:r>
          </w:p>
        </w:tc>
        <w:tc>
          <w:tcPr>
            <w:tcW w:w="652" w:type="dxa"/>
            <w:shd w:val="clear" w:color="auto" w:fill="auto"/>
            <w:vAlign w:val="center"/>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1</w:t>
            </w:r>
          </w:p>
        </w:tc>
      </w:tr>
    </w:tbl>
    <w:p w:rsidR="00444438" w:rsidRDefault="00E25332">
      <w:pPr>
        <w:spacing w:before="120" w:after="120" w:line="240" w:lineRule="auto"/>
        <w:jc w:val="both"/>
        <w:outlineLvl w:val="0"/>
        <w:rPr>
          <w:rFonts w:ascii="Times New Roman" w:hAnsi="Times New Roman"/>
          <w:color w:val="000000"/>
          <w:sz w:val="16"/>
          <w:szCs w:val="16"/>
        </w:rPr>
      </w:pPr>
      <w:r>
        <w:rPr>
          <w:rFonts w:ascii="Times New Roman" w:hAnsi="Times New Roman"/>
          <w:color w:val="000000"/>
          <w:sz w:val="16"/>
          <w:szCs w:val="16"/>
        </w:rPr>
        <w:t xml:space="preserve">ROA denotes return on asset, VAIC denotes value added intellectual capital, LLP denotes loan loss provision, LOANTA denotes loan to total asset, CAP denotes equity to total asset, </w:t>
      </w:r>
      <w:proofErr w:type="spellStart"/>
      <w:r>
        <w:rPr>
          <w:rFonts w:ascii="Times New Roman" w:hAnsi="Times New Roman"/>
          <w:color w:val="000000"/>
          <w:sz w:val="16"/>
          <w:szCs w:val="16"/>
        </w:rPr>
        <w:t>LnTA</w:t>
      </w:r>
      <w:proofErr w:type="spellEnd"/>
      <w:r>
        <w:rPr>
          <w:rFonts w:ascii="Times New Roman" w:hAnsi="Times New Roman"/>
          <w:color w:val="000000"/>
          <w:sz w:val="16"/>
          <w:szCs w:val="16"/>
        </w:rPr>
        <w:t xml:space="preserve"> denotes natural logarithm of total asset, </w:t>
      </w:r>
      <w:proofErr w:type="spellStart"/>
      <w:r>
        <w:rPr>
          <w:rFonts w:ascii="Times New Roman" w:hAnsi="Times New Roman"/>
          <w:color w:val="000000"/>
          <w:sz w:val="16"/>
          <w:szCs w:val="16"/>
        </w:rPr>
        <w:t>GrGdp</w:t>
      </w:r>
      <w:proofErr w:type="spellEnd"/>
      <w:r>
        <w:rPr>
          <w:rFonts w:ascii="Times New Roman" w:hAnsi="Times New Roman"/>
          <w:color w:val="000000"/>
          <w:sz w:val="16"/>
          <w:szCs w:val="16"/>
        </w:rPr>
        <w:t xml:space="preserve"> denotes growth of gross domestic product, and INF denotes inflation rate</w:t>
      </w:r>
    </w:p>
    <w:p w:rsidR="00444438" w:rsidRDefault="00444438">
      <w:pPr>
        <w:spacing w:before="120" w:after="120" w:line="240" w:lineRule="auto"/>
        <w:ind w:firstLine="567"/>
        <w:jc w:val="both"/>
        <w:outlineLvl w:val="0"/>
        <w:rPr>
          <w:rFonts w:asciiTheme="majorHAnsi" w:hAnsiTheme="majorHAnsi"/>
          <w:b/>
          <w:i/>
          <w:sz w:val="20"/>
        </w:rPr>
      </w:pPr>
    </w:p>
    <w:p w:rsidR="00444438" w:rsidRDefault="00E25332">
      <w:pPr>
        <w:spacing w:before="120" w:after="120" w:line="240" w:lineRule="auto"/>
        <w:ind w:firstLine="567"/>
        <w:jc w:val="both"/>
        <w:outlineLvl w:val="0"/>
        <w:rPr>
          <w:rFonts w:asciiTheme="majorHAnsi" w:eastAsia="Times New Roman" w:hAnsiTheme="majorHAnsi" w:cs="Times New Roman"/>
          <w:color w:val="000000"/>
          <w:sz w:val="20"/>
          <w:szCs w:val="20"/>
        </w:rPr>
      </w:pPr>
      <w:r>
        <w:rPr>
          <w:rFonts w:asciiTheme="majorHAnsi" w:hAnsiTheme="majorHAnsi"/>
          <w:b/>
          <w:i/>
          <w:sz w:val="20"/>
        </w:rPr>
        <w:t>Regression Analysis</w:t>
      </w:r>
    </w:p>
    <w:p w:rsidR="00444438" w:rsidRDefault="00E25332">
      <w:pPr>
        <w:ind w:firstLine="720"/>
        <w:jc w:val="both"/>
        <w:rPr>
          <w:rFonts w:asciiTheme="majorHAnsi" w:hAnsiTheme="majorHAnsi"/>
          <w:sz w:val="20"/>
          <w:szCs w:val="20"/>
        </w:rPr>
      </w:pPr>
      <w:r>
        <w:rPr>
          <w:rFonts w:asciiTheme="majorHAnsi" w:hAnsiTheme="majorHAnsi"/>
          <w:sz w:val="20"/>
          <w:szCs w:val="20"/>
        </w:rPr>
        <w:t xml:space="preserve">In these regression analyses, </w:t>
      </w:r>
      <w:proofErr w:type="gramStart"/>
      <w:r>
        <w:rPr>
          <w:rFonts w:asciiTheme="majorHAnsi" w:hAnsiTheme="majorHAnsi"/>
          <w:sz w:val="20"/>
          <w:szCs w:val="20"/>
        </w:rPr>
        <w:t>Fixed</w:t>
      </w:r>
      <w:proofErr w:type="gramEnd"/>
      <w:r>
        <w:rPr>
          <w:rFonts w:asciiTheme="majorHAnsi" w:hAnsiTheme="majorHAnsi"/>
          <w:sz w:val="20"/>
          <w:szCs w:val="20"/>
        </w:rPr>
        <w:t xml:space="preserve"> effect is chosen because our data is panel. By using this method, we can minimize error time invariant compared to ordinary least square (OLS). However, we also show the result using OLS method to check the result consistency and stability. In this study, we classify the analysis into two, full sample and split the sample by bank type. </w:t>
      </w:r>
    </w:p>
    <w:p w:rsidR="00444438" w:rsidRDefault="00E25332">
      <w:pPr>
        <w:ind w:firstLine="720"/>
        <w:jc w:val="center"/>
        <w:rPr>
          <w:rFonts w:asciiTheme="majorHAnsi" w:hAnsiTheme="majorHAnsi"/>
          <w:sz w:val="20"/>
          <w:szCs w:val="20"/>
        </w:rPr>
      </w:pPr>
      <w:r>
        <w:rPr>
          <w:rFonts w:asciiTheme="majorHAnsi" w:hAnsiTheme="majorHAnsi"/>
          <w:sz w:val="20"/>
          <w:szCs w:val="20"/>
        </w:rPr>
        <w:t>Table 3. Regression Result: The Effect of VAIC on Bank Profitability</w:t>
      </w:r>
    </w:p>
    <w:tbl>
      <w:tblPr>
        <w:tblW w:w="8761" w:type="dxa"/>
        <w:jc w:val="center"/>
        <w:tblLayout w:type="fixed"/>
        <w:tblLook w:val="04A0" w:firstRow="1" w:lastRow="0" w:firstColumn="1" w:lastColumn="0" w:noHBand="0" w:noVBand="1"/>
      </w:tblPr>
      <w:tblGrid>
        <w:gridCol w:w="1800"/>
        <w:gridCol w:w="1189"/>
        <w:gridCol w:w="1103"/>
        <w:gridCol w:w="1189"/>
        <w:gridCol w:w="1097"/>
        <w:gridCol w:w="1105"/>
        <w:gridCol w:w="1278"/>
      </w:tblGrid>
      <w:tr w:rsidR="00444438">
        <w:trPr>
          <w:trHeight w:val="255"/>
          <w:jc w:val="center"/>
        </w:trPr>
        <w:tc>
          <w:tcPr>
            <w:tcW w:w="1800" w:type="dxa"/>
            <w:tcBorders>
              <w:top w:val="single" w:sz="4" w:space="0" w:color="000000"/>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 </w:t>
            </w:r>
          </w:p>
        </w:tc>
        <w:tc>
          <w:tcPr>
            <w:tcW w:w="3481" w:type="dxa"/>
            <w:gridSpan w:val="3"/>
            <w:tcBorders>
              <w:top w:val="single" w:sz="4" w:space="0" w:color="auto"/>
              <w:left w:val="nil"/>
              <w:right w:val="single" w:sz="4" w:space="0" w:color="auto"/>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Full Sample</w:t>
            </w:r>
          </w:p>
        </w:tc>
        <w:tc>
          <w:tcPr>
            <w:tcW w:w="3480" w:type="dxa"/>
            <w:gridSpan w:val="3"/>
            <w:tcBorders>
              <w:top w:val="single" w:sz="4" w:space="0" w:color="auto"/>
              <w:left w:val="single" w:sz="4" w:space="0" w:color="auto"/>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Full Sample</w:t>
            </w:r>
          </w:p>
        </w:tc>
      </w:tr>
      <w:tr w:rsidR="00444438">
        <w:trPr>
          <w:trHeight w:val="255"/>
          <w:jc w:val="center"/>
        </w:trPr>
        <w:tc>
          <w:tcPr>
            <w:tcW w:w="1800" w:type="dxa"/>
            <w:tcBorders>
              <w:top w:val="nil"/>
              <w:left w:val="nil"/>
              <w:bottom w:val="nil"/>
              <w:right w:val="nil"/>
            </w:tcBorders>
            <w:shd w:val="clear" w:color="auto" w:fill="auto"/>
            <w:vAlign w:val="bottom"/>
          </w:tcPr>
          <w:p w:rsidR="00444438" w:rsidRDefault="00444438">
            <w:pPr>
              <w:spacing w:after="0" w:line="240" w:lineRule="auto"/>
              <w:rPr>
                <w:rFonts w:asciiTheme="majorHAnsi" w:eastAsia="Times New Roman" w:hAnsiTheme="majorHAnsi"/>
                <w:sz w:val="20"/>
                <w:szCs w:val="20"/>
                <w:lang w:eastAsia="id-ID"/>
              </w:rPr>
            </w:pPr>
          </w:p>
        </w:tc>
        <w:tc>
          <w:tcPr>
            <w:tcW w:w="3481" w:type="dxa"/>
            <w:gridSpan w:val="3"/>
            <w:tcBorders>
              <w:left w:val="nil"/>
              <w:bottom w:val="single" w:sz="4" w:space="0" w:color="auto"/>
              <w:right w:val="single" w:sz="4" w:space="0" w:color="auto"/>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Fixed Effect</w:t>
            </w:r>
          </w:p>
        </w:tc>
        <w:tc>
          <w:tcPr>
            <w:tcW w:w="3480" w:type="dxa"/>
            <w:gridSpan w:val="3"/>
            <w:tcBorders>
              <w:left w:val="single" w:sz="4" w:space="0" w:color="auto"/>
              <w:bottom w:val="single" w:sz="4" w:space="0" w:color="auto"/>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OLS</w:t>
            </w:r>
          </w:p>
        </w:tc>
      </w:tr>
      <w:tr w:rsidR="00444438">
        <w:trPr>
          <w:trHeight w:val="255"/>
          <w:jc w:val="center"/>
        </w:trPr>
        <w:tc>
          <w:tcPr>
            <w:tcW w:w="1800" w:type="dxa"/>
            <w:tcBorders>
              <w:top w:val="nil"/>
              <w:left w:val="nil"/>
              <w:right w:val="nil"/>
            </w:tcBorders>
            <w:shd w:val="clear" w:color="auto" w:fill="auto"/>
            <w:vAlign w:val="bottom"/>
          </w:tcPr>
          <w:p w:rsidR="00444438" w:rsidRDefault="00444438">
            <w:pPr>
              <w:spacing w:after="0" w:line="240" w:lineRule="auto"/>
              <w:rPr>
                <w:rFonts w:asciiTheme="majorHAnsi" w:eastAsia="Times New Roman" w:hAnsiTheme="majorHAnsi"/>
                <w:sz w:val="20"/>
                <w:szCs w:val="20"/>
                <w:lang w:eastAsia="id-ID"/>
              </w:rPr>
            </w:pPr>
          </w:p>
        </w:tc>
        <w:tc>
          <w:tcPr>
            <w:tcW w:w="1189" w:type="dxa"/>
            <w:tcBorders>
              <w:top w:val="single" w:sz="4" w:space="0" w:color="auto"/>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(1)</w:t>
            </w:r>
          </w:p>
        </w:tc>
        <w:tc>
          <w:tcPr>
            <w:tcW w:w="1103" w:type="dxa"/>
            <w:tcBorders>
              <w:top w:val="single" w:sz="4" w:space="0" w:color="auto"/>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(2)</w:t>
            </w:r>
          </w:p>
        </w:tc>
        <w:tc>
          <w:tcPr>
            <w:tcW w:w="1189" w:type="dxa"/>
            <w:tcBorders>
              <w:top w:val="single" w:sz="4" w:space="0" w:color="auto"/>
              <w:left w:val="nil"/>
              <w:bottom w:val="nil"/>
              <w:right w:val="single" w:sz="4" w:space="0" w:color="auto"/>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(3)</w:t>
            </w:r>
          </w:p>
        </w:tc>
        <w:tc>
          <w:tcPr>
            <w:tcW w:w="1097" w:type="dxa"/>
            <w:tcBorders>
              <w:top w:val="single" w:sz="4" w:space="0" w:color="auto"/>
              <w:left w:val="single" w:sz="4" w:space="0" w:color="auto"/>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(1)</w:t>
            </w:r>
          </w:p>
        </w:tc>
        <w:tc>
          <w:tcPr>
            <w:tcW w:w="1105" w:type="dxa"/>
            <w:tcBorders>
              <w:top w:val="single" w:sz="4" w:space="0" w:color="auto"/>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(2)</w:t>
            </w:r>
          </w:p>
        </w:tc>
        <w:tc>
          <w:tcPr>
            <w:tcW w:w="1278" w:type="dxa"/>
            <w:tcBorders>
              <w:top w:val="single" w:sz="4" w:space="0" w:color="auto"/>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(3)</w:t>
            </w:r>
          </w:p>
        </w:tc>
      </w:tr>
      <w:tr w:rsidR="00444438">
        <w:trPr>
          <w:trHeight w:val="255"/>
          <w:jc w:val="center"/>
        </w:trPr>
        <w:tc>
          <w:tcPr>
            <w:tcW w:w="1800" w:type="dxa"/>
            <w:tcBorders>
              <w:top w:val="nil"/>
              <w:left w:val="nil"/>
              <w:bottom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VARIABLES</w:t>
            </w:r>
          </w:p>
        </w:tc>
        <w:tc>
          <w:tcPr>
            <w:tcW w:w="1189"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ROA</w:t>
            </w:r>
          </w:p>
        </w:tc>
        <w:tc>
          <w:tcPr>
            <w:tcW w:w="1103"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ROA</w:t>
            </w:r>
          </w:p>
        </w:tc>
        <w:tc>
          <w:tcPr>
            <w:tcW w:w="1189" w:type="dxa"/>
            <w:tcBorders>
              <w:top w:val="nil"/>
              <w:left w:val="nil"/>
              <w:bottom w:val="nil"/>
              <w:right w:val="single" w:sz="4" w:space="0" w:color="auto"/>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ROA</w:t>
            </w:r>
          </w:p>
        </w:tc>
        <w:tc>
          <w:tcPr>
            <w:tcW w:w="1097" w:type="dxa"/>
            <w:tcBorders>
              <w:top w:val="nil"/>
              <w:left w:val="single" w:sz="4" w:space="0" w:color="auto"/>
              <w:bottom w:val="single" w:sz="4" w:space="0" w:color="000000"/>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ROA</w:t>
            </w:r>
          </w:p>
        </w:tc>
        <w:tc>
          <w:tcPr>
            <w:tcW w:w="110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ROA</w:t>
            </w:r>
          </w:p>
        </w:tc>
        <w:tc>
          <w:tcPr>
            <w:tcW w:w="1278"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 xml:space="preserve">ROA </w:t>
            </w:r>
          </w:p>
        </w:tc>
      </w:tr>
      <w:tr w:rsidR="00444438">
        <w:trPr>
          <w:trHeight w:val="255"/>
          <w:jc w:val="center"/>
        </w:trPr>
        <w:tc>
          <w:tcPr>
            <w:tcW w:w="1800" w:type="dxa"/>
            <w:tcBorders>
              <w:top w:val="single" w:sz="4" w:space="0" w:color="000000"/>
              <w:left w:val="nil"/>
              <w:bottom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 </w:t>
            </w:r>
          </w:p>
        </w:tc>
        <w:tc>
          <w:tcPr>
            <w:tcW w:w="1189" w:type="dxa"/>
            <w:tcBorders>
              <w:top w:val="single" w:sz="4" w:space="0" w:color="000000"/>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 </w:t>
            </w:r>
          </w:p>
        </w:tc>
        <w:tc>
          <w:tcPr>
            <w:tcW w:w="1103" w:type="dxa"/>
            <w:tcBorders>
              <w:top w:val="single" w:sz="4" w:space="0" w:color="000000"/>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 </w:t>
            </w:r>
          </w:p>
        </w:tc>
        <w:tc>
          <w:tcPr>
            <w:tcW w:w="1189" w:type="dxa"/>
            <w:tcBorders>
              <w:top w:val="single" w:sz="4" w:space="0" w:color="000000"/>
              <w:left w:val="nil"/>
              <w:bottom w:val="nil"/>
              <w:right w:val="single" w:sz="4" w:space="0" w:color="auto"/>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 </w:t>
            </w:r>
          </w:p>
        </w:tc>
        <w:tc>
          <w:tcPr>
            <w:tcW w:w="1097" w:type="dxa"/>
            <w:tcBorders>
              <w:top w:val="single" w:sz="4" w:space="0" w:color="000000"/>
              <w:left w:val="single" w:sz="4" w:space="0" w:color="auto"/>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 </w:t>
            </w:r>
          </w:p>
        </w:tc>
        <w:tc>
          <w:tcPr>
            <w:tcW w:w="1105" w:type="dxa"/>
            <w:tcBorders>
              <w:top w:val="single" w:sz="4" w:space="0" w:color="000000"/>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 </w:t>
            </w:r>
          </w:p>
        </w:tc>
        <w:tc>
          <w:tcPr>
            <w:tcW w:w="1278" w:type="dxa"/>
            <w:tcBorders>
              <w:top w:val="single" w:sz="4" w:space="0" w:color="000000"/>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 </w:t>
            </w:r>
          </w:p>
        </w:tc>
      </w:tr>
      <w:tr w:rsidR="00444438">
        <w:trPr>
          <w:trHeight w:val="255"/>
          <w:jc w:val="center"/>
        </w:trPr>
        <w:tc>
          <w:tcPr>
            <w:tcW w:w="1800" w:type="dxa"/>
            <w:tcBorders>
              <w:top w:val="nil"/>
              <w:left w:val="nil"/>
              <w:bottom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VAIC</w:t>
            </w:r>
          </w:p>
        </w:tc>
        <w:tc>
          <w:tcPr>
            <w:tcW w:w="1189"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0.003**</w:t>
            </w:r>
          </w:p>
        </w:tc>
        <w:tc>
          <w:tcPr>
            <w:tcW w:w="1103"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0.002**</w:t>
            </w:r>
          </w:p>
        </w:tc>
        <w:tc>
          <w:tcPr>
            <w:tcW w:w="1189" w:type="dxa"/>
            <w:tcBorders>
              <w:top w:val="nil"/>
              <w:left w:val="nil"/>
              <w:bottom w:val="nil"/>
              <w:right w:val="single" w:sz="4" w:space="0" w:color="auto"/>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0.002**</w:t>
            </w:r>
          </w:p>
        </w:tc>
        <w:tc>
          <w:tcPr>
            <w:tcW w:w="1097" w:type="dxa"/>
            <w:tcBorders>
              <w:top w:val="nil"/>
              <w:left w:val="single" w:sz="4" w:space="0" w:color="auto"/>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0.003***</w:t>
            </w:r>
          </w:p>
        </w:tc>
        <w:tc>
          <w:tcPr>
            <w:tcW w:w="110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0.003***</w:t>
            </w:r>
          </w:p>
        </w:tc>
        <w:tc>
          <w:tcPr>
            <w:tcW w:w="1278"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0.002***</w:t>
            </w:r>
          </w:p>
        </w:tc>
      </w:tr>
      <w:tr w:rsidR="00444438">
        <w:trPr>
          <w:trHeight w:val="255"/>
          <w:jc w:val="center"/>
        </w:trPr>
        <w:tc>
          <w:tcPr>
            <w:tcW w:w="1800" w:type="dxa"/>
            <w:tcBorders>
              <w:top w:val="nil"/>
              <w:left w:val="nil"/>
              <w:bottom w:val="nil"/>
            </w:tcBorders>
            <w:shd w:val="clear" w:color="auto" w:fill="auto"/>
            <w:vAlign w:val="bottom"/>
          </w:tcPr>
          <w:p w:rsidR="00444438" w:rsidRDefault="00444438">
            <w:pPr>
              <w:spacing w:after="0" w:line="240" w:lineRule="auto"/>
              <w:rPr>
                <w:rFonts w:asciiTheme="majorHAnsi" w:eastAsia="Times New Roman" w:hAnsiTheme="majorHAnsi"/>
                <w:sz w:val="20"/>
                <w:szCs w:val="20"/>
                <w:lang w:eastAsia="id-ID"/>
              </w:rPr>
            </w:pPr>
          </w:p>
        </w:tc>
        <w:tc>
          <w:tcPr>
            <w:tcW w:w="1189"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c>
          <w:tcPr>
            <w:tcW w:w="1103"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c>
          <w:tcPr>
            <w:tcW w:w="1189" w:type="dxa"/>
            <w:tcBorders>
              <w:top w:val="nil"/>
              <w:left w:val="nil"/>
              <w:bottom w:val="nil"/>
              <w:right w:val="single" w:sz="4" w:space="0" w:color="auto"/>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c>
          <w:tcPr>
            <w:tcW w:w="1097" w:type="dxa"/>
            <w:tcBorders>
              <w:top w:val="nil"/>
              <w:left w:val="single" w:sz="4" w:space="0" w:color="auto"/>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c>
          <w:tcPr>
            <w:tcW w:w="110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c>
          <w:tcPr>
            <w:tcW w:w="1278"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r>
      <w:tr w:rsidR="00444438">
        <w:trPr>
          <w:trHeight w:val="255"/>
          <w:jc w:val="center"/>
        </w:trPr>
        <w:tc>
          <w:tcPr>
            <w:tcW w:w="1800" w:type="dxa"/>
            <w:tcBorders>
              <w:top w:val="nil"/>
              <w:left w:val="nil"/>
              <w:bottom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LLP</w:t>
            </w:r>
          </w:p>
        </w:tc>
        <w:tc>
          <w:tcPr>
            <w:tcW w:w="1189" w:type="dxa"/>
            <w:tcBorders>
              <w:top w:val="nil"/>
              <w:left w:val="nil"/>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103"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-0.167</w:t>
            </w:r>
          </w:p>
        </w:tc>
        <w:tc>
          <w:tcPr>
            <w:tcW w:w="1189" w:type="dxa"/>
            <w:tcBorders>
              <w:top w:val="nil"/>
              <w:left w:val="nil"/>
              <w:bottom w:val="nil"/>
              <w:right w:val="single" w:sz="4" w:space="0" w:color="auto"/>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-0.159</w:t>
            </w:r>
          </w:p>
        </w:tc>
        <w:tc>
          <w:tcPr>
            <w:tcW w:w="1097" w:type="dxa"/>
            <w:tcBorders>
              <w:top w:val="nil"/>
              <w:left w:val="single" w:sz="4" w:space="0" w:color="auto"/>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10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-0.149**</w:t>
            </w:r>
          </w:p>
        </w:tc>
        <w:tc>
          <w:tcPr>
            <w:tcW w:w="1278"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-0.154**</w:t>
            </w:r>
          </w:p>
        </w:tc>
      </w:tr>
      <w:tr w:rsidR="00444438">
        <w:trPr>
          <w:trHeight w:val="90"/>
          <w:jc w:val="center"/>
        </w:trPr>
        <w:tc>
          <w:tcPr>
            <w:tcW w:w="1800" w:type="dxa"/>
            <w:tcBorders>
              <w:top w:val="nil"/>
              <w:left w:val="nil"/>
              <w:bottom w:val="nil"/>
            </w:tcBorders>
            <w:shd w:val="clear" w:color="auto" w:fill="auto"/>
            <w:vAlign w:val="bottom"/>
          </w:tcPr>
          <w:p w:rsidR="00444438" w:rsidRDefault="00444438">
            <w:pPr>
              <w:spacing w:after="0" w:line="240" w:lineRule="auto"/>
              <w:rPr>
                <w:rFonts w:asciiTheme="majorHAnsi" w:eastAsia="Times New Roman" w:hAnsiTheme="majorHAnsi"/>
                <w:sz w:val="20"/>
                <w:szCs w:val="20"/>
                <w:lang w:eastAsia="id-ID"/>
              </w:rPr>
            </w:pPr>
          </w:p>
        </w:tc>
        <w:tc>
          <w:tcPr>
            <w:tcW w:w="1189" w:type="dxa"/>
            <w:tcBorders>
              <w:top w:val="nil"/>
              <w:left w:val="nil"/>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103"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(0.129)</w:t>
            </w:r>
          </w:p>
        </w:tc>
        <w:tc>
          <w:tcPr>
            <w:tcW w:w="1189" w:type="dxa"/>
            <w:tcBorders>
              <w:top w:val="nil"/>
              <w:left w:val="nil"/>
              <w:bottom w:val="nil"/>
              <w:right w:val="single" w:sz="4" w:space="0" w:color="auto"/>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(0.120)</w:t>
            </w:r>
          </w:p>
        </w:tc>
        <w:tc>
          <w:tcPr>
            <w:tcW w:w="1097" w:type="dxa"/>
            <w:tcBorders>
              <w:top w:val="nil"/>
              <w:left w:val="single" w:sz="4" w:space="0" w:color="auto"/>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10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(0.070)</w:t>
            </w:r>
          </w:p>
        </w:tc>
        <w:tc>
          <w:tcPr>
            <w:tcW w:w="1278"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(0.069)</w:t>
            </w:r>
          </w:p>
        </w:tc>
      </w:tr>
      <w:tr w:rsidR="00444438">
        <w:trPr>
          <w:trHeight w:val="255"/>
          <w:jc w:val="center"/>
        </w:trPr>
        <w:tc>
          <w:tcPr>
            <w:tcW w:w="1800" w:type="dxa"/>
            <w:tcBorders>
              <w:top w:val="nil"/>
              <w:left w:val="nil"/>
              <w:bottom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LOANTA</w:t>
            </w:r>
          </w:p>
        </w:tc>
        <w:tc>
          <w:tcPr>
            <w:tcW w:w="1189" w:type="dxa"/>
            <w:tcBorders>
              <w:top w:val="nil"/>
              <w:left w:val="nil"/>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103"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-0.005</w:t>
            </w:r>
          </w:p>
        </w:tc>
        <w:tc>
          <w:tcPr>
            <w:tcW w:w="1189" w:type="dxa"/>
            <w:tcBorders>
              <w:top w:val="nil"/>
              <w:left w:val="nil"/>
              <w:bottom w:val="nil"/>
              <w:right w:val="single" w:sz="4" w:space="0" w:color="auto"/>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c>
          <w:tcPr>
            <w:tcW w:w="1097" w:type="dxa"/>
            <w:tcBorders>
              <w:top w:val="nil"/>
              <w:left w:val="single" w:sz="4" w:space="0" w:color="auto"/>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10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-0.005</w:t>
            </w:r>
          </w:p>
        </w:tc>
        <w:tc>
          <w:tcPr>
            <w:tcW w:w="1278"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-0.000</w:t>
            </w:r>
          </w:p>
        </w:tc>
      </w:tr>
      <w:tr w:rsidR="00444438">
        <w:trPr>
          <w:trHeight w:val="255"/>
          <w:jc w:val="center"/>
        </w:trPr>
        <w:tc>
          <w:tcPr>
            <w:tcW w:w="1800" w:type="dxa"/>
            <w:tcBorders>
              <w:top w:val="nil"/>
              <w:left w:val="nil"/>
              <w:bottom w:val="nil"/>
            </w:tcBorders>
            <w:shd w:val="clear" w:color="auto" w:fill="auto"/>
            <w:vAlign w:val="bottom"/>
          </w:tcPr>
          <w:p w:rsidR="00444438" w:rsidRDefault="00444438">
            <w:pPr>
              <w:spacing w:after="0" w:line="240" w:lineRule="auto"/>
              <w:rPr>
                <w:rFonts w:asciiTheme="majorHAnsi" w:eastAsia="Times New Roman" w:hAnsiTheme="majorHAnsi"/>
                <w:sz w:val="20"/>
                <w:szCs w:val="20"/>
                <w:lang w:eastAsia="id-ID"/>
              </w:rPr>
            </w:pPr>
          </w:p>
        </w:tc>
        <w:tc>
          <w:tcPr>
            <w:tcW w:w="1189" w:type="dxa"/>
            <w:tcBorders>
              <w:top w:val="nil"/>
              <w:left w:val="nil"/>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103"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(0.011)</w:t>
            </w:r>
          </w:p>
        </w:tc>
        <w:tc>
          <w:tcPr>
            <w:tcW w:w="1189" w:type="dxa"/>
            <w:tcBorders>
              <w:top w:val="nil"/>
              <w:left w:val="nil"/>
              <w:bottom w:val="nil"/>
              <w:right w:val="single" w:sz="4" w:space="0" w:color="auto"/>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(0.011)</w:t>
            </w:r>
          </w:p>
        </w:tc>
        <w:tc>
          <w:tcPr>
            <w:tcW w:w="1097" w:type="dxa"/>
            <w:tcBorders>
              <w:top w:val="nil"/>
              <w:left w:val="single" w:sz="4" w:space="0" w:color="auto"/>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10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(0.008)</w:t>
            </w:r>
          </w:p>
        </w:tc>
        <w:tc>
          <w:tcPr>
            <w:tcW w:w="1278"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(0.008)</w:t>
            </w:r>
          </w:p>
        </w:tc>
      </w:tr>
      <w:tr w:rsidR="00444438">
        <w:trPr>
          <w:trHeight w:val="255"/>
          <w:jc w:val="center"/>
        </w:trPr>
        <w:tc>
          <w:tcPr>
            <w:tcW w:w="1800" w:type="dxa"/>
            <w:tcBorders>
              <w:top w:val="nil"/>
              <w:left w:val="nil"/>
              <w:bottom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CAP</w:t>
            </w:r>
          </w:p>
        </w:tc>
        <w:tc>
          <w:tcPr>
            <w:tcW w:w="1189" w:type="dxa"/>
            <w:tcBorders>
              <w:top w:val="nil"/>
              <w:left w:val="nil"/>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103"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-0.006</w:t>
            </w:r>
          </w:p>
        </w:tc>
        <w:tc>
          <w:tcPr>
            <w:tcW w:w="1189" w:type="dxa"/>
            <w:tcBorders>
              <w:top w:val="nil"/>
              <w:left w:val="nil"/>
              <w:bottom w:val="nil"/>
              <w:right w:val="single" w:sz="4" w:space="0" w:color="auto"/>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0.021*</w:t>
            </w:r>
          </w:p>
        </w:tc>
        <w:tc>
          <w:tcPr>
            <w:tcW w:w="1097" w:type="dxa"/>
            <w:tcBorders>
              <w:top w:val="nil"/>
              <w:left w:val="single" w:sz="4" w:space="0" w:color="auto"/>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10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-0.004</w:t>
            </w:r>
          </w:p>
        </w:tc>
        <w:tc>
          <w:tcPr>
            <w:tcW w:w="1278"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r>
      <w:tr w:rsidR="00444438">
        <w:trPr>
          <w:trHeight w:val="255"/>
          <w:jc w:val="center"/>
        </w:trPr>
        <w:tc>
          <w:tcPr>
            <w:tcW w:w="1800" w:type="dxa"/>
            <w:tcBorders>
              <w:top w:val="nil"/>
              <w:left w:val="nil"/>
              <w:bottom w:val="nil"/>
            </w:tcBorders>
            <w:shd w:val="clear" w:color="auto" w:fill="auto"/>
            <w:vAlign w:val="bottom"/>
          </w:tcPr>
          <w:p w:rsidR="00444438" w:rsidRDefault="00444438">
            <w:pPr>
              <w:spacing w:after="0" w:line="240" w:lineRule="auto"/>
              <w:rPr>
                <w:rFonts w:asciiTheme="majorHAnsi" w:eastAsia="Times New Roman" w:hAnsiTheme="majorHAnsi"/>
                <w:sz w:val="20"/>
                <w:szCs w:val="20"/>
                <w:lang w:eastAsia="id-ID"/>
              </w:rPr>
            </w:pPr>
          </w:p>
        </w:tc>
        <w:tc>
          <w:tcPr>
            <w:tcW w:w="1189" w:type="dxa"/>
            <w:tcBorders>
              <w:top w:val="nil"/>
              <w:left w:val="nil"/>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103"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(0.009)</w:t>
            </w:r>
          </w:p>
        </w:tc>
        <w:tc>
          <w:tcPr>
            <w:tcW w:w="1189" w:type="dxa"/>
            <w:tcBorders>
              <w:top w:val="nil"/>
              <w:left w:val="nil"/>
              <w:bottom w:val="nil"/>
              <w:right w:val="single" w:sz="4" w:space="0" w:color="auto"/>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(0.012)</w:t>
            </w:r>
          </w:p>
        </w:tc>
        <w:tc>
          <w:tcPr>
            <w:tcW w:w="1097" w:type="dxa"/>
            <w:tcBorders>
              <w:top w:val="nil"/>
              <w:left w:val="single" w:sz="4" w:space="0" w:color="auto"/>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10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(0.011)</w:t>
            </w:r>
          </w:p>
        </w:tc>
        <w:tc>
          <w:tcPr>
            <w:tcW w:w="1278"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(0.011)</w:t>
            </w:r>
          </w:p>
        </w:tc>
      </w:tr>
      <w:tr w:rsidR="00444438">
        <w:trPr>
          <w:trHeight w:val="255"/>
          <w:jc w:val="center"/>
        </w:trPr>
        <w:tc>
          <w:tcPr>
            <w:tcW w:w="1800" w:type="dxa"/>
            <w:tcBorders>
              <w:top w:val="nil"/>
              <w:left w:val="nil"/>
              <w:bottom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proofErr w:type="spellStart"/>
            <w:r>
              <w:rPr>
                <w:rFonts w:asciiTheme="majorHAnsi" w:eastAsia="Times New Roman" w:hAnsiTheme="majorHAnsi"/>
                <w:sz w:val="20"/>
                <w:szCs w:val="20"/>
                <w:lang w:eastAsia="id-ID"/>
              </w:rPr>
              <w:t>LnTA</w:t>
            </w:r>
            <w:proofErr w:type="spellEnd"/>
          </w:p>
        </w:tc>
        <w:tc>
          <w:tcPr>
            <w:tcW w:w="1189" w:type="dxa"/>
            <w:tcBorders>
              <w:top w:val="nil"/>
              <w:left w:val="nil"/>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103"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-0.003**</w:t>
            </w:r>
          </w:p>
        </w:tc>
        <w:tc>
          <w:tcPr>
            <w:tcW w:w="1189" w:type="dxa"/>
            <w:tcBorders>
              <w:top w:val="nil"/>
              <w:left w:val="nil"/>
              <w:bottom w:val="nil"/>
              <w:right w:val="single" w:sz="4" w:space="0" w:color="auto"/>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0.006</w:t>
            </w:r>
          </w:p>
        </w:tc>
        <w:tc>
          <w:tcPr>
            <w:tcW w:w="1097" w:type="dxa"/>
            <w:tcBorders>
              <w:top w:val="nil"/>
              <w:left w:val="single" w:sz="4" w:space="0" w:color="auto"/>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10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0.002**</w:t>
            </w:r>
          </w:p>
        </w:tc>
        <w:tc>
          <w:tcPr>
            <w:tcW w:w="1278"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0.002***</w:t>
            </w:r>
          </w:p>
        </w:tc>
      </w:tr>
      <w:tr w:rsidR="00444438">
        <w:trPr>
          <w:trHeight w:val="255"/>
          <w:jc w:val="center"/>
        </w:trPr>
        <w:tc>
          <w:tcPr>
            <w:tcW w:w="1800" w:type="dxa"/>
            <w:tcBorders>
              <w:top w:val="nil"/>
              <w:left w:val="nil"/>
              <w:bottom w:val="nil"/>
            </w:tcBorders>
            <w:shd w:val="clear" w:color="auto" w:fill="auto"/>
            <w:vAlign w:val="bottom"/>
          </w:tcPr>
          <w:p w:rsidR="00444438" w:rsidRDefault="00444438">
            <w:pPr>
              <w:spacing w:after="0" w:line="240" w:lineRule="auto"/>
              <w:rPr>
                <w:rFonts w:asciiTheme="majorHAnsi" w:eastAsia="Times New Roman" w:hAnsiTheme="majorHAnsi"/>
                <w:sz w:val="20"/>
                <w:szCs w:val="20"/>
                <w:lang w:eastAsia="id-ID"/>
              </w:rPr>
            </w:pPr>
          </w:p>
        </w:tc>
        <w:tc>
          <w:tcPr>
            <w:tcW w:w="1189" w:type="dxa"/>
            <w:tcBorders>
              <w:top w:val="nil"/>
              <w:left w:val="nil"/>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103"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c>
          <w:tcPr>
            <w:tcW w:w="1189" w:type="dxa"/>
            <w:tcBorders>
              <w:top w:val="nil"/>
              <w:left w:val="nil"/>
              <w:bottom w:val="nil"/>
              <w:right w:val="single" w:sz="4" w:space="0" w:color="auto"/>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(0.004)</w:t>
            </w:r>
          </w:p>
        </w:tc>
        <w:tc>
          <w:tcPr>
            <w:tcW w:w="1097" w:type="dxa"/>
            <w:tcBorders>
              <w:top w:val="nil"/>
              <w:left w:val="single" w:sz="4" w:space="0" w:color="auto"/>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10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c>
          <w:tcPr>
            <w:tcW w:w="1278"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r>
      <w:tr w:rsidR="00444438">
        <w:trPr>
          <w:trHeight w:val="255"/>
          <w:jc w:val="center"/>
        </w:trPr>
        <w:tc>
          <w:tcPr>
            <w:tcW w:w="1800" w:type="dxa"/>
            <w:tcBorders>
              <w:top w:val="nil"/>
              <w:left w:val="nil"/>
              <w:bottom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proofErr w:type="spellStart"/>
            <w:r>
              <w:rPr>
                <w:rFonts w:asciiTheme="majorHAnsi" w:eastAsia="Times New Roman" w:hAnsiTheme="majorHAnsi"/>
                <w:sz w:val="20"/>
                <w:szCs w:val="20"/>
                <w:lang w:eastAsia="id-ID"/>
              </w:rPr>
              <w:t>GrGDP</w:t>
            </w:r>
            <w:proofErr w:type="spellEnd"/>
          </w:p>
        </w:tc>
        <w:tc>
          <w:tcPr>
            <w:tcW w:w="1189" w:type="dxa"/>
            <w:tcBorders>
              <w:top w:val="nil"/>
              <w:left w:val="nil"/>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103" w:type="dxa"/>
            <w:tcBorders>
              <w:top w:val="nil"/>
              <w:left w:val="nil"/>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189" w:type="dxa"/>
            <w:tcBorders>
              <w:top w:val="nil"/>
              <w:left w:val="nil"/>
              <w:bottom w:val="nil"/>
              <w:right w:val="single" w:sz="4" w:space="0" w:color="auto"/>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0.799***</w:t>
            </w:r>
          </w:p>
        </w:tc>
        <w:tc>
          <w:tcPr>
            <w:tcW w:w="1097" w:type="dxa"/>
            <w:tcBorders>
              <w:top w:val="nil"/>
              <w:left w:val="single" w:sz="4" w:space="0" w:color="auto"/>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105" w:type="dxa"/>
            <w:tcBorders>
              <w:top w:val="nil"/>
              <w:left w:val="nil"/>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278"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0.556***</w:t>
            </w:r>
          </w:p>
        </w:tc>
      </w:tr>
      <w:tr w:rsidR="00444438">
        <w:trPr>
          <w:trHeight w:val="255"/>
          <w:jc w:val="center"/>
        </w:trPr>
        <w:tc>
          <w:tcPr>
            <w:tcW w:w="1800" w:type="dxa"/>
            <w:tcBorders>
              <w:top w:val="nil"/>
              <w:left w:val="nil"/>
              <w:bottom w:val="nil"/>
            </w:tcBorders>
            <w:shd w:val="clear" w:color="auto" w:fill="auto"/>
            <w:vAlign w:val="bottom"/>
          </w:tcPr>
          <w:p w:rsidR="00444438" w:rsidRDefault="00444438">
            <w:pPr>
              <w:spacing w:after="0" w:line="240" w:lineRule="auto"/>
              <w:rPr>
                <w:rFonts w:asciiTheme="majorHAnsi" w:eastAsia="Times New Roman" w:hAnsiTheme="majorHAnsi"/>
                <w:sz w:val="20"/>
                <w:szCs w:val="20"/>
                <w:lang w:eastAsia="id-ID"/>
              </w:rPr>
            </w:pPr>
          </w:p>
        </w:tc>
        <w:tc>
          <w:tcPr>
            <w:tcW w:w="1189" w:type="dxa"/>
            <w:tcBorders>
              <w:top w:val="nil"/>
              <w:left w:val="nil"/>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103" w:type="dxa"/>
            <w:tcBorders>
              <w:top w:val="nil"/>
              <w:left w:val="nil"/>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189" w:type="dxa"/>
            <w:tcBorders>
              <w:top w:val="nil"/>
              <w:left w:val="nil"/>
              <w:bottom w:val="nil"/>
              <w:right w:val="single" w:sz="4" w:space="0" w:color="auto"/>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(0.281)</w:t>
            </w:r>
          </w:p>
        </w:tc>
        <w:tc>
          <w:tcPr>
            <w:tcW w:w="1097" w:type="dxa"/>
            <w:tcBorders>
              <w:top w:val="nil"/>
              <w:left w:val="single" w:sz="4" w:space="0" w:color="auto"/>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105" w:type="dxa"/>
            <w:tcBorders>
              <w:top w:val="nil"/>
              <w:left w:val="nil"/>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278"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(0.094)</w:t>
            </w:r>
          </w:p>
        </w:tc>
      </w:tr>
      <w:tr w:rsidR="00444438">
        <w:trPr>
          <w:trHeight w:val="255"/>
          <w:jc w:val="center"/>
        </w:trPr>
        <w:tc>
          <w:tcPr>
            <w:tcW w:w="1800" w:type="dxa"/>
            <w:tcBorders>
              <w:top w:val="nil"/>
              <w:left w:val="nil"/>
              <w:bottom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INF</w:t>
            </w:r>
          </w:p>
        </w:tc>
        <w:tc>
          <w:tcPr>
            <w:tcW w:w="1189" w:type="dxa"/>
            <w:tcBorders>
              <w:top w:val="nil"/>
              <w:left w:val="nil"/>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103" w:type="dxa"/>
            <w:tcBorders>
              <w:top w:val="nil"/>
              <w:left w:val="nil"/>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189" w:type="dxa"/>
            <w:tcBorders>
              <w:top w:val="nil"/>
              <w:left w:val="nil"/>
              <w:bottom w:val="nil"/>
              <w:right w:val="single" w:sz="4" w:space="0" w:color="auto"/>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0.040**</w:t>
            </w:r>
          </w:p>
        </w:tc>
        <w:tc>
          <w:tcPr>
            <w:tcW w:w="1097" w:type="dxa"/>
            <w:tcBorders>
              <w:top w:val="nil"/>
              <w:left w:val="single" w:sz="4" w:space="0" w:color="auto"/>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105" w:type="dxa"/>
            <w:tcBorders>
              <w:top w:val="nil"/>
              <w:left w:val="nil"/>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278"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0.033***</w:t>
            </w:r>
          </w:p>
        </w:tc>
      </w:tr>
      <w:tr w:rsidR="00444438">
        <w:trPr>
          <w:trHeight w:val="255"/>
          <w:jc w:val="center"/>
        </w:trPr>
        <w:tc>
          <w:tcPr>
            <w:tcW w:w="1800" w:type="dxa"/>
            <w:tcBorders>
              <w:top w:val="nil"/>
              <w:left w:val="nil"/>
              <w:bottom w:val="nil"/>
            </w:tcBorders>
            <w:shd w:val="clear" w:color="auto" w:fill="auto"/>
            <w:vAlign w:val="bottom"/>
          </w:tcPr>
          <w:p w:rsidR="00444438" w:rsidRDefault="00444438">
            <w:pPr>
              <w:spacing w:after="0" w:line="240" w:lineRule="auto"/>
              <w:rPr>
                <w:rFonts w:asciiTheme="majorHAnsi" w:eastAsia="Times New Roman" w:hAnsiTheme="majorHAnsi"/>
                <w:sz w:val="20"/>
                <w:szCs w:val="20"/>
                <w:lang w:eastAsia="id-ID"/>
              </w:rPr>
            </w:pPr>
          </w:p>
        </w:tc>
        <w:tc>
          <w:tcPr>
            <w:tcW w:w="1189" w:type="dxa"/>
            <w:tcBorders>
              <w:top w:val="nil"/>
              <w:left w:val="nil"/>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103" w:type="dxa"/>
            <w:tcBorders>
              <w:top w:val="nil"/>
              <w:left w:val="nil"/>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189" w:type="dxa"/>
            <w:tcBorders>
              <w:top w:val="nil"/>
              <w:left w:val="nil"/>
              <w:bottom w:val="nil"/>
              <w:right w:val="single" w:sz="4" w:space="0" w:color="auto"/>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(0.016)</w:t>
            </w:r>
          </w:p>
        </w:tc>
        <w:tc>
          <w:tcPr>
            <w:tcW w:w="1097" w:type="dxa"/>
            <w:tcBorders>
              <w:top w:val="nil"/>
              <w:left w:val="single" w:sz="4" w:space="0" w:color="auto"/>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105" w:type="dxa"/>
            <w:tcBorders>
              <w:top w:val="nil"/>
              <w:left w:val="nil"/>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278"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(0.011)</w:t>
            </w:r>
          </w:p>
        </w:tc>
      </w:tr>
      <w:tr w:rsidR="00444438">
        <w:trPr>
          <w:trHeight w:val="255"/>
          <w:jc w:val="center"/>
        </w:trPr>
        <w:tc>
          <w:tcPr>
            <w:tcW w:w="1800" w:type="dxa"/>
            <w:tcBorders>
              <w:top w:val="nil"/>
              <w:left w:val="nil"/>
              <w:bottom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Constant</w:t>
            </w:r>
          </w:p>
        </w:tc>
        <w:tc>
          <w:tcPr>
            <w:tcW w:w="1189"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0.003</w:t>
            </w:r>
          </w:p>
        </w:tc>
        <w:tc>
          <w:tcPr>
            <w:tcW w:w="1103"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0.057***</w:t>
            </w:r>
          </w:p>
        </w:tc>
        <w:tc>
          <w:tcPr>
            <w:tcW w:w="1189" w:type="dxa"/>
            <w:tcBorders>
              <w:top w:val="nil"/>
              <w:left w:val="nil"/>
              <w:bottom w:val="nil"/>
              <w:right w:val="single" w:sz="4" w:space="0" w:color="auto"/>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-0.134*</w:t>
            </w:r>
          </w:p>
        </w:tc>
        <w:tc>
          <w:tcPr>
            <w:tcW w:w="1097" w:type="dxa"/>
            <w:tcBorders>
              <w:top w:val="nil"/>
              <w:left w:val="single" w:sz="4" w:space="0" w:color="auto"/>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0.003</w:t>
            </w:r>
          </w:p>
        </w:tc>
        <w:tc>
          <w:tcPr>
            <w:tcW w:w="110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-0.013</w:t>
            </w:r>
          </w:p>
        </w:tc>
        <w:tc>
          <w:tcPr>
            <w:tcW w:w="1278"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-0.057***</w:t>
            </w:r>
          </w:p>
        </w:tc>
      </w:tr>
      <w:tr w:rsidR="00444438">
        <w:trPr>
          <w:trHeight w:val="371"/>
          <w:jc w:val="center"/>
        </w:trPr>
        <w:tc>
          <w:tcPr>
            <w:tcW w:w="1800" w:type="dxa"/>
            <w:tcBorders>
              <w:top w:val="nil"/>
              <w:left w:val="nil"/>
              <w:bottom w:val="nil"/>
            </w:tcBorders>
            <w:shd w:val="clear" w:color="auto" w:fill="auto"/>
            <w:vAlign w:val="bottom"/>
          </w:tcPr>
          <w:p w:rsidR="00444438" w:rsidRDefault="00444438">
            <w:pPr>
              <w:spacing w:after="0" w:line="240" w:lineRule="auto"/>
              <w:rPr>
                <w:rFonts w:asciiTheme="majorHAnsi" w:eastAsia="Times New Roman" w:hAnsiTheme="majorHAnsi"/>
                <w:sz w:val="20"/>
                <w:szCs w:val="20"/>
                <w:lang w:eastAsia="id-ID"/>
              </w:rPr>
            </w:pPr>
          </w:p>
        </w:tc>
        <w:tc>
          <w:tcPr>
            <w:tcW w:w="1189"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(0.004)</w:t>
            </w:r>
          </w:p>
        </w:tc>
        <w:tc>
          <w:tcPr>
            <w:tcW w:w="1103"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(0.018)</w:t>
            </w:r>
          </w:p>
        </w:tc>
        <w:tc>
          <w:tcPr>
            <w:tcW w:w="1189" w:type="dxa"/>
            <w:tcBorders>
              <w:top w:val="nil"/>
              <w:left w:val="nil"/>
              <w:bottom w:val="nil"/>
              <w:right w:val="single" w:sz="4" w:space="0" w:color="auto"/>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(0.080)</w:t>
            </w:r>
          </w:p>
        </w:tc>
        <w:tc>
          <w:tcPr>
            <w:tcW w:w="1097" w:type="dxa"/>
            <w:tcBorders>
              <w:top w:val="nil"/>
              <w:left w:val="single" w:sz="4" w:space="0" w:color="auto"/>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(0.003)</w:t>
            </w:r>
          </w:p>
        </w:tc>
        <w:tc>
          <w:tcPr>
            <w:tcW w:w="110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(0.012)</w:t>
            </w:r>
          </w:p>
        </w:tc>
        <w:tc>
          <w:tcPr>
            <w:tcW w:w="1278"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(0.015)</w:t>
            </w:r>
          </w:p>
        </w:tc>
      </w:tr>
      <w:tr w:rsidR="00444438">
        <w:trPr>
          <w:trHeight w:val="255"/>
          <w:jc w:val="center"/>
        </w:trPr>
        <w:tc>
          <w:tcPr>
            <w:tcW w:w="1800" w:type="dxa"/>
            <w:tcBorders>
              <w:top w:val="nil"/>
              <w:left w:val="nil"/>
              <w:bottom w:val="nil"/>
              <w:right w:val="nil"/>
            </w:tcBorders>
            <w:shd w:val="clear" w:color="auto" w:fill="auto"/>
            <w:vAlign w:val="bottom"/>
          </w:tcPr>
          <w:p w:rsidR="00444438" w:rsidRDefault="00444438">
            <w:pPr>
              <w:spacing w:after="0" w:line="240" w:lineRule="auto"/>
              <w:rPr>
                <w:rFonts w:asciiTheme="majorHAnsi" w:eastAsia="Times New Roman" w:hAnsiTheme="majorHAnsi"/>
                <w:sz w:val="20"/>
                <w:szCs w:val="20"/>
                <w:lang w:eastAsia="id-ID"/>
              </w:rPr>
            </w:pPr>
          </w:p>
        </w:tc>
        <w:tc>
          <w:tcPr>
            <w:tcW w:w="1189" w:type="dxa"/>
            <w:tcBorders>
              <w:top w:val="nil"/>
              <w:left w:val="nil"/>
              <w:bottom w:val="nil"/>
              <w:right w:val="nil"/>
            </w:tcBorders>
            <w:shd w:val="clear" w:color="auto" w:fill="auto"/>
            <w:vAlign w:val="bottom"/>
          </w:tcPr>
          <w:p w:rsidR="00444438" w:rsidRDefault="00444438">
            <w:pPr>
              <w:spacing w:after="0" w:line="240" w:lineRule="auto"/>
              <w:jc w:val="center"/>
              <w:rPr>
                <w:rFonts w:asciiTheme="majorHAnsi" w:eastAsia="Times New Roman" w:hAnsiTheme="majorHAnsi"/>
                <w:sz w:val="20"/>
                <w:szCs w:val="20"/>
                <w:lang w:eastAsia="id-ID"/>
              </w:rPr>
            </w:pPr>
          </w:p>
        </w:tc>
        <w:tc>
          <w:tcPr>
            <w:tcW w:w="1103" w:type="dxa"/>
            <w:tcBorders>
              <w:top w:val="nil"/>
              <w:left w:val="nil"/>
              <w:bottom w:val="nil"/>
              <w:right w:val="nil"/>
            </w:tcBorders>
            <w:shd w:val="clear" w:color="auto" w:fill="auto"/>
            <w:vAlign w:val="bottom"/>
          </w:tcPr>
          <w:p w:rsidR="00444438" w:rsidRDefault="00444438">
            <w:pPr>
              <w:spacing w:after="0" w:line="240" w:lineRule="auto"/>
              <w:jc w:val="center"/>
              <w:rPr>
                <w:rFonts w:asciiTheme="majorHAnsi" w:eastAsia="Times New Roman" w:hAnsiTheme="majorHAnsi"/>
                <w:sz w:val="20"/>
                <w:szCs w:val="20"/>
                <w:lang w:eastAsia="id-ID"/>
              </w:rPr>
            </w:pPr>
          </w:p>
        </w:tc>
        <w:tc>
          <w:tcPr>
            <w:tcW w:w="1189" w:type="dxa"/>
            <w:tcBorders>
              <w:top w:val="nil"/>
              <w:left w:val="nil"/>
              <w:bottom w:val="nil"/>
              <w:right w:val="single" w:sz="4" w:space="0" w:color="auto"/>
            </w:tcBorders>
            <w:shd w:val="clear" w:color="auto" w:fill="auto"/>
            <w:vAlign w:val="bottom"/>
          </w:tcPr>
          <w:p w:rsidR="00444438" w:rsidRDefault="00444438">
            <w:pPr>
              <w:spacing w:after="0" w:line="240" w:lineRule="auto"/>
              <w:jc w:val="center"/>
              <w:rPr>
                <w:rFonts w:asciiTheme="majorHAnsi" w:eastAsia="Times New Roman" w:hAnsiTheme="majorHAnsi"/>
                <w:sz w:val="20"/>
                <w:szCs w:val="20"/>
                <w:lang w:eastAsia="id-ID"/>
              </w:rPr>
            </w:pPr>
          </w:p>
        </w:tc>
        <w:tc>
          <w:tcPr>
            <w:tcW w:w="1097" w:type="dxa"/>
            <w:tcBorders>
              <w:top w:val="nil"/>
              <w:left w:val="single" w:sz="4" w:space="0" w:color="auto"/>
              <w:bottom w:val="nil"/>
              <w:right w:val="nil"/>
            </w:tcBorders>
            <w:shd w:val="clear" w:color="auto" w:fill="auto"/>
            <w:vAlign w:val="bottom"/>
          </w:tcPr>
          <w:p w:rsidR="00444438" w:rsidRDefault="00444438">
            <w:pPr>
              <w:spacing w:after="0" w:line="240" w:lineRule="auto"/>
              <w:jc w:val="center"/>
              <w:rPr>
                <w:rFonts w:asciiTheme="majorHAnsi" w:eastAsia="Times New Roman" w:hAnsiTheme="majorHAnsi"/>
                <w:sz w:val="20"/>
                <w:szCs w:val="20"/>
                <w:lang w:eastAsia="id-ID"/>
              </w:rPr>
            </w:pPr>
          </w:p>
        </w:tc>
        <w:tc>
          <w:tcPr>
            <w:tcW w:w="1105" w:type="dxa"/>
            <w:tcBorders>
              <w:top w:val="nil"/>
              <w:left w:val="nil"/>
              <w:bottom w:val="nil"/>
              <w:right w:val="nil"/>
            </w:tcBorders>
            <w:shd w:val="clear" w:color="auto" w:fill="auto"/>
            <w:vAlign w:val="bottom"/>
          </w:tcPr>
          <w:p w:rsidR="00444438" w:rsidRDefault="00444438">
            <w:pPr>
              <w:spacing w:after="0" w:line="240" w:lineRule="auto"/>
              <w:jc w:val="center"/>
              <w:rPr>
                <w:rFonts w:asciiTheme="majorHAnsi" w:eastAsia="Times New Roman" w:hAnsiTheme="majorHAnsi"/>
                <w:sz w:val="20"/>
                <w:szCs w:val="20"/>
                <w:lang w:eastAsia="id-ID"/>
              </w:rPr>
            </w:pPr>
          </w:p>
        </w:tc>
        <w:tc>
          <w:tcPr>
            <w:tcW w:w="1278" w:type="dxa"/>
            <w:tcBorders>
              <w:top w:val="nil"/>
              <w:left w:val="nil"/>
              <w:bottom w:val="nil"/>
              <w:right w:val="nil"/>
            </w:tcBorders>
            <w:shd w:val="clear" w:color="auto" w:fill="auto"/>
            <w:vAlign w:val="bottom"/>
          </w:tcPr>
          <w:p w:rsidR="00444438" w:rsidRDefault="00444438">
            <w:pPr>
              <w:spacing w:after="0" w:line="240" w:lineRule="auto"/>
              <w:jc w:val="center"/>
              <w:rPr>
                <w:rFonts w:asciiTheme="majorHAnsi" w:eastAsia="Times New Roman" w:hAnsiTheme="majorHAnsi"/>
                <w:sz w:val="20"/>
                <w:szCs w:val="20"/>
                <w:lang w:eastAsia="id-ID"/>
              </w:rPr>
            </w:pPr>
          </w:p>
        </w:tc>
      </w:tr>
      <w:tr w:rsidR="00444438">
        <w:trPr>
          <w:trHeight w:val="255"/>
          <w:jc w:val="center"/>
        </w:trPr>
        <w:tc>
          <w:tcPr>
            <w:tcW w:w="1800" w:type="dxa"/>
            <w:tcBorders>
              <w:top w:val="nil"/>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R-square</w:t>
            </w:r>
          </w:p>
        </w:tc>
        <w:tc>
          <w:tcPr>
            <w:tcW w:w="1189"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0.234</w:t>
            </w:r>
          </w:p>
        </w:tc>
        <w:tc>
          <w:tcPr>
            <w:tcW w:w="1103"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0.365</w:t>
            </w:r>
          </w:p>
        </w:tc>
        <w:tc>
          <w:tcPr>
            <w:tcW w:w="1189" w:type="dxa"/>
            <w:tcBorders>
              <w:top w:val="nil"/>
              <w:left w:val="nil"/>
              <w:bottom w:val="nil"/>
              <w:right w:val="single" w:sz="4" w:space="0" w:color="auto"/>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0.411</w:t>
            </w:r>
          </w:p>
        </w:tc>
        <w:tc>
          <w:tcPr>
            <w:tcW w:w="1097" w:type="dxa"/>
            <w:tcBorders>
              <w:top w:val="nil"/>
              <w:left w:val="single" w:sz="4" w:space="0" w:color="auto"/>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0.217</w:t>
            </w:r>
          </w:p>
        </w:tc>
        <w:tc>
          <w:tcPr>
            <w:tcW w:w="110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0.329</w:t>
            </w:r>
          </w:p>
        </w:tc>
        <w:tc>
          <w:tcPr>
            <w:tcW w:w="1278"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0.359</w:t>
            </w:r>
          </w:p>
        </w:tc>
      </w:tr>
      <w:tr w:rsidR="00444438">
        <w:trPr>
          <w:trHeight w:val="255"/>
          <w:jc w:val="center"/>
        </w:trPr>
        <w:tc>
          <w:tcPr>
            <w:tcW w:w="1800" w:type="dxa"/>
            <w:tcBorders>
              <w:top w:val="nil"/>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Observations</w:t>
            </w:r>
          </w:p>
        </w:tc>
        <w:tc>
          <w:tcPr>
            <w:tcW w:w="1189" w:type="dxa"/>
            <w:tcBorders>
              <w:top w:val="nil"/>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793</w:t>
            </w:r>
          </w:p>
        </w:tc>
        <w:tc>
          <w:tcPr>
            <w:tcW w:w="1103" w:type="dxa"/>
            <w:tcBorders>
              <w:top w:val="nil"/>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793</w:t>
            </w:r>
          </w:p>
        </w:tc>
        <w:tc>
          <w:tcPr>
            <w:tcW w:w="1189" w:type="dxa"/>
            <w:tcBorders>
              <w:top w:val="nil"/>
              <w:left w:val="nil"/>
              <w:bottom w:val="nil"/>
              <w:right w:val="single" w:sz="4" w:space="0" w:color="auto"/>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793</w:t>
            </w:r>
          </w:p>
        </w:tc>
        <w:tc>
          <w:tcPr>
            <w:tcW w:w="1097" w:type="dxa"/>
            <w:tcBorders>
              <w:top w:val="nil"/>
              <w:left w:val="single" w:sz="4" w:space="0" w:color="auto"/>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793</w:t>
            </w:r>
          </w:p>
        </w:tc>
        <w:tc>
          <w:tcPr>
            <w:tcW w:w="1105" w:type="dxa"/>
            <w:tcBorders>
              <w:top w:val="nil"/>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793</w:t>
            </w:r>
          </w:p>
        </w:tc>
        <w:tc>
          <w:tcPr>
            <w:tcW w:w="1278" w:type="dxa"/>
            <w:tcBorders>
              <w:top w:val="nil"/>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793</w:t>
            </w:r>
          </w:p>
        </w:tc>
      </w:tr>
      <w:tr w:rsidR="00444438">
        <w:trPr>
          <w:trHeight w:val="255"/>
          <w:jc w:val="center"/>
        </w:trPr>
        <w:tc>
          <w:tcPr>
            <w:tcW w:w="1800" w:type="dxa"/>
            <w:tcBorders>
              <w:top w:val="nil"/>
              <w:left w:val="nil"/>
              <w:bottom w:val="single" w:sz="4" w:space="0" w:color="000000"/>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Number of Bank</w:t>
            </w:r>
          </w:p>
        </w:tc>
        <w:tc>
          <w:tcPr>
            <w:tcW w:w="1189" w:type="dxa"/>
            <w:tcBorders>
              <w:top w:val="nil"/>
              <w:left w:val="nil"/>
              <w:bottom w:val="single" w:sz="4" w:space="0" w:color="000000"/>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116</w:t>
            </w:r>
          </w:p>
        </w:tc>
        <w:tc>
          <w:tcPr>
            <w:tcW w:w="1103" w:type="dxa"/>
            <w:tcBorders>
              <w:top w:val="nil"/>
              <w:left w:val="nil"/>
              <w:bottom w:val="single" w:sz="4" w:space="0" w:color="000000"/>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116</w:t>
            </w:r>
          </w:p>
        </w:tc>
        <w:tc>
          <w:tcPr>
            <w:tcW w:w="1189" w:type="dxa"/>
            <w:tcBorders>
              <w:top w:val="nil"/>
              <w:left w:val="nil"/>
              <w:bottom w:val="single" w:sz="4" w:space="0" w:color="000000"/>
              <w:right w:val="single" w:sz="4" w:space="0" w:color="auto"/>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116</w:t>
            </w:r>
          </w:p>
        </w:tc>
        <w:tc>
          <w:tcPr>
            <w:tcW w:w="1097" w:type="dxa"/>
            <w:tcBorders>
              <w:top w:val="nil"/>
              <w:left w:val="single" w:sz="4" w:space="0" w:color="auto"/>
              <w:bottom w:val="single" w:sz="4" w:space="0" w:color="000000"/>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116</w:t>
            </w:r>
          </w:p>
        </w:tc>
        <w:tc>
          <w:tcPr>
            <w:tcW w:w="1105" w:type="dxa"/>
            <w:tcBorders>
              <w:top w:val="nil"/>
              <w:left w:val="nil"/>
              <w:bottom w:val="single" w:sz="4" w:space="0" w:color="000000"/>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116</w:t>
            </w:r>
          </w:p>
        </w:tc>
        <w:tc>
          <w:tcPr>
            <w:tcW w:w="1278" w:type="dxa"/>
            <w:tcBorders>
              <w:top w:val="nil"/>
              <w:left w:val="nil"/>
              <w:bottom w:val="single" w:sz="4" w:space="0" w:color="000000"/>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116</w:t>
            </w:r>
          </w:p>
        </w:tc>
      </w:tr>
    </w:tbl>
    <w:p w:rsidR="00444438" w:rsidRDefault="00E25332">
      <w:pPr>
        <w:jc w:val="both"/>
        <w:rPr>
          <w:rFonts w:asciiTheme="majorHAnsi" w:hAnsiTheme="majorHAnsi"/>
          <w:sz w:val="20"/>
          <w:szCs w:val="20"/>
        </w:rPr>
      </w:pPr>
      <w:r>
        <w:rPr>
          <w:rFonts w:asciiTheme="majorHAnsi" w:hAnsiTheme="majorHAnsi"/>
          <w:color w:val="000000"/>
          <w:sz w:val="16"/>
          <w:szCs w:val="16"/>
        </w:rPr>
        <w:t xml:space="preserve">ROA denotes return on asset, VAIC denotes value added intellectual capital, LLP denotes loan loss provision, LOANTA denotes loan to total asset, CAP denotes equity to total asset, </w:t>
      </w:r>
      <w:proofErr w:type="spellStart"/>
      <w:r>
        <w:rPr>
          <w:rFonts w:asciiTheme="majorHAnsi" w:hAnsiTheme="majorHAnsi"/>
          <w:color w:val="000000"/>
          <w:sz w:val="16"/>
          <w:szCs w:val="16"/>
        </w:rPr>
        <w:t>LnTA</w:t>
      </w:r>
      <w:proofErr w:type="spellEnd"/>
      <w:r>
        <w:rPr>
          <w:rFonts w:asciiTheme="majorHAnsi" w:hAnsiTheme="majorHAnsi"/>
          <w:color w:val="000000"/>
          <w:sz w:val="16"/>
          <w:szCs w:val="16"/>
        </w:rPr>
        <w:t xml:space="preserve"> denotes natural logarithm of total asset, </w:t>
      </w:r>
      <w:proofErr w:type="spellStart"/>
      <w:r>
        <w:rPr>
          <w:rFonts w:asciiTheme="majorHAnsi" w:hAnsiTheme="majorHAnsi"/>
          <w:color w:val="000000"/>
          <w:sz w:val="16"/>
          <w:szCs w:val="16"/>
        </w:rPr>
        <w:t>GrGdp</w:t>
      </w:r>
      <w:proofErr w:type="spellEnd"/>
      <w:r>
        <w:rPr>
          <w:rFonts w:asciiTheme="majorHAnsi" w:hAnsiTheme="majorHAnsi"/>
          <w:color w:val="000000"/>
          <w:sz w:val="16"/>
          <w:szCs w:val="16"/>
        </w:rPr>
        <w:t xml:space="preserve"> denotes growth of gross domestic product, and INF denotes inflation rate. Asterisk (***), (**) and (*) indicate statistically significant at 1%, 5%, and 10% significance level. Figures in round (.) brackets are clustered</w:t>
      </w:r>
      <w:r>
        <w:rPr>
          <w:rFonts w:asciiTheme="majorHAnsi" w:hAnsiTheme="majorHAnsi"/>
          <w:i/>
          <w:iCs/>
          <w:color w:val="000000"/>
          <w:sz w:val="16"/>
          <w:szCs w:val="16"/>
        </w:rPr>
        <w:t xml:space="preserve"> </w:t>
      </w:r>
      <w:r>
        <w:rPr>
          <w:rFonts w:asciiTheme="majorHAnsi" w:hAnsiTheme="majorHAnsi"/>
          <w:iCs/>
          <w:color w:val="000000"/>
          <w:sz w:val="16"/>
          <w:szCs w:val="16"/>
        </w:rPr>
        <w:t xml:space="preserve">standard error while the value above it is coefficient value. </w:t>
      </w:r>
    </w:p>
    <w:p w:rsidR="00444438" w:rsidRDefault="00E25332">
      <w:pPr>
        <w:ind w:firstLine="720"/>
        <w:jc w:val="both"/>
        <w:rPr>
          <w:rFonts w:asciiTheme="majorHAnsi" w:hAnsiTheme="majorHAnsi"/>
          <w:sz w:val="20"/>
          <w:szCs w:val="20"/>
        </w:rPr>
      </w:pPr>
      <w:r>
        <w:rPr>
          <w:rFonts w:asciiTheme="majorHAnsi" w:hAnsiTheme="majorHAnsi"/>
          <w:sz w:val="20"/>
          <w:szCs w:val="20"/>
        </w:rPr>
        <w:t xml:space="preserve">Table 3 shows the impact of VAIC on ROA in Indonesia banking industry. VAIC has positive effect on return on asset. </w:t>
      </w:r>
      <w:proofErr w:type="gramStart"/>
      <w:r>
        <w:rPr>
          <w:rFonts w:asciiTheme="majorHAnsi" w:hAnsiTheme="majorHAnsi"/>
          <w:sz w:val="20"/>
          <w:szCs w:val="20"/>
        </w:rPr>
        <w:t>the</w:t>
      </w:r>
      <w:proofErr w:type="gramEnd"/>
      <w:r>
        <w:rPr>
          <w:rFonts w:asciiTheme="majorHAnsi" w:hAnsiTheme="majorHAnsi"/>
          <w:sz w:val="20"/>
          <w:szCs w:val="20"/>
        </w:rPr>
        <w:t xml:space="preserve"> results show that the effect of VAIC remain positive significant (p-value &lt; 0.01), though macroeconomics and bank specific variables have included. When OLS method is applied, the level of significance of VAIC is increased. </w:t>
      </w:r>
    </w:p>
    <w:p w:rsidR="00444438" w:rsidRDefault="00E25332">
      <w:pPr>
        <w:ind w:firstLine="720"/>
        <w:jc w:val="both"/>
        <w:rPr>
          <w:rFonts w:asciiTheme="majorHAnsi" w:hAnsiTheme="majorHAnsi"/>
          <w:sz w:val="20"/>
          <w:szCs w:val="20"/>
        </w:rPr>
      </w:pPr>
      <w:r>
        <w:rPr>
          <w:rFonts w:asciiTheme="majorHAnsi" w:hAnsiTheme="majorHAnsi"/>
          <w:sz w:val="20"/>
          <w:szCs w:val="20"/>
        </w:rPr>
        <w:t xml:space="preserve">Besides, we also analyze the effect of VAIC on ROA based on bank classification, conventional and </w:t>
      </w:r>
      <w:proofErr w:type="spellStart"/>
      <w:proofErr w:type="gramStart"/>
      <w:r>
        <w:rPr>
          <w:rFonts w:asciiTheme="majorHAnsi" w:hAnsiTheme="majorHAnsi"/>
          <w:sz w:val="20"/>
          <w:szCs w:val="20"/>
        </w:rPr>
        <w:t>islamic</w:t>
      </w:r>
      <w:proofErr w:type="spellEnd"/>
      <w:proofErr w:type="gramEnd"/>
      <w:r>
        <w:rPr>
          <w:rFonts w:asciiTheme="majorHAnsi" w:hAnsiTheme="majorHAnsi"/>
          <w:sz w:val="20"/>
          <w:szCs w:val="20"/>
        </w:rPr>
        <w:t xml:space="preserve"> banks. Thus, we split our sample based on bank type. Fixed effect </w:t>
      </w:r>
      <w:proofErr w:type="gramStart"/>
      <w:r>
        <w:rPr>
          <w:rFonts w:asciiTheme="majorHAnsi" w:hAnsiTheme="majorHAnsi"/>
          <w:sz w:val="20"/>
          <w:szCs w:val="20"/>
        </w:rPr>
        <w:t>is chosen</w:t>
      </w:r>
      <w:proofErr w:type="gramEnd"/>
      <w:r>
        <w:rPr>
          <w:rFonts w:asciiTheme="majorHAnsi" w:hAnsiTheme="majorHAnsi"/>
          <w:sz w:val="20"/>
          <w:szCs w:val="20"/>
        </w:rPr>
        <w:t xml:space="preserve"> since it can reduce time invariant error.  The results show that the effect of VAIC remain positive significant (p-value &lt; 0.01), though macroeconomics and bank specific variables have included. For control variables, INF and </w:t>
      </w:r>
      <w:proofErr w:type="spellStart"/>
      <w:r>
        <w:rPr>
          <w:rFonts w:asciiTheme="majorHAnsi" w:hAnsiTheme="majorHAnsi"/>
          <w:sz w:val="20"/>
          <w:szCs w:val="20"/>
        </w:rPr>
        <w:t>GrGDP</w:t>
      </w:r>
      <w:proofErr w:type="spellEnd"/>
      <w:r>
        <w:rPr>
          <w:rFonts w:asciiTheme="majorHAnsi" w:hAnsiTheme="majorHAnsi"/>
          <w:sz w:val="20"/>
          <w:szCs w:val="20"/>
        </w:rPr>
        <w:t xml:space="preserve"> have strong positive effect on ROA. Contrast to conventional banks, the effect of VAIC on ROA in </w:t>
      </w:r>
      <w:proofErr w:type="spellStart"/>
      <w:proofErr w:type="gramStart"/>
      <w:r>
        <w:rPr>
          <w:rFonts w:asciiTheme="majorHAnsi" w:hAnsiTheme="majorHAnsi"/>
          <w:sz w:val="20"/>
          <w:szCs w:val="20"/>
        </w:rPr>
        <w:t>islamic</w:t>
      </w:r>
      <w:proofErr w:type="spellEnd"/>
      <w:proofErr w:type="gramEnd"/>
      <w:r>
        <w:rPr>
          <w:rFonts w:asciiTheme="majorHAnsi" w:hAnsiTheme="majorHAnsi"/>
          <w:sz w:val="20"/>
          <w:szCs w:val="20"/>
        </w:rPr>
        <w:t xml:space="preserve"> banks is not significant in every test. In addition, macroeconomic variables has no significant effect on ROA in </w:t>
      </w:r>
      <w:proofErr w:type="spellStart"/>
      <w:proofErr w:type="gramStart"/>
      <w:r>
        <w:rPr>
          <w:rFonts w:asciiTheme="majorHAnsi" w:hAnsiTheme="majorHAnsi"/>
          <w:sz w:val="20"/>
          <w:szCs w:val="20"/>
        </w:rPr>
        <w:t>islamic</w:t>
      </w:r>
      <w:proofErr w:type="spellEnd"/>
      <w:proofErr w:type="gramEnd"/>
      <w:r>
        <w:rPr>
          <w:rFonts w:asciiTheme="majorHAnsi" w:hAnsiTheme="majorHAnsi"/>
          <w:sz w:val="20"/>
          <w:szCs w:val="20"/>
        </w:rPr>
        <w:t xml:space="preserve">, only bank specific effect that have significant impact on ROA. LLP and LOANTA have negative effect on ROA, while CAP and </w:t>
      </w:r>
      <w:proofErr w:type="spellStart"/>
      <w:r>
        <w:rPr>
          <w:rFonts w:asciiTheme="majorHAnsi" w:hAnsiTheme="majorHAnsi"/>
          <w:sz w:val="20"/>
          <w:szCs w:val="20"/>
        </w:rPr>
        <w:t>LnTA</w:t>
      </w:r>
      <w:proofErr w:type="spellEnd"/>
      <w:r>
        <w:rPr>
          <w:rFonts w:asciiTheme="majorHAnsi" w:hAnsiTheme="majorHAnsi"/>
          <w:sz w:val="20"/>
          <w:szCs w:val="20"/>
        </w:rPr>
        <w:t xml:space="preserve"> have positive ones. </w:t>
      </w:r>
    </w:p>
    <w:p w:rsidR="00444438" w:rsidRDefault="00444438">
      <w:pPr>
        <w:ind w:firstLine="720"/>
        <w:jc w:val="center"/>
        <w:rPr>
          <w:rFonts w:asciiTheme="majorHAnsi" w:hAnsiTheme="majorHAnsi"/>
          <w:sz w:val="20"/>
          <w:szCs w:val="20"/>
        </w:rPr>
      </w:pPr>
    </w:p>
    <w:p w:rsidR="00444438" w:rsidRDefault="00E25332">
      <w:pPr>
        <w:ind w:firstLine="720"/>
        <w:jc w:val="center"/>
        <w:rPr>
          <w:rFonts w:asciiTheme="majorHAnsi" w:hAnsiTheme="majorHAnsi"/>
          <w:sz w:val="20"/>
          <w:szCs w:val="20"/>
        </w:rPr>
      </w:pPr>
      <w:r>
        <w:rPr>
          <w:rFonts w:asciiTheme="majorHAnsi" w:hAnsiTheme="majorHAnsi"/>
          <w:sz w:val="20"/>
          <w:szCs w:val="20"/>
        </w:rPr>
        <w:lastRenderedPageBreak/>
        <w:t xml:space="preserve">Table 4. Split Sample Regression Result: The Effect of VAIC on Bank Profitability </w:t>
      </w:r>
    </w:p>
    <w:tbl>
      <w:tblPr>
        <w:tblW w:w="8761" w:type="dxa"/>
        <w:jc w:val="center"/>
        <w:tblLayout w:type="fixed"/>
        <w:tblLook w:val="04A0" w:firstRow="1" w:lastRow="0" w:firstColumn="1" w:lastColumn="0" w:noHBand="0" w:noVBand="1"/>
      </w:tblPr>
      <w:tblGrid>
        <w:gridCol w:w="1800"/>
        <w:gridCol w:w="1189"/>
        <w:gridCol w:w="1103"/>
        <w:gridCol w:w="1189"/>
        <w:gridCol w:w="924"/>
        <w:gridCol w:w="1278"/>
        <w:gridCol w:w="1278"/>
      </w:tblGrid>
      <w:tr w:rsidR="00444438">
        <w:trPr>
          <w:trHeight w:val="255"/>
          <w:jc w:val="center"/>
        </w:trPr>
        <w:tc>
          <w:tcPr>
            <w:tcW w:w="1800" w:type="dxa"/>
            <w:tcBorders>
              <w:top w:val="single" w:sz="4" w:space="0" w:color="000000"/>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 </w:t>
            </w:r>
          </w:p>
        </w:tc>
        <w:tc>
          <w:tcPr>
            <w:tcW w:w="3481" w:type="dxa"/>
            <w:gridSpan w:val="3"/>
            <w:tcBorders>
              <w:top w:val="single" w:sz="4" w:space="0" w:color="auto"/>
              <w:left w:val="nil"/>
              <w:right w:val="single" w:sz="4" w:space="0" w:color="auto"/>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Conventional Banks</w:t>
            </w:r>
          </w:p>
        </w:tc>
        <w:tc>
          <w:tcPr>
            <w:tcW w:w="3480" w:type="dxa"/>
            <w:gridSpan w:val="3"/>
            <w:tcBorders>
              <w:top w:val="single" w:sz="4" w:space="0" w:color="auto"/>
              <w:left w:val="single" w:sz="4" w:space="0" w:color="auto"/>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Islamic Banks</w:t>
            </w:r>
          </w:p>
        </w:tc>
      </w:tr>
      <w:tr w:rsidR="00444438">
        <w:trPr>
          <w:trHeight w:val="255"/>
          <w:jc w:val="center"/>
        </w:trPr>
        <w:tc>
          <w:tcPr>
            <w:tcW w:w="1800" w:type="dxa"/>
            <w:tcBorders>
              <w:top w:val="nil"/>
              <w:left w:val="nil"/>
              <w:bottom w:val="nil"/>
              <w:right w:val="nil"/>
            </w:tcBorders>
            <w:shd w:val="clear" w:color="auto" w:fill="auto"/>
            <w:vAlign w:val="bottom"/>
          </w:tcPr>
          <w:p w:rsidR="00444438" w:rsidRDefault="00444438">
            <w:pPr>
              <w:spacing w:after="0" w:line="240" w:lineRule="auto"/>
              <w:rPr>
                <w:rFonts w:asciiTheme="majorHAnsi" w:eastAsia="Times New Roman" w:hAnsiTheme="majorHAnsi"/>
                <w:sz w:val="20"/>
                <w:szCs w:val="20"/>
                <w:lang w:eastAsia="id-ID"/>
              </w:rPr>
            </w:pPr>
          </w:p>
        </w:tc>
        <w:tc>
          <w:tcPr>
            <w:tcW w:w="3481" w:type="dxa"/>
            <w:gridSpan w:val="3"/>
            <w:tcBorders>
              <w:left w:val="nil"/>
              <w:bottom w:val="single" w:sz="4" w:space="0" w:color="auto"/>
              <w:right w:val="single" w:sz="4" w:space="0" w:color="auto"/>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Fixed Effect</w:t>
            </w:r>
          </w:p>
        </w:tc>
        <w:tc>
          <w:tcPr>
            <w:tcW w:w="3480" w:type="dxa"/>
            <w:gridSpan w:val="3"/>
            <w:tcBorders>
              <w:left w:val="single" w:sz="4" w:space="0" w:color="auto"/>
              <w:bottom w:val="single" w:sz="4" w:space="0" w:color="auto"/>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Fixed Effect</w:t>
            </w:r>
          </w:p>
        </w:tc>
      </w:tr>
      <w:tr w:rsidR="00444438">
        <w:trPr>
          <w:trHeight w:val="255"/>
          <w:jc w:val="center"/>
        </w:trPr>
        <w:tc>
          <w:tcPr>
            <w:tcW w:w="1800" w:type="dxa"/>
            <w:tcBorders>
              <w:top w:val="nil"/>
              <w:left w:val="nil"/>
              <w:right w:val="nil"/>
            </w:tcBorders>
            <w:shd w:val="clear" w:color="auto" w:fill="auto"/>
            <w:vAlign w:val="bottom"/>
          </w:tcPr>
          <w:p w:rsidR="00444438" w:rsidRDefault="00444438">
            <w:pPr>
              <w:spacing w:after="0" w:line="240" w:lineRule="auto"/>
              <w:rPr>
                <w:rFonts w:asciiTheme="majorHAnsi" w:eastAsia="Times New Roman" w:hAnsiTheme="majorHAnsi"/>
                <w:sz w:val="20"/>
                <w:szCs w:val="20"/>
                <w:lang w:eastAsia="id-ID"/>
              </w:rPr>
            </w:pPr>
          </w:p>
        </w:tc>
        <w:tc>
          <w:tcPr>
            <w:tcW w:w="1189" w:type="dxa"/>
            <w:tcBorders>
              <w:top w:val="single" w:sz="4" w:space="0" w:color="auto"/>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(1)</w:t>
            </w:r>
          </w:p>
        </w:tc>
        <w:tc>
          <w:tcPr>
            <w:tcW w:w="1103" w:type="dxa"/>
            <w:tcBorders>
              <w:top w:val="single" w:sz="4" w:space="0" w:color="auto"/>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(2)</w:t>
            </w:r>
          </w:p>
        </w:tc>
        <w:tc>
          <w:tcPr>
            <w:tcW w:w="1189" w:type="dxa"/>
            <w:tcBorders>
              <w:top w:val="single" w:sz="4" w:space="0" w:color="auto"/>
              <w:left w:val="nil"/>
              <w:bottom w:val="nil"/>
              <w:right w:val="single" w:sz="4" w:space="0" w:color="auto"/>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(3)</w:t>
            </w:r>
          </w:p>
        </w:tc>
        <w:tc>
          <w:tcPr>
            <w:tcW w:w="924" w:type="dxa"/>
            <w:tcBorders>
              <w:top w:val="single" w:sz="4" w:space="0" w:color="auto"/>
              <w:left w:val="single" w:sz="4" w:space="0" w:color="auto"/>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(1)</w:t>
            </w:r>
          </w:p>
        </w:tc>
        <w:tc>
          <w:tcPr>
            <w:tcW w:w="1278" w:type="dxa"/>
            <w:tcBorders>
              <w:top w:val="single" w:sz="4" w:space="0" w:color="auto"/>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(2)</w:t>
            </w:r>
          </w:p>
        </w:tc>
        <w:tc>
          <w:tcPr>
            <w:tcW w:w="1278" w:type="dxa"/>
            <w:tcBorders>
              <w:top w:val="single" w:sz="4" w:space="0" w:color="auto"/>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(3)</w:t>
            </w:r>
          </w:p>
        </w:tc>
      </w:tr>
      <w:tr w:rsidR="00444438">
        <w:trPr>
          <w:trHeight w:val="255"/>
          <w:jc w:val="center"/>
        </w:trPr>
        <w:tc>
          <w:tcPr>
            <w:tcW w:w="1800" w:type="dxa"/>
            <w:tcBorders>
              <w:top w:val="nil"/>
              <w:left w:val="nil"/>
              <w:bottom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VARIABLES</w:t>
            </w:r>
          </w:p>
        </w:tc>
        <w:tc>
          <w:tcPr>
            <w:tcW w:w="1189"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ROA</w:t>
            </w:r>
          </w:p>
        </w:tc>
        <w:tc>
          <w:tcPr>
            <w:tcW w:w="1103"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ROA</w:t>
            </w:r>
          </w:p>
        </w:tc>
        <w:tc>
          <w:tcPr>
            <w:tcW w:w="1189" w:type="dxa"/>
            <w:tcBorders>
              <w:top w:val="nil"/>
              <w:left w:val="nil"/>
              <w:bottom w:val="nil"/>
              <w:right w:val="single" w:sz="4" w:space="0" w:color="auto"/>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ROA</w:t>
            </w:r>
          </w:p>
        </w:tc>
        <w:tc>
          <w:tcPr>
            <w:tcW w:w="924" w:type="dxa"/>
            <w:tcBorders>
              <w:top w:val="nil"/>
              <w:left w:val="single" w:sz="4" w:space="0" w:color="auto"/>
              <w:bottom w:val="single" w:sz="4" w:space="0" w:color="000000"/>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ROA</w:t>
            </w:r>
          </w:p>
        </w:tc>
        <w:tc>
          <w:tcPr>
            <w:tcW w:w="1278"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ROA</w:t>
            </w:r>
          </w:p>
        </w:tc>
        <w:tc>
          <w:tcPr>
            <w:tcW w:w="1278"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 xml:space="preserve">ROA </w:t>
            </w:r>
          </w:p>
        </w:tc>
      </w:tr>
      <w:tr w:rsidR="00444438">
        <w:trPr>
          <w:trHeight w:val="255"/>
          <w:jc w:val="center"/>
        </w:trPr>
        <w:tc>
          <w:tcPr>
            <w:tcW w:w="1800" w:type="dxa"/>
            <w:tcBorders>
              <w:top w:val="single" w:sz="4" w:space="0" w:color="000000"/>
              <w:left w:val="nil"/>
              <w:bottom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 </w:t>
            </w:r>
          </w:p>
        </w:tc>
        <w:tc>
          <w:tcPr>
            <w:tcW w:w="1189" w:type="dxa"/>
            <w:tcBorders>
              <w:top w:val="single" w:sz="4" w:space="0" w:color="000000"/>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 </w:t>
            </w:r>
          </w:p>
        </w:tc>
        <w:tc>
          <w:tcPr>
            <w:tcW w:w="1103" w:type="dxa"/>
            <w:tcBorders>
              <w:top w:val="single" w:sz="4" w:space="0" w:color="000000"/>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 </w:t>
            </w:r>
          </w:p>
        </w:tc>
        <w:tc>
          <w:tcPr>
            <w:tcW w:w="1189" w:type="dxa"/>
            <w:tcBorders>
              <w:top w:val="single" w:sz="4" w:space="0" w:color="000000"/>
              <w:left w:val="nil"/>
              <w:bottom w:val="nil"/>
              <w:right w:val="single" w:sz="4" w:space="0" w:color="auto"/>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 </w:t>
            </w:r>
          </w:p>
        </w:tc>
        <w:tc>
          <w:tcPr>
            <w:tcW w:w="924" w:type="dxa"/>
            <w:tcBorders>
              <w:top w:val="single" w:sz="4" w:space="0" w:color="000000"/>
              <w:left w:val="single" w:sz="4" w:space="0" w:color="auto"/>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 </w:t>
            </w:r>
          </w:p>
        </w:tc>
        <w:tc>
          <w:tcPr>
            <w:tcW w:w="1278" w:type="dxa"/>
            <w:tcBorders>
              <w:top w:val="single" w:sz="4" w:space="0" w:color="000000"/>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 </w:t>
            </w:r>
          </w:p>
        </w:tc>
        <w:tc>
          <w:tcPr>
            <w:tcW w:w="1278" w:type="dxa"/>
            <w:tcBorders>
              <w:top w:val="single" w:sz="4" w:space="0" w:color="000000"/>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 </w:t>
            </w:r>
          </w:p>
        </w:tc>
      </w:tr>
      <w:tr w:rsidR="00444438">
        <w:trPr>
          <w:trHeight w:val="255"/>
          <w:jc w:val="center"/>
        </w:trPr>
        <w:tc>
          <w:tcPr>
            <w:tcW w:w="1800" w:type="dxa"/>
            <w:tcBorders>
              <w:top w:val="nil"/>
              <w:left w:val="nil"/>
              <w:bottom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VAIC</w:t>
            </w:r>
          </w:p>
        </w:tc>
        <w:tc>
          <w:tcPr>
            <w:tcW w:w="1189"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0.003***</w:t>
            </w:r>
          </w:p>
        </w:tc>
        <w:tc>
          <w:tcPr>
            <w:tcW w:w="1103"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0.003***</w:t>
            </w:r>
          </w:p>
        </w:tc>
        <w:tc>
          <w:tcPr>
            <w:tcW w:w="1189" w:type="dxa"/>
            <w:tcBorders>
              <w:top w:val="nil"/>
              <w:left w:val="nil"/>
              <w:bottom w:val="nil"/>
              <w:right w:val="single" w:sz="4" w:space="0" w:color="auto"/>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0.003***</w:t>
            </w:r>
          </w:p>
        </w:tc>
        <w:tc>
          <w:tcPr>
            <w:tcW w:w="924" w:type="dxa"/>
            <w:tcBorders>
              <w:top w:val="nil"/>
              <w:left w:val="single" w:sz="4" w:space="0" w:color="auto"/>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0.003</w:t>
            </w:r>
          </w:p>
        </w:tc>
        <w:tc>
          <w:tcPr>
            <w:tcW w:w="1278"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0.000</w:t>
            </w:r>
          </w:p>
        </w:tc>
        <w:tc>
          <w:tcPr>
            <w:tcW w:w="1278"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r>
      <w:tr w:rsidR="00444438">
        <w:trPr>
          <w:trHeight w:val="255"/>
          <w:jc w:val="center"/>
        </w:trPr>
        <w:tc>
          <w:tcPr>
            <w:tcW w:w="1800" w:type="dxa"/>
            <w:tcBorders>
              <w:top w:val="nil"/>
              <w:left w:val="nil"/>
              <w:bottom w:val="nil"/>
            </w:tcBorders>
            <w:shd w:val="clear" w:color="auto" w:fill="auto"/>
            <w:vAlign w:val="bottom"/>
          </w:tcPr>
          <w:p w:rsidR="00444438" w:rsidRDefault="00444438">
            <w:pPr>
              <w:spacing w:after="0" w:line="240" w:lineRule="auto"/>
              <w:jc w:val="center"/>
              <w:rPr>
                <w:rFonts w:asciiTheme="majorHAnsi" w:eastAsia="Times New Roman" w:hAnsiTheme="majorHAnsi"/>
                <w:sz w:val="20"/>
                <w:szCs w:val="20"/>
                <w:lang w:eastAsia="id-ID"/>
              </w:rPr>
            </w:pPr>
          </w:p>
        </w:tc>
        <w:tc>
          <w:tcPr>
            <w:tcW w:w="1189"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c>
          <w:tcPr>
            <w:tcW w:w="1103"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c>
          <w:tcPr>
            <w:tcW w:w="1189" w:type="dxa"/>
            <w:tcBorders>
              <w:top w:val="nil"/>
              <w:left w:val="nil"/>
              <w:bottom w:val="nil"/>
              <w:right w:val="single" w:sz="4" w:space="0" w:color="auto"/>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c>
          <w:tcPr>
            <w:tcW w:w="924" w:type="dxa"/>
            <w:tcBorders>
              <w:top w:val="nil"/>
              <w:left w:val="single" w:sz="4" w:space="0" w:color="auto"/>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(0.004)</w:t>
            </w:r>
          </w:p>
        </w:tc>
        <w:tc>
          <w:tcPr>
            <w:tcW w:w="1278"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c>
          <w:tcPr>
            <w:tcW w:w="1278"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r>
      <w:tr w:rsidR="00444438">
        <w:trPr>
          <w:trHeight w:val="255"/>
          <w:jc w:val="center"/>
        </w:trPr>
        <w:tc>
          <w:tcPr>
            <w:tcW w:w="1800" w:type="dxa"/>
            <w:tcBorders>
              <w:top w:val="nil"/>
              <w:left w:val="nil"/>
              <w:bottom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LLP</w:t>
            </w:r>
          </w:p>
        </w:tc>
        <w:tc>
          <w:tcPr>
            <w:tcW w:w="1189" w:type="dxa"/>
            <w:tcBorders>
              <w:top w:val="nil"/>
              <w:left w:val="nil"/>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103"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-0.026</w:t>
            </w:r>
          </w:p>
        </w:tc>
        <w:tc>
          <w:tcPr>
            <w:tcW w:w="1189" w:type="dxa"/>
            <w:tcBorders>
              <w:top w:val="nil"/>
              <w:left w:val="nil"/>
              <w:bottom w:val="nil"/>
              <w:right w:val="single" w:sz="4" w:space="0" w:color="auto"/>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-0.028</w:t>
            </w:r>
          </w:p>
        </w:tc>
        <w:tc>
          <w:tcPr>
            <w:tcW w:w="924" w:type="dxa"/>
            <w:tcBorders>
              <w:top w:val="nil"/>
              <w:left w:val="single" w:sz="4" w:space="0" w:color="auto"/>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278"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-0.433***</w:t>
            </w:r>
          </w:p>
        </w:tc>
        <w:tc>
          <w:tcPr>
            <w:tcW w:w="1278"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-0.392***</w:t>
            </w:r>
          </w:p>
        </w:tc>
      </w:tr>
      <w:tr w:rsidR="00444438">
        <w:trPr>
          <w:trHeight w:val="255"/>
          <w:jc w:val="center"/>
        </w:trPr>
        <w:tc>
          <w:tcPr>
            <w:tcW w:w="1800" w:type="dxa"/>
            <w:tcBorders>
              <w:top w:val="nil"/>
              <w:left w:val="nil"/>
              <w:bottom w:val="nil"/>
            </w:tcBorders>
            <w:shd w:val="clear" w:color="auto" w:fill="auto"/>
            <w:vAlign w:val="bottom"/>
          </w:tcPr>
          <w:p w:rsidR="00444438" w:rsidRDefault="00444438">
            <w:pPr>
              <w:spacing w:after="0" w:line="240" w:lineRule="auto"/>
              <w:jc w:val="center"/>
              <w:rPr>
                <w:rFonts w:asciiTheme="majorHAnsi" w:eastAsia="Times New Roman" w:hAnsiTheme="majorHAnsi"/>
                <w:sz w:val="20"/>
                <w:szCs w:val="20"/>
                <w:lang w:eastAsia="id-ID"/>
              </w:rPr>
            </w:pPr>
          </w:p>
        </w:tc>
        <w:tc>
          <w:tcPr>
            <w:tcW w:w="1189" w:type="dxa"/>
            <w:tcBorders>
              <w:top w:val="nil"/>
              <w:left w:val="nil"/>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103"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(0.071)</w:t>
            </w:r>
          </w:p>
        </w:tc>
        <w:tc>
          <w:tcPr>
            <w:tcW w:w="1189" w:type="dxa"/>
            <w:tcBorders>
              <w:top w:val="nil"/>
              <w:left w:val="nil"/>
              <w:bottom w:val="nil"/>
              <w:right w:val="single" w:sz="4" w:space="0" w:color="auto"/>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(0.067)</w:t>
            </w:r>
          </w:p>
        </w:tc>
        <w:tc>
          <w:tcPr>
            <w:tcW w:w="924" w:type="dxa"/>
            <w:tcBorders>
              <w:top w:val="nil"/>
              <w:left w:val="single" w:sz="4" w:space="0" w:color="auto"/>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278"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(0.051)</w:t>
            </w:r>
          </w:p>
        </w:tc>
        <w:tc>
          <w:tcPr>
            <w:tcW w:w="1278"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(0.050)</w:t>
            </w:r>
          </w:p>
        </w:tc>
      </w:tr>
      <w:tr w:rsidR="00444438">
        <w:trPr>
          <w:trHeight w:val="255"/>
          <w:jc w:val="center"/>
        </w:trPr>
        <w:tc>
          <w:tcPr>
            <w:tcW w:w="1800" w:type="dxa"/>
            <w:tcBorders>
              <w:top w:val="nil"/>
              <w:left w:val="nil"/>
              <w:bottom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LOANTA</w:t>
            </w:r>
          </w:p>
        </w:tc>
        <w:tc>
          <w:tcPr>
            <w:tcW w:w="1189" w:type="dxa"/>
            <w:tcBorders>
              <w:top w:val="nil"/>
              <w:left w:val="nil"/>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103"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0.009</w:t>
            </w:r>
          </w:p>
        </w:tc>
        <w:tc>
          <w:tcPr>
            <w:tcW w:w="1189" w:type="dxa"/>
            <w:tcBorders>
              <w:top w:val="nil"/>
              <w:left w:val="nil"/>
              <w:bottom w:val="nil"/>
              <w:right w:val="single" w:sz="4" w:space="0" w:color="auto"/>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0.013</w:t>
            </w:r>
          </w:p>
        </w:tc>
        <w:tc>
          <w:tcPr>
            <w:tcW w:w="924" w:type="dxa"/>
            <w:tcBorders>
              <w:top w:val="nil"/>
              <w:left w:val="single" w:sz="4" w:space="0" w:color="auto"/>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278"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-0.047**</w:t>
            </w:r>
          </w:p>
        </w:tc>
        <w:tc>
          <w:tcPr>
            <w:tcW w:w="1278"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-0.039*</w:t>
            </w:r>
          </w:p>
        </w:tc>
      </w:tr>
      <w:tr w:rsidR="00444438">
        <w:trPr>
          <w:trHeight w:val="255"/>
          <w:jc w:val="center"/>
        </w:trPr>
        <w:tc>
          <w:tcPr>
            <w:tcW w:w="1800" w:type="dxa"/>
            <w:tcBorders>
              <w:top w:val="nil"/>
              <w:left w:val="nil"/>
              <w:bottom w:val="nil"/>
            </w:tcBorders>
            <w:shd w:val="clear" w:color="auto" w:fill="auto"/>
            <w:vAlign w:val="bottom"/>
          </w:tcPr>
          <w:p w:rsidR="00444438" w:rsidRDefault="00444438">
            <w:pPr>
              <w:spacing w:after="0" w:line="240" w:lineRule="auto"/>
              <w:jc w:val="center"/>
              <w:rPr>
                <w:rFonts w:asciiTheme="majorHAnsi" w:eastAsia="Times New Roman" w:hAnsiTheme="majorHAnsi"/>
                <w:sz w:val="20"/>
                <w:szCs w:val="20"/>
                <w:lang w:eastAsia="id-ID"/>
              </w:rPr>
            </w:pPr>
          </w:p>
        </w:tc>
        <w:tc>
          <w:tcPr>
            <w:tcW w:w="1189" w:type="dxa"/>
            <w:tcBorders>
              <w:top w:val="nil"/>
              <w:left w:val="nil"/>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103"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(0.008)</w:t>
            </w:r>
          </w:p>
        </w:tc>
        <w:tc>
          <w:tcPr>
            <w:tcW w:w="1189" w:type="dxa"/>
            <w:tcBorders>
              <w:top w:val="nil"/>
              <w:left w:val="nil"/>
              <w:bottom w:val="nil"/>
              <w:right w:val="single" w:sz="4" w:space="0" w:color="auto"/>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(0.009)</w:t>
            </w:r>
          </w:p>
        </w:tc>
        <w:tc>
          <w:tcPr>
            <w:tcW w:w="924" w:type="dxa"/>
            <w:tcBorders>
              <w:top w:val="nil"/>
              <w:left w:val="single" w:sz="4" w:space="0" w:color="auto"/>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278"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(0.019)</w:t>
            </w:r>
          </w:p>
        </w:tc>
        <w:tc>
          <w:tcPr>
            <w:tcW w:w="1278"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(0.019)</w:t>
            </w:r>
          </w:p>
        </w:tc>
      </w:tr>
      <w:tr w:rsidR="00444438">
        <w:trPr>
          <w:trHeight w:val="255"/>
          <w:jc w:val="center"/>
        </w:trPr>
        <w:tc>
          <w:tcPr>
            <w:tcW w:w="1800" w:type="dxa"/>
            <w:tcBorders>
              <w:top w:val="nil"/>
              <w:left w:val="nil"/>
              <w:bottom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CAP</w:t>
            </w:r>
          </w:p>
        </w:tc>
        <w:tc>
          <w:tcPr>
            <w:tcW w:w="1189" w:type="dxa"/>
            <w:tcBorders>
              <w:top w:val="nil"/>
              <w:left w:val="nil"/>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103"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-0.011</w:t>
            </w:r>
          </w:p>
        </w:tc>
        <w:tc>
          <w:tcPr>
            <w:tcW w:w="1189" w:type="dxa"/>
            <w:tcBorders>
              <w:top w:val="nil"/>
              <w:left w:val="nil"/>
              <w:bottom w:val="nil"/>
              <w:right w:val="single" w:sz="4" w:space="0" w:color="auto"/>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0.006</w:t>
            </w:r>
          </w:p>
        </w:tc>
        <w:tc>
          <w:tcPr>
            <w:tcW w:w="924" w:type="dxa"/>
            <w:tcBorders>
              <w:top w:val="nil"/>
              <w:left w:val="single" w:sz="4" w:space="0" w:color="auto"/>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278"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0.004</w:t>
            </w:r>
          </w:p>
        </w:tc>
        <w:tc>
          <w:tcPr>
            <w:tcW w:w="1278"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0.032</w:t>
            </w:r>
          </w:p>
        </w:tc>
      </w:tr>
      <w:tr w:rsidR="00444438">
        <w:trPr>
          <w:trHeight w:val="255"/>
          <w:jc w:val="center"/>
        </w:trPr>
        <w:tc>
          <w:tcPr>
            <w:tcW w:w="1800" w:type="dxa"/>
            <w:tcBorders>
              <w:top w:val="nil"/>
              <w:left w:val="nil"/>
              <w:bottom w:val="nil"/>
            </w:tcBorders>
            <w:shd w:val="clear" w:color="auto" w:fill="auto"/>
            <w:vAlign w:val="bottom"/>
          </w:tcPr>
          <w:p w:rsidR="00444438" w:rsidRDefault="00444438">
            <w:pPr>
              <w:spacing w:after="0" w:line="240" w:lineRule="auto"/>
              <w:jc w:val="center"/>
              <w:rPr>
                <w:rFonts w:asciiTheme="majorHAnsi" w:eastAsia="Times New Roman" w:hAnsiTheme="majorHAnsi"/>
                <w:sz w:val="20"/>
                <w:szCs w:val="20"/>
                <w:lang w:eastAsia="id-ID"/>
              </w:rPr>
            </w:pPr>
          </w:p>
        </w:tc>
        <w:tc>
          <w:tcPr>
            <w:tcW w:w="1189" w:type="dxa"/>
            <w:tcBorders>
              <w:top w:val="nil"/>
              <w:left w:val="nil"/>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103"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(0.008)</w:t>
            </w:r>
          </w:p>
        </w:tc>
        <w:tc>
          <w:tcPr>
            <w:tcW w:w="1189" w:type="dxa"/>
            <w:tcBorders>
              <w:top w:val="nil"/>
              <w:left w:val="nil"/>
              <w:bottom w:val="nil"/>
              <w:right w:val="single" w:sz="4" w:space="0" w:color="auto"/>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(0.009)</w:t>
            </w:r>
          </w:p>
        </w:tc>
        <w:tc>
          <w:tcPr>
            <w:tcW w:w="924" w:type="dxa"/>
            <w:tcBorders>
              <w:top w:val="nil"/>
              <w:left w:val="single" w:sz="4" w:space="0" w:color="auto"/>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278"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(0.023)</w:t>
            </w:r>
          </w:p>
        </w:tc>
        <w:tc>
          <w:tcPr>
            <w:tcW w:w="1278"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(0.034)</w:t>
            </w:r>
          </w:p>
        </w:tc>
      </w:tr>
      <w:tr w:rsidR="00444438">
        <w:trPr>
          <w:trHeight w:val="255"/>
          <w:jc w:val="center"/>
        </w:trPr>
        <w:tc>
          <w:tcPr>
            <w:tcW w:w="1800" w:type="dxa"/>
            <w:tcBorders>
              <w:top w:val="nil"/>
              <w:left w:val="nil"/>
              <w:bottom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proofErr w:type="spellStart"/>
            <w:r>
              <w:rPr>
                <w:rFonts w:asciiTheme="majorHAnsi" w:eastAsia="Times New Roman" w:hAnsiTheme="majorHAnsi"/>
                <w:sz w:val="20"/>
                <w:szCs w:val="20"/>
                <w:lang w:eastAsia="id-ID"/>
              </w:rPr>
              <w:t>LnTA</w:t>
            </w:r>
            <w:proofErr w:type="spellEnd"/>
          </w:p>
        </w:tc>
        <w:tc>
          <w:tcPr>
            <w:tcW w:w="1189" w:type="dxa"/>
            <w:tcBorders>
              <w:top w:val="nil"/>
              <w:left w:val="nil"/>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103"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-0.004***</w:t>
            </w:r>
          </w:p>
        </w:tc>
        <w:tc>
          <w:tcPr>
            <w:tcW w:w="1189" w:type="dxa"/>
            <w:tcBorders>
              <w:top w:val="nil"/>
              <w:left w:val="nil"/>
              <w:bottom w:val="nil"/>
              <w:right w:val="single" w:sz="4" w:space="0" w:color="auto"/>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c>
          <w:tcPr>
            <w:tcW w:w="924" w:type="dxa"/>
            <w:tcBorders>
              <w:top w:val="nil"/>
              <w:left w:val="single" w:sz="4" w:space="0" w:color="auto"/>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278"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0.006</w:t>
            </w:r>
          </w:p>
        </w:tc>
        <w:tc>
          <w:tcPr>
            <w:tcW w:w="1278"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0.017***</w:t>
            </w:r>
          </w:p>
        </w:tc>
      </w:tr>
      <w:tr w:rsidR="00444438">
        <w:trPr>
          <w:trHeight w:val="255"/>
          <w:jc w:val="center"/>
        </w:trPr>
        <w:tc>
          <w:tcPr>
            <w:tcW w:w="1800" w:type="dxa"/>
            <w:tcBorders>
              <w:top w:val="nil"/>
              <w:left w:val="nil"/>
              <w:bottom w:val="nil"/>
            </w:tcBorders>
            <w:shd w:val="clear" w:color="auto" w:fill="auto"/>
            <w:vAlign w:val="bottom"/>
          </w:tcPr>
          <w:p w:rsidR="00444438" w:rsidRDefault="00444438">
            <w:pPr>
              <w:spacing w:after="0" w:line="240" w:lineRule="auto"/>
              <w:jc w:val="center"/>
              <w:rPr>
                <w:rFonts w:asciiTheme="majorHAnsi" w:eastAsia="Times New Roman" w:hAnsiTheme="majorHAnsi"/>
                <w:sz w:val="20"/>
                <w:szCs w:val="20"/>
                <w:lang w:eastAsia="id-ID"/>
              </w:rPr>
            </w:pPr>
          </w:p>
        </w:tc>
        <w:tc>
          <w:tcPr>
            <w:tcW w:w="1189" w:type="dxa"/>
            <w:tcBorders>
              <w:top w:val="nil"/>
              <w:left w:val="nil"/>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103"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c>
          <w:tcPr>
            <w:tcW w:w="1189" w:type="dxa"/>
            <w:tcBorders>
              <w:top w:val="nil"/>
              <w:left w:val="nil"/>
              <w:bottom w:val="nil"/>
              <w:right w:val="single" w:sz="4" w:space="0" w:color="auto"/>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(0.002)</w:t>
            </w:r>
          </w:p>
        </w:tc>
        <w:tc>
          <w:tcPr>
            <w:tcW w:w="924" w:type="dxa"/>
            <w:tcBorders>
              <w:top w:val="nil"/>
              <w:left w:val="single" w:sz="4" w:space="0" w:color="auto"/>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278"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(0.004)</w:t>
            </w:r>
          </w:p>
        </w:tc>
        <w:tc>
          <w:tcPr>
            <w:tcW w:w="1278"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(0.004)</w:t>
            </w:r>
          </w:p>
        </w:tc>
      </w:tr>
      <w:tr w:rsidR="00444438">
        <w:trPr>
          <w:trHeight w:val="255"/>
          <w:jc w:val="center"/>
        </w:trPr>
        <w:tc>
          <w:tcPr>
            <w:tcW w:w="1800" w:type="dxa"/>
            <w:tcBorders>
              <w:top w:val="nil"/>
              <w:left w:val="nil"/>
              <w:bottom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proofErr w:type="spellStart"/>
            <w:r>
              <w:rPr>
                <w:rFonts w:asciiTheme="majorHAnsi" w:eastAsia="Times New Roman" w:hAnsiTheme="majorHAnsi"/>
                <w:sz w:val="20"/>
                <w:szCs w:val="20"/>
                <w:lang w:eastAsia="id-ID"/>
              </w:rPr>
              <w:t>GrGDP</w:t>
            </w:r>
            <w:proofErr w:type="spellEnd"/>
          </w:p>
        </w:tc>
        <w:tc>
          <w:tcPr>
            <w:tcW w:w="1189" w:type="dxa"/>
            <w:tcBorders>
              <w:top w:val="nil"/>
              <w:left w:val="nil"/>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103" w:type="dxa"/>
            <w:tcBorders>
              <w:top w:val="nil"/>
              <w:left w:val="nil"/>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189" w:type="dxa"/>
            <w:tcBorders>
              <w:top w:val="nil"/>
              <w:left w:val="nil"/>
              <w:bottom w:val="nil"/>
              <w:right w:val="single" w:sz="4" w:space="0" w:color="auto"/>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0.472***</w:t>
            </w:r>
          </w:p>
        </w:tc>
        <w:tc>
          <w:tcPr>
            <w:tcW w:w="924" w:type="dxa"/>
            <w:tcBorders>
              <w:top w:val="nil"/>
              <w:left w:val="single" w:sz="4" w:space="0" w:color="auto"/>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278" w:type="dxa"/>
            <w:tcBorders>
              <w:top w:val="nil"/>
              <w:left w:val="nil"/>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278"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1.082***</w:t>
            </w:r>
          </w:p>
        </w:tc>
      </w:tr>
      <w:tr w:rsidR="00444438">
        <w:trPr>
          <w:trHeight w:val="255"/>
          <w:jc w:val="center"/>
        </w:trPr>
        <w:tc>
          <w:tcPr>
            <w:tcW w:w="1800" w:type="dxa"/>
            <w:tcBorders>
              <w:top w:val="nil"/>
              <w:left w:val="nil"/>
              <w:bottom w:val="nil"/>
            </w:tcBorders>
            <w:shd w:val="clear" w:color="auto" w:fill="auto"/>
            <w:vAlign w:val="bottom"/>
          </w:tcPr>
          <w:p w:rsidR="00444438" w:rsidRDefault="00444438">
            <w:pPr>
              <w:spacing w:after="0" w:line="240" w:lineRule="auto"/>
              <w:jc w:val="center"/>
              <w:rPr>
                <w:rFonts w:asciiTheme="majorHAnsi" w:eastAsia="Times New Roman" w:hAnsiTheme="majorHAnsi"/>
                <w:sz w:val="20"/>
                <w:szCs w:val="20"/>
                <w:lang w:eastAsia="id-ID"/>
              </w:rPr>
            </w:pPr>
          </w:p>
        </w:tc>
        <w:tc>
          <w:tcPr>
            <w:tcW w:w="1189" w:type="dxa"/>
            <w:tcBorders>
              <w:top w:val="nil"/>
              <w:left w:val="nil"/>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103" w:type="dxa"/>
            <w:tcBorders>
              <w:top w:val="nil"/>
              <w:left w:val="nil"/>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189" w:type="dxa"/>
            <w:tcBorders>
              <w:top w:val="nil"/>
              <w:left w:val="nil"/>
              <w:bottom w:val="nil"/>
              <w:right w:val="single" w:sz="4" w:space="0" w:color="auto"/>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(0.158)</w:t>
            </w:r>
          </w:p>
        </w:tc>
        <w:tc>
          <w:tcPr>
            <w:tcW w:w="924" w:type="dxa"/>
            <w:tcBorders>
              <w:top w:val="nil"/>
              <w:left w:val="single" w:sz="4" w:space="0" w:color="auto"/>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278" w:type="dxa"/>
            <w:tcBorders>
              <w:top w:val="nil"/>
              <w:left w:val="nil"/>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278"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(0.293)</w:t>
            </w:r>
          </w:p>
        </w:tc>
      </w:tr>
      <w:tr w:rsidR="00444438">
        <w:trPr>
          <w:trHeight w:val="255"/>
          <w:jc w:val="center"/>
        </w:trPr>
        <w:tc>
          <w:tcPr>
            <w:tcW w:w="1800" w:type="dxa"/>
            <w:tcBorders>
              <w:top w:val="nil"/>
              <w:left w:val="nil"/>
              <w:bottom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INF</w:t>
            </w:r>
          </w:p>
        </w:tc>
        <w:tc>
          <w:tcPr>
            <w:tcW w:w="1189" w:type="dxa"/>
            <w:tcBorders>
              <w:top w:val="nil"/>
              <w:left w:val="nil"/>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103" w:type="dxa"/>
            <w:tcBorders>
              <w:top w:val="nil"/>
              <w:left w:val="nil"/>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189" w:type="dxa"/>
            <w:tcBorders>
              <w:top w:val="nil"/>
              <w:left w:val="nil"/>
              <w:bottom w:val="nil"/>
              <w:right w:val="single" w:sz="4" w:space="0" w:color="auto"/>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0.034***</w:t>
            </w:r>
          </w:p>
        </w:tc>
        <w:tc>
          <w:tcPr>
            <w:tcW w:w="924" w:type="dxa"/>
            <w:tcBorders>
              <w:top w:val="nil"/>
              <w:left w:val="single" w:sz="4" w:space="0" w:color="auto"/>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278" w:type="dxa"/>
            <w:tcBorders>
              <w:top w:val="nil"/>
              <w:left w:val="nil"/>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278"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-0.021</w:t>
            </w:r>
          </w:p>
        </w:tc>
      </w:tr>
      <w:tr w:rsidR="00444438">
        <w:trPr>
          <w:trHeight w:val="255"/>
          <w:jc w:val="center"/>
        </w:trPr>
        <w:tc>
          <w:tcPr>
            <w:tcW w:w="1800" w:type="dxa"/>
            <w:tcBorders>
              <w:top w:val="nil"/>
              <w:left w:val="nil"/>
              <w:bottom w:val="nil"/>
            </w:tcBorders>
            <w:shd w:val="clear" w:color="auto" w:fill="auto"/>
            <w:vAlign w:val="bottom"/>
          </w:tcPr>
          <w:p w:rsidR="00444438" w:rsidRDefault="00444438">
            <w:pPr>
              <w:spacing w:after="0" w:line="240" w:lineRule="auto"/>
              <w:jc w:val="center"/>
              <w:rPr>
                <w:rFonts w:asciiTheme="majorHAnsi" w:eastAsia="Times New Roman" w:hAnsiTheme="majorHAnsi"/>
                <w:sz w:val="20"/>
                <w:szCs w:val="20"/>
                <w:lang w:eastAsia="id-ID"/>
              </w:rPr>
            </w:pPr>
          </w:p>
        </w:tc>
        <w:tc>
          <w:tcPr>
            <w:tcW w:w="1189" w:type="dxa"/>
            <w:tcBorders>
              <w:top w:val="nil"/>
              <w:left w:val="nil"/>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103" w:type="dxa"/>
            <w:tcBorders>
              <w:top w:val="nil"/>
              <w:left w:val="nil"/>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189" w:type="dxa"/>
            <w:tcBorders>
              <w:top w:val="nil"/>
              <w:left w:val="nil"/>
              <w:bottom w:val="nil"/>
              <w:right w:val="single" w:sz="4" w:space="0" w:color="auto"/>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(0.010)</w:t>
            </w:r>
          </w:p>
        </w:tc>
        <w:tc>
          <w:tcPr>
            <w:tcW w:w="924" w:type="dxa"/>
            <w:tcBorders>
              <w:top w:val="nil"/>
              <w:left w:val="single" w:sz="4" w:space="0" w:color="auto"/>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278" w:type="dxa"/>
            <w:tcBorders>
              <w:top w:val="nil"/>
              <w:left w:val="nil"/>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278"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(0.028)</w:t>
            </w:r>
          </w:p>
        </w:tc>
      </w:tr>
      <w:tr w:rsidR="00444438">
        <w:trPr>
          <w:trHeight w:val="255"/>
          <w:jc w:val="center"/>
        </w:trPr>
        <w:tc>
          <w:tcPr>
            <w:tcW w:w="1800" w:type="dxa"/>
            <w:tcBorders>
              <w:top w:val="nil"/>
              <w:left w:val="nil"/>
              <w:bottom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Constant</w:t>
            </w:r>
          </w:p>
        </w:tc>
        <w:tc>
          <w:tcPr>
            <w:tcW w:w="1189"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0.005</w:t>
            </w:r>
          </w:p>
        </w:tc>
        <w:tc>
          <w:tcPr>
            <w:tcW w:w="1103"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0.073***</w:t>
            </w:r>
          </w:p>
        </w:tc>
        <w:tc>
          <w:tcPr>
            <w:tcW w:w="1189" w:type="dxa"/>
            <w:tcBorders>
              <w:top w:val="nil"/>
              <w:left w:val="nil"/>
              <w:bottom w:val="nil"/>
              <w:right w:val="single" w:sz="4" w:space="0" w:color="auto"/>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-0.043</w:t>
            </w:r>
          </w:p>
        </w:tc>
        <w:tc>
          <w:tcPr>
            <w:tcW w:w="924" w:type="dxa"/>
            <w:tcBorders>
              <w:top w:val="nil"/>
              <w:left w:val="single" w:sz="4" w:space="0" w:color="auto"/>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-0.005</w:t>
            </w:r>
          </w:p>
        </w:tc>
        <w:tc>
          <w:tcPr>
            <w:tcW w:w="1278"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-0.048</w:t>
            </w:r>
          </w:p>
        </w:tc>
        <w:tc>
          <w:tcPr>
            <w:tcW w:w="1278"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-0.291***</w:t>
            </w:r>
          </w:p>
        </w:tc>
      </w:tr>
      <w:tr w:rsidR="00444438">
        <w:trPr>
          <w:trHeight w:val="255"/>
          <w:jc w:val="center"/>
        </w:trPr>
        <w:tc>
          <w:tcPr>
            <w:tcW w:w="1800" w:type="dxa"/>
            <w:tcBorders>
              <w:top w:val="nil"/>
              <w:left w:val="nil"/>
              <w:bottom w:val="nil"/>
            </w:tcBorders>
            <w:shd w:val="clear" w:color="auto" w:fill="auto"/>
            <w:vAlign w:val="bottom"/>
          </w:tcPr>
          <w:p w:rsidR="00444438" w:rsidRDefault="00444438">
            <w:pPr>
              <w:spacing w:after="0" w:line="240" w:lineRule="auto"/>
              <w:jc w:val="center"/>
              <w:rPr>
                <w:rFonts w:asciiTheme="majorHAnsi" w:eastAsia="Times New Roman" w:hAnsiTheme="majorHAnsi"/>
                <w:sz w:val="20"/>
                <w:szCs w:val="20"/>
                <w:lang w:eastAsia="id-ID"/>
              </w:rPr>
            </w:pPr>
          </w:p>
        </w:tc>
        <w:tc>
          <w:tcPr>
            <w:tcW w:w="1189"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(0.003)</w:t>
            </w:r>
          </w:p>
        </w:tc>
        <w:tc>
          <w:tcPr>
            <w:tcW w:w="1103"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(0.015)</w:t>
            </w:r>
          </w:p>
        </w:tc>
        <w:tc>
          <w:tcPr>
            <w:tcW w:w="1189" w:type="dxa"/>
            <w:tcBorders>
              <w:top w:val="nil"/>
              <w:left w:val="nil"/>
              <w:bottom w:val="nil"/>
              <w:right w:val="single" w:sz="4" w:space="0" w:color="auto"/>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(0.044)</w:t>
            </w:r>
          </w:p>
        </w:tc>
        <w:tc>
          <w:tcPr>
            <w:tcW w:w="924" w:type="dxa"/>
            <w:tcBorders>
              <w:top w:val="nil"/>
              <w:left w:val="single" w:sz="4" w:space="0" w:color="auto"/>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(0.011)</w:t>
            </w:r>
          </w:p>
        </w:tc>
        <w:tc>
          <w:tcPr>
            <w:tcW w:w="1278"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(0.052)</w:t>
            </w:r>
          </w:p>
        </w:tc>
        <w:tc>
          <w:tcPr>
            <w:tcW w:w="1278"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(0.072)</w:t>
            </w:r>
          </w:p>
        </w:tc>
      </w:tr>
      <w:tr w:rsidR="00444438">
        <w:trPr>
          <w:trHeight w:val="255"/>
          <w:jc w:val="center"/>
        </w:trPr>
        <w:tc>
          <w:tcPr>
            <w:tcW w:w="1800" w:type="dxa"/>
            <w:tcBorders>
              <w:top w:val="nil"/>
              <w:left w:val="nil"/>
              <w:bottom w:val="nil"/>
              <w:right w:val="nil"/>
            </w:tcBorders>
            <w:shd w:val="clear" w:color="auto" w:fill="auto"/>
            <w:vAlign w:val="bottom"/>
          </w:tcPr>
          <w:p w:rsidR="00444438" w:rsidRDefault="00444438">
            <w:pPr>
              <w:spacing w:after="0" w:line="240" w:lineRule="auto"/>
              <w:jc w:val="center"/>
              <w:rPr>
                <w:rFonts w:asciiTheme="majorHAnsi" w:eastAsia="Times New Roman" w:hAnsiTheme="majorHAnsi"/>
                <w:sz w:val="20"/>
                <w:szCs w:val="20"/>
                <w:lang w:eastAsia="id-ID"/>
              </w:rPr>
            </w:pPr>
          </w:p>
        </w:tc>
        <w:tc>
          <w:tcPr>
            <w:tcW w:w="1189" w:type="dxa"/>
            <w:tcBorders>
              <w:top w:val="nil"/>
              <w:left w:val="nil"/>
              <w:bottom w:val="nil"/>
              <w:right w:val="nil"/>
            </w:tcBorders>
            <w:shd w:val="clear" w:color="auto" w:fill="auto"/>
            <w:vAlign w:val="bottom"/>
          </w:tcPr>
          <w:p w:rsidR="00444438" w:rsidRDefault="00444438">
            <w:pPr>
              <w:spacing w:after="0" w:line="240" w:lineRule="auto"/>
              <w:jc w:val="center"/>
              <w:rPr>
                <w:rFonts w:asciiTheme="majorHAnsi" w:eastAsia="Times New Roman" w:hAnsiTheme="majorHAnsi"/>
                <w:sz w:val="20"/>
                <w:szCs w:val="20"/>
                <w:lang w:eastAsia="id-ID"/>
              </w:rPr>
            </w:pPr>
          </w:p>
        </w:tc>
        <w:tc>
          <w:tcPr>
            <w:tcW w:w="1103" w:type="dxa"/>
            <w:tcBorders>
              <w:top w:val="nil"/>
              <w:left w:val="nil"/>
              <w:bottom w:val="nil"/>
              <w:right w:val="nil"/>
            </w:tcBorders>
            <w:shd w:val="clear" w:color="auto" w:fill="auto"/>
            <w:vAlign w:val="bottom"/>
          </w:tcPr>
          <w:p w:rsidR="00444438" w:rsidRDefault="00444438">
            <w:pPr>
              <w:spacing w:after="0" w:line="240" w:lineRule="auto"/>
              <w:jc w:val="center"/>
              <w:rPr>
                <w:rFonts w:asciiTheme="majorHAnsi" w:eastAsia="Times New Roman" w:hAnsiTheme="majorHAnsi"/>
                <w:sz w:val="20"/>
                <w:szCs w:val="20"/>
                <w:lang w:eastAsia="id-ID"/>
              </w:rPr>
            </w:pPr>
          </w:p>
        </w:tc>
        <w:tc>
          <w:tcPr>
            <w:tcW w:w="1189" w:type="dxa"/>
            <w:tcBorders>
              <w:top w:val="nil"/>
              <w:left w:val="nil"/>
              <w:bottom w:val="nil"/>
              <w:right w:val="single" w:sz="4" w:space="0" w:color="auto"/>
            </w:tcBorders>
            <w:shd w:val="clear" w:color="auto" w:fill="auto"/>
            <w:vAlign w:val="bottom"/>
          </w:tcPr>
          <w:p w:rsidR="00444438" w:rsidRDefault="00444438">
            <w:pPr>
              <w:spacing w:after="0" w:line="240" w:lineRule="auto"/>
              <w:jc w:val="center"/>
              <w:rPr>
                <w:rFonts w:asciiTheme="majorHAnsi" w:eastAsia="Times New Roman" w:hAnsiTheme="majorHAnsi"/>
                <w:sz w:val="20"/>
                <w:szCs w:val="20"/>
                <w:lang w:eastAsia="id-ID"/>
              </w:rPr>
            </w:pPr>
          </w:p>
        </w:tc>
        <w:tc>
          <w:tcPr>
            <w:tcW w:w="924" w:type="dxa"/>
            <w:tcBorders>
              <w:top w:val="nil"/>
              <w:left w:val="single" w:sz="4" w:space="0" w:color="auto"/>
              <w:bottom w:val="nil"/>
              <w:right w:val="nil"/>
            </w:tcBorders>
            <w:shd w:val="clear" w:color="auto" w:fill="auto"/>
            <w:vAlign w:val="bottom"/>
          </w:tcPr>
          <w:p w:rsidR="00444438" w:rsidRDefault="00444438">
            <w:pPr>
              <w:spacing w:after="0" w:line="240" w:lineRule="auto"/>
              <w:jc w:val="center"/>
              <w:rPr>
                <w:rFonts w:asciiTheme="majorHAnsi" w:eastAsia="Times New Roman" w:hAnsiTheme="majorHAnsi"/>
                <w:sz w:val="20"/>
                <w:szCs w:val="20"/>
                <w:lang w:eastAsia="id-ID"/>
              </w:rPr>
            </w:pPr>
          </w:p>
        </w:tc>
        <w:tc>
          <w:tcPr>
            <w:tcW w:w="1278" w:type="dxa"/>
            <w:tcBorders>
              <w:top w:val="nil"/>
              <w:left w:val="nil"/>
              <w:bottom w:val="nil"/>
              <w:right w:val="nil"/>
            </w:tcBorders>
            <w:shd w:val="clear" w:color="auto" w:fill="auto"/>
            <w:vAlign w:val="bottom"/>
          </w:tcPr>
          <w:p w:rsidR="00444438" w:rsidRDefault="00444438">
            <w:pPr>
              <w:spacing w:after="0" w:line="240" w:lineRule="auto"/>
              <w:jc w:val="center"/>
              <w:rPr>
                <w:rFonts w:asciiTheme="majorHAnsi" w:eastAsia="Times New Roman" w:hAnsiTheme="majorHAnsi"/>
                <w:sz w:val="20"/>
                <w:szCs w:val="20"/>
                <w:lang w:eastAsia="id-ID"/>
              </w:rPr>
            </w:pPr>
          </w:p>
        </w:tc>
        <w:tc>
          <w:tcPr>
            <w:tcW w:w="1278" w:type="dxa"/>
            <w:tcBorders>
              <w:top w:val="nil"/>
              <w:left w:val="nil"/>
              <w:bottom w:val="nil"/>
              <w:right w:val="nil"/>
            </w:tcBorders>
            <w:shd w:val="clear" w:color="auto" w:fill="auto"/>
            <w:vAlign w:val="bottom"/>
          </w:tcPr>
          <w:p w:rsidR="00444438" w:rsidRDefault="00444438">
            <w:pPr>
              <w:spacing w:after="0" w:line="240" w:lineRule="auto"/>
              <w:jc w:val="center"/>
              <w:rPr>
                <w:rFonts w:asciiTheme="majorHAnsi" w:eastAsia="Times New Roman" w:hAnsiTheme="majorHAnsi"/>
                <w:sz w:val="20"/>
                <w:szCs w:val="20"/>
                <w:lang w:eastAsia="id-ID"/>
              </w:rPr>
            </w:pPr>
          </w:p>
        </w:tc>
      </w:tr>
      <w:tr w:rsidR="00444438">
        <w:trPr>
          <w:trHeight w:val="255"/>
          <w:jc w:val="center"/>
        </w:trPr>
        <w:tc>
          <w:tcPr>
            <w:tcW w:w="1800" w:type="dxa"/>
            <w:tcBorders>
              <w:top w:val="nil"/>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R-square</w:t>
            </w:r>
          </w:p>
        </w:tc>
        <w:tc>
          <w:tcPr>
            <w:tcW w:w="1189"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0.259</w:t>
            </w:r>
          </w:p>
        </w:tc>
        <w:tc>
          <w:tcPr>
            <w:tcW w:w="1103"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0.301</w:t>
            </w:r>
          </w:p>
        </w:tc>
        <w:tc>
          <w:tcPr>
            <w:tcW w:w="1189" w:type="dxa"/>
            <w:tcBorders>
              <w:top w:val="nil"/>
              <w:left w:val="nil"/>
              <w:bottom w:val="nil"/>
              <w:right w:val="single" w:sz="4" w:space="0" w:color="auto"/>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0.331</w:t>
            </w:r>
          </w:p>
        </w:tc>
        <w:tc>
          <w:tcPr>
            <w:tcW w:w="924" w:type="dxa"/>
            <w:tcBorders>
              <w:top w:val="nil"/>
              <w:left w:val="single" w:sz="4" w:space="0" w:color="auto"/>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0.208</w:t>
            </w:r>
          </w:p>
        </w:tc>
        <w:tc>
          <w:tcPr>
            <w:tcW w:w="1278"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0.874</w:t>
            </w:r>
          </w:p>
        </w:tc>
        <w:tc>
          <w:tcPr>
            <w:tcW w:w="1278"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0.885</w:t>
            </w:r>
          </w:p>
        </w:tc>
      </w:tr>
      <w:tr w:rsidR="00444438">
        <w:trPr>
          <w:trHeight w:val="255"/>
          <w:jc w:val="center"/>
        </w:trPr>
        <w:tc>
          <w:tcPr>
            <w:tcW w:w="1800" w:type="dxa"/>
            <w:tcBorders>
              <w:top w:val="nil"/>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Observations</w:t>
            </w:r>
          </w:p>
        </w:tc>
        <w:tc>
          <w:tcPr>
            <w:tcW w:w="1189"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713</w:t>
            </w:r>
          </w:p>
        </w:tc>
        <w:tc>
          <w:tcPr>
            <w:tcW w:w="1103"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713</w:t>
            </w:r>
          </w:p>
        </w:tc>
        <w:tc>
          <w:tcPr>
            <w:tcW w:w="1189" w:type="dxa"/>
            <w:tcBorders>
              <w:top w:val="nil"/>
              <w:left w:val="nil"/>
              <w:bottom w:val="nil"/>
              <w:right w:val="single" w:sz="4" w:space="0" w:color="auto"/>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713</w:t>
            </w:r>
          </w:p>
        </w:tc>
        <w:tc>
          <w:tcPr>
            <w:tcW w:w="924" w:type="dxa"/>
            <w:tcBorders>
              <w:top w:val="nil"/>
              <w:left w:val="single" w:sz="4" w:space="0" w:color="auto"/>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80</w:t>
            </w:r>
          </w:p>
        </w:tc>
        <w:tc>
          <w:tcPr>
            <w:tcW w:w="1278"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80</w:t>
            </w:r>
          </w:p>
        </w:tc>
        <w:tc>
          <w:tcPr>
            <w:tcW w:w="1278"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80</w:t>
            </w:r>
          </w:p>
        </w:tc>
      </w:tr>
      <w:tr w:rsidR="00444438">
        <w:trPr>
          <w:trHeight w:val="255"/>
          <w:jc w:val="center"/>
        </w:trPr>
        <w:tc>
          <w:tcPr>
            <w:tcW w:w="1800" w:type="dxa"/>
            <w:tcBorders>
              <w:top w:val="nil"/>
              <w:left w:val="nil"/>
              <w:bottom w:val="single" w:sz="4" w:space="0" w:color="000000"/>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Number of Bank</w:t>
            </w:r>
          </w:p>
        </w:tc>
        <w:tc>
          <w:tcPr>
            <w:tcW w:w="1189" w:type="dxa"/>
            <w:tcBorders>
              <w:top w:val="nil"/>
              <w:left w:val="nil"/>
              <w:bottom w:val="single" w:sz="4" w:space="0" w:color="000000"/>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104</w:t>
            </w:r>
          </w:p>
        </w:tc>
        <w:tc>
          <w:tcPr>
            <w:tcW w:w="1103" w:type="dxa"/>
            <w:tcBorders>
              <w:top w:val="nil"/>
              <w:left w:val="nil"/>
              <w:bottom w:val="single" w:sz="4" w:space="0" w:color="000000"/>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104</w:t>
            </w:r>
          </w:p>
        </w:tc>
        <w:tc>
          <w:tcPr>
            <w:tcW w:w="1189" w:type="dxa"/>
            <w:tcBorders>
              <w:top w:val="nil"/>
              <w:left w:val="nil"/>
              <w:bottom w:val="single" w:sz="4" w:space="0" w:color="000000"/>
              <w:right w:val="single" w:sz="4" w:space="0" w:color="auto"/>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104</w:t>
            </w:r>
          </w:p>
        </w:tc>
        <w:tc>
          <w:tcPr>
            <w:tcW w:w="924" w:type="dxa"/>
            <w:tcBorders>
              <w:top w:val="nil"/>
              <w:left w:val="single" w:sz="4" w:space="0" w:color="auto"/>
              <w:bottom w:val="single" w:sz="4" w:space="0" w:color="000000"/>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12</w:t>
            </w:r>
          </w:p>
        </w:tc>
        <w:tc>
          <w:tcPr>
            <w:tcW w:w="1278" w:type="dxa"/>
            <w:tcBorders>
              <w:top w:val="nil"/>
              <w:left w:val="nil"/>
              <w:bottom w:val="single" w:sz="4" w:space="0" w:color="000000"/>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12</w:t>
            </w:r>
          </w:p>
        </w:tc>
        <w:tc>
          <w:tcPr>
            <w:tcW w:w="1278" w:type="dxa"/>
            <w:tcBorders>
              <w:top w:val="nil"/>
              <w:left w:val="nil"/>
              <w:bottom w:val="single" w:sz="4" w:space="0" w:color="000000"/>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12</w:t>
            </w:r>
          </w:p>
        </w:tc>
      </w:tr>
    </w:tbl>
    <w:p w:rsidR="00444438" w:rsidRDefault="00E25332">
      <w:pPr>
        <w:tabs>
          <w:tab w:val="left" w:pos="8446"/>
        </w:tabs>
        <w:jc w:val="both"/>
        <w:rPr>
          <w:rFonts w:asciiTheme="majorHAnsi" w:hAnsiTheme="majorHAnsi"/>
          <w:iCs/>
          <w:color w:val="000000"/>
          <w:sz w:val="18"/>
          <w:szCs w:val="18"/>
        </w:rPr>
      </w:pPr>
      <w:r>
        <w:rPr>
          <w:rFonts w:asciiTheme="majorHAnsi" w:hAnsiTheme="majorHAnsi"/>
          <w:color w:val="000000"/>
          <w:sz w:val="16"/>
          <w:szCs w:val="16"/>
        </w:rPr>
        <w:t xml:space="preserve">ROA denotes return on asset, VAIC denotes value added intellectual capital, LLP denotes loan loss provision, LOANTA denotes loan to total asset, CAP denotes equity to total asset, </w:t>
      </w:r>
      <w:proofErr w:type="spellStart"/>
      <w:r>
        <w:rPr>
          <w:rFonts w:asciiTheme="majorHAnsi" w:hAnsiTheme="majorHAnsi"/>
          <w:color w:val="000000"/>
          <w:sz w:val="16"/>
          <w:szCs w:val="16"/>
        </w:rPr>
        <w:t>LnTA</w:t>
      </w:r>
      <w:proofErr w:type="spellEnd"/>
      <w:r>
        <w:rPr>
          <w:rFonts w:asciiTheme="majorHAnsi" w:hAnsiTheme="majorHAnsi"/>
          <w:color w:val="000000"/>
          <w:sz w:val="16"/>
          <w:szCs w:val="16"/>
        </w:rPr>
        <w:t xml:space="preserve"> denotes natural logarithm of total asset, </w:t>
      </w:r>
      <w:proofErr w:type="spellStart"/>
      <w:r>
        <w:rPr>
          <w:rFonts w:asciiTheme="majorHAnsi" w:hAnsiTheme="majorHAnsi"/>
          <w:color w:val="000000"/>
          <w:sz w:val="16"/>
          <w:szCs w:val="16"/>
        </w:rPr>
        <w:t>GrGdp</w:t>
      </w:r>
      <w:proofErr w:type="spellEnd"/>
      <w:r>
        <w:rPr>
          <w:rFonts w:asciiTheme="majorHAnsi" w:hAnsiTheme="majorHAnsi"/>
          <w:color w:val="000000"/>
          <w:sz w:val="16"/>
          <w:szCs w:val="16"/>
        </w:rPr>
        <w:t xml:space="preserve"> denotes growth of gross domestic product, and INF denotes inflation rate. Asterisk (***), (**) and (*) indicate statistically significant at 1%, 5%, and 10% significance level. Figures in round (.) brackets are clustered</w:t>
      </w:r>
      <w:r>
        <w:rPr>
          <w:rFonts w:asciiTheme="majorHAnsi" w:hAnsiTheme="majorHAnsi"/>
          <w:i/>
          <w:iCs/>
          <w:color w:val="000000"/>
          <w:sz w:val="16"/>
          <w:szCs w:val="16"/>
        </w:rPr>
        <w:t xml:space="preserve"> </w:t>
      </w:r>
      <w:r>
        <w:rPr>
          <w:rFonts w:asciiTheme="majorHAnsi" w:hAnsiTheme="majorHAnsi"/>
          <w:iCs/>
          <w:color w:val="000000"/>
          <w:sz w:val="16"/>
          <w:szCs w:val="16"/>
        </w:rPr>
        <w:t xml:space="preserve">standard error while the value above it is coefficient value. </w:t>
      </w:r>
    </w:p>
    <w:p w:rsidR="00444438" w:rsidRDefault="00E25332">
      <w:pPr>
        <w:ind w:firstLine="720"/>
        <w:jc w:val="both"/>
        <w:rPr>
          <w:rFonts w:asciiTheme="majorHAnsi" w:hAnsiTheme="majorHAnsi"/>
          <w:sz w:val="20"/>
          <w:szCs w:val="20"/>
        </w:rPr>
      </w:pPr>
      <w:r>
        <w:rPr>
          <w:rFonts w:asciiTheme="majorHAnsi" w:hAnsiTheme="majorHAnsi"/>
          <w:sz w:val="20"/>
          <w:szCs w:val="20"/>
        </w:rPr>
        <w:t xml:space="preserve">In order to determine the specific component of intellectual </w:t>
      </w:r>
      <w:proofErr w:type="gramStart"/>
      <w:r>
        <w:rPr>
          <w:rFonts w:asciiTheme="majorHAnsi" w:hAnsiTheme="majorHAnsi"/>
          <w:sz w:val="20"/>
          <w:szCs w:val="20"/>
        </w:rPr>
        <w:t>capital which</w:t>
      </w:r>
      <w:proofErr w:type="gramEnd"/>
      <w:r>
        <w:rPr>
          <w:rFonts w:asciiTheme="majorHAnsi" w:hAnsiTheme="majorHAnsi"/>
          <w:sz w:val="20"/>
          <w:szCs w:val="20"/>
        </w:rPr>
        <w:t xml:space="preserve"> has impact on profitability, we conduct several regressions. Table 5 shows the effect of VAIC components on ROA. Similar to previous test, </w:t>
      </w:r>
      <w:proofErr w:type="gramStart"/>
      <w:r>
        <w:rPr>
          <w:rFonts w:asciiTheme="majorHAnsi" w:hAnsiTheme="majorHAnsi"/>
          <w:sz w:val="20"/>
          <w:szCs w:val="20"/>
        </w:rPr>
        <w:t>Fixed</w:t>
      </w:r>
      <w:proofErr w:type="gramEnd"/>
      <w:r>
        <w:rPr>
          <w:rFonts w:asciiTheme="majorHAnsi" w:hAnsiTheme="majorHAnsi"/>
          <w:sz w:val="20"/>
          <w:szCs w:val="20"/>
        </w:rPr>
        <w:t xml:space="preserve"> effect and OLS is applied. The result of table 5 shows that only HCE is the most important element of VAIC in generating profit. The result is strong since the </w:t>
      </w:r>
      <w:proofErr w:type="spellStart"/>
      <w:r>
        <w:rPr>
          <w:rFonts w:asciiTheme="majorHAnsi" w:hAnsiTheme="majorHAnsi"/>
          <w:sz w:val="20"/>
          <w:szCs w:val="20"/>
        </w:rPr>
        <w:t>efffect</w:t>
      </w:r>
      <w:proofErr w:type="spellEnd"/>
      <w:r>
        <w:rPr>
          <w:rFonts w:asciiTheme="majorHAnsi" w:hAnsiTheme="majorHAnsi"/>
          <w:sz w:val="20"/>
          <w:szCs w:val="20"/>
        </w:rPr>
        <w:t xml:space="preserve"> of HCE is consistent in every model. Other component has no significant effect. For macroeconomics, </w:t>
      </w:r>
      <w:proofErr w:type="spellStart"/>
      <w:r>
        <w:rPr>
          <w:rFonts w:asciiTheme="majorHAnsi" w:hAnsiTheme="majorHAnsi"/>
          <w:sz w:val="20"/>
          <w:szCs w:val="20"/>
        </w:rPr>
        <w:t>GrGDP</w:t>
      </w:r>
      <w:proofErr w:type="spellEnd"/>
      <w:r>
        <w:rPr>
          <w:rFonts w:asciiTheme="majorHAnsi" w:hAnsiTheme="majorHAnsi"/>
          <w:sz w:val="20"/>
          <w:szCs w:val="20"/>
        </w:rPr>
        <w:t xml:space="preserve"> has consistent positive significant effect on the </w:t>
      </w:r>
      <w:proofErr w:type="gramStart"/>
      <w:r>
        <w:rPr>
          <w:rFonts w:asciiTheme="majorHAnsi" w:hAnsiTheme="majorHAnsi"/>
          <w:sz w:val="20"/>
          <w:szCs w:val="20"/>
        </w:rPr>
        <w:t>profitability .</w:t>
      </w:r>
      <w:proofErr w:type="gramEnd"/>
      <w:r>
        <w:rPr>
          <w:rFonts w:asciiTheme="majorHAnsi" w:hAnsiTheme="majorHAnsi"/>
          <w:sz w:val="20"/>
          <w:szCs w:val="20"/>
        </w:rPr>
        <w:t xml:space="preserve"> </w:t>
      </w:r>
    </w:p>
    <w:p w:rsidR="00444438" w:rsidRDefault="00E25332">
      <w:pPr>
        <w:spacing w:after="40" w:line="260" w:lineRule="auto"/>
        <w:jc w:val="center"/>
        <w:rPr>
          <w:rFonts w:asciiTheme="majorHAnsi" w:hAnsiTheme="majorHAnsi"/>
          <w:sz w:val="20"/>
          <w:szCs w:val="20"/>
        </w:rPr>
      </w:pPr>
      <w:r>
        <w:rPr>
          <w:rFonts w:asciiTheme="majorHAnsi" w:hAnsiTheme="majorHAnsi"/>
          <w:sz w:val="20"/>
          <w:szCs w:val="20"/>
        </w:rPr>
        <w:t>Table 5. Regression Result: The Effect of VAIC Component on Bank Profitability</w:t>
      </w:r>
    </w:p>
    <w:tbl>
      <w:tblPr>
        <w:tblpPr w:leftFromText="180" w:rightFromText="180" w:vertAnchor="text" w:horzAnchor="page" w:tblpX="2135" w:tblpY="454"/>
        <w:tblOverlap w:val="never"/>
        <w:tblW w:w="8613" w:type="dxa"/>
        <w:tblLayout w:type="fixed"/>
        <w:tblLook w:val="04A0" w:firstRow="1" w:lastRow="0" w:firstColumn="1" w:lastColumn="0" w:noHBand="0" w:noVBand="1"/>
      </w:tblPr>
      <w:tblGrid>
        <w:gridCol w:w="1441"/>
        <w:gridCol w:w="1082"/>
        <w:gridCol w:w="1155"/>
        <w:gridCol w:w="1080"/>
        <w:gridCol w:w="1170"/>
        <w:gridCol w:w="1290"/>
        <w:gridCol w:w="1395"/>
      </w:tblGrid>
      <w:tr w:rsidR="00444438">
        <w:trPr>
          <w:trHeight w:val="255"/>
        </w:trPr>
        <w:tc>
          <w:tcPr>
            <w:tcW w:w="1441" w:type="dxa"/>
            <w:tcBorders>
              <w:top w:val="single" w:sz="4" w:space="0" w:color="000000"/>
              <w:left w:val="nil"/>
              <w:right w:val="nil"/>
            </w:tcBorders>
            <w:shd w:val="clear" w:color="auto" w:fill="auto"/>
            <w:vAlign w:val="bottom"/>
          </w:tcPr>
          <w:p w:rsidR="00444438" w:rsidRDefault="00444438">
            <w:pPr>
              <w:spacing w:after="0" w:line="240" w:lineRule="auto"/>
              <w:rPr>
                <w:rFonts w:asciiTheme="majorHAnsi" w:eastAsia="Times New Roman" w:hAnsiTheme="majorHAnsi"/>
                <w:sz w:val="20"/>
                <w:szCs w:val="20"/>
                <w:lang w:eastAsia="id-ID"/>
              </w:rPr>
            </w:pPr>
          </w:p>
        </w:tc>
        <w:tc>
          <w:tcPr>
            <w:tcW w:w="3317" w:type="dxa"/>
            <w:gridSpan w:val="3"/>
            <w:tcBorders>
              <w:top w:val="single" w:sz="4" w:space="0" w:color="000000"/>
              <w:left w:val="nil"/>
              <w:right w:val="single" w:sz="4" w:space="0" w:color="auto"/>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Full Sample</w:t>
            </w:r>
          </w:p>
        </w:tc>
        <w:tc>
          <w:tcPr>
            <w:tcW w:w="3855" w:type="dxa"/>
            <w:gridSpan w:val="3"/>
            <w:tcBorders>
              <w:top w:val="single" w:sz="4" w:space="0" w:color="000000"/>
              <w:left w:val="single" w:sz="4" w:space="0" w:color="auto"/>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Full Sample</w:t>
            </w:r>
          </w:p>
        </w:tc>
      </w:tr>
      <w:tr w:rsidR="00444438">
        <w:trPr>
          <w:trHeight w:val="90"/>
        </w:trPr>
        <w:tc>
          <w:tcPr>
            <w:tcW w:w="1441" w:type="dxa"/>
            <w:tcBorders>
              <w:left w:val="nil"/>
              <w:right w:val="nil"/>
            </w:tcBorders>
            <w:shd w:val="clear" w:color="auto" w:fill="auto"/>
            <w:vAlign w:val="bottom"/>
          </w:tcPr>
          <w:p w:rsidR="00444438" w:rsidRDefault="00444438">
            <w:pPr>
              <w:spacing w:after="0" w:line="240" w:lineRule="auto"/>
              <w:rPr>
                <w:rFonts w:asciiTheme="majorHAnsi" w:eastAsia="Times New Roman" w:hAnsiTheme="majorHAnsi"/>
                <w:sz w:val="20"/>
                <w:szCs w:val="20"/>
                <w:lang w:eastAsia="id-ID"/>
              </w:rPr>
            </w:pPr>
          </w:p>
        </w:tc>
        <w:tc>
          <w:tcPr>
            <w:tcW w:w="3317" w:type="dxa"/>
            <w:gridSpan w:val="3"/>
            <w:tcBorders>
              <w:left w:val="nil"/>
              <w:bottom w:val="single" w:sz="4" w:space="0" w:color="auto"/>
              <w:right w:val="single" w:sz="4" w:space="0" w:color="auto"/>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Fixed Effect</w:t>
            </w:r>
          </w:p>
        </w:tc>
        <w:tc>
          <w:tcPr>
            <w:tcW w:w="3855" w:type="dxa"/>
            <w:gridSpan w:val="3"/>
            <w:tcBorders>
              <w:left w:val="single" w:sz="4" w:space="0" w:color="auto"/>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OLS</w:t>
            </w:r>
          </w:p>
        </w:tc>
      </w:tr>
      <w:tr w:rsidR="00444438">
        <w:trPr>
          <w:trHeight w:val="255"/>
        </w:trPr>
        <w:tc>
          <w:tcPr>
            <w:tcW w:w="1441" w:type="dxa"/>
            <w:tcBorders>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 </w:t>
            </w:r>
          </w:p>
        </w:tc>
        <w:tc>
          <w:tcPr>
            <w:tcW w:w="1082" w:type="dxa"/>
            <w:tcBorders>
              <w:top w:val="single" w:sz="4" w:space="0" w:color="auto"/>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(1)</w:t>
            </w:r>
          </w:p>
        </w:tc>
        <w:tc>
          <w:tcPr>
            <w:tcW w:w="1155" w:type="dxa"/>
            <w:tcBorders>
              <w:top w:val="single" w:sz="4" w:space="0" w:color="auto"/>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(2)</w:t>
            </w:r>
          </w:p>
        </w:tc>
        <w:tc>
          <w:tcPr>
            <w:tcW w:w="1080" w:type="dxa"/>
            <w:tcBorders>
              <w:top w:val="single" w:sz="4" w:space="0" w:color="auto"/>
              <w:left w:val="nil"/>
              <w:bottom w:val="nil"/>
              <w:right w:val="single" w:sz="4" w:space="0" w:color="auto"/>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(3)</w:t>
            </w:r>
          </w:p>
        </w:tc>
        <w:tc>
          <w:tcPr>
            <w:tcW w:w="1170" w:type="dxa"/>
            <w:tcBorders>
              <w:top w:val="single" w:sz="4" w:space="0" w:color="000000"/>
              <w:left w:val="single" w:sz="4" w:space="0" w:color="auto"/>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(4)</w:t>
            </w:r>
          </w:p>
        </w:tc>
        <w:tc>
          <w:tcPr>
            <w:tcW w:w="1290" w:type="dxa"/>
            <w:tcBorders>
              <w:top w:val="single" w:sz="4" w:space="0" w:color="000000"/>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(5)</w:t>
            </w:r>
          </w:p>
        </w:tc>
        <w:tc>
          <w:tcPr>
            <w:tcW w:w="1395" w:type="dxa"/>
            <w:tcBorders>
              <w:top w:val="single" w:sz="4" w:space="0" w:color="000000"/>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(6)</w:t>
            </w:r>
          </w:p>
        </w:tc>
      </w:tr>
      <w:tr w:rsidR="00444438">
        <w:trPr>
          <w:trHeight w:val="255"/>
        </w:trPr>
        <w:tc>
          <w:tcPr>
            <w:tcW w:w="1441" w:type="dxa"/>
            <w:tcBorders>
              <w:top w:val="nil"/>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VARIABLES</w:t>
            </w:r>
          </w:p>
        </w:tc>
        <w:tc>
          <w:tcPr>
            <w:tcW w:w="1082" w:type="dxa"/>
            <w:tcBorders>
              <w:top w:val="nil"/>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ROA</w:t>
            </w:r>
          </w:p>
        </w:tc>
        <w:tc>
          <w:tcPr>
            <w:tcW w:w="1155" w:type="dxa"/>
            <w:tcBorders>
              <w:top w:val="nil"/>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ROA</w:t>
            </w:r>
          </w:p>
        </w:tc>
        <w:tc>
          <w:tcPr>
            <w:tcW w:w="1080" w:type="dxa"/>
            <w:tcBorders>
              <w:top w:val="nil"/>
              <w:left w:val="nil"/>
              <w:bottom w:val="nil"/>
              <w:right w:val="single" w:sz="4" w:space="0" w:color="auto"/>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ROA</w:t>
            </w:r>
          </w:p>
        </w:tc>
        <w:tc>
          <w:tcPr>
            <w:tcW w:w="1170" w:type="dxa"/>
            <w:tcBorders>
              <w:top w:val="nil"/>
              <w:left w:val="single" w:sz="4" w:space="0" w:color="auto"/>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ROA</w:t>
            </w:r>
          </w:p>
        </w:tc>
        <w:tc>
          <w:tcPr>
            <w:tcW w:w="1290" w:type="dxa"/>
            <w:tcBorders>
              <w:top w:val="nil"/>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ROA</w:t>
            </w:r>
          </w:p>
        </w:tc>
        <w:tc>
          <w:tcPr>
            <w:tcW w:w="1395" w:type="dxa"/>
            <w:tcBorders>
              <w:top w:val="nil"/>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 xml:space="preserve">ROA </w:t>
            </w:r>
          </w:p>
        </w:tc>
      </w:tr>
      <w:tr w:rsidR="00444438">
        <w:trPr>
          <w:trHeight w:val="255"/>
        </w:trPr>
        <w:tc>
          <w:tcPr>
            <w:tcW w:w="1441" w:type="dxa"/>
            <w:tcBorders>
              <w:top w:val="single" w:sz="4" w:space="0" w:color="000000"/>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 </w:t>
            </w:r>
          </w:p>
        </w:tc>
        <w:tc>
          <w:tcPr>
            <w:tcW w:w="1082" w:type="dxa"/>
            <w:tcBorders>
              <w:top w:val="single" w:sz="4" w:space="0" w:color="000000"/>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 </w:t>
            </w:r>
          </w:p>
        </w:tc>
        <w:tc>
          <w:tcPr>
            <w:tcW w:w="1155" w:type="dxa"/>
            <w:tcBorders>
              <w:top w:val="single" w:sz="4" w:space="0" w:color="000000"/>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 </w:t>
            </w:r>
          </w:p>
        </w:tc>
        <w:tc>
          <w:tcPr>
            <w:tcW w:w="1080" w:type="dxa"/>
            <w:tcBorders>
              <w:top w:val="single" w:sz="4" w:space="0" w:color="000000"/>
              <w:left w:val="nil"/>
              <w:bottom w:val="nil"/>
              <w:right w:val="single" w:sz="4" w:space="0" w:color="auto"/>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 </w:t>
            </w:r>
          </w:p>
        </w:tc>
        <w:tc>
          <w:tcPr>
            <w:tcW w:w="1170" w:type="dxa"/>
            <w:tcBorders>
              <w:top w:val="single" w:sz="4" w:space="0" w:color="000000"/>
              <w:left w:val="single" w:sz="4" w:space="0" w:color="auto"/>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 </w:t>
            </w:r>
          </w:p>
        </w:tc>
        <w:tc>
          <w:tcPr>
            <w:tcW w:w="1290" w:type="dxa"/>
            <w:tcBorders>
              <w:top w:val="single" w:sz="4" w:space="0" w:color="000000"/>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 </w:t>
            </w:r>
          </w:p>
        </w:tc>
        <w:tc>
          <w:tcPr>
            <w:tcW w:w="1395" w:type="dxa"/>
            <w:tcBorders>
              <w:top w:val="single" w:sz="4" w:space="0" w:color="000000"/>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 </w:t>
            </w:r>
          </w:p>
        </w:tc>
      </w:tr>
      <w:tr w:rsidR="00444438">
        <w:trPr>
          <w:trHeight w:val="255"/>
        </w:trPr>
        <w:tc>
          <w:tcPr>
            <w:tcW w:w="1441" w:type="dxa"/>
            <w:tcBorders>
              <w:top w:val="nil"/>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HCE</w:t>
            </w:r>
          </w:p>
        </w:tc>
        <w:tc>
          <w:tcPr>
            <w:tcW w:w="1082"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0.007***</w:t>
            </w:r>
          </w:p>
        </w:tc>
        <w:tc>
          <w:tcPr>
            <w:tcW w:w="115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0.007***</w:t>
            </w:r>
          </w:p>
        </w:tc>
        <w:tc>
          <w:tcPr>
            <w:tcW w:w="1080" w:type="dxa"/>
            <w:tcBorders>
              <w:top w:val="nil"/>
              <w:left w:val="nil"/>
              <w:bottom w:val="nil"/>
              <w:right w:val="single" w:sz="4" w:space="0" w:color="auto"/>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0.006***</w:t>
            </w:r>
          </w:p>
        </w:tc>
        <w:tc>
          <w:tcPr>
            <w:tcW w:w="1170" w:type="dxa"/>
            <w:tcBorders>
              <w:top w:val="nil"/>
              <w:left w:val="single" w:sz="4" w:space="0" w:color="auto"/>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0.005***</w:t>
            </w:r>
          </w:p>
        </w:tc>
        <w:tc>
          <w:tcPr>
            <w:tcW w:w="1290"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0.004***</w:t>
            </w:r>
          </w:p>
        </w:tc>
        <w:tc>
          <w:tcPr>
            <w:tcW w:w="139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0.004***</w:t>
            </w:r>
          </w:p>
        </w:tc>
      </w:tr>
      <w:tr w:rsidR="00444438">
        <w:trPr>
          <w:trHeight w:val="255"/>
        </w:trPr>
        <w:tc>
          <w:tcPr>
            <w:tcW w:w="1441" w:type="dxa"/>
            <w:tcBorders>
              <w:top w:val="nil"/>
              <w:left w:val="nil"/>
              <w:bottom w:val="nil"/>
              <w:right w:val="nil"/>
            </w:tcBorders>
            <w:shd w:val="clear" w:color="auto" w:fill="auto"/>
            <w:vAlign w:val="bottom"/>
          </w:tcPr>
          <w:p w:rsidR="00444438" w:rsidRDefault="00444438">
            <w:pPr>
              <w:spacing w:after="0" w:line="240" w:lineRule="auto"/>
              <w:rPr>
                <w:rFonts w:asciiTheme="majorHAnsi" w:eastAsia="Times New Roman" w:hAnsiTheme="majorHAnsi"/>
                <w:sz w:val="20"/>
                <w:szCs w:val="20"/>
                <w:lang w:eastAsia="id-ID"/>
              </w:rPr>
            </w:pPr>
          </w:p>
        </w:tc>
        <w:tc>
          <w:tcPr>
            <w:tcW w:w="1082"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c>
          <w:tcPr>
            <w:tcW w:w="115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c>
          <w:tcPr>
            <w:tcW w:w="1080" w:type="dxa"/>
            <w:tcBorders>
              <w:top w:val="nil"/>
              <w:left w:val="nil"/>
              <w:bottom w:val="nil"/>
              <w:right w:val="single" w:sz="4" w:space="0" w:color="auto"/>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c>
          <w:tcPr>
            <w:tcW w:w="1170" w:type="dxa"/>
            <w:tcBorders>
              <w:top w:val="nil"/>
              <w:left w:val="single" w:sz="4" w:space="0" w:color="auto"/>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(0.002)</w:t>
            </w:r>
          </w:p>
        </w:tc>
        <w:tc>
          <w:tcPr>
            <w:tcW w:w="1290"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c>
          <w:tcPr>
            <w:tcW w:w="139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r>
      <w:tr w:rsidR="00444438">
        <w:trPr>
          <w:trHeight w:val="255"/>
        </w:trPr>
        <w:tc>
          <w:tcPr>
            <w:tcW w:w="1441" w:type="dxa"/>
            <w:tcBorders>
              <w:top w:val="nil"/>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SCE</w:t>
            </w:r>
          </w:p>
        </w:tc>
        <w:tc>
          <w:tcPr>
            <w:tcW w:w="1082"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-0.000</w:t>
            </w:r>
          </w:p>
        </w:tc>
        <w:tc>
          <w:tcPr>
            <w:tcW w:w="115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-0.000</w:t>
            </w:r>
          </w:p>
        </w:tc>
        <w:tc>
          <w:tcPr>
            <w:tcW w:w="1080" w:type="dxa"/>
            <w:tcBorders>
              <w:top w:val="nil"/>
              <w:left w:val="nil"/>
              <w:bottom w:val="nil"/>
              <w:right w:val="single" w:sz="4" w:space="0" w:color="auto"/>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-0.000</w:t>
            </w:r>
          </w:p>
        </w:tc>
        <w:tc>
          <w:tcPr>
            <w:tcW w:w="1170" w:type="dxa"/>
            <w:tcBorders>
              <w:top w:val="nil"/>
              <w:left w:val="single" w:sz="4" w:space="0" w:color="auto"/>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-0.000</w:t>
            </w:r>
          </w:p>
        </w:tc>
        <w:tc>
          <w:tcPr>
            <w:tcW w:w="1290"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0.000</w:t>
            </w:r>
          </w:p>
        </w:tc>
        <w:tc>
          <w:tcPr>
            <w:tcW w:w="139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0.000</w:t>
            </w:r>
          </w:p>
        </w:tc>
      </w:tr>
      <w:tr w:rsidR="00444438">
        <w:trPr>
          <w:trHeight w:val="255"/>
        </w:trPr>
        <w:tc>
          <w:tcPr>
            <w:tcW w:w="1441" w:type="dxa"/>
            <w:tcBorders>
              <w:top w:val="nil"/>
              <w:left w:val="nil"/>
              <w:bottom w:val="nil"/>
              <w:right w:val="nil"/>
            </w:tcBorders>
            <w:shd w:val="clear" w:color="auto" w:fill="auto"/>
            <w:vAlign w:val="bottom"/>
          </w:tcPr>
          <w:p w:rsidR="00444438" w:rsidRDefault="00444438">
            <w:pPr>
              <w:spacing w:after="0" w:line="240" w:lineRule="auto"/>
              <w:rPr>
                <w:rFonts w:asciiTheme="majorHAnsi" w:eastAsia="Times New Roman" w:hAnsiTheme="majorHAnsi"/>
                <w:sz w:val="20"/>
                <w:szCs w:val="20"/>
                <w:lang w:eastAsia="id-ID"/>
              </w:rPr>
            </w:pPr>
          </w:p>
        </w:tc>
        <w:tc>
          <w:tcPr>
            <w:tcW w:w="1082"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(0.000)</w:t>
            </w:r>
          </w:p>
        </w:tc>
        <w:tc>
          <w:tcPr>
            <w:tcW w:w="115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(0.000)</w:t>
            </w:r>
          </w:p>
        </w:tc>
        <w:tc>
          <w:tcPr>
            <w:tcW w:w="1080" w:type="dxa"/>
            <w:tcBorders>
              <w:top w:val="nil"/>
              <w:left w:val="nil"/>
              <w:bottom w:val="nil"/>
              <w:right w:val="single" w:sz="4" w:space="0" w:color="auto"/>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(0.000)</w:t>
            </w:r>
          </w:p>
        </w:tc>
        <w:tc>
          <w:tcPr>
            <w:tcW w:w="1170" w:type="dxa"/>
            <w:tcBorders>
              <w:top w:val="nil"/>
              <w:left w:val="single" w:sz="4" w:space="0" w:color="auto"/>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c>
          <w:tcPr>
            <w:tcW w:w="1290"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c>
          <w:tcPr>
            <w:tcW w:w="139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r>
      <w:tr w:rsidR="00444438">
        <w:trPr>
          <w:trHeight w:val="255"/>
        </w:trPr>
        <w:tc>
          <w:tcPr>
            <w:tcW w:w="1441" w:type="dxa"/>
            <w:tcBorders>
              <w:top w:val="nil"/>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CEE</w:t>
            </w:r>
          </w:p>
        </w:tc>
        <w:tc>
          <w:tcPr>
            <w:tcW w:w="1082"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c>
          <w:tcPr>
            <w:tcW w:w="115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c>
          <w:tcPr>
            <w:tcW w:w="1080" w:type="dxa"/>
            <w:tcBorders>
              <w:top w:val="nil"/>
              <w:left w:val="nil"/>
              <w:bottom w:val="nil"/>
              <w:right w:val="single" w:sz="4" w:space="0" w:color="auto"/>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c>
          <w:tcPr>
            <w:tcW w:w="1170" w:type="dxa"/>
            <w:tcBorders>
              <w:top w:val="nil"/>
              <w:left w:val="single" w:sz="4" w:space="0" w:color="auto"/>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0.003</w:t>
            </w:r>
          </w:p>
        </w:tc>
        <w:tc>
          <w:tcPr>
            <w:tcW w:w="1290"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0.003</w:t>
            </w:r>
          </w:p>
        </w:tc>
        <w:tc>
          <w:tcPr>
            <w:tcW w:w="139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0.003</w:t>
            </w:r>
          </w:p>
        </w:tc>
      </w:tr>
      <w:tr w:rsidR="00444438">
        <w:trPr>
          <w:trHeight w:val="255"/>
        </w:trPr>
        <w:tc>
          <w:tcPr>
            <w:tcW w:w="1441" w:type="dxa"/>
            <w:tcBorders>
              <w:top w:val="nil"/>
              <w:left w:val="nil"/>
              <w:bottom w:val="nil"/>
              <w:right w:val="nil"/>
            </w:tcBorders>
            <w:shd w:val="clear" w:color="auto" w:fill="auto"/>
            <w:vAlign w:val="bottom"/>
          </w:tcPr>
          <w:p w:rsidR="00444438" w:rsidRDefault="00444438">
            <w:pPr>
              <w:spacing w:after="0" w:line="240" w:lineRule="auto"/>
              <w:rPr>
                <w:rFonts w:asciiTheme="majorHAnsi" w:eastAsia="Times New Roman" w:hAnsiTheme="majorHAnsi"/>
                <w:sz w:val="20"/>
                <w:szCs w:val="20"/>
                <w:lang w:eastAsia="id-ID"/>
              </w:rPr>
            </w:pPr>
          </w:p>
        </w:tc>
        <w:tc>
          <w:tcPr>
            <w:tcW w:w="1082"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c>
          <w:tcPr>
            <w:tcW w:w="115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c>
          <w:tcPr>
            <w:tcW w:w="1080" w:type="dxa"/>
            <w:tcBorders>
              <w:top w:val="nil"/>
              <w:left w:val="nil"/>
              <w:bottom w:val="nil"/>
              <w:right w:val="single" w:sz="4" w:space="0" w:color="auto"/>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c>
          <w:tcPr>
            <w:tcW w:w="1170" w:type="dxa"/>
            <w:tcBorders>
              <w:top w:val="nil"/>
              <w:left w:val="single" w:sz="4" w:space="0" w:color="auto"/>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(0.004)</w:t>
            </w:r>
          </w:p>
        </w:tc>
        <w:tc>
          <w:tcPr>
            <w:tcW w:w="1290"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(0.004)</w:t>
            </w:r>
          </w:p>
        </w:tc>
        <w:tc>
          <w:tcPr>
            <w:tcW w:w="139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(0.004)</w:t>
            </w:r>
          </w:p>
        </w:tc>
      </w:tr>
      <w:tr w:rsidR="00444438">
        <w:trPr>
          <w:trHeight w:val="255"/>
        </w:trPr>
        <w:tc>
          <w:tcPr>
            <w:tcW w:w="1441" w:type="dxa"/>
            <w:tcBorders>
              <w:top w:val="nil"/>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LLP</w:t>
            </w:r>
          </w:p>
        </w:tc>
        <w:tc>
          <w:tcPr>
            <w:tcW w:w="1082" w:type="dxa"/>
            <w:tcBorders>
              <w:top w:val="nil"/>
              <w:left w:val="nil"/>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15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-0.094</w:t>
            </w:r>
          </w:p>
        </w:tc>
        <w:tc>
          <w:tcPr>
            <w:tcW w:w="1080" w:type="dxa"/>
            <w:tcBorders>
              <w:top w:val="nil"/>
              <w:left w:val="nil"/>
              <w:bottom w:val="nil"/>
              <w:right w:val="single" w:sz="4" w:space="0" w:color="auto"/>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-0.092</w:t>
            </w:r>
          </w:p>
        </w:tc>
        <w:tc>
          <w:tcPr>
            <w:tcW w:w="1170" w:type="dxa"/>
            <w:tcBorders>
              <w:top w:val="nil"/>
              <w:left w:val="single" w:sz="4" w:space="0" w:color="auto"/>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290"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-0.123*</w:t>
            </w:r>
          </w:p>
        </w:tc>
        <w:tc>
          <w:tcPr>
            <w:tcW w:w="139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-0.128**</w:t>
            </w:r>
          </w:p>
        </w:tc>
      </w:tr>
      <w:tr w:rsidR="00444438">
        <w:trPr>
          <w:trHeight w:val="255"/>
        </w:trPr>
        <w:tc>
          <w:tcPr>
            <w:tcW w:w="1441" w:type="dxa"/>
            <w:tcBorders>
              <w:top w:val="nil"/>
              <w:left w:val="nil"/>
              <w:bottom w:val="nil"/>
              <w:right w:val="nil"/>
            </w:tcBorders>
            <w:shd w:val="clear" w:color="auto" w:fill="auto"/>
            <w:vAlign w:val="bottom"/>
          </w:tcPr>
          <w:p w:rsidR="00444438" w:rsidRDefault="00444438">
            <w:pPr>
              <w:spacing w:after="0" w:line="240" w:lineRule="auto"/>
              <w:rPr>
                <w:rFonts w:asciiTheme="majorHAnsi" w:eastAsia="Times New Roman" w:hAnsiTheme="majorHAnsi"/>
                <w:sz w:val="20"/>
                <w:szCs w:val="20"/>
                <w:lang w:eastAsia="id-ID"/>
              </w:rPr>
            </w:pPr>
          </w:p>
        </w:tc>
        <w:tc>
          <w:tcPr>
            <w:tcW w:w="1082" w:type="dxa"/>
            <w:tcBorders>
              <w:top w:val="nil"/>
              <w:left w:val="nil"/>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15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(0.088)</w:t>
            </w:r>
          </w:p>
        </w:tc>
        <w:tc>
          <w:tcPr>
            <w:tcW w:w="1080" w:type="dxa"/>
            <w:tcBorders>
              <w:top w:val="nil"/>
              <w:left w:val="nil"/>
              <w:bottom w:val="nil"/>
              <w:right w:val="single" w:sz="4" w:space="0" w:color="auto"/>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(0.083)</w:t>
            </w:r>
          </w:p>
        </w:tc>
        <w:tc>
          <w:tcPr>
            <w:tcW w:w="1170" w:type="dxa"/>
            <w:tcBorders>
              <w:top w:val="nil"/>
              <w:left w:val="single" w:sz="4" w:space="0" w:color="auto"/>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290"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(0.065)</w:t>
            </w:r>
          </w:p>
        </w:tc>
        <w:tc>
          <w:tcPr>
            <w:tcW w:w="139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(0.064)</w:t>
            </w:r>
          </w:p>
        </w:tc>
      </w:tr>
      <w:tr w:rsidR="00444438">
        <w:trPr>
          <w:trHeight w:val="97"/>
        </w:trPr>
        <w:tc>
          <w:tcPr>
            <w:tcW w:w="1441" w:type="dxa"/>
            <w:tcBorders>
              <w:top w:val="nil"/>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LOANTA</w:t>
            </w:r>
          </w:p>
        </w:tc>
        <w:tc>
          <w:tcPr>
            <w:tcW w:w="1082" w:type="dxa"/>
            <w:tcBorders>
              <w:top w:val="nil"/>
              <w:left w:val="nil"/>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15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-0.002</w:t>
            </w:r>
          </w:p>
        </w:tc>
        <w:tc>
          <w:tcPr>
            <w:tcW w:w="1080" w:type="dxa"/>
            <w:tcBorders>
              <w:top w:val="nil"/>
              <w:left w:val="nil"/>
              <w:bottom w:val="nil"/>
              <w:right w:val="single" w:sz="4" w:space="0" w:color="auto"/>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0.003</w:t>
            </w:r>
          </w:p>
        </w:tc>
        <w:tc>
          <w:tcPr>
            <w:tcW w:w="1170" w:type="dxa"/>
            <w:tcBorders>
              <w:top w:val="nil"/>
              <w:left w:val="single" w:sz="4" w:space="0" w:color="auto"/>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290"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-0.006</w:t>
            </w:r>
          </w:p>
        </w:tc>
        <w:tc>
          <w:tcPr>
            <w:tcW w:w="139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r>
      <w:tr w:rsidR="00444438">
        <w:trPr>
          <w:trHeight w:val="255"/>
        </w:trPr>
        <w:tc>
          <w:tcPr>
            <w:tcW w:w="1441" w:type="dxa"/>
            <w:tcBorders>
              <w:top w:val="nil"/>
              <w:left w:val="nil"/>
              <w:bottom w:val="nil"/>
              <w:right w:val="nil"/>
            </w:tcBorders>
            <w:shd w:val="clear" w:color="auto" w:fill="auto"/>
            <w:vAlign w:val="bottom"/>
          </w:tcPr>
          <w:p w:rsidR="00444438" w:rsidRDefault="00444438">
            <w:pPr>
              <w:spacing w:after="0" w:line="240" w:lineRule="auto"/>
              <w:rPr>
                <w:rFonts w:asciiTheme="majorHAnsi" w:eastAsia="Times New Roman" w:hAnsiTheme="majorHAnsi"/>
                <w:sz w:val="20"/>
                <w:szCs w:val="20"/>
                <w:lang w:eastAsia="id-ID"/>
              </w:rPr>
            </w:pPr>
          </w:p>
        </w:tc>
        <w:tc>
          <w:tcPr>
            <w:tcW w:w="1082" w:type="dxa"/>
            <w:tcBorders>
              <w:top w:val="nil"/>
              <w:left w:val="nil"/>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15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(0.009)</w:t>
            </w:r>
          </w:p>
        </w:tc>
        <w:tc>
          <w:tcPr>
            <w:tcW w:w="1080" w:type="dxa"/>
            <w:tcBorders>
              <w:top w:val="nil"/>
              <w:left w:val="nil"/>
              <w:bottom w:val="nil"/>
              <w:right w:val="single" w:sz="4" w:space="0" w:color="auto"/>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(0.008)</w:t>
            </w:r>
          </w:p>
        </w:tc>
        <w:tc>
          <w:tcPr>
            <w:tcW w:w="1170" w:type="dxa"/>
            <w:tcBorders>
              <w:top w:val="nil"/>
              <w:left w:val="single" w:sz="4" w:space="0" w:color="auto"/>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290"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(0.009)</w:t>
            </w:r>
          </w:p>
        </w:tc>
        <w:tc>
          <w:tcPr>
            <w:tcW w:w="139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(0.009)</w:t>
            </w:r>
          </w:p>
        </w:tc>
      </w:tr>
      <w:tr w:rsidR="00444438">
        <w:trPr>
          <w:trHeight w:val="255"/>
        </w:trPr>
        <w:tc>
          <w:tcPr>
            <w:tcW w:w="1441" w:type="dxa"/>
            <w:tcBorders>
              <w:top w:val="nil"/>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CAP</w:t>
            </w:r>
          </w:p>
        </w:tc>
        <w:tc>
          <w:tcPr>
            <w:tcW w:w="1082" w:type="dxa"/>
            <w:tcBorders>
              <w:top w:val="nil"/>
              <w:left w:val="nil"/>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15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0.010</w:t>
            </w:r>
          </w:p>
        </w:tc>
        <w:tc>
          <w:tcPr>
            <w:tcW w:w="1080" w:type="dxa"/>
            <w:tcBorders>
              <w:top w:val="nil"/>
              <w:left w:val="nil"/>
              <w:bottom w:val="nil"/>
              <w:right w:val="single" w:sz="4" w:space="0" w:color="auto"/>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0.027**</w:t>
            </w:r>
          </w:p>
        </w:tc>
        <w:tc>
          <w:tcPr>
            <w:tcW w:w="1170" w:type="dxa"/>
            <w:tcBorders>
              <w:top w:val="nil"/>
              <w:left w:val="single" w:sz="4" w:space="0" w:color="auto"/>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290"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-0.005</w:t>
            </w:r>
          </w:p>
        </w:tc>
        <w:tc>
          <w:tcPr>
            <w:tcW w:w="139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0.000</w:t>
            </w:r>
          </w:p>
        </w:tc>
      </w:tr>
      <w:tr w:rsidR="00444438">
        <w:trPr>
          <w:trHeight w:val="255"/>
        </w:trPr>
        <w:tc>
          <w:tcPr>
            <w:tcW w:w="1441" w:type="dxa"/>
            <w:tcBorders>
              <w:top w:val="nil"/>
              <w:left w:val="nil"/>
              <w:bottom w:val="nil"/>
              <w:right w:val="nil"/>
            </w:tcBorders>
            <w:shd w:val="clear" w:color="auto" w:fill="auto"/>
            <w:vAlign w:val="bottom"/>
          </w:tcPr>
          <w:p w:rsidR="00444438" w:rsidRDefault="00444438">
            <w:pPr>
              <w:spacing w:after="0" w:line="240" w:lineRule="auto"/>
              <w:rPr>
                <w:rFonts w:asciiTheme="majorHAnsi" w:eastAsia="Times New Roman" w:hAnsiTheme="majorHAnsi"/>
                <w:sz w:val="20"/>
                <w:szCs w:val="20"/>
                <w:lang w:eastAsia="id-ID"/>
              </w:rPr>
            </w:pPr>
          </w:p>
        </w:tc>
        <w:tc>
          <w:tcPr>
            <w:tcW w:w="1082" w:type="dxa"/>
            <w:tcBorders>
              <w:top w:val="nil"/>
              <w:left w:val="nil"/>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15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(0.008)</w:t>
            </w:r>
          </w:p>
        </w:tc>
        <w:tc>
          <w:tcPr>
            <w:tcW w:w="1080" w:type="dxa"/>
            <w:tcBorders>
              <w:top w:val="nil"/>
              <w:left w:val="nil"/>
              <w:bottom w:val="nil"/>
              <w:right w:val="single" w:sz="4" w:space="0" w:color="auto"/>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(0.012)</w:t>
            </w:r>
          </w:p>
        </w:tc>
        <w:tc>
          <w:tcPr>
            <w:tcW w:w="1170" w:type="dxa"/>
            <w:tcBorders>
              <w:top w:val="nil"/>
              <w:left w:val="single" w:sz="4" w:space="0" w:color="auto"/>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290"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(0.012)</w:t>
            </w:r>
          </w:p>
        </w:tc>
        <w:tc>
          <w:tcPr>
            <w:tcW w:w="139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(0.012)</w:t>
            </w:r>
          </w:p>
        </w:tc>
      </w:tr>
      <w:tr w:rsidR="00444438">
        <w:trPr>
          <w:trHeight w:val="90"/>
        </w:trPr>
        <w:tc>
          <w:tcPr>
            <w:tcW w:w="1441" w:type="dxa"/>
            <w:tcBorders>
              <w:top w:val="nil"/>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proofErr w:type="spellStart"/>
            <w:r>
              <w:rPr>
                <w:rFonts w:asciiTheme="majorHAnsi" w:eastAsia="Times New Roman" w:hAnsiTheme="majorHAnsi"/>
                <w:sz w:val="20"/>
                <w:szCs w:val="20"/>
                <w:lang w:eastAsia="id-ID"/>
              </w:rPr>
              <w:t>LnTA</w:t>
            </w:r>
            <w:proofErr w:type="spellEnd"/>
          </w:p>
        </w:tc>
        <w:tc>
          <w:tcPr>
            <w:tcW w:w="1082" w:type="dxa"/>
            <w:tcBorders>
              <w:top w:val="nil"/>
              <w:left w:val="nil"/>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15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-0.003**</w:t>
            </w:r>
          </w:p>
        </w:tc>
        <w:tc>
          <w:tcPr>
            <w:tcW w:w="1080" w:type="dxa"/>
            <w:tcBorders>
              <w:top w:val="nil"/>
              <w:left w:val="nil"/>
              <w:bottom w:val="nil"/>
              <w:right w:val="single" w:sz="4" w:space="0" w:color="auto"/>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0.003</w:t>
            </w:r>
          </w:p>
        </w:tc>
        <w:tc>
          <w:tcPr>
            <w:tcW w:w="1170" w:type="dxa"/>
            <w:tcBorders>
              <w:top w:val="nil"/>
              <w:left w:val="single" w:sz="4" w:space="0" w:color="auto"/>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290"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c>
          <w:tcPr>
            <w:tcW w:w="139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r>
      <w:tr w:rsidR="00444438">
        <w:trPr>
          <w:trHeight w:val="255"/>
        </w:trPr>
        <w:tc>
          <w:tcPr>
            <w:tcW w:w="1441" w:type="dxa"/>
            <w:tcBorders>
              <w:top w:val="nil"/>
              <w:left w:val="nil"/>
              <w:bottom w:val="nil"/>
              <w:right w:val="nil"/>
            </w:tcBorders>
            <w:shd w:val="clear" w:color="auto" w:fill="auto"/>
            <w:vAlign w:val="bottom"/>
          </w:tcPr>
          <w:p w:rsidR="00444438" w:rsidRDefault="00444438">
            <w:pPr>
              <w:spacing w:after="0" w:line="240" w:lineRule="auto"/>
              <w:rPr>
                <w:rFonts w:asciiTheme="majorHAnsi" w:eastAsia="Times New Roman" w:hAnsiTheme="majorHAnsi"/>
                <w:sz w:val="20"/>
                <w:szCs w:val="20"/>
                <w:lang w:eastAsia="id-ID"/>
              </w:rPr>
            </w:pPr>
          </w:p>
        </w:tc>
        <w:tc>
          <w:tcPr>
            <w:tcW w:w="1082" w:type="dxa"/>
            <w:tcBorders>
              <w:top w:val="nil"/>
              <w:left w:val="nil"/>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15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c>
          <w:tcPr>
            <w:tcW w:w="1080" w:type="dxa"/>
            <w:tcBorders>
              <w:top w:val="nil"/>
              <w:left w:val="nil"/>
              <w:bottom w:val="nil"/>
              <w:right w:val="single" w:sz="4" w:space="0" w:color="auto"/>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(0.002)</w:t>
            </w:r>
          </w:p>
        </w:tc>
        <w:tc>
          <w:tcPr>
            <w:tcW w:w="1170" w:type="dxa"/>
            <w:tcBorders>
              <w:top w:val="nil"/>
              <w:left w:val="single" w:sz="4" w:space="0" w:color="auto"/>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290"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c>
          <w:tcPr>
            <w:tcW w:w="139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r>
      <w:tr w:rsidR="00444438">
        <w:trPr>
          <w:trHeight w:val="255"/>
        </w:trPr>
        <w:tc>
          <w:tcPr>
            <w:tcW w:w="1441" w:type="dxa"/>
            <w:tcBorders>
              <w:top w:val="nil"/>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proofErr w:type="spellStart"/>
            <w:r>
              <w:rPr>
                <w:rFonts w:asciiTheme="majorHAnsi" w:eastAsia="Times New Roman" w:hAnsiTheme="majorHAnsi"/>
                <w:sz w:val="20"/>
                <w:szCs w:val="20"/>
                <w:lang w:eastAsia="id-ID"/>
              </w:rPr>
              <w:t>GrGDP</w:t>
            </w:r>
            <w:proofErr w:type="spellEnd"/>
          </w:p>
        </w:tc>
        <w:tc>
          <w:tcPr>
            <w:tcW w:w="1082" w:type="dxa"/>
            <w:tcBorders>
              <w:top w:val="nil"/>
              <w:left w:val="nil"/>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155" w:type="dxa"/>
            <w:tcBorders>
              <w:top w:val="nil"/>
              <w:left w:val="nil"/>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080" w:type="dxa"/>
            <w:tcBorders>
              <w:top w:val="nil"/>
              <w:left w:val="nil"/>
              <w:bottom w:val="nil"/>
              <w:right w:val="single" w:sz="4" w:space="0" w:color="auto"/>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0.564***</w:t>
            </w:r>
          </w:p>
        </w:tc>
        <w:tc>
          <w:tcPr>
            <w:tcW w:w="1170" w:type="dxa"/>
            <w:tcBorders>
              <w:top w:val="nil"/>
              <w:left w:val="single" w:sz="4" w:space="0" w:color="auto"/>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290" w:type="dxa"/>
            <w:tcBorders>
              <w:top w:val="nil"/>
              <w:left w:val="nil"/>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39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0.507***</w:t>
            </w:r>
          </w:p>
        </w:tc>
      </w:tr>
      <w:tr w:rsidR="00444438">
        <w:trPr>
          <w:trHeight w:val="255"/>
        </w:trPr>
        <w:tc>
          <w:tcPr>
            <w:tcW w:w="1441" w:type="dxa"/>
            <w:tcBorders>
              <w:top w:val="nil"/>
              <w:left w:val="nil"/>
              <w:bottom w:val="nil"/>
              <w:right w:val="nil"/>
            </w:tcBorders>
            <w:shd w:val="clear" w:color="auto" w:fill="auto"/>
            <w:vAlign w:val="bottom"/>
          </w:tcPr>
          <w:p w:rsidR="00444438" w:rsidRDefault="00444438">
            <w:pPr>
              <w:spacing w:after="0" w:line="240" w:lineRule="auto"/>
              <w:rPr>
                <w:rFonts w:asciiTheme="majorHAnsi" w:eastAsia="Times New Roman" w:hAnsiTheme="majorHAnsi"/>
                <w:sz w:val="20"/>
                <w:szCs w:val="20"/>
                <w:lang w:eastAsia="id-ID"/>
              </w:rPr>
            </w:pPr>
          </w:p>
        </w:tc>
        <w:tc>
          <w:tcPr>
            <w:tcW w:w="1082" w:type="dxa"/>
            <w:tcBorders>
              <w:top w:val="nil"/>
              <w:left w:val="nil"/>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155" w:type="dxa"/>
            <w:tcBorders>
              <w:top w:val="nil"/>
              <w:left w:val="nil"/>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080" w:type="dxa"/>
            <w:tcBorders>
              <w:top w:val="nil"/>
              <w:left w:val="nil"/>
              <w:bottom w:val="nil"/>
              <w:right w:val="single" w:sz="4" w:space="0" w:color="auto"/>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(0.167)</w:t>
            </w:r>
          </w:p>
        </w:tc>
        <w:tc>
          <w:tcPr>
            <w:tcW w:w="1170" w:type="dxa"/>
            <w:tcBorders>
              <w:top w:val="nil"/>
              <w:left w:val="single" w:sz="4" w:space="0" w:color="auto"/>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290" w:type="dxa"/>
            <w:tcBorders>
              <w:top w:val="nil"/>
              <w:left w:val="nil"/>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39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(0.100)</w:t>
            </w:r>
          </w:p>
        </w:tc>
      </w:tr>
      <w:tr w:rsidR="00444438">
        <w:trPr>
          <w:trHeight w:val="255"/>
        </w:trPr>
        <w:tc>
          <w:tcPr>
            <w:tcW w:w="1441" w:type="dxa"/>
            <w:tcBorders>
              <w:top w:val="nil"/>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INF</w:t>
            </w:r>
          </w:p>
        </w:tc>
        <w:tc>
          <w:tcPr>
            <w:tcW w:w="1082" w:type="dxa"/>
            <w:tcBorders>
              <w:top w:val="nil"/>
              <w:left w:val="nil"/>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155" w:type="dxa"/>
            <w:tcBorders>
              <w:top w:val="nil"/>
              <w:left w:val="nil"/>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080" w:type="dxa"/>
            <w:tcBorders>
              <w:top w:val="nil"/>
              <w:left w:val="nil"/>
              <w:bottom w:val="nil"/>
              <w:right w:val="single" w:sz="4" w:space="0" w:color="auto"/>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0.017</w:t>
            </w:r>
          </w:p>
        </w:tc>
        <w:tc>
          <w:tcPr>
            <w:tcW w:w="1170" w:type="dxa"/>
            <w:tcBorders>
              <w:top w:val="nil"/>
              <w:left w:val="single" w:sz="4" w:space="0" w:color="auto"/>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290" w:type="dxa"/>
            <w:tcBorders>
              <w:top w:val="nil"/>
              <w:left w:val="nil"/>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39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0.025**</w:t>
            </w:r>
          </w:p>
        </w:tc>
      </w:tr>
      <w:tr w:rsidR="00444438">
        <w:trPr>
          <w:trHeight w:val="255"/>
        </w:trPr>
        <w:tc>
          <w:tcPr>
            <w:tcW w:w="1441" w:type="dxa"/>
            <w:tcBorders>
              <w:top w:val="nil"/>
              <w:left w:val="nil"/>
              <w:bottom w:val="nil"/>
              <w:right w:val="nil"/>
            </w:tcBorders>
            <w:shd w:val="clear" w:color="auto" w:fill="auto"/>
            <w:vAlign w:val="bottom"/>
          </w:tcPr>
          <w:p w:rsidR="00444438" w:rsidRDefault="00444438">
            <w:pPr>
              <w:spacing w:after="0" w:line="240" w:lineRule="auto"/>
              <w:rPr>
                <w:rFonts w:asciiTheme="majorHAnsi" w:eastAsia="Times New Roman" w:hAnsiTheme="majorHAnsi"/>
                <w:sz w:val="20"/>
                <w:szCs w:val="20"/>
                <w:lang w:eastAsia="id-ID"/>
              </w:rPr>
            </w:pPr>
          </w:p>
        </w:tc>
        <w:tc>
          <w:tcPr>
            <w:tcW w:w="1082" w:type="dxa"/>
            <w:tcBorders>
              <w:top w:val="nil"/>
              <w:left w:val="nil"/>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155" w:type="dxa"/>
            <w:tcBorders>
              <w:top w:val="nil"/>
              <w:left w:val="nil"/>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080" w:type="dxa"/>
            <w:tcBorders>
              <w:top w:val="nil"/>
              <w:left w:val="nil"/>
              <w:bottom w:val="nil"/>
              <w:right w:val="single" w:sz="4" w:space="0" w:color="auto"/>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(0.012)</w:t>
            </w:r>
          </w:p>
        </w:tc>
        <w:tc>
          <w:tcPr>
            <w:tcW w:w="1170" w:type="dxa"/>
            <w:tcBorders>
              <w:top w:val="nil"/>
              <w:left w:val="single" w:sz="4" w:space="0" w:color="auto"/>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290" w:type="dxa"/>
            <w:tcBorders>
              <w:top w:val="nil"/>
              <w:left w:val="nil"/>
              <w:bottom w:val="nil"/>
              <w:right w:val="nil"/>
            </w:tcBorders>
            <w:shd w:val="clear" w:color="auto" w:fill="auto"/>
          </w:tcPr>
          <w:p w:rsidR="00444438" w:rsidRDefault="00444438">
            <w:pPr>
              <w:spacing w:after="0" w:line="240" w:lineRule="auto"/>
              <w:rPr>
                <w:rFonts w:asciiTheme="majorHAnsi" w:eastAsia="Times New Roman" w:hAnsiTheme="majorHAnsi"/>
                <w:sz w:val="20"/>
                <w:szCs w:val="20"/>
                <w:lang w:eastAsia="id-ID"/>
              </w:rPr>
            </w:pPr>
          </w:p>
        </w:tc>
        <w:tc>
          <w:tcPr>
            <w:tcW w:w="139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(0.011)</w:t>
            </w:r>
          </w:p>
        </w:tc>
      </w:tr>
      <w:tr w:rsidR="00444438">
        <w:trPr>
          <w:trHeight w:val="255"/>
        </w:trPr>
        <w:tc>
          <w:tcPr>
            <w:tcW w:w="1441" w:type="dxa"/>
            <w:tcBorders>
              <w:top w:val="nil"/>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Constant</w:t>
            </w:r>
          </w:p>
        </w:tc>
        <w:tc>
          <w:tcPr>
            <w:tcW w:w="1082"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-0.004</w:t>
            </w:r>
          </w:p>
        </w:tc>
        <w:tc>
          <w:tcPr>
            <w:tcW w:w="115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0.043**</w:t>
            </w:r>
          </w:p>
        </w:tc>
        <w:tc>
          <w:tcPr>
            <w:tcW w:w="1080" w:type="dxa"/>
            <w:tcBorders>
              <w:top w:val="nil"/>
              <w:left w:val="nil"/>
              <w:bottom w:val="nil"/>
              <w:right w:val="single" w:sz="4" w:space="0" w:color="auto"/>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-0.089*</w:t>
            </w:r>
          </w:p>
        </w:tc>
        <w:tc>
          <w:tcPr>
            <w:tcW w:w="1170" w:type="dxa"/>
            <w:tcBorders>
              <w:top w:val="nil"/>
              <w:left w:val="single" w:sz="4" w:space="0" w:color="auto"/>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c>
          <w:tcPr>
            <w:tcW w:w="1290"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-0.007</w:t>
            </w:r>
          </w:p>
        </w:tc>
        <w:tc>
          <w:tcPr>
            <w:tcW w:w="139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-0.047***</w:t>
            </w:r>
          </w:p>
        </w:tc>
      </w:tr>
      <w:tr w:rsidR="00444438">
        <w:trPr>
          <w:trHeight w:val="255"/>
        </w:trPr>
        <w:tc>
          <w:tcPr>
            <w:tcW w:w="1441" w:type="dxa"/>
            <w:tcBorders>
              <w:top w:val="nil"/>
              <w:left w:val="nil"/>
              <w:bottom w:val="nil"/>
              <w:right w:val="nil"/>
            </w:tcBorders>
            <w:shd w:val="clear" w:color="auto" w:fill="auto"/>
            <w:vAlign w:val="bottom"/>
          </w:tcPr>
          <w:p w:rsidR="00444438" w:rsidRDefault="00444438">
            <w:pPr>
              <w:spacing w:after="0" w:line="240" w:lineRule="auto"/>
              <w:rPr>
                <w:rFonts w:asciiTheme="majorHAnsi" w:eastAsia="Times New Roman" w:hAnsiTheme="majorHAnsi"/>
                <w:sz w:val="20"/>
                <w:szCs w:val="20"/>
                <w:lang w:eastAsia="id-ID"/>
              </w:rPr>
            </w:pPr>
          </w:p>
        </w:tc>
        <w:tc>
          <w:tcPr>
            <w:tcW w:w="1082"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(0.003)</w:t>
            </w:r>
          </w:p>
        </w:tc>
        <w:tc>
          <w:tcPr>
            <w:tcW w:w="115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(0.018)</w:t>
            </w:r>
          </w:p>
        </w:tc>
        <w:tc>
          <w:tcPr>
            <w:tcW w:w="1080" w:type="dxa"/>
            <w:tcBorders>
              <w:top w:val="nil"/>
              <w:left w:val="nil"/>
              <w:bottom w:val="nil"/>
              <w:right w:val="single" w:sz="4" w:space="0" w:color="auto"/>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(0.049)</w:t>
            </w:r>
          </w:p>
        </w:tc>
        <w:tc>
          <w:tcPr>
            <w:tcW w:w="1170" w:type="dxa"/>
            <w:tcBorders>
              <w:top w:val="nil"/>
              <w:left w:val="single" w:sz="4" w:space="0" w:color="auto"/>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(0.003)</w:t>
            </w:r>
          </w:p>
        </w:tc>
        <w:tc>
          <w:tcPr>
            <w:tcW w:w="1290"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(0.012)</w:t>
            </w:r>
          </w:p>
        </w:tc>
        <w:tc>
          <w:tcPr>
            <w:tcW w:w="139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(0.015)</w:t>
            </w:r>
          </w:p>
        </w:tc>
      </w:tr>
      <w:tr w:rsidR="00444438">
        <w:trPr>
          <w:trHeight w:val="255"/>
        </w:trPr>
        <w:tc>
          <w:tcPr>
            <w:tcW w:w="1441" w:type="dxa"/>
            <w:tcBorders>
              <w:top w:val="nil"/>
              <w:left w:val="nil"/>
              <w:bottom w:val="nil"/>
              <w:right w:val="nil"/>
            </w:tcBorders>
            <w:shd w:val="clear" w:color="auto" w:fill="auto"/>
            <w:vAlign w:val="bottom"/>
          </w:tcPr>
          <w:p w:rsidR="00444438" w:rsidRDefault="00444438">
            <w:pPr>
              <w:spacing w:after="0" w:line="240" w:lineRule="auto"/>
              <w:rPr>
                <w:rFonts w:asciiTheme="majorHAnsi" w:eastAsia="Times New Roman" w:hAnsiTheme="majorHAnsi"/>
                <w:sz w:val="20"/>
                <w:szCs w:val="20"/>
                <w:lang w:eastAsia="id-ID"/>
              </w:rPr>
            </w:pPr>
          </w:p>
        </w:tc>
        <w:tc>
          <w:tcPr>
            <w:tcW w:w="1082" w:type="dxa"/>
            <w:tcBorders>
              <w:top w:val="nil"/>
              <w:left w:val="nil"/>
              <w:bottom w:val="nil"/>
              <w:right w:val="nil"/>
            </w:tcBorders>
            <w:shd w:val="clear" w:color="auto" w:fill="auto"/>
            <w:vAlign w:val="bottom"/>
          </w:tcPr>
          <w:p w:rsidR="00444438" w:rsidRDefault="00444438">
            <w:pPr>
              <w:spacing w:after="0" w:line="240" w:lineRule="auto"/>
              <w:rPr>
                <w:rFonts w:asciiTheme="majorHAnsi" w:eastAsia="Times New Roman" w:hAnsiTheme="majorHAnsi"/>
                <w:sz w:val="20"/>
                <w:szCs w:val="20"/>
                <w:lang w:eastAsia="id-ID"/>
              </w:rPr>
            </w:pPr>
          </w:p>
        </w:tc>
        <w:tc>
          <w:tcPr>
            <w:tcW w:w="1155" w:type="dxa"/>
            <w:tcBorders>
              <w:top w:val="nil"/>
              <w:left w:val="nil"/>
              <w:bottom w:val="nil"/>
              <w:right w:val="nil"/>
            </w:tcBorders>
            <w:shd w:val="clear" w:color="auto" w:fill="auto"/>
            <w:vAlign w:val="bottom"/>
          </w:tcPr>
          <w:p w:rsidR="00444438" w:rsidRDefault="00444438">
            <w:pPr>
              <w:spacing w:after="0" w:line="240" w:lineRule="auto"/>
              <w:rPr>
                <w:rFonts w:asciiTheme="majorHAnsi" w:eastAsia="Times New Roman" w:hAnsiTheme="majorHAnsi"/>
                <w:sz w:val="20"/>
                <w:szCs w:val="20"/>
                <w:lang w:eastAsia="id-ID"/>
              </w:rPr>
            </w:pPr>
          </w:p>
        </w:tc>
        <w:tc>
          <w:tcPr>
            <w:tcW w:w="1080" w:type="dxa"/>
            <w:tcBorders>
              <w:top w:val="nil"/>
              <w:left w:val="nil"/>
              <w:bottom w:val="nil"/>
              <w:right w:val="single" w:sz="4" w:space="0" w:color="auto"/>
            </w:tcBorders>
            <w:shd w:val="clear" w:color="auto" w:fill="auto"/>
            <w:vAlign w:val="bottom"/>
          </w:tcPr>
          <w:p w:rsidR="00444438" w:rsidRDefault="00444438">
            <w:pPr>
              <w:spacing w:after="0" w:line="240" w:lineRule="auto"/>
              <w:rPr>
                <w:rFonts w:asciiTheme="majorHAnsi" w:eastAsia="Times New Roman" w:hAnsiTheme="majorHAnsi"/>
                <w:sz w:val="20"/>
                <w:szCs w:val="20"/>
                <w:lang w:eastAsia="id-ID"/>
              </w:rPr>
            </w:pPr>
          </w:p>
        </w:tc>
        <w:tc>
          <w:tcPr>
            <w:tcW w:w="1170" w:type="dxa"/>
            <w:tcBorders>
              <w:top w:val="nil"/>
              <w:left w:val="single" w:sz="4" w:space="0" w:color="auto"/>
              <w:bottom w:val="nil"/>
              <w:right w:val="nil"/>
            </w:tcBorders>
            <w:shd w:val="clear" w:color="auto" w:fill="auto"/>
            <w:vAlign w:val="bottom"/>
          </w:tcPr>
          <w:p w:rsidR="00444438" w:rsidRDefault="00444438">
            <w:pPr>
              <w:spacing w:after="0" w:line="240" w:lineRule="auto"/>
              <w:rPr>
                <w:rFonts w:asciiTheme="majorHAnsi" w:eastAsia="Times New Roman" w:hAnsiTheme="majorHAnsi"/>
                <w:sz w:val="20"/>
                <w:szCs w:val="20"/>
                <w:lang w:eastAsia="id-ID"/>
              </w:rPr>
            </w:pPr>
          </w:p>
        </w:tc>
        <w:tc>
          <w:tcPr>
            <w:tcW w:w="1290" w:type="dxa"/>
            <w:tcBorders>
              <w:top w:val="nil"/>
              <w:left w:val="nil"/>
              <w:bottom w:val="nil"/>
              <w:right w:val="nil"/>
            </w:tcBorders>
            <w:shd w:val="clear" w:color="auto" w:fill="auto"/>
            <w:vAlign w:val="bottom"/>
          </w:tcPr>
          <w:p w:rsidR="00444438" w:rsidRDefault="00444438">
            <w:pPr>
              <w:spacing w:after="0" w:line="240" w:lineRule="auto"/>
              <w:rPr>
                <w:rFonts w:asciiTheme="majorHAnsi" w:eastAsia="Times New Roman" w:hAnsiTheme="majorHAnsi"/>
                <w:sz w:val="20"/>
                <w:szCs w:val="20"/>
                <w:lang w:eastAsia="id-ID"/>
              </w:rPr>
            </w:pPr>
          </w:p>
        </w:tc>
        <w:tc>
          <w:tcPr>
            <w:tcW w:w="1395" w:type="dxa"/>
            <w:tcBorders>
              <w:top w:val="nil"/>
              <w:left w:val="nil"/>
              <w:bottom w:val="nil"/>
              <w:right w:val="nil"/>
            </w:tcBorders>
            <w:shd w:val="clear" w:color="auto" w:fill="auto"/>
            <w:vAlign w:val="bottom"/>
          </w:tcPr>
          <w:p w:rsidR="00444438" w:rsidRDefault="00444438">
            <w:pPr>
              <w:spacing w:after="0" w:line="240" w:lineRule="auto"/>
              <w:rPr>
                <w:rFonts w:asciiTheme="majorHAnsi" w:eastAsia="Times New Roman" w:hAnsiTheme="majorHAnsi"/>
                <w:sz w:val="20"/>
                <w:szCs w:val="20"/>
                <w:lang w:eastAsia="id-ID"/>
              </w:rPr>
            </w:pPr>
          </w:p>
        </w:tc>
      </w:tr>
      <w:tr w:rsidR="00444438">
        <w:trPr>
          <w:trHeight w:val="255"/>
        </w:trPr>
        <w:tc>
          <w:tcPr>
            <w:tcW w:w="1441" w:type="dxa"/>
            <w:tcBorders>
              <w:top w:val="nil"/>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R-square</w:t>
            </w:r>
          </w:p>
        </w:tc>
        <w:tc>
          <w:tcPr>
            <w:tcW w:w="1082"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0.597</w:t>
            </w:r>
          </w:p>
        </w:tc>
        <w:tc>
          <w:tcPr>
            <w:tcW w:w="115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0.645</w:t>
            </w:r>
          </w:p>
        </w:tc>
        <w:tc>
          <w:tcPr>
            <w:tcW w:w="1080" w:type="dxa"/>
            <w:tcBorders>
              <w:top w:val="nil"/>
              <w:left w:val="nil"/>
              <w:bottom w:val="nil"/>
              <w:right w:val="single" w:sz="4" w:space="0" w:color="auto"/>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0.665</w:t>
            </w:r>
          </w:p>
        </w:tc>
        <w:tc>
          <w:tcPr>
            <w:tcW w:w="1170" w:type="dxa"/>
            <w:tcBorders>
              <w:top w:val="nil"/>
              <w:left w:val="single" w:sz="4" w:space="0" w:color="auto"/>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0.339</w:t>
            </w:r>
          </w:p>
        </w:tc>
        <w:tc>
          <w:tcPr>
            <w:tcW w:w="1290"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0.408</w:t>
            </w:r>
          </w:p>
        </w:tc>
        <w:tc>
          <w:tcPr>
            <w:tcW w:w="1395" w:type="dxa"/>
            <w:tcBorders>
              <w:top w:val="nil"/>
              <w:left w:val="nil"/>
              <w:bottom w:val="nil"/>
              <w:right w:val="nil"/>
            </w:tcBorders>
            <w:shd w:val="clear" w:color="auto" w:fill="auto"/>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0.433</w:t>
            </w:r>
          </w:p>
        </w:tc>
      </w:tr>
      <w:tr w:rsidR="00444438">
        <w:trPr>
          <w:trHeight w:val="255"/>
        </w:trPr>
        <w:tc>
          <w:tcPr>
            <w:tcW w:w="1441" w:type="dxa"/>
            <w:tcBorders>
              <w:top w:val="nil"/>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Observations</w:t>
            </w:r>
          </w:p>
        </w:tc>
        <w:tc>
          <w:tcPr>
            <w:tcW w:w="1082" w:type="dxa"/>
            <w:tcBorders>
              <w:top w:val="nil"/>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793</w:t>
            </w:r>
          </w:p>
        </w:tc>
        <w:tc>
          <w:tcPr>
            <w:tcW w:w="1155" w:type="dxa"/>
            <w:tcBorders>
              <w:top w:val="nil"/>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793</w:t>
            </w:r>
          </w:p>
        </w:tc>
        <w:tc>
          <w:tcPr>
            <w:tcW w:w="1080" w:type="dxa"/>
            <w:tcBorders>
              <w:top w:val="nil"/>
              <w:left w:val="nil"/>
              <w:bottom w:val="nil"/>
              <w:right w:val="single" w:sz="4" w:space="0" w:color="auto"/>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793</w:t>
            </w:r>
          </w:p>
        </w:tc>
        <w:tc>
          <w:tcPr>
            <w:tcW w:w="1170" w:type="dxa"/>
            <w:tcBorders>
              <w:top w:val="nil"/>
              <w:left w:val="single" w:sz="4" w:space="0" w:color="auto"/>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793</w:t>
            </w:r>
          </w:p>
        </w:tc>
        <w:tc>
          <w:tcPr>
            <w:tcW w:w="1290" w:type="dxa"/>
            <w:tcBorders>
              <w:top w:val="nil"/>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793</w:t>
            </w:r>
          </w:p>
        </w:tc>
        <w:tc>
          <w:tcPr>
            <w:tcW w:w="1395" w:type="dxa"/>
            <w:tcBorders>
              <w:top w:val="nil"/>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793</w:t>
            </w:r>
          </w:p>
        </w:tc>
      </w:tr>
      <w:tr w:rsidR="00444438">
        <w:trPr>
          <w:trHeight w:val="255"/>
        </w:trPr>
        <w:tc>
          <w:tcPr>
            <w:tcW w:w="1441" w:type="dxa"/>
            <w:tcBorders>
              <w:top w:val="nil"/>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Number of Bank</w:t>
            </w:r>
          </w:p>
        </w:tc>
        <w:tc>
          <w:tcPr>
            <w:tcW w:w="1082" w:type="dxa"/>
            <w:tcBorders>
              <w:top w:val="nil"/>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116</w:t>
            </w:r>
          </w:p>
        </w:tc>
        <w:tc>
          <w:tcPr>
            <w:tcW w:w="1155" w:type="dxa"/>
            <w:tcBorders>
              <w:top w:val="nil"/>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116</w:t>
            </w:r>
          </w:p>
        </w:tc>
        <w:tc>
          <w:tcPr>
            <w:tcW w:w="1080" w:type="dxa"/>
            <w:tcBorders>
              <w:top w:val="nil"/>
              <w:left w:val="nil"/>
              <w:bottom w:val="nil"/>
              <w:right w:val="single" w:sz="4" w:space="0" w:color="auto"/>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116</w:t>
            </w:r>
          </w:p>
        </w:tc>
        <w:tc>
          <w:tcPr>
            <w:tcW w:w="1170" w:type="dxa"/>
            <w:tcBorders>
              <w:top w:val="nil"/>
              <w:left w:val="single" w:sz="4" w:space="0" w:color="auto"/>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116</w:t>
            </w:r>
          </w:p>
        </w:tc>
        <w:tc>
          <w:tcPr>
            <w:tcW w:w="1290" w:type="dxa"/>
            <w:tcBorders>
              <w:top w:val="nil"/>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116</w:t>
            </w:r>
          </w:p>
        </w:tc>
        <w:tc>
          <w:tcPr>
            <w:tcW w:w="1395" w:type="dxa"/>
            <w:tcBorders>
              <w:top w:val="nil"/>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116</w:t>
            </w:r>
          </w:p>
        </w:tc>
      </w:tr>
    </w:tbl>
    <w:p w:rsidR="00444438" w:rsidRDefault="00E25332">
      <w:pPr>
        <w:spacing w:before="120" w:after="120" w:line="240" w:lineRule="auto"/>
        <w:jc w:val="both"/>
        <w:outlineLvl w:val="0"/>
        <w:rPr>
          <w:rFonts w:asciiTheme="majorHAnsi" w:hAnsiTheme="majorHAnsi"/>
          <w:iCs/>
          <w:color w:val="000000"/>
          <w:sz w:val="16"/>
          <w:szCs w:val="16"/>
        </w:rPr>
      </w:pPr>
      <w:r>
        <w:rPr>
          <w:rFonts w:asciiTheme="majorHAnsi" w:hAnsiTheme="majorHAnsi"/>
          <w:color w:val="000000"/>
          <w:sz w:val="16"/>
          <w:szCs w:val="16"/>
        </w:rPr>
        <w:lastRenderedPageBreak/>
        <w:t xml:space="preserve">ROA denotes return on asset, HCE denotes human capital efficiency, SCE denotes structural capital efficiency, CEE denotes capital employed efficiency, LLP denotes loan loss provision, LOANTA denotes loan to total asset, CAP denotes equity to total asset, </w:t>
      </w:r>
      <w:proofErr w:type="spellStart"/>
      <w:r>
        <w:rPr>
          <w:rFonts w:asciiTheme="majorHAnsi" w:hAnsiTheme="majorHAnsi"/>
          <w:color w:val="000000"/>
          <w:sz w:val="16"/>
          <w:szCs w:val="16"/>
        </w:rPr>
        <w:t>LnTA</w:t>
      </w:r>
      <w:proofErr w:type="spellEnd"/>
      <w:r>
        <w:rPr>
          <w:rFonts w:asciiTheme="majorHAnsi" w:hAnsiTheme="majorHAnsi"/>
          <w:color w:val="000000"/>
          <w:sz w:val="16"/>
          <w:szCs w:val="16"/>
        </w:rPr>
        <w:t xml:space="preserve"> denotes natural logarithm of total asset, </w:t>
      </w:r>
      <w:proofErr w:type="spellStart"/>
      <w:r>
        <w:rPr>
          <w:rFonts w:asciiTheme="majorHAnsi" w:hAnsiTheme="majorHAnsi"/>
          <w:color w:val="000000"/>
          <w:sz w:val="16"/>
          <w:szCs w:val="16"/>
        </w:rPr>
        <w:t>GrGdp</w:t>
      </w:r>
      <w:proofErr w:type="spellEnd"/>
      <w:r>
        <w:rPr>
          <w:rFonts w:asciiTheme="majorHAnsi" w:hAnsiTheme="majorHAnsi"/>
          <w:color w:val="000000"/>
          <w:sz w:val="16"/>
          <w:szCs w:val="16"/>
        </w:rPr>
        <w:t xml:space="preserve"> denotes growth of gross domestic product, and INF denotes inflation rate. Asterisk (***), (**) and (*) indicate statistically significant at 1%, 5%, and 10% significance level. Figures in round (.) brackets are</w:t>
      </w:r>
      <w:r>
        <w:rPr>
          <w:rFonts w:asciiTheme="majorHAnsi" w:hAnsiTheme="majorHAnsi"/>
          <w:i/>
          <w:iCs/>
          <w:color w:val="000000"/>
          <w:sz w:val="16"/>
          <w:szCs w:val="16"/>
        </w:rPr>
        <w:t xml:space="preserve"> </w:t>
      </w:r>
      <w:r>
        <w:rPr>
          <w:rFonts w:asciiTheme="majorHAnsi" w:hAnsiTheme="majorHAnsi"/>
          <w:iCs/>
          <w:color w:val="000000"/>
          <w:sz w:val="16"/>
          <w:szCs w:val="16"/>
        </w:rPr>
        <w:t>standard error while the value above it is coefficient value</w:t>
      </w:r>
    </w:p>
    <w:p w:rsidR="00444438" w:rsidRDefault="00444438">
      <w:pPr>
        <w:spacing w:before="120" w:after="120" w:line="240" w:lineRule="auto"/>
        <w:jc w:val="both"/>
        <w:outlineLvl w:val="0"/>
        <w:rPr>
          <w:rFonts w:ascii="Times New Roman" w:hAnsi="Times New Roman"/>
          <w:iCs/>
          <w:color w:val="000000"/>
          <w:sz w:val="16"/>
          <w:szCs w:val="16"/>
        </w:rPr>
      </w:pPr>
    </w:p>
    <w:p w:rsidR="00444438" w:rsidRDefault="00E25332">
      <w:pPr>
        <w:ind w:firstLine="720"/>
        <w:jc w:val="both"/>
        <w:rPr>
          <w:rFonts w:asciiTheme="majorHAnsi" w:hAnsiTheme="majorHAnsi"/>
          <w:sz w:val="20"/>
          <w:szCs w:val="20"/>
        </w:rPr>
      </w:pPr>
      <w:proofErr w:type="spellStart"/>
      <w:r>
        <w:rPr>
          <w:rFonts w:asciiTheme="majorHAnsi" w:hAnsiTheme="majorHAnsi"/>
          <w:sz w:val="20"/>
          <w:szCs w:val="20"/>
        </w:rPr>
        <w:t>Similat</w:t>
      </w:r>
      <w:proofErr w:type="spellEnd"/>
      <w:r>
        <w:rPr>
          <w:rFonts w:asciiTheme="majorHAnsi" w:hAnsiTheme="majorHAnsi"/>
          <w:sz w:val="20"/>
          <w:szCs w:val="20"/>
        </w:rPr>
        <w:t xml:space="preserve"> to previous test, we also examine the effect of VAIC components on bank profitability based bank type. </w:t>
      </w:r>
      <w:proofErr w:type="gramStart"/>
      <w:r>
        <w:rPr>
          <w:rFonts w:asciiTheme="majorHAnsi" w:hAnsiTheme="majorHAnsi"/>
          <w:sz w:val="20"/>
          <w:szCs w:val="20"/>
        </w:rPr>
        <w:t>fixed</w:t>
      </w:r>
      <w:proofErr w:type="gramEnd"/>
      <w:r>
        <w:rPr>
          <w:rFonts w:asciiTheme="majorHAnsi" w:hAnsiTheme="majorHAnsi"/>
          <w:sz w:val="20"/>
          <w:szCs w:val="20"/>
        </w:rPr>
        <w:t xml:space="preserve"> effect is conducted in this analysis. The result of table 6 shows that HCE is the most important element of VAIC, both for conventional and </w:t>
      </w:r>
      <w:proofErr w:type="spellStart"/>
      <w:proofErr w:type="gramStart"/>
      <w:r>
        <w:rPr>
          <w:rFonts w:asciiTheme="majorHAnsi" w:hAnsiTheme="majorHAnsi"/>
          <w:sz w:val="20"/>
          <w:szCs w:val="20"/>
        </w:rPr>
        <w:t>islamic</w:t>
      </w:r>
      <w:proofErr w:type="spellEnd"/>
      <w:proofErr w:type="gramEnd"/>
      <w:r>
        <w:rPr>
          <w:rFonts w:asciiTheme="majorHAnsi" w:hAnsiTheme="majorHAnsi"/>
          <w:sz w:val="20"/>
          <w:szCs w:val="20"/>
        </w:rPr>
        <w:t xml:space="preserve"> banks in generating profit (p-value &lt; 0.01). Other component has no effect on bank profitability. For bank specific control variables, only loan loss provision has significant roles in generating ROA. Nevertheless, this effect </w:t>
      </w:r>
      <w:proofErr w:type="gramStart"/>
      <w:r>
        <w:rPr>
          <w:rFonts w:asciiTheme="majorHAnsi" w:hAnsiTheme="majorHAnsi"/>
          <w:sz w:val="20"/>
          <w:szCs w:val="20"/>
        </w:rPr>
        <w:t>is only occurred</w:t>
      </w:r>
      <w:proofErr w:type="gramEnd"/>
      <w:r>
        <w:rPr>
          <w:rFonts w:asciiTheme="majorHAnsi" w:hAnsiTheme="majorHAnsi"/>
          <w:sz w:val="20"/>
          <w:szCs w:val="20"/>
        </w:rPr>
        <w:t xml:space="preserve"> in Islamic banks LLP and </w:t>
      </w:r>
      <w:proofErr w:type="spellStart"/>
      <w:r>
        <w:rPr>
          <w:rFonts w:asciiTheme="majorHAnsi" w:hAnsiTheme="majorHAnsi"/>
          <w:sz w:val="20"/>
          <w:szCs w:val="20"/>
        </w:rPr>
        <w:t>LnTA</w:t>
      </w:r>
      <w:proofErr w:type="spellEnd"/>
      <w:r>
        <w:rPr>
          <w:rFonts w:asciiTheme="majorHAnsi" w:hAnsiTheme="majorHAnsi"/>
          <w:sz w:val="20"/>
          <w:szCs w:val="20"/>
        </w:rPr>
        <w:t xml:space="preserve"> have </w:t>
      </w:r>
      <w:proofErr w:type="spellStart"/>
      <w:r>
        <w:rPr>
          <w:rFonts w:asciiTheme="majorHAnsi" w:hAnsiTheme="majorHAnsi"/>
          <w:sz w:val="20"/>
          <w:szCs w:val="20"/>
        </w:rPr>
        <w:t>signficant</w:t>
      </w:r>
      <w:proofErr w:type="spellEnd"/>
      <w:r>
        <w:rPr>
          <w:rFonts w:asciiTheme="majorHAnsi" w:hAnsiTheme="majorHAnsi"/>
          <w:sz w:val="20"/>
          <w:szCs w:val="20"/>
        </w:rPr>
        <w:t xml:space="preserve"> effect on ROA. Our finding also find that INF and </w:t>
      </w:r>
      <w:proofErr w:type="spellStart"/>
      <w:r>
        <w:rPr>
          <w:rFonts w:asciiTheme="majorHAnsi" w:hAnsiTheme="majorHAnsi"/>
          <w:sz w:val="20"/>
          <w:szCs w:val="20"/>
        </w:rPr>
        <w:t>GrGDP</w:t>
      </w:r>
      <w:proofErr w:type="spellEnd"/>
      <w:r>
        <w:rPr>
          <w:rFonts w:asciiTheme="majorHAnsi" w:hAnsiTheme="majorHAnsi"/>
          <w:sz w:val="20"/>
          <w:szCs w:val="20"/>
        </w:rPr>
        <w:t xml:space="preserve"> have significant effect on the profitability of conventional bank, while inflation is only has significant effect on the profitability of </w:t>
      </w:r>
      <w:proofErr w:type="spellStart"/>
      <w:r>
        <w:rPr>
          <w:rFonts w:asciiTheme="majorHAnsi" w:hAnsiTheme="majorHAnsi"/>
          <w:sz w:val="20"/>
          <w:szCs w:val="20"/>
        </w:rPr>
        <w:t>islamic</w:t>
      </w:r>
      <w:proofErr w:type="spellEnd"/>
      <w:r>
        <w:rPr>
          <w:rFonts w:asciiTheme="majorHAnsi" w:hAnsiTheme="majorHAnsi"/>
          <w:sz w:val="20"/>
          <w:szCs w:val="20"/>
        </w:rPr>
        <w:t xml:space="preserve"> bank. </w:t>
      </w:r>
    </w:p>
    <w:p w:rsidR="00444438" w:rsidRDefault="00E25332">
      <w:pPr>
        <w:spacing w:after="40" w:line="260" w:lineRule="auto"/>
        <w:jc w:val="center"/>
        <w:rPr>
          <w:rFonts w:asciiTheme="majorHAnsi" w:hAnsiTheme="majorHAnsi"/>
          <w:sz w:val="20"/>
          <w:szCs w:val="20"/>
        </w:rPr>
      </w:pPr>
      <w:r>
        <w:rPr>
          <w:rFonts w:asciiTheme="majorHAnsi" w:hAnsiTheme="majorHAnsi"/>
          <w:sz w:val="20"/>
          <w:szCs w:val="20"/>
        </w:rPr>
        <w:t>Table 4. Split Sample Regression Result</w:t>
      </w:r>
      <w:proofErr w:type="gramStart"/>
      <w:r>
        <w:rPr>
          <w:rFonts w:asciiTheme="majorHAnsi" w:hAnsiTheme="majorHAnsi"/>
          <w:sz w:val="20"/>
          <w:szCs w:val="20"/>
        </w:rPr>
        <w:t>: :</w:t>
      </w:r>
      <w:proofErr w:type="gramEnd"/>
      <w:r>
        <w:rPr>
          <w:rFonts w:asciiTheme="majorHAnsi" w:hAnsiTheme="majorHAnsi"/>
          <w:sz w:val="20"/>
          <w:szCs w:val="20"/>
        </w:rPr>
        <w:t xml:space="preserve"> The Effect of VAIC Component on Bank Profitability</w:t>
      </w:r>
    </w:p>
    <w:tbl>
      <w:tblPr>
        <w:tblpPr w:leftFromText="180" w:rightFromText="180" w:vertAnchor="text" w:horzAnchor="page" w:tblpX="2135" w:tblpY="166"/>
        <w:tblOverlap w:val="never"/>
        <w:tblW w:w="8613" w:type="dxa"/>
        <w:tblLayout w:type="fixed"/>
        <w:tblLook w:val="04A0" w:firstRow="1" w:lastRow="0" w:firstColumn="1" w:lastColumn="0" w:noHBand="0" w:noVBand="1"/>
      </w:tblPr>
      <w:tblGrid>
        <w:gridCol w:w="1441"/>
        <w:gridCol w:w="1082"/>
        <w:gridCol w:w="1155"/>
        <w:gridCol w:w="1080"/>
        <w:gridCol w:w="1170"/>
        <w:gridCol w:w="1290"/>
        <w:gridCol w:w="1395"/>
      </w:tblGrid>
      <w:tr w:rsidR="00444438">
        <w:trPr>
          <w:trHeight w:val="255"/>
        </w:trPr>
        <w:tc>
          <w:tcPr>
            <w:tcW w:w="1441" w:type="dxa"/>
            <w:tcBorders>
              <w:top w:val="single" w:sz="4" w:space="0" w:color="000000"/>
              <w:left w:val="nil"/>
              <w:right w:val="nil"/>
            </w:tcBorders>
            <w:shd w:val="clear" w:color="auto" w:fill="auto"/>
            <w:vAlign w:val="bottom"/>
          </w:tcPr>
          <w:p w:rsidR="00444438" w:rsidRDefault="00444438">
            <w:pPr>
              <w:spacing w:after="0" w:line="240" w:lineRule="auto"/>
              <w:rPr>
                <w:rFonts w:asciiTheme="majorHAnsi" w:eastAsia="Times New Roman" w:hAnsiTheme="majorHAnsi"/>
                <w:sz w:val="20"/>
                <w:szCs w:val="20"/>
                <w:lang w:eastAsia="id-ID"/>
              </w:rPr>
            </w:pPr>
          </w:p>
        </w:tc>
        <w:tc>
          <w:tcPr>
            <w:tcW w:w="3317" w:type="dxa"/>
            <w:gridSpan w:val="3"/>
            <w:tcBorders>
              <w:top w:val="single" w:sz="4" w:space="0" w:color="000000"/>
              <w:left w:val="nil"/>
              <w:right w:val="single" w:sz="4" w:space="0" w:color="auto"/>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Conventional Banks</w:t>
            </w:r>
          </w:p>
        </w:tc>
        <w:tc>
          <w:tcPr>
            <w:tcW w:w="3855" w:type="dxa"/>
            <w:gridSpan w:val="3"/>
            <w:tcBorders>
              <w:top w:val="single" w:sz="4" w:space="0" w:color="000000"/>
              <w:left w:val="single" w:sz="4" w:space="0" w:color="auto"/>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Islamic Banks</w:t>
            </w:r>
          </w:p>
        </w:tc>
      </w:tr>
      <w:tr w:rsidR="00444438">
        <w:trPr>
          <w:trHeight w:val="255"/>
        </w:trPr>
        <w:tc>
          <w:tcPr>
            <w:tcW w:w="1441" w:type="dxa"/>
            <w:tcBorders>
              <w:left w:val="nil"/>
              <w:right w:val="nil"/>
            </w:tcBorders>
            <w:shd w:val="clear" w:color="auto" w:fill="auto"/>
            <w:vAlign w:val="bottom"/>
          </w:tcPr>
          <w:p w:rsidR="00444438" w:rsidRDefault="00444438">
            <w:pPr>
              <w:spacing w:after="0" w:line="240" w:lineRule="auto"/>
              <w:rPr>
                <w:rFonts w:asciiTheme="majorHAnsi" w:eastAsia="Times New Roman" w:hAnsiTheme="majorHAnsi"/>
                <w:sz w:val="20"/>
                <w:szCs w:val="20"/>
                <w:lang w:eastAsia="id-ID"/>
              </w:rPr>
            </w:pPr>
          </w:p>
        </w:tc>
        <w:tc>
          <w:tcPr>
            <w:tcW w:w="3317" w:type="dxa"/>
            <w:gridSpan w:val="3"/>
            <w:tcBorders>
              <w:left w:val="nil"/>
              <w:bottom w:val="single" w:sz="4" w:space="0" w:color="auto"/>
              <w:right w:val="single" w:sz="4" w:space="0" w:color="auto"/>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Fixed Effect</w:t>
            </w:r>
          </w:p>
        </w:tc>
        <w:tc>
          <w:tcPr>
            <w:tcW w:w="3855" w:type="dxa"/>
            <w:gridSpan w:val="3"/>
            <w:tcBorders>
              <w:left w:val="single" w:sz="4" w:space="0" w:color="auto"/>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Fixed Effect</w:t>
            </w:r>
          </w:p>
        </w:tc>
      </w:tr>
      <w:tr w:rsidR="00444438">
        <w:trPr>
          <w:trHeight w:val="255"/>
        </w:trPr>
        <w:tc>
          <w:tcPr>
            <w:tcW w:w="1441" w:type="dxa"/>
            <w:tcBorders>
              <w:left w:val="nil"/>
              <w:bottom w:val="nil"/>
              <w:right w:val="nil"/>
            </w:tcBorders>
            <w:shd w:val="clear" w:color="auto" w:fill="auto"/>
            <w:vAlign w:val="bottom"/>
          </w:tcPr>
          <w:p w:rsidR="00444438" w:rsidRDefault="00E25332">
            <w:pPr>
              <w:spacing w:after="0" w:line="240" w:lineRule="auto"/>
              <w:rPr>
                <w:rFonts w:asciiTheme="majorHAnsi" w:eastAsia="Times New Roman" w:hAnsiTheme="majorHAnsi"/>
                <w:sz w:val="20"/>
                <w:szCs w:val="20"/>
                <w:lang w:eastAsia="id-ID"/>
              </w:rPr>
            </w:pPr>
            <w:r>
              <w:rPr>
                <w:rFonts w:asciiTheme="majorHAnsi" w:eastAsia="Times New Roman" w:hAnsiTheme="majorHAnsi"/>
                <w:sz w:val="20"/>
                <w:szCs w:val="20"/>
                <w:lang w:eastAsia="id-ID"/>
              </w:rPr>
              <w:t> </w:t>
            </w:r>
          </w:p>
        </w:tc>
        <w:tc>
          <w:tcPr>
            <w:tcW w:w="1082" w:type="dxa"/>
            <w:tcBorders>
              <w:top w:val="single" w:sz="4" w:space="0" w:color="auto"/>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(1)</w:t>
            </w:r>
          </w:p>
        </w:tc>
        <w:tc>
          <w:tcPr>
            <w:tcW w:w="1155" w:type="dxa"/>
            <w:tcBorders>
              <w:top w:val="single" w:sz="4" w:space="0" w:color="auto"/>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(2)</w:t>
            </w:r>
          </w:p>
        </w:tc>
        <w:tc>
          <w:tcPr>
            <w:tcW w:w="1080" w:type="dxa"/>
            <w:tcBorders>
              <w:top w:val="single" w:sz="4" w:space="0" w:color="auto"/>
              <w:left w:val="nil"/>
              <w:bottom w:val="nil"/>
              <w:right w:val="single" w:sz="4" w:space="0" w:color="auto"/>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(3)</w:t>
            </w:r>
          </w:p>
        </w:tc>
        <w:tc>
          <w:tcPr>
            <w:tcW w:w="1170" w:type="dxa"/>
            <w:tcBorders>
              <w:top w:val="single" w:sz="4" w:space="0" w:color="000000"/>
              <w:left w:val="single" w:sz="4" w:space="0" w:color="auto"/>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(4)</w:t>
            </w:r>
          </w:p>
        </w:tc>
        <w:tc>
          <w:tcPr>
            <w:tcW w:w="1290" w:type="dxa"/>
            <w:tcBorders>
              <w:top w:val="single" w:sz="4" w:space="0" w:color="000000"/>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(5)</w:t>
            </w:r>
          </w:p>
        </w:tc>
        <w:tc>
          <w:tcPr>
            <w:tcW w:w="1395" w:type="dxa"/>
            <w:tcBorders>
              <w:top w:val="single" w:sz="4" w:space="0" w:color="000000"/>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(6)</w:t>
            </w:r>
          </w:p>
        </w:tc>
      </w:tr>
      <w:tr w:rsidR="00444438">
        <w:trPr>
          <w:trHeight w:val="255"/>
        </w:trPr>
        <w:tc>
          <w:tcPr>
            <w:tcW w:w="1441"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VARIABLES</w:t>
            </w:r>
          </w:p>
        </w:tc>
        <w:tc>
          <w:tcPr>
            <w:tcW w:w="1082"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ROA</w:t>
            </w:r>
          </w:p>
        </w:tc>
        <w:tc>
          <w:tcPr>
            <w:tcW w:w="115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ROA</w:t>
            </w:r>
          </w:p>
        </w:tc>
        <w:tc>
          <w:tcPr>
            <w:tcW w:w="1080" w:type="dxa"/>
            <w:tcBorders>
              <w:top w:val="nil"/>
              <w:left w:val="nil"/>
              <w:bottom w:val="nil"/>
              <w:right w:val="single" w:sz="4" w:space="0" w:color="auto"/>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ROA</w:t>
            </w:r>
          </w:p>
        </w:tc>
        <w:tc>
          <w:tcPr>
            <w:tcW w:w="1170" w:type="dxa"/>
            <w:tcBorders>
              <w:top w:val="nil"/>
              <w:left w:val="single" w:sz="4" w:space="0" w:color="auto"/>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ROA</w:t>
            </w:r>
          </w:p>
        </w:tc>
        <w:tc>
          <w:tcPr>
            <w:tcW w:w="1290"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ROA</w:t>
            </w:r>
          </w:p>
        </w:tc>
        <w:tc>
          <w:tcPr>
            <w:tcW w:w="139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 xml:space="preserve">ROA </w:t>
            </w:r>
          </w:p>
        </w:tc>
      </w:tr>
      <w:tr w:rsidR="00444438">
        <w:trPr>
          <w:trHeight w:val="255"/>
        </w:trPr>
        <w:tc>
          <w:tcPr>
            <w:tcW w:w="1441" w:type="dxa"/>
            <w:tcBorders>
              <w:top w:val="single" w:sz="4" w:space="0" w:color="000000"/>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 </w:t>
            </w:r>
          </w:p>
        </w:tc>
        <w:tc>
          <w:tcPr>
            <w:tcW w:w="1082" w:type="dxa"/>
            <w:tcBorders>
              <w:top w:val="single" w:sz="4" w:space="0" w:color="000000"/>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 </w:t>
            </w:r>
          </w:p>
        </w:tc>
        <w:tc>
          <w:tcPr>
            <w:tcW w:w="1155" w:type="dxa"/>
            <w:tcBorders>
              <w:top w:val="single" w:sz="4" w:space="0" w:color="000000"/>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 </w:t>
            </w:r>
          </w:p>
        </w:tc>
        <w:tc>
          <w:tcPr>
            <w:tcW w:w="1080" w:type="dxa"/>
            <w:tcBorders>
              <w:top w:val="single" w:sz="4" w:space="0" w:color="000000"/>
              <w:left w:val="nil"/>
              <w:bottom w:val="nil"/>
              <w:right w:val="single" w:sz="4" w:space="0" w:color="auto"/>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 </w:t>
            </w:r>
          </w:p>
        </w:tc>
        <w:tc>
          <w:tcPr>
            <w:tcW w:w="1170" w:type="dxa"/>
            <w:tcBorders>
              <w:top w:val="single" w:sz="4" w:space="0" w:color="000000"/>
              <w:left w:val="single" w:sz="4" w:space="0" w:color="auto"/>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 </w:t>
            </w:r>
          </w:p>
        </w:tc>
        <w:tc>
          <w:tcPr>
            <w:tcW w:w="1290" w:type="dxa"/>
            <w:tcBorders>
              <w:top w:val="single" w:sz="4" w:space="0" w:color="000000"/>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 </w:t>
            </w:r>
          </w:p>
        </w:tc>
        <w:tc>
          <w:tcPr>
            <w:tcW w:w="1395" w:type="dxa"/>
            <w:tcBorders>
              <w:top w:val="single" w:sz="4" w:space="0" w:color="000000"/>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 </w:t>
            </w:r>
          </w:p>
        </w:tc>
      </w:tr>
      <w:tr w:rsidR="00444438">
        <w:trPr>
          <w:trHeight w:val="255"/>
        </w:trPr>
        <w:tc>
          <w:tcPr>
            <w:tcW w:w="1441"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HCE</w:t>
            </w:r>
          </w:p>
        </w:tc>
        <w:tc>
          <w:tcPr>
            <w:tcW w:w="1082"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0.006***</w:t>
            </w:r>
          </w:p>
        </w:tc>
        <w:tc>
          <w:tcPr>
            <w:tcW w:w="1155"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0.006***</w:t>
            </w:r>
          </w:p>
        </w:tc>
        <w:tc>
          <w:tcPr>
            <w:tcW w:w="1080" w:type="dxa"/>
            <w:tcBorders>
              <w:top w:val="nil"/>
              <w:left w:val="nil"/>
              <w:bottom w:val="nil"/>
              <w:right w:val="single" w:sz="4" w:space="0" w:color="auto"/>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0.005***</w:t>
            </w:r>
          </w:p>
        </w:tc>
        <w:tc>
          <w:tcPr>
            <w:tcW w:w="1170" w:type="dxa"/>
            <w:tcBorders>
              <w:top w:val="nil"/>
              <w:left w:val="single" w:sz="4" w:space="0" w:color="auto"/>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0.008***</w:t>
            </w:r>
          </w:p>
        </w:tc>
        <w:tc>
          <w:tcPr>
            <w:tcW w:w="1290"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0.005***</w:t>
            </w:r>
          </w:p>
        </w:tc>
        <w:tc>
          <w:tcPr>
            <w:tcW w:w="1395"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0.005***</w:t>
            </w:r>
          </w:p>
        </w:tc>
      </w:tr>
      <w:tr w:rsidR="00444438">
        <w:trPr>
          <w:trHeight w:val="255"/>
        </w:trPr>
        <w:tc>
          <w:tcPr>
            <w:tcW w:w="1441" w:type="dxa"/>
            <w:tcBorders>
              <w:top w:val="nil"/>
              <w:left w:val="nil"/>
              <w:bottom w:val="nil"/>
              <w:right w:val="nil"/>
            </w:tcBorders>
            <w:shd w:val="clear" w:color="auto" w:fill="auto"/>
            <w:vAlign w:val="bottom"/>
          </w:tcPr>
          <w:p w:rsidR="00444438" w:rsidRDefault="00444438">
            <w:pPr>
              <w:spacing w:after="0" w:line="240" w:lineRule="auto"/>
              <w:jc w:val="center"/>
              <w:rPr>
                <w:rFonts w:asciiTheme="majorHAnsi" w:eastAsia="Times New Roman" w:hAnsiTheme="majorHAnsi"/>
                <w:sz w:val="20"/>
                <w:szCs w:val="20"/>
                <w:lang w:eastAsia="id-ID"/>
              </w:rPr>
            </w:pPr>
          </w:p>
        </w:tc>
        <w:tc>
          <w:tcPr>
            <w:tcW w:w="1082"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c>
          <w:tcPr>
            <w:tcW w:w="1155"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c>
          <w:tcPr>
            <w:tcW w:w="1080" w:type="dxa"/>
            <w:tcBorders>
              <w:top w:val="nil"/>
              <w:left w:val="nil"/>
              <w:bottom w:val="nil"/>
              <w:right w:val="single" w:sz="4" w:space="0" w:color="auto"/>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c>
          <w:tcPr>
            <w:tcW w:w="1170" w:type="dxa"/>
            <w:tcBorders>
              <w:top w:val="nil"/>
              <w:left w:val="single" w:sz="4" w:space="0" w:color="auto"/>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(0.002)</w:t>
            </w:r>
          </w:p>
        </w:tc>
        <w:tc>
          <w:tcPr>
            <w:tcW w:w="1290"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c>
          <w:tcPr>
            <w:tcW w:w="1395"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r>
      <w:tr w:rsidR="00444438">
        <w:trPr>
          <w:trHeight w:val="255"/>
        </w:trPr>
        <w:tc>
          <w:tcPr>
            <w:tcW w:w="1441"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SCE</w:t>
            </w:r>
          </w:p>
        </w:tc>
        <w:tc>
          <w:tcPr>
            <w:tcW w:w="1082"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0.000</w:t>
            </w:r>
          </w:p>
        </w:tc>
        <w:tc>
          <w:tcPr>
            <w:tcW w:w="1155"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0.000</w:t>
            </w:r>
          </w:p>
        </w:tc>
        <w:tc>
          <w:tcPr>
            <w:tcW w:w="1080" w:type="dxa"/>
            <w:tcBorders>
              <w:top w:val="nil"/>
              <w:left w:val="nil"/>
              <w:bottom w:val="nil"/>
              <w:right w:val="single" w:sz="4" w:space="0" w:color="auto"/>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0.000</w:t>
            </w:r>
          </w:p>
        </w:tc>
        <w:tc>
          <w:tcPr>
            <w:tcW w:w="1170" w:type="dxa"/>
            <w:tcBorders>
              <w:top w:val="nil"/>
              <w:left w:val="single" w:sz="4" w:space="0" w:color="auto"/>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0.000</w:t>
            </w:r>
          </w:p>
        </w:tc>
        <w:tc>
          <w:tcPr>
            <w:tcW w:w="1290"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-0.000</w:t>
            </w:r>
          </w:p>
        </w:tc>
        <w:tc>
          <w:tcPr>
            <w:tcW w:w="1395"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-0.000</w:t>
            </w:r>
          </w:p>
        </w:tc>
      </w:tr>
      <w:tr w:rsidR="00444438">
        <w:trPr>
          <w:trHeight w:val="255"/>
        </w:trPr>
        <w:tc>
          <w:tcPr>
            <w:tcW w:w="1441" w:type="dxa"/>
            <w:tcBorders>
              <w:top w:val="nil"/>
              <w:left w:val="nil"/>
              <w:bottom w:val="nil"/>
              <w:right w:val="nil"/>
            </w:tcBorders>
            <w:shd w:val="clear" w:color="auto" w:fill="auto"/>
            <w:vAlign w:val="bottom"/>
          </w:tcPr>
          <w:p w:rsidR="00444438" w:rsidRDefault="00444438">
            <w:pPr>
              <w:spacing w:after="0" w:line="240" w:lineRule="auto"/>
              <w:jc w:val="center"/>
              <w:rPr>
                <w:rFonts w:asciiTheme="majorHAnsi" w:eastAsia="Times New Roman" w:hAnsiTheme="majorHAnsi"/>
                <w:sz w:val="20"/>
                <w:szCs w:val="20"/>
                <w:lang w:eastAsia="id-ID"/>
              </w:rPr>
            </w:pPr>
          </w:p>
        </w:tc>
        <w:tc>
          <w:tcPr>
            <w:tcW w:w="1082"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c>
          <w:tcPr>
            <w:tcW w:w="1155"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(0.000)</w:t>
            </w:r>
          </w:p>
        </w:tc>
        <w:tc>
          <w:tcPr>
            <w:tcW w:w="1080" w:type="dxa"/>
            <w:tcBorders>
              <w:top w:val="nil"/>
              <w:left w:val="nil"/>
              <w:bottom w:val="nil"/>
              <w:right w:val="single" w:sz="4" w:space="0" w:color="auto"/>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(0.000)</w:t>
            </w:r>
          </w:p>
        </w:tc>
        <w:tc>
          <w:tcPr>
            <w:tcW w:w="1170" w:type="dxa"/>
            <w:tcBorders>
              <w:top w:val="nil"/>
              <w:left w:val="single" w:sz="4" w:space="0" w:color="auto"/>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(0.000)</w:t>
            </w:r>
          </w:p>
        </w:tc>
        <w:tc>
          <w:tcPr>
            <w:tcW w:w="1290"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(0.000)</w:t>
            </w:r>
          </w:p>
        </w:tc>
        <w:tc>
          <w:tcPr>
            <w:tcW w:w="1395"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(0.000)</w:t>
            </w:r>
          </w:p>
        </w:tc>
      </w:tr>
      <w:tr w:rsidR="00444438">
        <w:trPr>
          <w:trHeight w:val="255"/>
        </w:trPr>
        <w:tc>
          <w:tcPr>
            <w:tcW w:w="1441"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CEE</w:t>
            </w:r>
          </w:p>
        </w:tc>
        <w:tc>
          <w:tcPr>
            <w:tcW w:w="1082"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c>
          <w:tcPr>
            <w:tcW w:w="1155"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-0.000</w:t>
            </w:r>
          </w:p>
        </w:tc>
        <w:tc>
          <w:tcPr>
            <w:tcW w:w="1080" w:type="dxa"/>
            <w:tcBorders>
              <w:top w:val="nil"/>
              <w:left w:val="nil"/>
              <w:bottom w:val="nil"/>
              <w:right w:val="single" w:sz="4" w:space="0" w:color="auto"/>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-0.000</w:t>
            </w:r>
          </w:p>
        </w:tc>
        <w:tc>
          <w:tcPr>
            <w:tcW w:w="1170" w:type="dxa"/>
            <w:tcBorders>
              <w:top w:val="nil"/>
              <w:left w:val="single" w:sz="4" w:space="0" w:color="auto"/>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0.260</w:t>
            </w:r>
          </w:p>
        </w:tc>
        <w:tc>
          <w:tcPr>
            <w:tcW w:w="1290"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0.131</w:t>
            </w:r>
          </w:p>
        </w:tc>
        <w:tc>
          <w:tcPr>
            <w:tcW w:w="1395"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0.112</w:t>
            </w:r>
          </w:p>
        </w:tc>
      </w:tr>
      <w:tr w:rsidR="00444438">
        <w:trPr>
          <w:trHeight w:val="255"/>
        </w:trPr>
        <w:tc>
          <w:tcPr>
            <w:tcW w:w="1441" w:type="dxa"/>
            <w:tcBorders>
              <w:top w:val="nil"/>
              <w:left w:val="nil"/>
              <w:bottom w:val="nil"/>
              <w:right w:val="nil"/>
            </w:tcBorders>
            <w:shd w:val="clear" w:color="auto" w:fill="auto"/>
            <w:vAlign w:val="bottom"/>
          </w:tcPr>
          <w:p w:rsidR="00444438" w:rsidRDefault="00444438">
            <w:pPr>
              <w:spacing w:after="0" w:line="240" w:lineRule="auto"/>
              <w:jc w:val="center"/>
              <w:rPr>
                <w:rFonts w:asciiTheme="majorHAnsi" w:eastAsia="Times New Roman" w:hAnsiTheme="majorHAnsi"/>
                <w:sz w:val="20"/>
                <w:szCs w:val="20"/>
                <w:lang w:eastAsia="id-ID"/>
              </w:rPr>
            </w:pPr>
          </w:p>
        </w:tc>
        <w:tc>
          <w:tcPr>
            <w:tcW w:w="1082"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c>
          <w:tcPr>
            <w:tcW w:w="1155"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c>
          <w:tcPr>
            <w:tcW w:w="1080" w:type="dxa"/>
            <w:tcBorders>
              <w:top w:val="nil"/>
              <w:left w:val="nil"/>
              <w:bottom w:val="nil"/>
              <w:right w:val="single" w:sz="4" w:space="0" w:color="auto"/>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c>
          <w:tcPr>
            <w:tcW w:w="1170" w:type="dxa"/>
            <w:tcBorders>
              <w:top w:val="nil"/>
              <w:left w:val="single" w:sz="4" w:space="0" w:color="auto"/>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(0.194)</w:t>
            </w:r>
          </w:p>
        </w:tc>
        <w:tc>
          <w:tcPr>
            <w:tcW w:w="1290"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(0.074)</w:t>
            </w:r>
          </w:p>
        </w:tc>
        <w:tc>
          <w:tcPr>
            <w:tcW w:w="1395"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(0.085)</w:t>
            </w:r>
          </w:p>
        </w:tc>
      </w:tr>
      <w:tr w:rsidR="00444438">
        <w:trPr>
          <w:trHeight w:val="255"/>
        </w:trPr>
        <w:tc>
          <w:tcPr>
            <w:tcW w:w="1441"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LLP</w:t>
            </w:r>
          </w:p>
        </w:tc>
        <w:tc>
          <w:tcPr>
            <w:tcW w:w="1082" w:type="dxa"/>
            <w:tcBorders>
              <w:top w:val="nil"/>
              <w:left w:val="nil"/>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155"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-0.009</w:t>
            </w:r>
          </w:p>
        </w:tc>
        <w:tc>
          <w:tcPr>
            <w:tcW w:w="1080" w:type="dxa"/>
            <w:tcBorders>
              <w:top w:val="nil"/>
              <w:left w:val="nil"/>
              <w:bottom w:val="nil"/>
              <w:right w:val="single" w:sz="4" w:space="0" w:color="auto"/>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-0.011</w:t>
            </w:r>
          </w:p>
        </w:tc>
        <w:tc>
          <w:tcPr>
            <w:tcW w:w="1170" w:type="dxa"/>
            <w:tcBorders>
              <w:top w:val="nil"/>
              <w:left w:val="single" w:sz="4" w:space="0" w:color="auto"/>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290"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-0.221***</w:t>
            </w:r>
          </w:p>
        </w:tc>
        <w:tc>
          <w:tcPr>
            <w:tcW w:w="1395"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-0.214***</w:t>
            </w:r>
          </w:p>
        </w:tc>
      </w:tr>
      <w:tr w:rsidR="00444438">
        <w:trPr>
          <w:trHeight w:val="255"/>
        </w:trPr>
        <w:tc>
          <w:tcPr>
            <w:tcW w:w="1441" w:type="dxa"/>
            <w:tcBorders>
              <w:top w:val="nil"/>
              <w:left w:val="nil"/>
              <w:bottom w:val="nil"/>
              <w:right w:val="nil"/>
            </w:tcBorders>
            <w:shd w:val="clear" w:color="auto" w:fill="auto"/>
            <w:vAlign w:val="bottom"/>
          </w:tcPr>
          <w:p w:rsidR="00444438" w:rsidRDefault="00444438">
            <w:pPr>
              <w:spacing w:after="0" w:line="240" w:lineRule="auto"/>
              <w:jc w:val="center"/>
              <w:rPr>
                <w:rFonts w:asciiTheme="majorHAnsi" w:eastAsia="Times New Roman" w:hAnsiTheme="majorHAnsi"/>
                <w:sz w:val="20"/>
                <w:szCs w:val="20"/>
                <w:lang w:eastAsia="id-ID"/>
              </w:rPr>
            </w:pPr>
          </w:p>
        </w:tc>
        <w:tc>
          <w:tcPr>
            <w:tcW w:w="1082" w:type="dxa"/>
            <w:tcBorders>
              <w:top w:val="nil"/>
              <w:left w:val="nil"/>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155"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(0.049)</w:t>
            </w:r>
          </w:p>
        </w:tc>
        <w:tc>
          <w:tcPr>
            <w:tcW w:w="1080" w:type="dxa"/>
            <w:tcBorders>
              <w:top w:val="nil"/>
              <w:left w:val="nil"/>
              <w:bottom w:val="nil"/>
              <w:right w:val="single" w:sz="4" w:space="0" w:color="auto"/>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(0.046)</w:t>
            </w:r>
          </w:p>
        </w:tc>
        <w:tc>
          <w:tcPr>
            <w:tcW w:w="1170" w:type="dxa"/>
            <w:tcBorders>
              <w:top w:val="nil"/>
              <w:left w:val="single" w:sz="4" w:space="0" w:color="auto"/>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290"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(0.017)</w:t>
            </w:r>
          </w:p>
        </w:tc>
        <w:tc>
          <w:tcPr>
            <w:tcW w:w="1395"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(0.026)</w:t>
            </w:r>
          </w:p>
        </w:tc>
      </w:tr>
      <w:tr w:rsidR="00444438">
        <w:trPr>
          <w:trHeight w:val="97"/>
        </w:trPr>
        <w:tc>
          <w:tcPr>
            <w:tcW w:w="1441"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LOANTA</w:t>
            </w:r>
          </w:p>
        </w:tc>
        <w:tc>
          <w:tcPr>
            <w:tcW w:w="1082" w:type="dxa"/>
            <w:tcBorders>
              <w:top w:val="nil"/>
              <w:left w:val="nil"/>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155"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0.008</w:t>
            </w:r>
          </w:p>
        </w:tc>
        <w:tc>
          <w:tcPr>
            <w:tcW w:w="1080" w:type="dxa"/>
            <w:tcBorders>
              <w:top w:val="nil"/>
              <w:left w:val="nil"/>
              <w:bottom w:val="nil"/>
              <w:right w:val="single" w:sz="4" w:space="0" w:color="auto"/>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0.012</w:t>
            </w:r>
          </w:p>
        </w:tc>
        <w:tc>
          <w:tcPr>
            <w:tcW w:w="1170" w:type="dxa"/>
            <w:tcBorders>
              <w:top w:val="nil"/>
              <w:left w:val="single" w:sz="4" w:space="0" w:color="auto"/>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290"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-0.012*</w:t>
            </w:r>
          </w:p>
        </w:tc>
        <w:tc>
          <w:tcPr>
            <w:tcW w:w="1395"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-0.009</w:t>
            </w:r>
          </w:p>
        </w:tc>
      </w:tr>
      <w:tr w:rsidR="00444438">
        <w:trPr>
          <w:trHeight w:val="255"/>
        </w:trPr>
        <w:tc>
          <w:tcPr>
            <w:tcW w:w="1441" w:type="dxa"/>
            <w:tcBorders>
              <w:top w:val="nil"/>
              <w:left w:val="nil"/>
              <w:bottom w:val="nil"/>
              <w:right w:val="nil"/>
            </w:tcBorders>
            <w:shd w:val="clear" w:color="auto" w:fill="auto"/>
            <w:vAlign w:val="bottom"/>
          </w:tcPr>
          <w:p w:rsidR="00444438" w:rsidRDefault="00444438">
            <w:pPr>
              <w:spacing w:after="0" w:line="240" w:lineRule="auto"/>
              <w:jc w:val="center"/>
              <w:rPr>
                <w:rFonts w:asciiTheme="majorHAnsi" w:eastAsia="Times New Roman" w:hAnsiTheme="majorHAnsi"/>
                <w:sz w:val="20"/>
                <w:szCs w:val="20"/>
                <w:lang w:eastAsia="id-ID"/>
              </w:rPr>
            </w:pPr>
          </w:p>
        </w:tc>
        <w:tc>
          <w:tcPr>
            <w:tcW w:w="1082" w:type="dxa"/>
            <w:tcBorders>
              <w:top w:val="nil"/>
              <w:left w:val="nil"/>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155"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(0.009)</w:t>
            </w:r>
          </w:p>
        </w:tc>
        <w:tc>
          <w:tcPr>
            <w:tcW w:w="1080" w:type="dxa"/>
            <w:tcBorders>
              <w:top w:val="nil"/>
              <w:left w:val="nil"/>
              <w:bottom w:val="nil"/>
              <w:right w:val="single" w:sz="4" w:space="0" w:color="auto"/>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(0.009)</w:t>
            </w:r>
          </w:p>
        </w:tc>
        <w:tc>
          <w:tcPr>
            <w:tcW w:w="1170" w:type="dxa"/>
            <w:tcBorders>
              <w:top w:val="nil"/>
              <w:left w:val="single" w:sz="4" w:space="0" w:color="auto"/>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290"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(0.006)</w:t>
            </w:r>
          </w:p>
        </w:tc>
        <w:tc>
          <w:tcPr>
            <w:tcW w:w="1395"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(0.006)</w:t>
            </w:r>
          </w:p>
        </w:tc>
      </w:tr>
      <w:tr w:rsidR="00444438">
        <w:trPr>
          <w:trHeight w:val="255"/>
        </w:trPr>
        <w:tc>
          <w:tcPr>
            <w:tcW w:w="1441"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CAP</w:t>
            </w:r>
          </w:p>
        </w:tc>
        <w:tc>
          <w:tcPr>
            <w:tcW w:w="1082" w:type="dxa"/>
            <w:tcBorders>
              <w:top w:val="nil"/>
              <w:left w:val="nil"/>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155"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c>
          <w:tcPr>
            <w:tcW w:w="1080" w:type="dxa"/>
            <w:tcBorders>
              <w:top w:val="nil"/>
              <w:left w:val="nil"/>
              <w:bottom w:val="nil"/>
              <w:right w:val="single" w:sz="4" w:space="0" w:color="auto"/>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0.016*</w:t>
            </w:r>
          </w:p>
        </w:tc>
        <w:tc>
          <w:tcPr>
            <w:tcW w:w="1170" w:type="dxa"/>
            <w:tcBorders>
              <w:top w:val="nil"/>
              <w:left w:val="single" w:sz="4" w:space="0" w:color="auto"/>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290"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0.031</w:t>
            </w:r>
          </w:p>
        </w:tc>
        <w:tc>
          <w:tcPr>
            <w:tcW w:w="1395"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0.034</w:t>
            </w:r>
          </w:p>
        </w:tc>
      </w:tr>
      <w:tr w:rsidR="00444438">
        <w:trPr>
          <w:trHeight w:val="255"/>
        </w:trPr>
        <w:tc>
          <w:tcPr>
            <w:tcW w:w="1441" w:type="dxa"/>
            <w:tcBorders>
              <w:top w:val="nil"/>
              <w:left w:val="nil"/>
              <w:bottom w:val="nil"/>
              <w:right w:val="nil"/>
            </w:tcBorders>
            <w:shd w:val="clear" w:color="auto" w:fill="auto"/>
            <w:vAlign w:val="bottom"/>
          </w:tcPr>
          <w:p w:rsidR="00444438" w:rsidRDefault="00444438">
            <w:pPr>
              <w:spacing w:after="0" w:line="240" w:lineRule="auto"/>
              <w:jc w:val="center"/>
              <w:rPr>
                <w:rFonts w:asciiTheme="majorHAnsi" w:eastAsia="Times New Roman" w:hAnsiTheme="majorHAnsi"/>
                <w:sz w:val="20"/>
                <w:szCs w:val="20"/>
                <w:lang w:eastAsia="id-ID"/>
              </w:rPr>
            </w:pPr>
          </w:p>
        </w:tc>
        <w:tc>
          <w:tcPr>
            <w:tcW w:w="1082" w:type="dxa"/>
            <w:tcBorders>
              <w:top w:val="nil"/>
              <w:left w:val="nil"/>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155"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(0.007)</w:t>
            </w:r>
          </w:p>
        </w:tc>
        <w:tc>
          <w:tcPr>
            <w:tcW w:w="1080" w:type="dxa"/>
            <w:tcBorders>
              <w:top w:val="nil"/>
              <w:left w:val="nil"/>
              <w:bottom w:val="nil"/>
              <w:right w:val="single" w:sz="4" w:space="0" w:color="auto"/>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(0.009)</w:t>
            </w:r>
          </w:p>
        </w:tc>
        <w:tc>
          <w:tcPr>
            <w:tcW w:w="1170" w:type="dxa"/>
            <w:tcBorders>
              <w:top w:val="nil"/>
              <w:left w:val="single" w:sz="4" w:space="0" w:color="auto"/>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290"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(0.018)</w:t>
            </w:r>
          </w:p>
        </w:tc>
        <w:tc>
          <w:tcPr>
            <w:tcW w:w="1395"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(0.024)</w:t>
            </w:r>
          </w:p>
        </w:tc>
      </w:tr>
      <w:tr w:rsidR="00444438">
        <w:trPr>
          <w:trHeight w:val="90"/>
        </w:trPr>
        <w:tc>
          <w:tcPr>
            <w:tcW w:w="1441"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proofErr w:type="spellStart"/>
            <w:r>
              <w:rPr>
                <w:rFonts w:asciiTheme="majorHAnsi" w:eastAsia="Times New Roman" w:hAnsiTheme="majorHAnsi"/>
                <w:sz w:val="20"/>
                <w:szCs w:val="20"/>
                <w:lang w:eastAsia="id-ID"/>
              </w:rPr>
              <w:t>LnTA</w:t>
            </w:r>
            <w:proofErr w:type="spellEnd"/>
          </w:p>
        </w:tc>
        <w:tc>
          <w:tcPr>
            <w:tcW w:w="1082" w:type="dxa"/>
            <w:tcBorders>
              <w:top w:val="nil"/>
              <w:left w:val="nil"/>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155"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-0.004***</w:t>
            </w:r>
          </w:p>
        </w:tc>
        <w:tc>
          <w:tcPr>
            <w:tcW w:w="1080" w:type="dxa"/>
            <w:tcBorders>
              <w:top w:val="nil"/>
              <w:left w:val="nil"/>
              <w:bottom w:val="nil"/>
              <w:right w:val="single" w:sz="4" w:space="0" w:color="auto"/>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c>
          <w:tcPr>
            <w:tcW w:w="1170" w:type="dxa"/>
            <w:tcBorders>
              <w:top w:val="nil"/>
              <w:left w:val="single" w:sz="4" w:space="0" w:color="auto"/>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290"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0.004</w:t>
            </w:r>
          </w:p>
        </w:tc>
        <w:tc>
          <w:tcPr>
            <w:tcW w:w="1395"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0.007</w:t>
            </w:r>
          </w:p>
        </w:tc>
      </w:tr>
      <w:tr w:rsidR="00444438">
        <w:trPr>
          <w:trHeight w:val="255"/>
        </w:trPr>
        <w:tc>
          <w:tcPr>
            <w:tcW w:w="1441" w:type="dxa"/>
            <w:tcBorders>
              <w:top w:val="nil"/>
              <w:left w:val="nil"/>
              <w:bottom w:val="nil"/>
              <w:right w:val="nil"/>
            </w:tcBorders>
            <w:shd w:val="clear" w:color="auto" w:fill="auto"/>
            <w:vAlign w:val="bottom"/>
          </w:tcPr>
          <w:p w:rsidR="00444438" w:rsidRDefault="00444438">
            <w:pPr>
              <w:spacing w:after="0" w:line="240" w:lineRule="auto"/>
              <w:jc w:val="center"/>
              <w:rPr>
                <w:rFonts w:asciiTheme="majorHAnsi" w:eastAsia="Times New Roman" w:hAnsiTheme="majorHAnsi"/>
                <w:sz w:val="20"/>
                <w:szCs w:val="20"/>
                <w:lang w:eastAsia="id-ID"/>
              </w:rPr>
            </w:pPr>
          </w:p>
        </w:tc>
        <w:tc>
          <w:tcPr>
            <w:tcW w:w="1082" w:type="dxa"/>
            <w:tcBorders>
              <w:top w:val="nil"/>
              <w:left w:val="nil"/>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155"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(0.001)</w:t>
            </w:r>
          </w:p>
        </w:tc>
        <w:tc>
          <w:tcPr>
            <w:tcW w:w="1080" w:type="dxa"/>
            <w:tcBorders>
              <w:top w:val="nil"/>
              <w:left w:val="nil"/>
              <w:bottom w:val="nil"/>
              <w:right w:val="single" w:sz="4" w:space="0" w:color="auto"/>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(0.002)</w:t>
            </w:r>
          </w:p>
        </w:tc>
        <w:tc>
          <w:tcPr>
            <w:tcW w:w="1170" w:type="dxa"/>
            <w:tcBorders>
              <w:top w:val="nil"/>
              <w:left w:val="single" w:sz="4" w:space="0" w:color="auto"/>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290"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(0.002)</w:t>
            </w:r>
          </w:p>
        </w:tc>
        <w:tc>
          <w:tcPr>
            <w:tcW w:w="1395"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(0.004)</w:t>
            </w:r>
          </w:p>
        </w:tc>
      </w:tr>
      <w:tr w:rsidR="00444438">
        <w:trPr>
          <w:trHeight w:val="255"/>
        </w:trPr>
        <w:tc>
          <w:tcPr>
            <w:tcW w:w="1441"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proofErr w:type="spellStart"/>
            <w:r>
              <w:rPr>
                <w:rFonts w:asciiTheme="majorHAnsi" w:eastAsia="Times New Roman" w:hAnsiTheme="majorHAnsi"/>
                <w:sz w:val="20"/>
                <w:szCs w:val="20"/>
                <w:lang w:eastAsia="id-ID"/>
              </w:rPr>
              <w:t>GrGDP</w:t>
            </w:r>
            <w:proofErr w:type="spellEnd"/>
          </w:p>
        </w:tc>
        <w:tc>
          <w:tcPr>
            <w:tcW w:w="1082" w:type="dxa"/>
            <w:tcBorders>
              <w:top w:val="nil"/>
              <w:left w:val="nil"/>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155" w:type="dxa"/>
            <w:tcBorders>
              <w:top w:val="nil"/>
              <w:left w:val="nil"/>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080" w:type="dxa"/>
            <w:tcBorders>
              <w:top w:val="nil"/>
              <w:left w:val="nil"/>
              <w:bottom w:val="nil"/>
              <w:right w:val="single" w:sz="4" w:space="0" w:color="auto"/>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0.445***</w:t>
            </w:r>
          </w:p>
        </w:tc>
        <w:tc>
          <w:tcPr>
            <w:tcW w:w="1170" w:type="dxa"/>
            <w:tcBorders>
              <w:top w:val="nil"/>
              <w:left w:val="single" w:sz="4" w:space="0" w:color="auto"/>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290" w:type="dxa"/>
            <w:tcBorders>
              <w:top w:val="nil"/>
              <w:left w:val="nil"/>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395"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0.452</w:t>
            </w:r>
          </w:p>
        </w:tc>
      </w:tr>
      <w:tr w:rsidR="00444438">
        <w:trPr>
          <w:trHeight w:val="255"/>
        </w:trPr>
        <w:tc>
          <w:tcPr>
            <w:tcW w:w="1441" w:type="dxa"/>
            <w:tcBorders>
              <w:top w:val="nil"/>
              <w:left w:val="nil"/>
              <w:bottom w:val="nil"/>
              <w:right w:val="nil"/>
            </w:tcBorders>
            <w:shd w:val="clear" w:color="auto" w:fill="auto"/>
            <w:vAlign w:val="bottom"/>
          </w:tcPr>
          <w:p w:rsidR="00444438" w:rsidRDefault="00444438">
            <w:pPr>
              <w:spacing w:after="0" w:line="240" w:lineRule="auto"/>
              <w:jc w:val="center"/>
              <w:rPr>
                <w:rFonts w:asciiTheme="majorHAnsi" w:eastAsia="Times New Roman" w:hAnsiTheme="majorHAnsi"/>
                <w:sz w:val="20"/>
                <w:szCs w:val="20"/>
                <w:lang w:eastAsia="id-ID"/>
              </w:rPr>
            </w:pPr>
          </w:p>
        </w:tc>
        <w:tc>
          <w:tcPr>
            <w:tcW w:w="1082" w:type="dxa"/>
            <w:tcBorders>
              <w:top w:val="nil"/>
              <w:left w:val="nil"/>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155" w:type="dxa"/>
            <w:tcBorders>
              <w:top w:val="nil"/>
              <w:left w:val="nil"/>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080" w:type="dxa"/>
            <w:tcBorders>
              <w:top w:val="nil"/>
              <w:left w:val="nil"/>
              <w:bottom w:val="nil"/>
              <w:right w:val="single" w:sz="4" w:space="0" w:color="auto"/>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(0.137)</w:t>
            </w:r>
          </w:p>
        </w:tc>
        <w:tc>
          <w:tcPr>
            <w:tcW w:w="1170" w:type="dxa"/>
            <w:tcBorders>
              <w:top w:val="nil"/>
              <w:left w:val="single" w:sz="4" w:space="0" w:color="auto"/>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290" w:type="dxa"/>
            <w:tcBorders>
              <w:top w:val="nil"/>
              <w:left w:val="nil"/>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395"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(0.252)</w:t>
            </w:r>
          </w:p>
        </w:tc>
      </w:tr>
      <w:tr w:rsidR="00444438">
        <w:trPr>
          <w:trHeight w:val="255"/>
        </w:trPr>
        <w:tc>
          <w:tcPr>
            <w:tcW w:w="1441"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INF</w:t>
            </w:r>
          </w:p>
        </w:tc>
        <w:tc>
          <w:tcPr>
            <w:tcW w:w="1082" w:type="dxa"/>
            <w:tcBorders>
              <w:top w:val="nil"/>
              <w:left w:val="nil"/>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155" w:type="dxa"/>
            <w:tcBorders>
              <w:top w:val="nil"/>
              <w:left w:val="nil"/>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080" w:type="dxa"/>
            <w:tcBorders>
              <w:top w:val="nil"/>
              <w:left w:val="nil"/>
              <w:bottom w:val="nil"/>
              <w:right w:val="single" w:sz="4" w:space="0" w:color="auto"/>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0.021*</w:t>
            </w:r>
          </w:p>
        </w:tc>
        <w:tc>
          <w:tcPr>
            <w:tcW w:w="1170" w:type="dxa"/>
            <w:tcBorders>
              <w:top w:val="nil"/>
              <w:left w:val="single" w:sz="4" w:space="0" w:color="auto"/>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290" w:type="dxa"/>
            <w:tcBorders>
              <w:top w:val="nil"/>
              <w:left w:val="nil"/>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395"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-0.066**</w:t>
            </w:r>
          </w:p>
        </w:tc>
      </w:tr>
      <w:tr w:rsidR="00444438">
        <w:trPr>
          <w:trHeight w:val="255"/>
        </w:trPr>
        <w:tc>
          <w:tcPr>
            <w:tcW w:w="1441" w:type="dxa"/>
            <w:tcBorders>
              <w:top w:val="nil"/>
              <w:left w:val="nil"/>
              <w:bottom w:val="nil"/>
              <w:right w:val="nil"/>
            </w:tcBorders>
            <w:shd w:val="clear" w:color="auto" w:fill="auto"/>
            <w:vAlign w:val="bottom"/>
          </w:tcPr>
          <w:p w:rsidR="00444438" w:rsidRDefault="00444438">
            <w:pPr>
              <w:spacing w:after="0" w:line="240" w:lineRule="auto"/>
              <w:jc w:val="center"/>
              <w:rPr>
                <w:rFonts w:asciiTheme="majorHAnsi" w:eastAsia="Times New Roman" w:hAnsiTheme="majorHAnsi"/>
                <w:sz w:val="20"/>
                <w:szCs w:val="20"/>
                <w:lang w:eastAsia="id-ID"/>
              </w:rPr>
            </w:pPr>
          </w:p>
        </w:tc>
        <w:tc>
          <w:tcPr>
            <w:tcW w:w="1082" w:type="dxa"/>
            <w:tcBorders>
              <w:top w:val="nil"/>
              <w:left w:val="nil"/>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155" w:type="dxa"/>
            <w:tcBorders>
              <w:top w:val="nil"/>
              <w:left w:val="nil"/>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080" w:type="dxa"/>
            <w:tcBorders>
              <w:top w:val="nil"/>
              <w:left w:val="nil"/>
              <w:bottom w:val="nil"/>
              <w:right w:val="single" w:sz="4" w:space="0" w:color="auto"/>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(0.011)</w:t>
            </w:r>
          </w:p>
        </w:tc>
        <w:tc>
          <w:tcPr>
            <w:tcW w:w="1170" w:type="dxa"/>
            <w:tcBorders>
              <w:top w:val="nil"/>
              <w:left w:val="single" w:sz="4" w:space="0" w:color="auto"/>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290" w:type="dxa"/>
            <w:tcBorders>
              <w:top w:val="nil"/>
              <w:left w:val="nil"/>
              <w:bottom w:val="nil"/>
              <w:right w:val="nil"/>
            </w:tcBorders>
            <w:shd w:val="clear" w:color="auto" w:fill="auto"/>
          </w:tcPr>
          <w:p w:rsidR="00444438" w:rsidRDefault="00444438">
            <w:pPr>
              <w:spacing w:after="0" w:line="240" w:lineRule="auto"/>
              <w:jc w:val="center"/>
              <w:rPr>
                <w:rFonts w:asciiTheme="majorHAnsi" w:eastAsia="Times New Roman" w:hAnsiTheme="majorHAnsi"/>
                <w:sz w:val="20"/>
                <w:szCs w:val="20"/>
                <w:lang w:eastAsia="id-ID"/>
              </w:rPr>
            </w:pPr>
          </w:p>
        </w:tc>
        <w:tc>
          <w:tcPr>
            <w:tcW w:w="1395"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(0.024)</w:t>
            </w:r>
          </w:p>
        </w:tc>
      </w:tr>
      <w:tr w:rsidR="00444438">
        <w:trPr>
          <w:trHeight w:val="255"/>
        </w:trPr>
        <w:tc>
          <w:tcPr>
            <w:tcW w:w="1441"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Constant</w:t>
            </w:r>
          </w:p>
        </w:tc>
        <w:tc>
          <w:tcPr>
            <w:tcW w:w="1082"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-0.000</w:t>
            </w:r>
          </w:p>
        </w:tc>
        <w:tc>
          <w:tcPr>
            <w:tcW w:w="1155"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0.054***</w:t>
            </w:r>
          </w:p>
        </w:tc>
        <w:tc>
          <w:tcPr>
            <w:tcW w:w="1080" w:type="dxa"/>
            <w:tcBorders>
              <w:top w:val="nil"/>
              <w:left w:val="nil"/>
              <w:bottom w:val="nil"/>
              <w:right w:val="single" w:sz="4" w:space="0" w:color="auto"/>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-0.053</w:t>
            </w:r>
          </w:p>
        </w:tc>
        <w:tc>
          <w:tcPr>
            <w:tcW w:w="1170" w:type="dxa"/>
            <w:tcBorders>
              <w:top w:val="nil"/>
              <w:left w:val="single" w:sz="4" w:space="0" w:color="auto"/>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-0.021***</w:t>
            </w:r>
          </w:p>
        </w:tc>
        <w:tc>
          <w:tcPr>
            <w:tcW w:w="1290"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-0.061</w:t>
            </w:r>
          </w:p>
        </w:tc>
        <w:tc>
          <w:tcPr>
            <w:tcW w:w="1395"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-0.141</w:t>
            </w:r>
          </w:p>
        </w:tc>
      </w:tr>
      <w:tr w:rsidR="00444438">
        <w:trPr>
          <w:trHeight w:val="255"/>
        </w:trPr>
        <w:tc>
          <w:tcPr>
            <w:tcW w:w="1441" w:type="dxa"/>
            <w:tcBorders>
              <w:top w:val="nil"/>
              <w:left w:val="nil"/>
              <w:bottom w:val="nil"/>
              <w:right w:val="nil"/>
            </w:tcBorders>
            <w:shd w:val="clear" w:color="auto" w:fill="auto"/>
            <w:vAlign w:val="bottom"/>
          </w:tcPr>
          <w:p w:rsidR="00444438" w:rsidRDefault="00444438">
            <w:pPr>
              <w:spacing w:after="0" w:line="240" w:lineRule="auto"/>
              <w:jc w:val="center"/>
              <w:rPr>
                <w:rFonts w:asciiTheme="majorHAnsi" w:eastAsia="Times New Roman" w:hAnsiTheme="majorHAnsi"/>
                <w:sz w:val="20"/>
                <w:szCs w:val="20"/>
                <w:lang w:eastAsia="id-ID"/>
              </w:rPr>
            </w:pPr>
          </w:p>
        </w:tc>
        <w:tc>
          <w:tcPr>
            <w:tcW w:w="1082"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(0.002)</w:t>
            </w:r>
          </w:p>
        </w:tc>
        <w:tc>
          <w:tcPr>
            <w:tcW w:w="1155"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(0.016)</w:t>
            </w:r>
          </w:p>
        </w:tc>
        <w:tc>
          <w:tcPr>
            <w:tcW w:w="1080" w:type="dxa"/>
            <w:tcBorders>
              <w:top w:val="nil"/>
              <w:left w:val="nil"/>
              <w:bottom w:val="nil"/>
              <w:right w:val="single" w:sz="4" w:space="0" w:color="auto"/>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(0.040)</w:t>
            </w:r>
          </w:p>
        </w:tc>
        <w:tc>
          <w:tcPr>
            <w:tcW w:w="1170" w:type="dxa"/>
            <w:tcBorders>
              <w:top w:val="nil"/>
              <w:left w:val="single" w:sz="4" w:space="0" w:color="auto"/>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(0.004)</w:t>
            </w:r>
          </w:p>
        </w:tc>
        <w:tc>
          <w:tcPr>
            <w:tcW w:w="1290"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(0.040)</w:t>
            </w:r>
          </w:p>
        </w:tc>
        <w:tc>
          <w:tcPr>
            <w:tcW w:w="1395"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(0.085)</w:t>
            </w:r>
          </w:p>
        </w:tc>
      </w:tr>
      <w:tr w:rsidR="00444438">
        <w:trPr>
          <w:trHeight w:val="255"/>
        </w:trPr>
        <w:tc>
          <w:tcPr>
            <w:tcW w:w="1441" w:type="dxa"/>
            <w:tcBorders>
              <w:top w:val="nil"/>
              <w:left w:val="nil"/>
              <w:bottom w:val="nil"/>
              <w:right w:val="nil"/>
            </w:tcBorders>
            <w:shd w:val="clear" w:color="auto" w:fill="auto"/>
            <w:vAlign w:val="bottom"/>
          </w:tcPr>
          <w:p w:rsidR="00444438" w:rsidRDefault="00444438">
            <w:pPr>
              <w:spacing w:after="0" w:line="240" w:lineRule="auto"/>
              <w:jc w:val="center"/>
              <w:rPr>
                <w:rFonts w:asciiTheme="majorHAnsi" w:eastAsia="Times New Roman" w:hAnsiTheme="majorHAnsi"/>
                <w:sz w:val="20"/>
                <w:szCs w:val="20"/>
                <w:lang w:eastAsia="id-ID"/>
              </w:rPr>
            </w:pPr>
          </w:p>
        </w:tc>
        <w:tc>
          <w:tcPr>
            <w:tcW w:w="1082" w:type="dxa"/>
            <w:tcBorders>
              <w:top w:val="nil"/>
              <w:left w:val="nil"/>
              <w:bottom w:val="nil"/>
              <w:right w:val="nil"/>
            </w:tcBorders>
            <w:shd w:val="clear" w:color="auto" w:fill="auto"/>
            <w:vAlign w:val="bottom"/>
          </w:tcPr>
          <w:p w:rsidR="00444438" w:rsidRDefault="00444438">
            <w:pPr>
              <w:spacing w:after="0" w:line="240" w:lineRule="auto"/>
              <w:jc w:val="center"/>
              <w:rPr>
                <w:rFonts w:asciiTheme="majorHAnsi" w:eastAsia="Times New Roman" w:hAnsiTheme="majorHAnsi"/>
                <w:sz w:val="20"/>
                <w:szCs w:val="20"/>
                <w:lang w:eastAsia="id-ID"/>
              </w:rPr>
            </w:pPr>
          </w:p>
        </w:tc>
        <w:tc>
          <w:tcPr>
            <w:tcW w:w="1155" w:type="dxa"/>
            <w:tcBorders>
              <w:top w:val="nil"/>
              <w:left w:val="nil"/>
              <w:bottom w:val="nil"/>
              <w:right w:val="nil"/>
            </w:tcBorders>
            <w:shd w:val="clear" w:color="auto" w:fill="auto"/>
            <w:vAlign w:val="bottom"/>
          </w:tcPr>
          <w:p w:rsidR="00444438" w:rsidRDefault="00444438">
            <w:pPr>
              <w:spacing w:after="0" w:line="240" w:lineRule="auto"/>
              <w:jc w:val="center"/>
              <w:rPr>
                <w:rFonts w:asciiTheme="majorHAnsi" w:eastAsia="Times New Roman" w:hAnsiTheme="majorHAnsi"/>
                <w:sz w:val="20"/>
                <w:szCs w:val="20"/>
                <w:lang w:eastAsia="id-ID"/>
              </w:rPr>
            </w:pPr>
          </w:p>
        </w:tc>
        <w:tc>
          <w:tcPr>
            <w:tcW w:w="1080" w:type="dxa"/>
            <w:tcBorders>
              <w:top w:val="nil"/>
              <w:left w:val="nil"/>
              <w:bottom w:val="nil"/>
              <w:right w:val="single" w:sz="4" w:space="0" w:color="auto"/>
            </w:tcBorders>
            <w:shd w:val="clear" w:color="auto" w:fill="auto"/>
            <w:vAlign w:val="bottom"/>
          </w:tcPr>
          <w:p w:rsidR="00444438" w:rsidRDefault="00444438">
            <w:pPr>
              <w:spacing w:after="0" w:line="240" w:lineRule="auto"/>
              <w:jc w:val="center"/>
              <w:rPr>
                <w:rFonts w:asciiTheme="majorHAnsi" w:eastAsia="Times New Roman" w:hAnsiTheme="majorHAnsi"/>
                <w:sz w:val="20"/>
                <w:szCs w:val="20"/>
                <w:lang w:eastAsia="id-ID"/>
              </w:rPr>
            </w:pPr>
          </w:p>
        </w:tc>
        <w:tc>
          <w:tcPr>
            <w:tcW w:w="1170" w:type="dxa"/>
            <w:tcBorders>
              <w:top w:val="nil"/>
              <w:left w:val="single" w:sz="4" w:space="0" w:color="auto"/>
              <w:bottom w:val="nil"/>
              <w:right w:val="nil"/>
            </w:tcBorders>
            <w:shd w:val="clear" w:color="auto" w:fill="auto"/>
            <w:vAlign w:val="bottom"/>
          </w:tcPr>
          <w:p w:rsidR="00444438" w:rsidRDefault="00444438">
            <w:pPr>
              <w:spacing w:after="0" w:line="240" w:lineRule="auto"/>
              <w:jc w:val="center"/>
              <w:rPr>
                <w:rFonts w:asciiTheme="majorHAnsi" w:eastAsia="Times New Roman" w:hAnsiTheme="majorHAnsi"/>
                <w:sz w:val="20"/>
                <w:szCs w:val="20"/>
                <w:lang w:eastAsia="id-ID"/>
              </w:rPr>
            </w:pPr>
          </w:p>
        </w:tc>
        <w:tc>
          <w:tcPr>
            <w:tcW w:w="1290" w:type="dxa"/>
            <w:tcBorders>
              <w:top w:val="nil"/>
              <w:left w:val="nil"/>
              <w:bottom w:val="nil"/>
              <w:right w:val="nil"/>
            </w:tcBorders>
            <w:shd w:val="clear" w:color="auto" w:fill="auto"/>
            <w:vAlign w:val="bottom"/>
          </w:tcPr>
          <w:p w:rsidR="00444438" w:rsidRDefault="00444438">
            <w:pPr>
              <w:spacing w:after="0" w:line="240" w:lineRule="auto"/>
              <w:jc w:val="center"/>
              <w:rPr>
                <w:rFonts w:asciiTheme="majorHAnsi" w:eastAsia="Times New Roman" w:hAnsiTheme="majorHAnsi"/>
                <w:sz w:val="20"/>
                <w:szCs w:val="20"/>
                <w:lang w:eastAsia="id-ID"/>
              </w:rPr>
            </w:pPr>
          </w:p>
        </w:tc>
        <w:tc>
          <w:tcPr>
            <w:tcW w:w="1395" w:type="dxa"/>
            <w:tcBorders>
              <w:top w:val="nil"/>
              <w:left w:val="nil"/>
              <w:bottom w:val="nil"/>
              <w:right w:val="nil"/>
            </w:tcBorders>
            <w:shd w:val="clear" w:color="auto" w:fill="auto"/>
            <w:vAlign w:val="bottom"/>
          </w:tcPr>
          <w:p w:rsidR="00444438" w:rsidRDefault="00444438">
            <w:pPr>
              <w:spacing w:after="0" w:line="240" w:lineRule="auto"/>
              <w:jc w:val="center"/>
              <w:rPr>
                <w:rFonts w:asciiTheme="majorHAnsi" w:eastAsia="Times New Roman" w:hAnsiTheme="majorHAnsi"/>
                <w:sz w:val="20"/>
                <w:szCs w:val="20"/>
                <w:lang w:eastAsia="id-ID"/>
              </w:rPr>
            </w:pPr>
          </w:p>
        </w:tc>
      </w:tr>
      <w:tr w:rsidR="00444438">
        <w:trPr>
          <w:trHeight w:val="255"/>
        </w:trPr>
        <w:tc>
          <w:tcPr>
            <w:tcW w:w="1441"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R-square</w:t>
            </w:r>
          </w:p>
        </w:tc>
        <w:tc>
          <w:tcPr>
            <w:tcW w:w="1082"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0.485</w:t>
            </w:r>
          </w:p>
        </w:tc>
        <w:tc>
          <w:tcPr>
            <w:tcW w:w="1155"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0.511</w:t>
            </w:r>
          </w:p>
        </w:tc>
        <w:tc>
          <w:tcPr>
            <w:tcW w:w="1080" w:type="dxa"/>
            <w:tcBorders>
              <w:top w:val="nil"/>
              <w:left w:val="nil"/>
              <w:bottom w:val="nil"/>
              <w:right w:val="single" w:sz="4" w:space="0" w:color="auto"/>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0.534</w:t>
            </w:r>
          </w:p>
        </w:tc>
        <w:tc>
          <w:tcPr>
            <w:tcW w:w="1170" w:type="dxa"/>
            <w:tcBorders>
              <w:top w:val="nil"/>
              <w:left w:val="single" w:sz="4" w:space="0" w:color="auto"/>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0.901</w:t>
            </w:r>
          </w:p>
        </w:tc>
        <w:tc>
          <w:tcPr>
            <w:tcW w:w="1290"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0.974</w:t>
            </w:r>
          </w:p>
        </w:tc>
        <w:tc>
          <w:tcPr>
            <w:tcW w:w="1395" w:type="dxa"/>
            <w:tcBorders>
              <w:top w:val="nil"/>
              <w:left w:val="nil"/>
              <w:bottom w:val="nil"/>
              <w:right w:val="nil"/>
            </w:tcBorders>
            <w:shd w:val="clear" w:color="auto" w:fill="auto"/>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0.979</w:t>
            </w:r>
          </w:p>
        </w:tc>
      </w:tr>
      <w:tr w:rsidR="00444438">
        <w:trPr>
          <w:trHeight w:val="255"/>
        </w:trPr>
        <w:tc>
          <w:tcPr>
            <w:tcW w:w="1441"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Observations</w:t>
            </w:r>
          </w:p>
        </w:tc>
        <w:tc>
          <w:tcPr>
            <w:tcW w:w="1082"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713</w:t>
            </w:r>
          </w:p>
        </w:tc>
        <w:tc>
          <w:tcPr>
            <w:tcW w:w="115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713</w:t>
            </w:r>
          </w:p>
        </w:tc>
        <w:tc>
          <w:tcPr>
            <w:tcW w:w="1080" w:type="dxa"/>
            <w:tcBorders>
              <w:top w:val="nil"/>
              <w:left w:val="nil"/>
              <w:bottom w:val="nil"/>
              <w:right w:val="single" w:sz="4" w:space="0" w:color="auto"/>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713</w:t>
            </w:r>
          </w:p>
        </w:tc>
        <w:tc>
          <w:tcPr>
            <w:tcW w:w="1170" w:type="dxa"/>
            <w:tcBorders>
              <w:top w:val="nil"/>
              <w:left w:val="single" w:sz="4" w:space="0" w:color="auto"/>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80</w:t>
            </w:r>
          </w:p>
        </w:tc>
        <w:tc>
          <w:tcPr>
            <w:tcW w:w="1290"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80</w:t>
            </w:r>
          </w:p>
        </w:tc>
        <w:tc>
          <w:tcPr>
            <w:tcW w:w="139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80</w:t>
            </w:r>
          </w:p>
        </w:tc>
      </w:tr>
      <w:tr w:rsidR="00444438">
        <w:trPr>
          <w:trHeight w:val="255"/>
        </w:trPr>
        <w:tc>
          <w:tcPr>
            <w:tcW w:w="1441"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Number of Bank</w:t>
            </w:r>
          </w:p>
        </w:tc>
        <w:tc>
          <w:tcPr>
            <w:tcW w:w="1082"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104</w:t>
            </w:r>
          </w:p>
        </w:tc>
        <w:tc>
          <w:tcPr>
            <w:tcW w:w="115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104</w:t>
            </w:r>
          </w:p>
        </w:tc>
        <w:tc>
          <w:tcPr>
            <w:tcW w:w="1080" w:type="dxa"/>
            <w:tcBorders>
              <w:top w:val="nil"/>
              <w:left w:val="nil"/>
              <w:bottom w:val="nil"/>
              <w:right w:val="single" w:sz="4" w:space="0" w:color="auto"/>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104</w:t>
            </w:r>
          </w:p>
        </w:tc>
        <w:tc>
          <w:tcPr>
            <w:tcW w:w="1170" w:type="dxa"/>
            <w:tcBorders>
              <w:top w:val="nil"/>
              <w:left w:val="single" w:sz="4" w:space="0" w:color="auto"/>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12</w:t>
            </w:r>
          </w:p>
        </w:tc>
        <w:tc>
          <w:tcPr>
            <w:tcW w:w="1290"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12</w:t>
            </w:r>
          </w:p>
        </w:tc>
        <w:tc>
          <w:tcPr>
            <w:tcW w:w="1395" w:type="dxa"/>
            <w:tcBorders>
              <w:top w:val="nil"/>
              <w:left w:val="nil"/>
              <w:bottom w:val="nil"/>
              <w:right w:val="nil"/>
            </w:tcBorders>
            <w:shd w:val="clear" w:color="auto" w:fill="auto"/>
            <w:vAlign w:val="bottom"/>
          </w:tcPr>
          <w:p w:rsidR="00444438" w:rsidRDefault="00E25332">
            <w:pPr>
              <w:spacing w:after="0" w:line="240" w:lineRule="auto"/>
              <w:jc w:val="center"/>
              <w:rPr>
                <w:rFonts w:asciiTheme="majorHAnsi" w:eastAsia="Times New Roman" w:hAnsiTheme="majorHAnsi"/>
                <w:sz w:val="20"/>
                <w:szCs w:val="20"/>
                <w:lang w:eastAsia="id-ID"/>
              </w:rPr>
            </w:pPr>
            <w:r>
              <w:rPr>
                <w:rFonts w:asciiTheme="majorHAnsi" w:eastAsia="Times New Roman" w:hAnsiTheme="majorHAnsi"/>
                <w:sz w:val="20"/>
                <w:szCs w:val="20"/>
                <w:lang w:eastAsia="id-ID"/>
              </w:rPr>
              <w:t>12</w:t>
            </w:r>
          </w:p>
        </w:tc>
      </w:tr>
    </w:tbl>
    <w:p w:rsidR="00444438" w:rsidRDefault="00444438">
      <w:pPr>
        <w:spacing w:after="0" w:line="240" w:lineRule="auto"/>
        <w:jc w:val="both"/>
        <w:rPr>
          <w:rFonts w:asciiTheme="majorHAnsi" w:hAnsiTheme="majorHAnsi"/>
          <w:color w:val="000000"/>
          <w:sz w:val="16"/>
          <w:szCs w:val="16"/>
          <w:lang w:eastAsia="id-ID"/>
        </w:rPr>
      </w:pPr>
    </w:p>
    <w:p w:rsidR="00444438" w:rsidRDefault="00444438">
      <w:pPr>
        <w:spacing w:after="0" w:line="240" w:lineRule="auto"/>
        <w:jc w:val="both"/>
        <w:rPr>
          <w:rFonts w:asciiTheme="majorHAnsi" w:hAnsiTheme="majorHAnsi"/>
          <w:color w:val="000000"/>
          <w:sz w:val="16"/>
          <w:szCs w:val="16"/>
          <w:lang w:eastAsia="id-ID"/>
        </w:rPr>
      </w:pPr>
    </w:p>
    <w:p w:rsidR="00444438" w:rsidRDefault="00E25332">
      <w:pPr>
        <w:spacing w:after="0" w:line="240" w:lineRule="auto"/>
        <w:jc w:val="both"/>
        <w:rPr>
          <w:rFonts w:asciiTheme="majorHAnsi" w:hAnsiTheme="majorHAnsi"/>
          <w:color w:val="000000"/>
          <w:sz w:val="16"/>
          <w:szCs w:val="16"/>
        </w:rPr>
      </w:pPr>
      <w:r>
        <w:rPr>
          <w:rFonts w:asciiTheme="majorHAnsi" w:hAnsiTheme="majorHAnsi"/>
          <w:color w:val="000000"/>
          <w:sz w:val="16"/>
          <w:szCs w:val="16"/>
          <w:lang w:eastAsia="id-ID"/>
        </w:rPr>
        <w:t>ROA denotes return on asset, HCE denotes human capital efficiency, SCE denotes structural capital efficiency, CEE denotes ca</w:t>
      </w:r>
      <w:r>
        <w:rPr>
          <w:rFonts w:asciiTheme="majorHAnsi" w:hAnsiTheme="majorHAnsi"/>
          <w:color w:val="000000"/>
          <w:sz w:val="16"/>
          <w:szCs w:val="16"/>
        </w:rPr>
        <w:t xml:space="preserve">pital employed efficiency, LLP denotes loan loss provision, LOANTA denotes loan to total asset, CAP denotes equity to total asset, </w:t>
      </w:r>
      <w:proofErr w:type="spellStart"/>
      <w:r>
        <w:rPr>
          <w:rFonts w:asciiTheme="majorHAnsi" w:hAnsiTheme="majorHAnsi"/>
          <w:color w:val="000000"/>
          <w:sz w:val="16"/>
          <w:szCs w:val="16"/>
        </w:rPr>
        <w:t>LnTA</w:t>
      </w:r>
      <w:proofErr w:type="spellEnd"/>
      <w:r>
        <w:rPr>
          <w:rFonts w:asciiTheme="majorHAnsi" w:hAnsiTheme="majorHAnsi"/>
          <w:color w:val="000000"/>
          <w:sz w:val="16"/>
          <w:szCs w:val="16"/>
        </w:rPr>
        <w:t xml:space="preserve"> denotes natural logarithm of total asset, </w:t>
      </w:r>
      <w:proofErr w:type="spellStart"/>
      <w:r>
        <w:rPr>
          <w:rFonts w:asciiTheme="majorHAnsi" w:hAnsiTheme="majorHAnsi"/>
          <w:color w:val="000000"/>
          <w:sz w:val="16"/>
          <w:szCs w:val="16"/>
        </w:rPr>
        <w:t>GrGdp</w:t>
      </w:r>
      <w:proofErr w:type="spellEnd"/>
      <w:r>
        <w:rPr>
          <w:rFonts w:asciiTheme="majorHAnsi" w:hAnsiTheme="majorHAnsi"/>
          <w:color w:val="000000"/>
          <w:sz w:val="16"/>
          <w:szCs w:val="16"/>
        </w:rPr>
        <w:t xml:space="preserve"> denotes growth of gross domestic product, and INF denotes inflation rate. Asterisk (***), (**) and (*) indicate statistically significant at 1%, 5%, and 10% significance level. Figures in round (.) brackets are standard error while the value above it is coefficient value</w:t>
      </w:r>
    </w:p>
    <w:p w:rsidR="00444438" w:rsidRDefault="00444438">
      <w:pPr>
        <w:spacing w:after="0" w:line="240" w:lineRule="auto"/>
        <w:jc w:val="center"/>
        <w:rPr>
          <w:rFonts w:asciiTheme="majorHAnsi" w:hAnsiTheme="majorHAnsi"/>
          <w:color w:val="000000"/>
          <w:sz w:val="16"/>
          <w:szCs w:val="16"/>
        </w:rPr>
      </w:pPr>
    </w:p>
    <w:p w:rsidR="00444438" w:rsidRDefault="00444438">
      <w:pPr>
        <w:spacing w:after="0" w:line="240" w:lineRule="auto"/>
        <w:jc w:val="center"/>
        <w:rPr>
          <w:rFonts w:asciiTheme="majorHAnsi" w:hAnsiTheme="majorHAnsi"/>
          <w:color w:val="000000"/>
          <w:sz w:val="16"/>
          <w:szCs w:val="16"/>
        </w:rPr>
      </w:pPr>
    </w:p>
    <w:p w:rsidR="00444438" w:rsidRDefault="00444438">
      <w:pPr>
        <w:pStyle w:val="ListParagraph"/>
        <w:spacing w:before="120" w:after="120" w:line="240" w:lineRule="auto"/>
        <w:ind w:left="0"/>
        <w:jc w:val="both"/>
        <w:rPr>
          <w:rFonts w:eastAsia="Times New Roman" w:cs="Calibri"/>
          <w:b/>
          <w:sz w:val="24"/>
          <w:szCs w:val="24"/>
        </w:rPr>
      </w:pPr>
    </w:p>
    <w:p w:rsidR="00444438" w:rsidRDefault="00E25332">
      <w:pPr>
        <w:pStyle w:val="ListParagraph"/>
        <w:numPr>
          <w:ilvl w:val="0"/>
          <w:numId w:val="1"/>
        </w:numPr>
        <w:spacing w:before="120" w:after="120" w:line="240" w:lineRule="auto"/>
        <w:ind w:left="567" w:hanging="567"/>
        <w:jc w:val="both"/>
        <w:rPr>
          <w:rFonts w:eastAsia="Times New Roman" w:cs="Calibri"/>
          <w:b/>
          <w:sz w:val="24"/>
          <w:szCs w:val="24"/>
        </w:rPr>
      </w:pPr>
      <w:r>
        <w:rPr>
          <w:rFonts w:eastAsia="Times New Roman" w:cs="Calibri"/>
          <w:b/>
          <w:color w:val="000000"/>
          <w:sz w:val="24"/>
          <w:szCs w:val="24"/>
        </w:rPr>
        <w:t>Discussion</w:t>
      </w:r>
    </w:p>
    <w:p w:rsidR="00DE02CD" w:rsidRDefault="00DE02CD">
      <w:pPr>
        <w:ind w:firstLine="567"/>
        <w:jc w:val="both"/>
        <w:rPr>
          <w:rFonts w:asciiTheme="majorHAnsi" w:hAnsiTheme="majorHAnsi"/>
          <w:sz w:val="20"/>
          <w:szCs w:val="20"/>
        </w:rPr>
      </w:pPr>
      <w:r>
        <w:rPr>
          <w:rFonts w:asciiTheme="majorHAnsi" w:hAnsiTheme="majorHAnsi"/>
          <w:sz w:val="20"/>
          <w:szCs w:val="20"/>
        </w:rPr>
        <w:t>Based on table 3 and 4, u</w:t>
      </w:r>
      <w:r w:rsidR="00E25332">
        <w:rPr>
          <w:rFonts w:asciiTheme="majorHAnsi" w:hAnsiTheme="majorHAnsi"/>
          <w:sz w:val="20"/>
          <w:szCs w:val="20"/>
        </w:rPr>
        <w:t xml:space="preserve">sing VAIC as intellectual capital measurement, our results show that intellectual capital has positive significant effect on bank profitability. However, this effect </w:t>
      </w:r>
      <w:proofErr w:type="gramStart"/>
      <w:r w:rsidR="00E25332">
        <w:rPr>
          <w:rFonts w:asciiTheme="majorHAnsi" w:hAnsiTheme="majorHAnsi"/>
          <w:sz w:val="20"/>
          <w:szCs w:val="20"/>
        </w:rPr>
        <w:t>is mostly enjoyed</w:t>
      </w:r>
      <w:proofErr w:type="gramEnd"/>
      <w:r w:rsidR="00E25332">
        <w:rPr>
          <w:rFonts w:asciiTheme="majorHAnsi" w:hAnsiTheme="majorHAnsi"/>
          <w:sz w:val="20"/>
          <w:szCs w:val="20"/>
        </w:rPr>
        <w:t xml:space="preserve"> by conventional banks. It indicates in split sample regression result based on bank type. This result indicates that </w:t>
      </w:r>
      <w:proofErr w:type="spellStart"/>
      <w:proofErr w:type="gramStart"/>
      <w:r w:rsidR="00E25332">
        <w:rPr>
          <w:rFonts w:asciiTheme="majorHAnsi" w:hAnsiTheme="majorHAnsi"/>
          <w:sz w:val="20"/>
          <w:szCs w:val="20"/>
        </w:rPr>
        <w:t>islamic</w:t>
      </w:r>
      <w:proofErr w:type="spellEnd"/>
      <w:proofErr w:type="gramEnd"/>
      <w:r w:rsidR="00E25332">
        <w:rPr>
          <w:rFonts w:asciiTheme="majorHAnsi" w:hAnsiTheme="majorHAnsi"/>
          <w:sz w:val="20"/>
          <w:szCs w:val="20"/>
        </w:rPr>
        <w:t xml:space="preserve"> banks have little capability to synergy their intellectual capital and physical asset to create profit effectively. </w:t>
      </w:r>
    </w:p>
    <w:p w:rsidR="00444438" w:rsidRDefault="00E25332">
      <w:pPr>
        <w:ind w:firstLine="567"/>
        <w:jc w:val="both"/>
        <w:rPr>
          <w:rFonts w:asciiTheme="majorHAnsi" w:hAnsiTheme="majorHAnsi"/>
          <w:sz w:val="20"/>
          <w:szCs w:val="20"/>
        </w:rPr>
      </w:pPr>
      <w:r>
        <w:rPr>
          <w:rFonts w:asciiTheme="majorHAnsi" w:hAnsiTheme="majorHAnsi"/>
          <w:sz w:val="20"/>
          <w:szCs w:val="20"/>
        </w:rPr>
        <w:t>Based on</w:t>
      </w:r>
      <w:r w:rsidR="00DE02CD">
        <w:rPr>
          <w:rFonts w:asciiTheme="majorHAnsi" w:hAnsiTheme="majorHAnsi"/>
          <w:sz w:val="20"/>
          <w:szCs w:val="20"/>
        </w:rPr>
        <w:t xml:space="preserve"> table 5 and 6, using</w:t>
      </w:r>
      <w:r>
        <w:rPr>
          <w:rFonts w:asciiTheme="majorHAnsi" w:hAnsiTheme="majorHAnsi"/>
          <w:sz w:val="20"/>
          <w:szCs w:val="20"/>
        </w:rPr>
        <w:t xml:space="preserve"> its component, HCE has essential role in both conventional and </w:t>
      </w:r>
      <w:proofErr w:type="spellStart"/>
      <w:proofErr w:type="gramStart"/>
      <w:r>
        <w:rPr>
          <w:rFonts w:asciiTheme="majorHAnsi" w:hAnsiTheme="majorHAnsi"/>
          <w:sz w:val="20"/>
          <w:szCs w:val="20"/>
        </w:rPr>
        <w:t>islamic</w:t>
      </w:r>
      <w:proofErr w:type="spellEnd"/>
      <w:proofErr w:type="gramEnd"/>
      <w:r>
        <w:rPr>
          <w:rFonts w:asciiTheme="majorHAnsi" w:hAnsiTheme="majorHAnsi"/>
          <w:sz w:val="20"/>
          <w:szCs w:val="20"/>
        </w:rPr>
        <w:t xml:space="preserve"> banks. It means that HCE is the most important intellectual capital component in creating profit.  </w:t>
      </w:r>
      <w:proofErr w:type="gramStart"/>
      <w:r w:rsidR="002C53AB">
        <w:rPr>
          <w:rFonts w:asciiTheme="majorHAnsi" w:hAnsiTheme="majorHAnsi"/>
          <w:sz w:val="20"/>
          <w:szCs w:val="20"/>
        </w:rPr>
        <w:t>But</w:t>
      </w:r>
      <w:proofErr w:type="gramEnd"/>
      <w:r w:rsidR="002C53AB">
        <w:rPr>
          <w:rFonts w:asciiTheme="majorHAnsi" w:hAnsiTheme="majorHAnsi"/>
          <w:sz w:val="20"/>
          <w:szCs w:val="20"/>
        </w:rPr>
        <w:t>,</w:t>
      </w:r>
      <w:r w:rsidR="00DE02CD">
        <w:rPr>
          <w:rFonts w:asciiTheme="majorHAnsi" w:hAnsiTheme="majorHAnsi"/>
          <w:sz w:val="20"/>
          <w:szCs w:val="20"/>
        </w:rPr>
        <w:t xml:space="preserve"> LLP</w:t>
      </w:r>
      <w:r w:rsidR="002C53AB">
        <w:rPr>
          <w:rFonts w:asciiTheme="majorHAnsi" w:hAnsiTheme="majorHAnsi"/>
          <w:sz w:val="20"/>
          <w:szCs w:val="20"/>
        </w:rPr>
        <w:t xml:space="preserve"> give significant relationship ROA</w:t>
      </w:r>
      <w:r w:rsidR="00DE02CD">
        <w:rPr>
          <w:rFonts w:asciiTheme="majorHAnsi" w:hAnsiTheme="majorHAnsi"/>
          <w:sz w:val="20"/>
          <w:szCs w:val="20"/>
        </w:rPr>
        <w:t xml:space="preserve"> </w:t>
      </w:r>
      <w:r w:rsidR="002C53AB">
        <w:rPr>
          <w:rFonts w:asciiTheme="majorHAnsi" w:hAnsiTheme="majorHAnsi"/>
          <w:sz w:val="20"/>
          <w:szCs w:val="20"/>
        </w:rPr>
        <w:t>only in</w:t>
      </w:r>
      <w:r w:rsidR="002C53AB">
        <w:rPr>
          <w:rFonts w:asciiTheme="majorHAnsi" w:hAnsiTheme="majorHAnsi"/>
          <w:sz w:val="20"/>
          <w:szCs w:val="20"/>
        </w:rPr>
        <w:t xml:space="preserve"> Islamic banks. </w:t>
      </w:r>
      <w:r>
        <w:rPr>
          <w:rFonts w:asciiTheme="majorHAnsi" w:hAnsiTheme="majorHAnsi"/>
          <w:sz w:val="20"/>
          <w:szCs w:val="20"/>
        </w:rPr>
        <w:t xml:space="preserve">Based on this method, the differences of VAIC and its component between conventional and </w:t>
      </w:r>
      <w:proofErr w:type="spellStart"/>
      <w:proofErr w:type="gramStart"/>
      <w:r>
        <w:rPr>
          <w:rFonts w:asciiTheme="majorHAnsi" w:hAnsiTheme="majorHAnsi"/>
          <w:sz w:val="20"/>
          <w:szCs w:val="20"/>
        </w:rPr>
        <w:t>islamic</w:t>
      </w:r>
      <w:proofErr w:type="spellEnd"/>
      <w:proofErr w:type="gramEnd"/>
      <w:r>
        <w:rPr>
          <w:rFonts w:asciiTheme="majorHAnsi" w:hAnsiTheme="majorHAnsi"/>
          <w:sz w:val="20"/>
          <w:szCs w:val="20"/>
        </w:rPr>
        <w:t xml:space="preserve"> banks is quiet significant. </w:t>
      </w:r>
      <w:bookmarkStart w:id="0" w:name="_GoBack"/>
      <w:bookmarkEnd w:id="0"/>
    </w:p>
    <w:p w:rsidR="00444438" w:rsidRDefault="00E25332">
      <w:pPr>
        <w:pStyle w:val="ListParagraph"/>
        <w:numPr>
          <w:ilvl w:val="0"/>
          <w:numId w:val="1"/>
        </w:numPr>
        <w:spacing w:before="120" w:after="120" w:line="240" w:lineRule="auto"/>
        <w:ind w:left="567" w:hanging="567"/>
        <w:jc w:val="both"/>
        <w:rPr>
          <w:rFonts w:eastAsia="Times New Roman" w:cs="Calibri"/>
          <w:b/>
          <w:sz w:val="24"/>
          <w:szCs w:val="24"/>
        </w:rPr>
      </w:pPr>
      <w:r>
        <w:rPr>
          <w:rFonts w:eastAsia="Times New Roman" w:cs="Calibri"/>
          <w:b/>
          <w:color w:val="000000"/>
          <w:sz w:val="24"/>
          <w:szCs w:val="24"/>
        </w:rPr>
        <w:t>Conclusion, Limitations, and Suggestions</w:t>
      </w:r>
    </w:p>
    <w:p w:rsidR="00444438" w:rsidRDefault="00E25332">
      <w:pPr>
        <w:spacing w:before="120" w:after="120" w:line="240" w:lineRule="auto"/>
        <w:jc w:val="both"/>
        <w:outlineLvl w:val="0"/>
        <w:rPr>
          <w:rFonts w:eastAsia="Times New Roman" w:cs="Calibri"/>
          <w:b/>
          <w:bCs/>
          <w:kern w:val="36"/>
        </w:rPr>
      </w:pPr>
      <w:r>
        <w:rPr>
          <w:rFonts w:eastAsia="Times New Roman" w:cs="Calibri"/>
          <w:b/>
          <w:bCs/>
          <w:kern w:val="36"/>
        </w:rPr>
        <w:t>Conclusion</w:t>
      </w:r>
    </w:p>
    <w:p w:rsidR="00444438" w:rsidRDefault="00E25332">
      <w:pPr>
        <w:spacing w:before="120" w:after="120" w:line="240" w:lineRule="auto"/>
        <w:ind w:firstLine="567"/>
        <w:jc w:val="both"/>
        <w:rPr>
          <w:rFonts w:ascii="Cambria" w:eastAsia="Times New Roman" w:hAnsi="Cambria" w:cs="Times New Roman"/>
          <w:color w:val="000000"/>
          <w:sz w:val="20"/>
          <w:szCs w:val="20"/>
        </w:rPr>
      </w:pPr>
      <w:r>
        <w:rPr>
          <w:rFonts w:ascii="Cambria" w:eastAsia="Times New Roman" w:hAnsi="Cambria" w:cs="Times New Roman"/>
          <w:color w:val="000000"/>
          <w:sz w:val="20"/>
          <w:szCs w:val="20"/>
        </w:rPr>
        <w:t xml:space="preserve">In this study, we have provided empirical evidence of the contribution of intellectual capital and its component on bank performance by considering the differences type of bank. Our sample cover all banks </w:t>
      </w:r>
      <w:r>
        <w:rPr>
          <w:rFonts w:ascii="Cambria" w:eastAsia="Times New Roman" w:hAnsi="Cambria" w:cs="Times New Roman"/>
          <w:color w:val="000000"/>
          <w:sz w:val="20"/>
          <w:szCs w:val="20"/>
        </w:rPr>
        <w:lastRenderedPageBreak/>
        <w:t xml:space="preserve">operated in Indonesia from 2010 to 2016. Using panel data, intellectual capital plays pivotal role in creating bank profitability only in conventional banks. In contrast, intellectual capital has no significant effect on </w:t>
      </w:r>
      <w:proofErr w:type="spellStart"/>
      <w:proofErr w:type="gramStart"/>
      <w:r>
        <w:rPr>
          <w:rFonts w:ascii="Cambria" w:eastAsia="Times New Roman" w:hAnsi="Cambria" w:cs="Times New Roman"/>
          <w:color w:val="000000"/>
          <w:sz w:val="20"/>
          <w:szCs w:val="20"/>
        </w:rPr>
        <w:t>islamic</w:t>
      </w:r>
      <w:proofErr w:type="spellEnd"/>
      <w:proofErr w:type="gramEnd"/>
      <w:r>
        <w:rPr>
          <w:rFonts w:ascii="Cambria" w:eastAsia="Times New Roman" w:hAnsi="Cambria" w:cs="Times New Roman"/>
          <w:color w:val="000000"/>
          <w:sz w:val="20"/>
          <w:szCs w:val="20"/>
        </w:rPr>
        <w:t xml:space="preserve"> banks profitability. When intellectual capital is decomposed into sub-component, human capital has major positive effect on bank profitability, both in </w:t>
      </w:r>
      <w:proofErr w:type="spellStart"/>
      <w:proofErr w:type="gramStart"/>
      <w:r>
        <w:rPr>
          <w:rFonts w:ascii="Cambria" w:eastAsia="Times New Roman" w:hAnsi="Cambria" w:cs="Times New Roman"/>
          <w:color w:val="000000"/>
          <w:sz w:val="20"/>
          <w:szCs w:val="20"/>
        </w:rPr>
        <w:t>islamic</w:t>
      </w:r>
      <w:proofErr w:type="spellEnd"/>
      <w:proofErr w:type="gramEnd"/>
      <w:r>
        <w:rPr>
          <w:rFonts w:ascii="Cambria" w:eastAsia="Times New Roman" w:hAnsi="Cambria" w:cs="Times New Roman"/>
          <w:color w:val="000000"/>
          <w:sz w:val="20"/>
          <w:szCs w:val="20"/>
        </w:rPr>
        <w:t xml:space="preserve"> and conventional banks. Another finding, CEE is only positive significant on </w:t>
      </w:r>
      <w:proofErr w:type="spellStart"/>
      <w:proofErr w:type="gramStart"/>
      <w:r>
        <w:rPr>
          <w:rFonts w:ascii="Cambria" w:eastAsia="Times New Roman" w:hAnsi="Cambria" w:cs="Times New Roman"/>
          <w:color w:val="000000"/>
          <w:sz w:val="20"/>
          <w:szCs w:val="20"/>
        </w:rPr>
        <w:t>islamic</w:t>
      </w:r>
      <w:proofErr w:type="spellEnd"/>
      <w:proofErr w:type="gramEnd"/>
      <w:r>
        <w:rPr>
          <w:rFonts w:ascii="Cambria" w:eastAsia="Times New Roman" w:hAnsi="Cambria" w:cs="Times New Roman"/>
          <w:color w:val="000000"/>
          <w:sz w:val="20"/>
          <w:szCs w:val="20"/>
        </w:rPr>
        <w:t xml:space="preserve"> bank profitability.  </w:t>
      </w:r>
    </w:p>
    <w:p w:rsidR="00444438" w:rsidRDefault="00E25332">
      <w:pPr>
        <w:spacing w:before="120" w:after="120" w:line="240" w:lineRule="auto"/>
        <w:ind w:firstLine="567"/>
        <w:jc w:val="both"/>
        <w:rPr>
          <w:rFonts w:ascii="Cambria" w:eastAsia="Times New Roman" w:hAnsi="Cambria" w:cs="Times New Roman"/>
          <w:sz w:val="20"/>
          <w:szCs w:val="20"/>
        </w:rPr>
      </w:pPr>
      <w:r>
        <w:rPr>
          <w:rFonts w:ascii="Cambria" w:eastAsia="Times New Roman" w:hAnsi="Cambria" w:cs="Times New Roman"/>
          <w:color w:val="000000"/>
          <w:sz w:val="20"/>
          <w:szCs w:val="20"/>
        </w:rPr>
        <w:t xml:space="preserve">Our analysis may have important implications for managers. Our study can be a critique for Indonesia banking industry, especially </w:t>
      </w:r>
      <w:proofErr w:type="spellStart"/>
      <w:proofErr w:type="gramStart"/>
      <w:r>
        <w:rPr>
          <w:rFonts w:ascii="Cambria" w:eastAsia="Times New Roman" w:hAnsi="Cambria" w:cs="Times New Roman"/>
          <w:color w:val="000000"/>
          <w:sz w:val="20"/>
          <w:szCs w:val="20"/>
        </w:rPr>
        <w:t>islamic</w:t>
      </w:r>
      <w:proofErr w:type="spellEnd"/>
      <w:proofErr w:type="gramEnd"/>
      <w:r>
        <w:rPr>
          <w:rFonts w:ascii="Cambria" w:eastAsia="Times New Roman" w:hAnsi="Cambria" w:cs="Times New Roman"/>
          <w:color w:val="000000"/>
          <w:sz w:val="20"/>
          <w:szCs w:val="20"/>
        </w:rPr>
        <w:t xml:space="preserve"> banks. The performance of </w:t>
      </w:r>
      <w:proofErr w:type="spellStart"/>
      <w:proofErr w:type="gramStart"/>
      <w:r>
        <w:rPr>
          <w:rFonts w:ascii="Cambria" w:eastAsia="Times New Roman" w:hAnsi="Cambria" w:cs="Times New Roman"/>
          <w:color w:val="000000"/>
          <w:sz w:val="20"/>
          <w:szCs w:val="20"/>
        </w:rPr>
        <w:t>islamic</w:t>
      </w:r>
      <w:proofErr w:type="spellEnd"/>
      <w:proofErr w:type="gramEnd"/>
      <w:r>
        <w:rPr>
          <w:rFonts w:ascii="Cambria" w:eastAsia="Times New Roman" w:hAnsi="Cambria" w:cs="Times New Roman"/>
          <w:color w:val="000000"/>
          <w:sz w:val="20"/>
          <w:szCs w:val="20"/>
        </w:rPr>
        <w:t xml:space="preserve"> banks is less than conventional banks. Thus, compared to conventional banks, the level of intellectual capital in </w:t>
      </w:r>
      <w:proofErr w:type="spellStart"/>
      <w:proofErr w:type="gramStart"/>
      <w:r>
        <w:rPr>
          <w:rFonts w:ascii="Cambria" w:eastAsia="Times New Roman" w:hAnsi="Cambria" w:cs="Times New Roman"/>
          <w:color w:val="000000"/>
          <w:sz w:val="20"/>
          <w:szCs w:val="20"/>
        </w:rPr>
        <w:t>islamic</w:t>
      </w:r>
      <w:proofErr w:type="spellEnd"/>
      <w:proofErr w:type="gramEnd"/>
      <w:r>
        <w:rPr>
          <w:rFonts w:ascii="Cambria" w:eastAsia="Times New Roman" w:hAnsi="Cambria" w:cs="Times New Roman"/>
          <w:color w:val="000000"/>
          <w:sz w:val="20"/>
          <w:szCs w:val="20"/>
        </w:rPr>
        <w:t xml:space="preserve"> bank is severe. Besides considering its level, our result indicates conventional banks have better ability in managing its intellectual capital to create profit. In this paper, we suggest that Islamic banks should learn how managing its intellectual capital. They could learn to its counterpart, conventional banks. Another solution, they can hire experienced employee from former conventional banks to introduce the culture and method of how intellectual capital is organized. </w:t>
      </w:r>
    </w:p>
    <w:p w:rsidR="00444438" w:rsidRDefault="00E25332">
      <w:pPr>
        <w:spacing w:before="120" w:after="120" w:line="240" w:lineRule="auto"/>
        <w:jc w:val="both"/>
        <w:rPr>
          <w:rFonts w:asciiTheme="majorHAnsi" w:hAnsiTheme="majorHAnsi"/>
          <w:sz w:val="20"/>
          <w:szCs w:val="20"/>
        </w:rPr>
      </w:pPr>
      <w:r>
        <w:rPr>
          <w:rFonts w:eastAsia="Times New Roman" w:cs="Calibri"/>
          <w:b/>
          <w:bCs/>
          <w:kern w:val="36"/>
        </w:rPr>
        <w:t>Limitation and suggestions</w:t>
      </w:r>
    </w:p>
    <w:p w:rsidR="00444438" w:rsidRDefault="00E25332">
      <w:pPr>
        <w:spacing w:before="120" w:after="120" w:line="240" w:lineRule="auto"/>
        <w:ind w:firstLine="720"/>
        <w:jc w:val="both"/>
        <w:rPr>
          <w:rFonts w:ascii="Cambria" w:eastAsia="Times New Roman" w:hAnsi="Cambria" w:cs="Times New Roman"/>
          <w:color w:val="000000"/>
          <w:sz w:val="20"/>
          <w:szCs w:val="20"/>
        </w:rPr>
      </w:pPr>
      <w:r>
        <w:rPr>
          <w:rFonts w:ascii="Cambria" w:eastAsia="Times New Roman" w:hAnsi="Cambria" w:cs="Times New Roman"/>
          <w:color w:val="000000"/>
          <w:sz w:val="20"/>
          <w:szCs w:val="20"/>
        </w:rPr>
        <w:t xml:space="preserve">We are aware that our study could be bias since we only conduct empirical test in Indonesia. This weakness would raise a question about whether other countries experiences similar condition. Thus, further research </w:t>
      </w:r>
      <w:proofErr w:type="gramStart"/>
      <w:r>
        <w:rPr>
          <w:rFonts w:ascii="Cambria" w:eastAsia="Times New Roman" w:hAnsi="Cambria" w:cs="Times New Roman"/>
          <w:color w:val="000000"/>
          <w:sz w:val="20"/>
          <w:szCs w:val="20"/>
        </w:rPr>
        <w:t>should be conducted</w:t>
      </w:r>
      <w:proofErr w:type="gramEnd"/>
      <w:r>
        <w:rPr>
          <w:rFonts w:ascii="Cambria" w:eastAsia="Times New Roman" w:hAnsi="Cambria" w:cs="Times New Roman"/>
          <w:color w:val="000000"/>
          <w:sz w:val="20"/>
          <w:szCs w:val="20"/>
        </w:rPr>
        <w:t xml:space="preserve"> in other countries. For the next study, this research </w:t>
      </w:r>
      <w:proofErr w:type="gramStart"/>
      <w:r>
        <w:rPr>
          <w:rFonts w:ascii="Cambria" w:eastAsia="Times New Roman" w:hAnsi="Cambria" w:cs="Times New Roman"/>
          <w:color w:val="000000"/>
          <w:sz w:val="20"/>
          <w:szCs w:val="20"/>
        </w:rPr>
        <w:t>can also be focused</w:t>
      </w:r>
      <w:proofErr w:type="gramEnd"/>
      <w:r>
        <w:rPr>
          <w:rFonts w:ascii="Cambria" w:eastAsia="Times New Roman" w:hAnsi="Cambria" w:cs="Times New Roman"/>
          <w:color w:val="000000"/>
          <w:sz w:val="20"/>
          <w:szCs w:val="20"/>
        </w:rPr>
        <w:t xml:space="preserve"> on the application of intellectual capital. Culture and knowledge accumulation should be investigated, especially in </w:t>
      </w:r>
      <w:proofErr w:type="spellStart"/>
      <w:proofErr w:type="gramStart"/>
      <w:r>
        <w:rPr>
          <w:rFonts w:ascii="Cambria" w:eastAsia="Times New Roman" w:hAnsi="Cambria" w:cs="Times New Roman"/>
          <w:color w:val="000000"/>
          <w:sz w:val="20"/>
          <w:szCs w:val="20"/>
        </w:rPr>
        <w:t>islamic</w:t>
      </w:r>
      <w:proofErr w:type="spellEnd"/>
      <w:proofErr w:type="gramEnd"/>
      <w:r>
        <w:rPr>
          <w:rFonts w:ascii="Cambria" w:eastAsia="Times New Roman" w:hAnsi="Cambria" w:cs="Times New Roman"/>
          <w:color w:val="000000"/>
          <w:sz w:val="20"/>
          <w:szCs w:val="20"/>
        </w:rPr>
        <w:t xml:space="preserve"> banks. Future studies could analyze whether banks in Indonesia, especially </w:t>
      </w:r>
      <w:proofErr w:type="spellStart"/>
      <w:proofErr w:type="gramStart"/>
      <w:r>
        <w:rPr>
          <w:rFonts w:ascii="Cambria" w:eastAsia="Times New Roman" w:hAnsi="Cambria" w:cs="Times New Roman"/>
          <w:color w:val="000000"/>
          <w:sz w:val="20"/>
          <w:szCs w:val="20"/>
        </w:rPr>
        <w:t>islamic</w:t>
      </w:r>
      <w:proofErr w:type="spellEnd"/>
      <w:proofErr w:type="gramEnd"/>
      <w:r>
        <w:rPr>
          <w:rFonts w:ascii="Cambria" w:eastAsia="Times New Roman" w:hAnsi="Cambria" w:cs="Times New Roman"/>
          <w:color w:val="000000"/>
          <w:sz w:val="20"/>
          <w:szCs w:val="20"/>
        </w:rPr>
        <w:t xml:space="preserve"> banks have openness to new culture. Thus, the approach should not only limited to quantitative, but also qualitative. In addition, other financial institution such as insurance companies and investment trusts should be included. Indeed, comparing to other financial institution, banking industry is still the most essential in Indonesia. However, they have similar characteristic in using intangible assets for its operation. Thus, future studies may cover all companies operating in finance sector</w:t>
      </w:r>
    </w:p>
    <w:p w:rsidR="00444438" w:rsidRDefault="00E25332">
      <w:pPr>
        <w:pStyle w:val="ListParagraph"/>
        <w:numPr>
          <w:ilvl w:val="0"/>
          <w:numId w:val="1"/>
        </w:numPr>
        <w:spacing w:before="120" w:after="120" w:line="240" w:lineRule="auto"/>
        <w:ind w:left="567" w:hanging="567"/>
        <w:jc w:val="both"/>
        <w:rPr>
          <w:rFonts w:eastAsia="Times New Roman" w:cs="Calibri"/>
          <w:b/>
          <w:sz w:val="24"/>
          <w:szCs w:val="24"/>
        </w:rPr>
      </w:pPr>
      <w:r>
        <w:rPr>
          <w:rFonts w:eastAsia="Times New Roman" w:cs="Calibri"/>
          <w:b/>
          <w:color w:val="000000"/>
          <w:sz w:val="24"/>
          <w:szCs w:val="24"/>
        </w:rPr>
        <w:t xml:space="preserve">Acknowledgment </w:t>
      </w:r>
    </w:p>
    <w:p w:rsidR="00444438" w:rsidRDefault="00E25332">
      <w:pPr>
        <w:spacing w:before="120" w:after="120" w:line="240" w:lineRule="auto"/>
        <w:ind w:firstLine="720"/>
        <w:jc w:val="both"/>
        <w:rPr>
          <w:rFonts w:ascii="Cambria" w:eastAsia="Times New Roman" w:hAnsi="Cambria" w:cs="Times New Roman"/>
          <w:color w:val="000000"/>
          <w:sz w:val="20"/>
          <w:szCs w:val="20"/>
        </w:rPr>
      </w:pPr>
      <w:r>
        <w:rPr>
          <w:rFonts w:ascii="Cambria" w:eastAsia="Times New Roman" w:hAnsi="Cambria" w:cs="Times New Roman"/>
          <w:color w:val="000000"/>
          <w:sz w:val="20"/>
          <w:szCs w:val="20"/>
          <w:shd w:val="clear" w:color="auto" w:fill="FFFFFF"/>
        </w:rPr>
        <w:t xml:space="preserve">Thank you for Centre for Research in Islamic Economics and Business, Faculty of Economics and Business, </w:t>
      </w:r>
      <w:proofErr w:type="spellStart"/>
      <w:r>
        <w:rPr>
          <w:rFonts w:ascii="Cambria" w:eastAsia="Times New Roman" w:hAnsi="Cambria" w:cs="Times New Roman"/>
          <w:color w:val="000000"/>
          <w:sz w:val="20"/>
          <w:szCs w:val="20"/>
          <w:shd w:val="clear" w:color="auto" w:fill="FFFFFF"/>
        </w:rPr>
        <w:t>Universitas</w:t>
      </w:r>
      <w:proofErr w:type="spellEnd"/>
      <w:r>
        <w:rPr>
          <w:rFonts w:ascii="Cambria" w:eastAsia="Times New Roman" w:hAnsi="Cambria" w:cs="Times New Roman"/>
          <w:color w:val="000000"/>
          <w:sz w:val="20"/>
          <w:szCs w:val="20"/>
          <w:shd w:val="clear" w:color="auto" w:fill="FFFFFF"/>
        </w:rPr>
        <w:t xml:space="preserve"> </w:t>
      </w:r>
      <w:proofErr w:type="spellStart"/>
      <w:r>
        <w:rPr>
          <w:rFonts w:ascii="Cambria" w:eastAsia="Times New Roman" w:hAnsi="Cambria" w:cs="Times New Roman"/>
          <w:color w:val="000000"/>
          <w:sz w:val="20"/>
          <w:szCs w:val="20"/>
          <w:shd w:val="clear" w:color="auto" w:fill="FFFFFF"/>
        </w:rPr>
        <w:t>Gadjah</w:t>
      </w:r>
      <w:proofErr w:type="spellEnd"/>
      <w:r>
        <w:rPr>
          <w:rFonts w:ascii="Cambria" w:eastAsia="Times New Roman" w:hAnsi="Cambria" w:cs="Times New Roman"/>
          <w:color w:val="000000"/>
          <w:sz w:val="20"/>
          <w:szCs w:val="20"/>
          <w:shd w:val="clear" w:color="auto" w:fill="FFFFFF"/>
        </w:rPr>
        <w:t xml:space="preserve"> </w:t>
      </w:r>
      <w:proofErr w:type="spellStart"/>
      <w:r>
        <w:rPr>
          <w:rFonts w:ascii="Cambria" w:eastAsia="Times New Roman" w:hAnsi="Cambria" w:cs="Times New Roman"/>
          <w:color w:val="000000"/>
          <w:sz w:val="20"/>
          <w:szCs w:val="20"/>
          <w:shd w:val="clear" w:color="auto" w:fill="FFFFFF"/>
        </w:rPr>
        <w:t>Mada</w:t>
      </w:r>
      <w:proofErr w:type="spellEnd"/>
      <w:r>
        <w:rPr>
          <w:rFonts w:ascii="Cambria" w:eastAsia="Times New Roman" w:hAnsi="Cambria" w:cs="Times New Roman"/>
          <w:color w:val="000000"/>
          <w:sz w:val="20"/>
          <w:szCs w:val="20"/>
          <w:shd w:val="clear" w:color="auto" w:fill="FFFFFF"/>
        </w:rPr>
        <w:t xml:space="preserve"> for helping us in collecting data.</w:t>
      </w:r>
    </w:p>
    <w:p w:rsidR="00444438" w:rsidRDefault="00E25332">
      <w:pPr>
        <w:spacing w:before="120" w:after="120" w:line="240" w:lineRule="auto"/>
        <w:jc w:val="both"/>
        <w:rPr>
          <w:rFonts w:eastAsia="Times New Roman" w:cs="Calibri"/>
          <w:b/>
          <w:sz w:val="24"/>
          <w:szCs w:val="24"/>
        </w:rPr>
      </w:pPr>
      <w:r>
        <w:rPr>
          <w:rFonts w:eastAsia="Times New Roman" w:cs="Calibri"/>
          <w:b/>
          <w:color w:val="000000"/>
          <w:sz w:val="24"/>
          <w:szCs w:val="24"/>
        </w:rPr>
        <w:t>References</w:t>
      </w:r>
    </w:p>
    <w:p w:rsidR="00444438" w:rsidRDefault="00E25332">
      <w:pPr>
        <w:ind w:left="567" w:hanging="567"/>
        <w:jc w:val="both"/>
        <w:rPr>
          <w:rFonts w:ascii="Times New Roman" w:hAnsi="Times New Roman" w:cs="Times New Roman"/>
        </w:rPr>
      </w:pPr>
      <w:r>
        <w:rPr>
          <w:rFonts w:ascii="Times New Roman" w:hAnsi="Times New Roman" w:cs="Times New Roman"/>
        </w:rPr>
        <w:t xml:space="preserve">Barney, J. (1991). Firm resources and sustained competitive advantage. Journal of Management. 17(1), 99-120. </w:t>
      </w:r>
      <w:hyperlink r:id="rId8" w:history="1">
        <w:r>
          <w:rPr>
            <w:rFonts w:ascii="Times New Roman" w:hAnsi="Times New Roman"/>
            <w:color w:val="0000FF"/>
            <w:u w:val="single"/>
          </w:rPr>
          <w:t>https://doi.org/10.1177/014920639101700108</w:t>
        </w:r>
      </w:hyperlink>
    </w:p>
    <w:p w:rsidR="00444438" w:rsidRDefault="00E25332">
      <w:pPr>
        <w:ind w:left="567" w:hanging="567"/>
        <w:jc w:val="both"/>
        <w:rPr>
          <w:rFonts w:ascii="Times New Roman" w:hAnsi="Times New Roman"/>
        </w:rPr>
      </w:pPr>
      <w:proofErr w:type="spellStart"/>
      <w:r>
        <w:rPr>
          <w:rFonts w:ascii="Times New Roman" w:hAnsi="Times New Roman"/>
        </w:rPr>
        <w:t>Bayburina</w:t>
      </w:r>
      <w:proofErr w:type="spellEnd"/>
      <w:r>
        <w:rPr>
          <w:rFonts w:ascii="Times New Roman" w:hAnsi="Times New Roman"/>
        </w:rPr>
        <w:t xml:space="preserve">, E., and </w:t>
      </w:r>
      <w:proofErr w:type="spellStart"/>
      <w:r>
        <w:rPr>
          <w:rFonts w:ascii="Times New Roman" w:hAnsi="Times New Roman"/>
        </w:rPr>
        <w:t>Golovko</w:t>
      </w:r>
      <w:proofErr w:type="spellEnd"/>
      <w:r>
        <w:rPr>
          <w:rFonts w:ascii="Times New Roman" w:hAnsi="Times New Roman"/>
        </w:rPr>
        <w:t xml:space="preserve">, T., (2009). Design of sustainable development: Intellectual value of large BRIC companies and factors of their growth. </w:t>
      </w:r>
      <w:r>
        <w:rPr>
          <w:rFonts w:ascii="Times New Roman" w:hAnsi="Times New Roman"/>
          <w:i/>
        </w:rPr>
        <w:t>Electronic Journal of Knowledge Management</w:t>
      </w:r>
      <w:r>
        <w:rPr>
          <w:rFonts w:ascii="Times New Roman" w:hAnsi="Times New Roman"/>
        </w:rPr>
        <w:t xml:space="preserve">, 7 (5), 535-558. </w:t>
      </w:r>
    </w:p>
    <w:p w:rsidR="00444438" w:rsidRDefault="00E25332">
      <w:pPr>
        <w:ind w:left="567" w:hanging="567"/>
        <w:jc w:val="both"/>
        <w:rPr>
          <w:rFonts w:ascii="Times New Roman" w:hAnsi="Times New Roman"/>
        </w:rPr>
      </w:pPr>
      <w:proofErr w:type="spellStart"/>
      <w:r>
        <w:rPr>
          <w:rFonts w:ascii="Times New Roman" w:hAnsi="Times New Roman"/>
        </w:rPr>
        <w:t>Bontis</w:t>
      </w:r>
      <w:proofErr w:type="spellEnd"/>
      <w:r>
        <w:rPr>
          <w:rFonts w:ascii="Times New Roman" w:hAnsi="Times New Roman"/>
        </w:rPr>
        <w:t xml:space="preserve">, Nick. (1999). </w:t>
      </w:r>
      <w:proofErr w:type="gramStart"/>
      <w:r>
        <w:rPr>
          <w:rFonts w:ascii="Times New Roman" w:hAnsi="Times New Roman"/>
        </w:rPr>
        <w:t>Managing</w:t>
      </w:r>
      <w:proofErr w:type="gramEnd"/>
      <w:r>
        <w:rPr>
          <w:rFonts w:ascii="Times New Roman" w:hAnsi="Times New Roman"/>
        </w:rPr>
        <w:t xml:space="preserve"> organizational knowledge by diagnosing intellectual capital: framing and advancing the state of the field. </w:t>
      </w:r>
      <w:r>
        <w:rPr>
          <w:rFonts w:ascii="Times New Roman" w:hAnsi="Times New Roman"/>
          <w:i/>
        </w:rPr>
        <w:t xml:space="preserve">International Journal of Technology Management, </w:t>
      </w:r>
      <w:r>
        <w:rPr>
          <w:rFonts w:ascii="Times New Roman" w:hAnsi="Times New Roman"/>
        </w:rPr>
        <w:t xml:space="preserve">18 (5), 433-463. </w:t>
      </w:r>
      <w:hyperlink r:id="rId9" w:history="1">
        <w:r>
          <w:rPr>
            <w:rFonts w:ascii="Times New Roman" w:hAnsi="Times New Roman"/>
            <w:color w:val="0000FF"/>
            <w:u w:val="single"/>
          </w:rPr>
          <w:t>https://doi.org/10.1504/IJTM.1999.002780</w:t>
        </w:r>
      </w:hyperlink>
    </w:p>
    <w:p w:rsidR="00444438" w:rsidRDefault="00E25332">
      <w:pPr>
        <w:ind w:left="567" w:hanging="567"/>
        <w:jc w:val="both"/>
        <w:rPr>
          <w:rFonts w:ascii="Times New Roman" w:hAnsi="Times New Roman"/>
        </w:rPr>
      </w:pPr>
      <w:r>
        <w:rPr>
          <w:rFonts w:ascii="Times New Roman" w:hAnsi="Times New Roman"/>
        </w:rPr>
        <w:t xml:space="preserve">Bourke, P. (1989). Concentration and other determinants of bank profitability in Europe, North America and Australia. </w:t>
      </w:r>
      <w:r>
        <w:rPr>
          <w:rFonts w:ascii="Times New Roman" w:hAnsi="Times New Roman"/>
          <w:i/>
        </w:rPr>
        <w:t>Journal of Banking and Finance</w:t>
      </w:r>
      <w:r>
        <w:rPr>
          <w:rFonts w:ascii="Times New Roman" w:hAnsi="Times New Roman"/>
        </w:rPr>
        <w:t xml:space="preserve">. 13(1), 65-79. </w:t>
      </w:r>
      <w:hyperlink r:id="rId10" w:tgtFrame="https://www.sciencedirect.com/science/article/pii/_blank" w:tooltip="Persistent link using digital object identifier" w:history="1">
        <w:r>
          <w:rPr>
            <w:rFonts w:ascii="Times New Roman" w:hAnsi="Times New Roman"/>
            <w:color w:val="0000FF"/>
            <w:u w:val="single"/>
          </w:rPr>
          <w:t>https://doi.org/10.1016/0378-4266(89)90020-4</w:t>
        </w:r>
      </w:hyperlink>
    </w:p>
    <w:p w:rsidR="00444438" w:rsidRDefault="00E25332">
      <w:pPr>
        <w:ind w:left="567" w:hanging="567"/>
        <w:jc w:val="both"/>
        <w:rPr>
          <w:rFonts w:ascii="Times New Roman" w:hAnsi="Times New Roman"/>
          <w:i/>
        </w:rPr>
      </w:pPr>
      <w:r>
        <w:rPr>
          <w:rFonts w:ascii="Times New Roman" w:hAnsi="Times New Roman"/>
        </w:rPr>
        <w:t xml:space="preserve">Boyd, J.H., and Champ, B. (2006) Inflation, Banking, and Economic Growth. </w:t>
      </w:r>
      <w:r>
        <w:rPr>
          <w:rFonts w:ascii="Times New Roman" w:hAnsi="Times New Roman"/>
          <w:i/>
        </w:rPr>
        <w:t>Federal Reserve of Cleveland.</w:t>
      </w:r>
    </w:p>
    <w:p w:rsidR="00444438" w:rsidRDefault="00E25332">
      <w:pPr>
        <w:ind w:left="567" w:hanging="567"/>
        <w:jc w:val="both"/>
        <w:rPr>
          <w:rFonts w:ascii="Times New Roman" w:hAnsi="Times New Roman"/>
        </w:rPr>
      </w:pPr>
      <w:r>
        <w:rPr>
          <w:rFonts w:ascii="Times New Roman" w:hAnsi="Times New Roman"/>
        </w:rPr>
        <w:t xml:space="preserve">Cameron, A.C., and Miller, D.L. (2014). A </w:t>
      </w:r>
      <w:proofErr w:type="spellStart"/>
      <w:r>
        <w:rPr>
          <w:rFonts w:ascii="Times New Roman" w:hAnsi="Times New Roman"/>
        </w:rPr>
        <w:t>practicioner’s</w:t>
      </w:r>
      <w:proofErr w:type="spellEnd"/>
      <w:r>
        <w:rPr>
          <w:rFonts w:ascii="Times New Roman" w:hAnsi="Times New Roman"/>
        </w:rPr>
        <w:t xml:space="preserve"> guide to cluster-robust inference. </w:t>
      </w:r>
      <w:r>
        <w:rPr>
          <w:rFonts w:ascii="Times New Roman" w:hAnsi="Times New Roman"/>
          <w:i/>
        </w:rPr>
        <w:t>Journal of Human Resources</w:t>
      </w:r>
      <w:r>
        <w:rPr>
          <w:rFonts w:ascii="Times New Roman" w:hAnsi="Times New Roman"/>
        </w:rPr>
        <w:t xml:space="preserve">. 50(2), 317-372. </w:t>
      </w:r>
      <w:r>
        <w:rPr>
          <w:rFonts w:ascii="Times New Roman" w:hAnsi="Times New Roman"/>
          <w:color w:val="0000FF"/>
          <w:u w:val="single"/>
        </w:rPr>
        <w:t>https://doi: 10.3368/jhr.50.2.317</w:t>
      </w:r>
    </w:p>
    <w:p w:rsidR="00444438" w:rsidRDefault="00E25332">
      <w:pPr>
        <w:ind w:left="567" w:hanging="567"/>
        <w:jc w:val="both"/>
        <w:rPr>
          <w:rFonts w:ascii="Times New Roman" w:hAnsi="Times New Roman"/>
        </w:rPr>
      </w:pPr>
      <w:r>
        <w:rPr>
          <w:rFonts w:ascii="Times New Roman" w:hAnsi="Times New Roman"/>
        </w:rPr>
        <w:t>Chen, Ming-Chin., Cheng, Shu-</w:t>
      </w:r>
      <w:proofErr w:type="spellStart"/>
      <w:r>
        <w:rPr>
          <w:rFonts w:ascii="Times New Roman" w:hAnsi="Times New Roman"/>
        </w:rPr>
        <w:t>Ju</w:t>
      </w:r>
      <w:proofErr w:type="spellEnd"/>
      <w:r>
        <w:rPr>
          <w:rFonts w:ascii="Times New Roman" w:hAnsi="Times New Roman"/>
        </w:rPr>
        <w:t xml:space="preserve">., and Hwang, Y. (2005). An empirical investigation of the relationship between intellectual capital and firms’ market value and financial performance. </w:t>
      </w:r>
      <w:r>
        <w:rPr>
          <w:rFonts w:ascii="Times New Roman" w:hAnsi="Times New Roman"/>
          <w:i/>
        </w:rPr>
        <w:t>Journal of Intellectual Capital</w:t>
      </w:r>
      <w:r>
        <w:rPr>
          <w:rFonts w:ascii="Times New Roman" w:hAnsi="Times New Roman"/>
        </w:rPr>
        <w:t xml:space="preserve">. 6(2), 159-176. </w:t>
      </w:r>
      <w:hyperlink r:id="rId11" w:history="1">
        <w:r>
          <w:rPr>
            <w:rFonts w:ascii="Times New Roman" w:hAnsi="Times New Roman"/>
            <w:color w:val="0000FF"/>
            <w:u w:val="single"/>
          </w:rPr>
          <w:t>https://doi.org/10.1108/14691930510592771</w:t>
        </w:r>
      </w:hyperlink>
    </w:p>
    <w:p w:rsidR="00444438" w:rsidRDefault="00E25332">
      <w:pPr>
        <w:ind w:left="567" w:hanging="567"/>
        <w:jc w:val="both"/>
        <w:rPr>
          <w:rFonts w:ascii="Times New Roman" w:hAnsi="Times New Roman"/>
        </w:rPr>
      </w:pPr>
      <w:proofErr w:type="gramStart"/>
      <w:r>
        <w:rPr>
          <w:rFonts w:ascii="Times New Roman" w:hAnsi="Times New Roman"/>
        </w:rPr>
        <w:t>de</w:t>
      </w:r>
      <w:proofErr w:type="gramEnd"/>
      <w:r>
        <w:rPr>
          <w:rFonts w:ascii="Times New Roman" w:hAnsi="Times New Roman"/>
        </w:rPr>
        <w:t xml:space="preserve"> </w:t>
      </w:r>
      <w:proofErr w:type="spellStart"/>
      <w:r>
        <w:rPr>
          <w:rFonts w:ascii="Times New Roman" w:hAnsi="Times New Roman"/>
        </w:rPr>
        <w:t>Pablos</w:t>
      </w:r>
      <w:proofErr w:type="spellEnd"/>
      <w:r>
        <w:rPr>
          <w:rFonts w:ascii="Times New Roman" w:hAnsi="Times New Roman"/>
        </w:rPr>
        <w:t xml:space="preserve">, P.O. (2002). Evidence of intellectual capital measurement from Asia, Europe and the Middle East. </w:t>
      </w:r>
      <w:r>
        <w:rPr>
          <w:rFonts w:ascii="Times New Roman" w:hAnsi="Times New Roman"/>
          <w:i/>
        </w:rPr>
        <w:t>Journal of Intellectual Capital</w:t>
      </w:r>
      <w:r>
        <w:rPr>
          <w:rFonts w:ascii="Times New Roman" w:hAnsi="Times New Roman"/>
        </w:rPr>
        <w:t xml:space="preserve">, 3(3), 287-302. </w:t>
      </w:r>
      <w:hyperlink r:id="rId12" w:history="1">
        <w:r>
          <w:rPr>
            <w:rFonts w:ascii="Times New Roman" w:hAnsi="Times New Roman"/>
            <w:color w:val="0000FF"/>
            <w:u w:val="single"/>
          </w:rPr>
          <w:t>https://doi.org/10.1108/14691930210435624</w:t>
        </w:r>
      </w:hyperlink>
    </w:p>
    <w:p w:rsidR="00444438" w:rsidRDefault="00E25332">
      <w:pPr>
        <w:ind w:left="567" w:hanging="567"/>
        <w:jc w:val="both"/>
        <w:rPr>
          <w:rFonts w:ascii="Times New Roman" w:hAnsi="Times New Roman"/>
        </w:rPr>
      </w:pPr>
      <w:proofErr w:type="spellStart"/>
      <w:r>
        <w:rPr>
          <w:rFonts w:ascii="Times New Roman" w:hAnsi="Times New Roman"/>
        </w:rPr>
        <w:t>Demirguc-Kunt</w:t>
      </w:r>
      <w:proofErr w:type="spellEnd"/>
      <w:r>
        <w:rPr>
          <w:rFonts w:ascii="Times New Roman" w:hAnsi="Times New Roman"/>
        </w:rPr>
        <w:t xml:space="preserve">, A., and Huizinga, H. (2000). Financial structure and bank profitability. </w:t>
      </w:r>
      <w:r>
        <w:rPr>
          <w:rFonts w:ascii="Times New Roman" w:hAnsi="Times New Roman"/>
          <w:i/>
        </w:rPr>
        <w:t>World Bank Policy Research Working Paper No. 2430</w:t>
      </w:r>
      <w:r>
        <w:rPr>
          <w:rFonts w:ascii="Times New Roman" w:hAnsi="Times New Roman"/>
        </w:rPr>
        <w:t xml:space="preserve">. </w:t>
      </w:r>
    </w:p>
    <w:p w:rsidR="00444438" w:rsidRDefault="00E25332">
      <w:pPr>
        <w:ind w:left="567" w:hanging="567"/>
        <w:jc w:val="both"/>
        <w:rPr>
          <w:rFonts w:ascii="Times New Roman" w:hAnsi="Times New Roman"/>
        </w:rPr>
      </w:pPr>
      <w:proofErr w:type="spellStart"/>
      <w:r>
        <w:rPr>
          <w:rFonts w:ascii="Times New Roman" w:hAnsi="Times New Roman"/>
        </w:rPr>
        <w:t>Edvinsson</w:t>
      </w:r>
      <w:proofErr w:type="spellEnd"/>
      <w:r>
        <w:rPr>
          <w:rFonts w:ascii="Times New Roman" w:hAnsi="Times New Roman"/>
        </w:rPr>
        <w:t xml:space="preserve">, Leif. (1996). Developing a model for managing intellectual capital. </w:t>
      </w:r>
      <w:r>
        <w:rPr>
          <w:rFonts w:ascii="Times New Roman" w:hAnsi="Times New Roman"/>
          <w:i/>
        </w:rPr>
        <w:t>European Management Journal</w:t>
      </w:r>
      <w:r>
        <w:rPr>
          <w:rFonts w:ascii="Times New Roman" w:hAnsi="Times New Roman"/>
        </w:rPr>
        <w:t>, 4, 356-364.</w:t>
      </w:r>
      <w:r>
        <w:rPr>
          <w:rFonts w:ascii="Times New Roman" w:hAnsi="Times New Roman"/>
          <w:color w:val="0000FF"/>
          <w:u w:val="single"/>
        </w:rPr>
        <w:t xml:space="preserve">  </w:t>
      </w:r>
      <w:hyperlink r:id="rId13" w:tgtFrame="https://www.sciencedirect.com/science/article/pii/_blank" w:tooltip="Persistent link using digital object identifier" w:history="1">
        <w:r>
          <w:rPr>
            <w:rFonts w:ascii="Times New Roman" w:hAnsi="Times New Roman"/>
            <w:color w:val="0000FF"/>
            <w:u w:val="single"/>
          </w:rPr>
          <w:t>https://doi.org/10.1016/0263-2373(96)00022-9</w:t>
        </w:r>
      </w:hyperlink>
    </w:p>
    <w:p w:rsidR="00444438" w:rsidRDefault="00E25332">
      <w:pPr>
        <w:ind w:left="567" w:hanging="567"/>
        <w:jc w:val="both"/>
        <w:rPr>
          <w:rFonts w:ascii="Times New Roman" w:hAnsi="Times New Roman"/>
        </w:rPr>
      </w:pPr>
      <w:r>
        <w:rPr>
          <w:rFonts w:ascii="Times New Roman" w:hAnsi="Times New Roman"/>
        </w:rPr>
        <w:t>Garcia-</w:t>
      </w:r>
      <w:proofErr w:type="spellStart"/>
      <w:r>
        <w:rPr>
          <w:rFonts w:ascii="Times New Roman" w:hAnsi="Times New Roman"/>
        </w:rPr>
        <w:t>Meca</w:t>
      </w:r>
      <w:proofErr w:type="spellEnd"/>
      <w:r>
        <w:rPr>
          <w:rFonts w:ascii="Times New Roman" w:hAnsi="Times New Roman"/>
        </w:rPr>
        <w:t xml:space="preserve">, E., and Martinez, I. (2005). </w:t>
      </w:r>
      <w:proofErr w:type="spellStart"/>
      <w:r>
        <w:rPr>
          <w:rFonts w:ascii="Times New Roman" w:hAnsi="Times New Roman"/>
        </w:rPr>
        <w:t>Assesing</w:t>
      </w:r>
      <w:proofErr w:type="spellEnd"/>
      <w:r>
        <w:rPr>
          <w:rFonts w:ascii="Times New Roman" w:hAnsi="Times New Roman"/>
        </w:rPr>
        <w:t xml:space="preserve"> the quality of disclosure on intangibles in the Spanish Capital Market. </w:t>
      </w:r>
      <w:r>
        <w:rPr>
          <w:rFonts w:ascii="Times New Roman" w:hAnsi="Times New Roman"/>
          <w:i/>
        </w:rPr>
        <w:t xml:space="preserve">European </w:t>
      </w:r>
      <w:proofErr w:type="spellStart"/>
      <w:r>
        <w:rPr>
          <w:rFonts w:ascii="Times New Roman" w:hAnsi="Times New Roman"/>
          <w:i/>
        </w:rPr>
        <w:t>Busines</w:t>
      </w:r>
      <w:proofErr w:type="spellEnd"/>
      <w:r>
        <w:rPr>
          <w:rFonts w:ascii="Times New Roman" w:hAnsi="Times New Roman"/>
          <w:i/>
        </w:rPr>
        <w:t xml:space="preserve"> Review</w:t>
      </w:r>
      <w:r>
        <w:rPr>
          <w:rFonts w:ascii="Times New Roman" w:hAnsi="Times New Roman"/>
        </w:rPr>
        <w:t xml:space="preserve">, 17(4), 305-313. </w:t>
      </w:r>
      <w:hyperlink r:id="rId14" w:history="1">
        <w:r>
          <w:rPr>
            <w:rFonts w:ascii="Times New Roman" w:hAnsi="Times New Roman"/>
            <w:color w:val="0000FF"/>
            <w:u w:val="single"/>
          </w:rPr>
          <w:t>https://doi.org/10.1108/09555340510607352</w:t>
        </w:r>
      </w:hyperlink>
    </w:p>
    <w:p w:rsidR="00444438" w:rsidRDefault="00E25332">
      <w:pPr>
        <w:ind w:left="567" w:hanging="567"/>
        <w:jc w:val="both"/>
        <w:rPr>
          <w:rFonts w:ascii="Times New Roman" w:hAnsi="Times New Roman"/>
        </w:rPr>
      </w:pPr>
      <w:r>
        <w:rPr>
          <w:rFonts w:ascii="Times New Roman" w:hAnsi="Times New Roman"/>
        </w:rPr>
        <w:t xml:space="preserve">Goddard, J.A., </w:t>
      </w:r>
      <w:proofErr w:type="spellStart"/>
      <w:r>
        <w:rPr>
          <w:rFonts w:ascii="Times New Roman" w:hAnsi="Times New Roman"/>
        </w:rPr>
        <w:t>Molyneux</w:t>
      </w:r>
      <w:proofErr w:type="spellEnd"/>
      <w:r>
        <w:rPr>
          <w:rFonts w:ascii="Times New Roman" w:hAnsi="Times New Roman"/>
        </w:rPr>
        <w:t xml:space="preserve">, P.M., and Wilson, J.O.S. (2004). Dynamics of growth and profitability in banking. </w:t>
      </w:r>
      <w:r>
        <w:rPr>
          <w:rFonts w:ascii="Times New Roman" w:hAnsi="Times New Roman"/>
          <w:i/>
        </w:rPr>
        <w:t>Journal of Money, Credit and Banking</w:t>
      </w:r>
      <w:r>
        <w:rPr>
          <w:rFonts w:ascii="Times New Roman" w:hAnsi="Times New Roman"/>
        </w:rPr>
        <w:t xml:space="preserve">. 36(6), 1069-1090. </w:t>
      </w:r>
      <w:hyperlink r:id="rId15" w:history="1">
        <w:r>
          <w:rPr>
            <w:rFonts w:ascii="Times New Roman" w:hAnsi="Times New Roman"/>
            <w:color w:val="0000FF"/>
            <w:u w:val="single"/>
          </w:rPr>
          <w:t>https://doi.org/10.1353/mcb.2005.0015</w:t>
        </w:r>
      </w:hyperlink>
    </w:p>
    <w:p w:rsidR="00444438" w:rsidRDefault="00E25332">
      <w:pPr>
        <w:ind w:left="567" w:hanging="567"/>
        <w:jc w:val="both"/>
        <w:rPr>
          <w:rFonts w:ascii="Times New Roman" w:hAnsi="Times New Roman"/>
        </w:rPr>
      </w:pPr>
      <w:r>
        <w:rPr>
          <w:rFonts w:ascii="Times New Roman" w:hAnsi="Times New Roman"/>
        </w:rPr>
        <w:lastRenderedPageBreak/>
        <w:t xml:space="preserve">Kamath, G.B. (2007). The intellectual capital performance of Indian Banking Sector. </w:t>
      </w:r>
      <w:r>
        <w:rPr>
          <w:rFonts w:ascii="Times New Roman" w:hAnsi="Times New Roman"/>
          <w:i/>
        </w:rPr>
        <w:t>Journal of Intellectual Capital</w:t>
      </w:r>
      <w:r>
        <w:rPr>
          <w:rFonts w:ascii="Times New Roman" w:hAnsi="Times New Roman"/>
        </w:rPr>
        <w:t xml:space="preserve">, 8(1), 1469-1930. </w:t>
      </w:r>
      <w:hyperlink r:id="rId16" w:history="1">
        <w:r>
          <w:rPr>
            <w:rFonts w:ascii="Times New Roman" w:hAnsi="Times New Roman"/>
            <w:color w:val="0000FF"/>
            <w:u w:val="single"/>
          </w:rPr>
          <w:t>https://doi.org/10.1108/14691930710715088</w:t>
        </w:r>
      </w:hyperlink>
    </w:p>
    <w:p w:rsidR="00444438" w:rsidRDefault="00E25332">
      <w:pPr>
        <w:ind w:left="567" w:hanging="567"/>
        <w:jc w:val="both"/>
        <w:rPr>
          <w:rFonts w:ascii="Times New Roman" w:hAnsi="Times New Roman"/>
        </w:rPr>
      </w:pPr>
      <w:proofErr w:type="spellStart"/>
      <w:r>
        <w:rPr>
          <w:rFonts w:ascii="Times New Roman" w:hAnsi="Times New Roman"/>
        </w:rPr>
        <w:t>Meles</w:t>
      </w:r>
      <w:proofErr w:type="spellEnd"/>
      <w:r>
        <w:rPr>
          <w:rFonts w:ascii="Times New Roman" w:hAnsi="Times New Roman"/>
        </w:rPr>
        <w:t xml:space="preserve">. A., </w:t>
      </w:r>
      <w:proofErr w:type="spellStart"/>
      <w:r>
        <w:rPr>
          <w:rFonts w:ascii="Times New Roman" w:hAnsi="Times New Roman"/>
        </w:rPr>
        <w:t>Porzio</w:t>
      </w:r>
      <w:proofErr w:type="spellEnd"/>
      <w:r>
        <w:rPr>
          <w:rFonts w:ascii="Times New Roman" w:hAnsi="Times New Roman"/>
        </w:rPr>
        <w:t xml:space="preserve">, C., </w:t>
      </w:r>
      <w:proofErr w:type="spellStart"/>
      <w:r>
        <w:rPr>
          <w:rFonts w:ascii="Times New Roman" w:hAnsi="Times New Roman"/>
        </w:rPr>
        <w:t>Sampagnaro</w:t>
      </w:r>
      <w:proofErr w:type="spellEnd"/>
      <w:r>
        <w:rPr>
          <w:rFonts w:ascii="Times New Roman" w:hAnsi="Times New Roman"/>
        </w:rPr>
        <w:t xml:space="preserve">, G., and </w:t>
      </w:r>
      <w:proofErr w:type="spellStart"/>
      <w:r>
        <w:rPr>
          <w:rFonts w:ascii="Times New Roman" w:hAnsi="Times New Roman"/>
        </w:rPr>
        <w:t>V.Verdoliva</w:t>
      </w:r>
      <w:proofErr w:type="spellEnd"/>
      <w:r>
        <w:rPr>
          <w:rFonts w:ascii="Times New Roman" w:hAnsi="Times New Roman"/>
        </w:rPr>
        <w:t xml:space="preserve">. (2016). </w:t>
      </w:r>
      <w:proofErr w:type="gramStart"/>
      <w:r>
        <w:rPr>
          <w:rFonts w:ascii="Times New Roman" w:hAnsi="Times New Roman"/>
        </w:rPr>
        <w:t>The</w:t>
      </w:r>
      <w:proofErr w:type="gramEnd"/>
      <w:r>
        <w:rPr>
          <w:rFonts w:ascii="Times New Roman" w:hAnsi="Times New Roman"/>
        </w:rPr>
        <w:t xml:space="preserve"> impact of intellectual capital efficiency on commercial banks performance: Evidence from The US. </w:t>
      </w:r>
      <w:hyperlink r:id="rId17" w:tooltip="Go to Journal of Multinational Financial Management on ScienceDirect" w:history="1">
        <w:r>
          <w:rPr>
            <w:rFonts w:ascii="Times New Roman" w:hAnsi="Times New Roman"/>
            <w:i/>
          </w:rPr>
          <w:t>Journal of Multinational Financial Management</w:t>
        </w:r>
      </w:hyperlink>
      <w:r>
        <w:rPr>
          <w:rFonts w:ascii="Times New Roman" w:hAnsi="Times New Roman"/>
          <w:i/>
        </w:rPr>
        <w:t xml:space="preserve">, 36, </w:t>
      </w:r>
      <w:r>
        <w:rPr>
          <w:rFonts w:ascii="Times New Roman" w:hAnsi="Times New Roman"/>
        </w:rPr>
        <w:t>64-74.</w:t>
      </w:r>
      <w:r>
        <w:rPr>
          <w:rFonts w:ascii="Times New Roman" w:hAnsi="Times New Roman"/>
          <w:color w:val="0000FF"/>
          <w:u w:val="single"/>
        </w:rPr>
        <w:t xml:space="preserve"> </w:t>
      </w:r>
      <w:hyperlink r:id="rId18" w:tgtFrame="https://www.sciencedirect.com/science/article/pii/_blank" w:tooltip="Persistent link using digital object identifier" w:history="1">
        <w:r>
          <w:rPr>
            <w:rFonts w:ascii="Times New Roman" w:hAnsi="Times New Roman"/>
            <w:color w:val="0000FF"/>
            <w:u w:val="single"/>
          </w:rPr>
          <w:t>https://doi.org/10.1016/j.mulfin.2016.04.003</w:t>
        </w:r>
      </w:hyperlink>
    </w:p>
    <w:p w:rsidR="00444438" w:rsidRDefault="00E25332">
      <w:pPr>
        <w:ind w:left="567" w:hanging="567"/>
        <w:jc w:val="both"/>
        <w:rPr>
          <w:rFonts w:ascii="Times New Roman" w:hAnsi="Times New Roman"/>
        </w:rPr>
      </w:pPr>
      <w:proofErr w:type="spellStart"/>
      <w:r>
        <w:rPr>
          <w:rFonts w:ascii="Times New Roman" w:hAnsi="Times New Roman"/>
        </w:rPr>
        <w:t>Menicucci</w:t>
      </w:r>
      <w:proofErr w:type="spellEnd"/>
      <w:r>
        <w:rPr>
          <w:rFonts w:ascii="Times New Roman" w:hAnsi="Times New Roman"/>
        </w:rPr>
        <w:t xml:space="preserve">, E., and </w:t>
      </w:r>
      <w:proofErr w:type="spellStart"/>
      <w:r>
        <w:rPr>
          <w:rFonts w:ascii="Times New Roman" w:hAnsi="Times New Roman"/>
        </w:rPr>
        <w:t>Paolucci</w:t>
      </w:r>
      <w:proofErr w:type="spellEnd"/>
      <w:r>
        <w:rPr>
          <w:rFonts w:ascii="Times New Roman" w:hAnsi="Times New Roman"/>
        </w:rPr>
        <w:t xml:space="preserve">, G. (2016). The determinants of bank profitability: Empirical evidence from European banking sector. </w:t>
      </w:r>
      <w:r>
        <w:rPr>
          <w:rFonts w:ascii="Times New Roman" w:hAnsi="Times New Roman"/>
          <w:i/>
        </w:rPr>
        <w:t>Journal of Financial Reporting and Accounting.</w:t>
      </w:r>
      <w:r>
        <w:rPr>
          <w:rFonts w:ascii="Times New Roman" w:hAnsi="Times New Roman"/>
        </w:rPr>
        <w:t xml:space="preserve"> 14(1), 86-115. </w:t>
      </w:r>
      <w:hyperlink r:id="rId19" w:history="1">
        <w:r>
          <w:rPr>
            <w:rFonts w:ascii="Times New Roman" w:hAnsi="Times New Roman"/>
            <w:color w:val="0000FF"/>
            <w:u w:val="single"/>
          </w:rPr>
          <w:t>https://doi.org/10.1108/JFRA-05-2015-0060</w:t>
        </w:r>
      </w:hyperlink>
    </w:p>
    <w:p w:rsidR="00444438" w:rsidRDefault="00E25332">
      <w:pPr>
        <w:ind w:left="567" w:hanging="567"/>
        <w:jc w:val="both"/>
        <w:rPr>
          <w:rFonts w:ascii="Times New Roman" w:hAnsi="Times New Roman"/>
        </w:rPr>
      </w:pPr>
      <w:r>
        <w:rPr>
          <w:rFonts w:ascii="Times New Roman" w:hAnsi="Times New Roman"/>
        </w:rPr>
        <w:t xml:space="preserve">Miller, S., and </w:t>
      </w:r>
      <w:proofErr w:type="spellStart"/>
      <w:r>
        <w:rPr>
          <w:rFonts w:ascii="Times New Roman" w:hAnsi="Times New Roman"/>
        </w:rPr>
        <w:t>Noulas</w:t>
      </w:r>
      <w:proofErr w:type="spellEnd"/>
      <w:r>
        <w:rPr>
          <w:rFonts w:ascii="Times New Roman" w:hAnsi="Times New Roman"/>
        </w:rPr>
        <w:t xml:space="preserve">, A. (1997). Portfolio mix and large-bank profitability in the USA. </w:t>
      </w:r>
      <w:r>
        <w:rPr>
          <w:rFonts w:ascii="Times New Roman" w:hAnsi="Times New Roman"/>
          <w:i/>
        </w:rPr>
        <w:t xml:space="preserve">Applied Economics. </w:t>
      </w:r>
      <w:r>
        <w:rPr>
          <w:rFonts w:ascii="Times New Roman" w:hAnsi="Times New Roman"/>
        </w:rPr>
        <w:t xml:space="preserve">29(4), 505-512. </w:t>
      </w:r>
      <w:hyperlink r:id="rId20" w:history="1">
        <w:r>
          <w:rPr>
            <w:rFonts w:ascii="Times New Roman" w:hAnsi="Times New Roman"/>
            <w:color w:val="0000FF"/>
            <w:u w:val="single"/>
          </w:rPr>
          <w:t>https://doi.org/10.1080/000368497326994</w:t>
        </w:r>
      </w:hyperlink>
    </w:p>
    <w:p w:rsidR="00444438" w:rsidRDefault="00E25332">
      <w:pPr>
        <w:ind w:left="567" w:hanging="567"/>
        <w:jc w:val="both"/>
        <w:rPr>
          <w:rFonts w:ascii="Times New Roman" w:hAnsi="Times New Roman"/>
        </w:rPr>
      </w:pPr>
      <w:proofErr w:type="spellStart"/>
      <w:r>
        <w:rPr>
          <w:rFonts w:ascii="Times New Roman" w:hAnsi="Times New Roman"/>
        </w:rPr>
        <w:t>Ousama</w:t>
      </w:r>
      <w:proofErr w:type="spellEnd"/>
      <w:r>
        <w:rPr>
          <w:rFonts w:ascii="Times New Roman" w:hAnsi="Times New Roman"/>
        </w:rPr>
        <w:t xml:space="preserve">, A.A., and Fatima, A.H. (2015). Intellectual capital and financial performance of Islamic banks. </w:t>
      </w:r>
      <w:r>
        <w:rPr>
          <w:rFonts w:ascii="Times New Roman" w:hAnsi="Times New Roman"/>
          <w:i/>
          <w:iCs/>
        </w:rPr>
        <w:t>International Journal Learning and Intellectual Capital</w:t>
      </w:r>
      <w:r>
        <w:rPr>
          <w:rFonts w:ascii="Times New Roman" w:hAnsi="Times New Roman"/>
        </w:rPr>
        <w:t xml:space="preserve">. 12(1), 1-15. </w:t>
      </w:r>
      <w:hyperlink r:id="rId21" w:history="1">
        <w:r>
          <w:rPr>
            <w:rFonts w:ascii="Times New Roman" w:hAnsi="Times New Roman"/>
            <w:color w:val="0000FF"/>
            <w:u w:val="single"/>
          </w:rPr>
          <w:t>https://doi.org/10.1504/IJLIC.2015.067822</w:t>
        </w:r>
      </w:hyperlink>
    </w:p>
    <w:p w:rsidR="00444438" w:rsidRDefault="00E25332">
      <w:pPr>
        <w:ind w:left="567" w:hanging="567"/>
        <w:jc w:val="both"/>
        <w:rPr>
          <w:rFonts w:ascii="Times New Roman" w:hAnsi="Times New Roman"/>
        </w:rPr>
      </w:pPr>
      <w:proofErr w:type="spellStart"/>
      <w:r>
        <w:rPr>
          <w:rFonts w:ascii="Times New Roman" w:hAnsi="Times New Roman"/>
        </w:rPr>
        <w:t>Ozkan</w:t>
      </w:r>
      <w:proofErr w:type="spellEnd"/>
      <w:r>
        <w:rPr>
          <w:rFonts w:ascii="Times New Roman" w:hAnsi="Times New Roman"/>
        </w:rPr>
        <w:t xml:space="preserve">, N., </w:t>
      </w:r>
      <w:proofErr w:type="spellStart"/>
      <w:r>
        <w:rPr>
          <w:rFonts w:ascii="Times New Roman" w:hAnsi="Times New Roman"/>
        </w:rPr>
        <w:t>Cakan</w:t>
      </w:r>
      <w:proofErr w:type="spellEnd"/>
      <w:r>
        <w:rPr>
          <w:rFonts w:ascii="Times New Roman" w:hAnsi="Times New Roman"/>
        </w:rPr>
        <w:t xml:space="preserve">, S., and </w:t>
      </w:r>
      <w:proofErr w:type="spellStart"/>
      <w:r>
        <w:rPr>
          <w:rFonts w:ascii="Times New Roman" w:hAnsi="Times New Roman"/>
        </w:rPr>
        <w:t>Kacayan</w:t>
      </w:r>
      <w:proofErr w:type="spellEnd"/>
      <w:r>
        <w:rPr>
          <w:rFonts w:ascii="Times New Roman" w:hAnsi="Times New Roman"/>
        </w:rPr>
        <w:t xml:space="preserve">, M. (2017). Intellectual capital and financial performance: A study of the Turkish Banking Sector. </w:t>
      </w:r>
      <w:proofErr w:type="spellStart"/>
      <w:r>
        <w:rPr>
          <w:rFonts w:ascii="Times New Roman" w:hAnsi="Times New Roman"/>
          <w:i/>
        </w:rPr>
        <w:t>Borsa</w:t>
      </w:r>
      <w:proofErr w:type="spellEnd"/>
      <w:r>
        <w:rPr>
          <w:rFonts w:ascii="Times New Roman" w:hAnsi="Times New Roman"/>
          <w:i/>
        </w:rPr>
        <w:t xml:space="preserve"> Istanbul Review</w:t>
      </w:r>
      <w:r>
        <w:rPr>
          <w:rFonts w:ascii="Times New Roman" w:hAnsi="Times New Roman"/>
        </w:rPr>
        <w:t xml:space="preserve">, 17(3), 190-198. </w:t>
      </w:r>
      <w:hyperlink r:id="rId22" w:tgtFrame="https://www.sciencedirect.com/science/article/pii/_blank" w:tooltip="Persistent link using digital object identifier" w:history="1">
        <w:r>
          <w:rPr>
            <w:rFonts w:ascii="Times New Roman" w:hAnsi="Times New Roman"/>
            <w:color w:val="0000FF"/>
            <w:u w:val="single"/>
          </w:rPr>
          <w:t>https://doi.org/10.1016/j.bir.2016.03.001</w:t>
        </w:r>
      </w:hyperlink>
    </w:p>
    <w:p w:rsidR="00444438" w:rsidRDefault="00E25332">
      <w:pPr>
        <w:ind w:left="567" w:hanging="567"/>
        <w:jc w:val="both"/>
        <w:rPr>
          <w:rFonts w:ascii="Times New Roman" w:hAnsi="Times New Roman"/>
        </w:rPr>
      </w:pPr>
      <w:proofErr w:type="spellStart"/>
      <w:r>
        <w:rPr>
          <w:rFonts w:ascii="Times New Roman" w:hAnsi="Times New Roman"/>
        </w:rPr>
        <w:t>Pulic</w:t>
      </w:r>
      <w:proofErr w:type="spellEnd"/>
      <w:r>
        <w:rPr>
          <w:rFonts w:ascii="Times New Roman" w:hAnsi="Times New Roman"/>
        </w:rPr>
        <w:t xml:space="preserve">, Ante. (1998). Measuring the performance of intellectual </w:t>
      </w:r>
      <w:proofErr w:type="spellStart"/>
      <w:r>
        <w:rPr>
          <w:rFonts w:ascii="Times New Roman" w:hAnsi="Times New Roman"/>
        </w:rPr>
        <w:t>potentual</w:t>
      </w:r>
      <w:proofErr w:type="spellEnd"/>
      <w:r>
        <w:rPr>
          <w:rFonts w:ascii="Times New Roman" w:hAnsi="Times New Roman"/>
        </w:rPr>
        <w:t xml:space="preserve"> in knowledge economy. </w:t>
      </w:r>
      <w:r>
        <w:rPr>
          <w:rFonts w:ascii="Times New Roman" w:hAnsi="Times New Roman"/>
          <w:i/>
        </w:rPr>
        <w:t xml:space="preserve">Presented in the </w:t>
      </w:r>
      <w:proofErr w:type="gramStart"/>
      <w:r>
        <w:rPr>
          <w:rFonts w:ascii="Times New Roman" w:hAnsi="Times New Roman"/>
          <w:i/>
        </w:rPr>
        <w:t>2</w:t>
      </w:r>
      <w:r>
        <w:rPr>
          <w:rFonts w:ascii="Times New Roman" w:hAnsi="Times New Roman"/>
          <w:i/>
          <w:vertAlign w:val="superscript"/>
        </w:rPr>
        <w:t>nd</w:t>
      </w:r>
      <w:proofErr w:type="gramEnd"/>
      <w:r>
        <w:rPr>
          <w:rFonts w:ascii="Times New Roman" w:hAnsi="Times New Roman"/>
          <w:i/>
          <w:vertAlign w:val="superscript"/>
        </w:rPr>
        <w:t xml:space="preserve"> </w:t>
      </w:r>
      <w:r>
        <w:rPr>
          <w:rFonts w:ascii="Times New Roman" w:hAnsi="Times New Roman"/>
          <w:i/>
        </w:rPr>
        <w:t>McMaster World Congress on Measuring and Managing Intellectual Capital.</w:t>
      </w:r>
      <w:r>
        <w:rPr>
          <w:rFonts w:ascii="Times New Roman" w:hAnsi="Times New Roman"/>
        </w:rPr>
        <w:t xml:space="preserve"> </w:t>
      </w:r>
    </w:p>
    <w:p w:rsidR="00444438" w:rsidRDefault="00E25332">
      <w:pPr>
        <w:ind w:left="567" w:hanging="567"/>
        <w:jc w:val="both"/>
        <w:rPr>
          <w:rFonts w:ascii="Times New Roman" w:hAnsi="Times New Roman"/>
        </w:rPr>
      </w:pPr>
      <w:r>
        <w:rPr>
          <w:rFonts w:ascii="Times New Roman" w:hAnsi="Times New Roman"/>
        </w:rPr>
        <w:t xml:space="preserve">Puntillo, P. (2009). Intellectual capital and business performance. Evidence from Italian Banking Industry. </w:t>
      </w:r>
      <w:r>
        <w:rPr>
          <w:rFonts w:ascii="Times New Roman" w:hAnsi="Times New Roman"/>
          <w:i/>
        </w:rPr>
        <w:t xml:space="preserve">Electronic Journal of Corporate Finance, </w:t>
      </w:r>
      <w:r>
        <w:rPr>
          <w:rFonts w:ascii="Times New Roman" w:hAnsi="Times New Roman"/>
        </w:rPr>
        <w:t>4(12), 97-115.</w:t>
      </w:r>
    </w:p>
    <w:p w:rsidR="00444438" w:rsidRDefault="00E25332">
      <w:pPr>
        <w:ind w:left="567" w:hanging="567"/>
        <w:jc w:val="both"/>
        <w:rPr>
          <w:rFonts w:ascii="Times New Roman" w:hAnsi="Times New Roman"/>
        </w:rPr>
      </w:pPr>
      <w:proofErr w:type="spellStart"/>
      <w:r>
        <w:rPr>
          <w:rFonts w:ascii="Times New Roman" w:hAnsi="Times New Roman"/>
        </w:rPr>
        <w:t>Shaban</w:t>
      </w:r>
      <w:proofErr w:type="spellEnd"/>
      <w:r>
        <w:rPr>
          <w:rFonts w:ascii="Times New Roman" w:hAnsi="Times New Roman"/>
        </w:rPr>
        <w:t xml:space="preserve">, M., </w:t>
      </w:r>
      <w:proofErr w:type="spellStart"/>
      <w:r>
        <w:rPr>
          <w:rFonts w:ascii="Times New Roman" w:hAnsi="Times New Roman"/>
        </w:rPr>
        <w:t>Duygun</w:t>
      </w:r>
      <w:proofErr w:type="spellEnd"/>
      <w:r>
        <w:rPr>
          <w:rFonts w:ascii="Times New Roman" w:hAnsi="Times New Roman"/>
        </w:rPr>
        <w:t xml:space="preserve">, M., Anwar, M., and Akbar, B. (2014). Diversification and banks’ willingness to lend to small business: Evidence from Islamic and Conventional Banks in Indonesia. </w:t>
      </w:r>
      <w:r>
        <w:rPr>
          <w:rFonts w:ascii="Times New Roman" w:hAnsi="Times New Roman"/>
          <w:i/>
        </w:rPr>
        <w:t>Journal of Economic Behavior and Organization</w:t>
      </w:r>
      <w:r>
        <w:rPr>
          <w:rFonts w:ascii="Times New Roman" w:hAnsi="Times New Roman"/>
        </w:rPr>
        <w:t xml:space="preserve">. </w:t>
      </w:r>
      <w:proofErr w:type="gramStart"/>
      <w:r>
        <w:rPr>
          <w:rFonts w:ascii="Times New Roman" w:hAnsi="Times New Roman"/>
        </w:rPr>
        <w:t>103</w:t>
      </w:r>
      <w:proofErr w:type="gramEnd"/>
      <w:r>
        <w:rPr>
          <w:rFonts w:ascii="Times New Roman" w:hAnsi="Times New Roman"/>
        </w:rPr>
        <w:t xml:space="preserve">, 539-555. </w:t>
      </w:r>
      <w:hyperlink r:id="rId23" w:tgtFrame="https://www.sciencedirect.com/science/article/pii/_blank" w:tooltip="Persistent link using digital object identifier" w:history="1">
        <w:r>
          <w:rPr>
            <w:rFonts w:ascii="Times New Roman" w:hAnsi="Times New Roman"/>
            <w:color w:val="0000FF"/>
            <w:u w:val="single"/>
          </w:rPr>
          <w:t>https://doi.org/10.1016/j.jebo.2014.03.021</w:t>
        </w:r>
      </w:hyperlink>
    </w:p>
    <w:p w:rsidR="00444438" w:rsidRDefault="00E25332">
      <w:pPr>
        <w:ind w:left="567" w:hanging="567"/>
        <w:jc w:val="both"/>
        <w:rPr>
          <w:rFonts w:ascii="Times New Roman" w:hAnsi="Times New Roman"/>
        </w:rPr>
      </w:pPr>
      <w:r>
        <w:rPr>
          <w:rFonts w:ascii="Times New Roman" w:hAnsi="Times New Roman"/>
        </w:rPr>
        <w:t xml:space="preserve">Shaikh, S.A. (2014). Analysis of challenges and opportunities in </w:t>
      </w:r>
      <w:proofErr w:type="spellStart"/>
      <w:proofErr w:type="gramStart"/>
      <w:r>
        <w:rPr>
          <w:rFonts w:ascii="Times New Roman" w:hAnsi="Times New Roman"/>
        </w:rPr>
        <w:t>islamic</w:t>
      </w:r>
      <w:proofErr w:type="spellEnd"/>
      <w:proofErr w:type="gramEnd"/>
      <w:r>
        <w:rPr>
          <w:rFonts w:ascii="Times New Roman" w:hAnsi="Times New Roman"/>
        </w:rPr>
        <w:t xml:space="preserve"> banking. </w:t>
      </w:r>
      <w:r>
        <w:rPr>
          <w:rFonts w:ascii="Times New Roman" w:hAnsi="Times New Roman"/>
          <w:i/>
          <w:iCs/>
        </w:rPr>
        <w:t xml:space="preserve">International Journal of Financial Services, </w:t>
      </w:r>
      <w:r>
        <w:rPr>
          <w:rFonts w:ascii="Times New Roman" w:hAnsi="Times New Roman"/>
        </w:rPr>
        <w:t xml:space="preserve">7. 286-300. </w:t>
      </w:r>
      <w:hyperlink r:id="rId24" w:history="1">
        <w:r>
          <w:rPr>
            <w:rFonts w:ascii="Times New Roman" w:hAnsi="Times New Roman"/>
            <w:color w:val="0000FF"/>
            <w:u w:val="single"/>
          </w:rPr>
          <w:t>https://doi.org/10.1504/IJFSM.2014.065581</w:t>
        </w:r>
      </w:hyperlink>
    </w:p>
    <w:p w:rsidR="00444438" w:rsidRDefault="00E25332">
      <w:pPr>
        <w:ind w:left="567" w:hanging="567"/>
        <w:jc w:val="both"/>
        <w:rPr>
          <w:rFonts w:ascii="Times New Roman" w:hAnsi="Times New Roman"/>
        </w:rPr>
      </w:pPr>
      <w:proofErr w:type="spellStart"/>
      <w:r>
        <w:rPr>
          <w:rFonts w:ascii="Times New Roman" w:hAnsi="Times New Roman"/>
        </w:rPr>
        <w:t>Sufian</w:t>
      </w:r>
      <w:proofErr w:type="spellEnd"/>
      <w:r>
        <w:rPr>
          <w:rFonts w:ascii="Times New Roman" w:hAnsi="Times New Roman"/>
        </w:rPr>
        <w:t xml:space="preserve">, F., and Chong, R.R. (2008). Determinants of bank profitability in a developing economy: Empirical evidence from </w:t>
      </w:r>
      <w:proofErr w:type="spellStart"/>
      <w:r>
        <w:rPr>
          <w:rFonts w:ascii="Times New Roman" w:hAnsi="Times New Roman"/>
        </w:rPr>
        <w:t>Philipines</w:t>
      </w:r>
      <w:proofErr w:type="spellEnd"/>
      <w:r>
        <w:rPr>
          <w:rFonts w:ascii="Times New Roman" w:hAnsi="Times New Roman"/>
        </w:rPr>
        <w:t xml:space="preserve">. </w:t>
      </w:r>
      <w:r>
        <w:rPr>
          <w:rFonts w:ascii="Times New Roman" w:hAnsi="Times New Roman"/>
          <w:i/>
        </w:rPr>
        <w:t xml:space="preserve">Asian Academy of Management Journal of Accounting and Finance. </w:t>
      </w:r>
      <w:r>
        <w:rPr>
          <w:rFonts w:ascii="Times New Roman" w:hAnsi="Times New Roman"/>
        </w:rPr>
        <w:t>4(2). 91-112.</w:t>
      </w:r>
    </w:p>
    <w:p w:rsidR="00444438" w:rsidRDefault="00E25332">
      <w:pPr>
        <w:ind w:left="567" w:hanging="567"/>
        <w:jc w:val="both"/>
        <w:rPr>
          <w:rFonts w:ascii="Times New Roman" w:hAnsi="Times New Roman"/>
        </w:rPr>
      </w:pPr>
      <w:proofErr w:type="spellStart"/>
      <w:r>
        <w:rPr>
          <w:rFonts w:ascii="Times New Roman" w:hAnsi="Times New Roman"/>
        </w:rPr>
        <w:t>Susamto</w:t>
      </w:r>
      <w:proofErr w:type="spellEnd"/>
      <w:r>
        <w:rPr>
          <w:rFonts w:ascii="Times New Roman" w:hAnsi="Times New Roman"/>
        </w:rPr>
        <w:t xml:space="preserve">, A.A. (2018). Toward a New Framework of Islamic Economic Analysis. </w:t>
      </w:r>
      <w:proofErr w:type="spellStart"/>
      <w:r>
        <w:rPr>
          <w:rFonts w:ascii="Times New Roman" w:hAnsi="Times New Roman"/>
        </w:rPr>
        <w:t>Universitas</w:t>
      </w:r>
      <w:proofErr w:type="spellEnd"/>
      <w:r>
        <w:rPr>
          <w:rFonts w:ascii="Times New Roman" w:hAnsi="Times New Roman"/>
        </w:rPr>
        <w:t xml:space="preserve"> </w:t>
      </w:r>
      <w:proofErr w:type="spellStart"/>
      <w:r>
        <w:rPr>
          <w:rFonts w:ascii="Times New Roman" w:hAnsi="Times New Roman"/>
        </w:rPr>
        <w:t>Gadjah</w:t>
      </w:r>
      <w:proofErr w:type="spellEnd"/>
      <w:r>
        <w:rPr>
          <w:rFonts w:ascii="Times New Roman" w:hAnsi="Times New Roman"/>
        </w:rPr>
        <w:t xml:space="preserve"> </w:t>
      </w:r>
      <w:proofErr w:type="spellStart"/>
      <w:r>
        <w:rPr>
          <w:rFonts w:ascii="Times New Roman" w:hAnsi="Times New Roman"/>
        </w:rPr>
        <w:t>Mada</w:t>
      </w:r>
      <w:proofErr w:type="spellEnd"/>
      <w:r>
        <w:rPr>
          <w:rFonts w:ascii="Times New Roman" w:hAnsi="Times New Roman"/>
        </w:rPr>
        <w:t xml:space="preserve"> Working Papers on Islamic Economics and Finance. 1(2). </w:t>
      </w:r>
    </w:p>
    <w:p w:rsidR="00444438" w:rsidRDefault="00E25332">
      <w:pPr>
        <w:spacing w:after="0" w:line="240" w:lineRule="auto"/>
        <w:ind w:left="567" w:hanging="567"/>
        <w:jc w:val="both"/>
        <w:rPr>
          <w:rFonts w:ascii="Cambria" w:eastAsia="Times New Roman" w:hAnsi="Cambria" w:cs="Times New Roman"/>
          <w:sz w:val="20"/>
          <w:szCs w:val="20"/>
        </w:rPr>
      </w:pPr>
      <w:r>
        <w:rPr>
          <w:rFonts w:ascii="Times New Roman" w:hAnsi="Times New Roman"/>
        </w:rPr>
        <w:t xml:space="preserve">Tan, Y., and </w:t>
      </w:r>
      <w:proofErr w:type="spellStart"/>
      <w:r>
        <w:rPr>
          <w:rFonts w:ascii="Times New Roman" w:hAnsi="Times New Roman"/>
        </w:rPr>
        <w:t>Floros</w:t>
      </w:r>
      <w:proofErr w:type="spellEnd"/>
      <w:r>
        <w:rPr>
          <w:rFonts w:ascii="Times New Roman" w:hAnsi="Times New Roman"/>
        </w:rPr>
        <w:t xml:space="preserve">, C. (2012). Bank profitability and inflation: the case of China. </w:t>
      </w:r>
      <w:r>
        <w:rPr>
          <w:rFonts w:ascii="Times New Roman" w:hAnsi="Times New Roman"/>
          <w:i/>
        </w:rPr>
        <w:t>Journal of Economic Studies</w:t>
      </w:r>
      <w:r>
        <w:rPr>
          <w:rFonts w:ascii="Times New Roman" w:hAnsi="Times New Roman"/>
        </w:rPr>
        <w:t xml:space="preserve">. 39(6), 675-696. </w:t>
      </w:r>
      <w:hyperlink r:id="rId25" w:history="1">
        <w:r>
          <w:rPr>
            <w:rFonts w:ascii="Times New Roman" w:hAnsi="Times New Roman"/>
            <w:color w:val="0000FF"/>
            <w:u w:val="single"/>
          </w:rPr>
          <w:t>https://doi.org/10.1108/01443581211274610</w:t>
        </w:r>
      </w:hyperlink>
      <w:r>
        <w:rPr>
          <w:rFonts w:ascii="Times New Roman" w:hAnsi="Times New Roman"/>
          <w:color w:val="0000FF"/>
          <w:u w:val="single"/>
        </w:rPr>
        <w:t xml:space="preserve"> </w:t>
      </w:r>
    </w:p>
    <w:p w:rsidR="00444438" w:rsidRDefault="00444438">
      <w:pPr>
        <w:spacing w:after="0" w:line="240" w:lineRule="auto"/>
        <w:ind w:left="567" w:hanging="567"/>
        <w:jc w:val="both"/>
        <w:rPr>
          <w:rFonts w:ascii="Book Antiqua" w:eastAsia="Times New Roman" w:hAnsi="Book Antiqua" w:cs="Times New Roman"/>
          <w:sz w:val="20"/>
          <w:szCs w:val="20"/>
        </w:rPr>
      </w:pPr>
    </w:p>
    <w:p w:rsidR="00444438" w:rsidRDefault="00444438">
      <w:pPr>
        <w:spacing w:after="0" w:line="240" w:lineRule="auto"/>
        <w:ind w:left="567" w:hanging="567"/>
        <w:jc w:val="both"/>
        <w:rPr>
          <w:rFonts w:ascii="Book Antiqua" w:eastAsia="Times New Roman" w:hAnsi="Book Antiqua" w:cs="Times New Roman"/>
          <w:sz w:val="20"/>
          <w:szCs w:val="20"/>
        </w:rPr>
      </w:pPr>
    </w:p>
    <w:p w:rsidR="00444438" w:rsidRDefault="00444438"/>
    <w:sectPr w:rsidR="00444438">
      <w:pgSz w:w="12240" w:h="20160"/>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 Antiqua">
    <w:altName w:val="Segoe Print"/>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decimal"/>
      <w:lvlText w:val="%1."/>
      <w:lvlJc w:val="left"/>
      <w:pPr>
        <w:ind w:left="720" w:hanging="360"/>
      </w:pPr>
      <w:rPr>
        <w:rFonts w:hint="default"/>
        <w:b/>
        <w:i w:val="0"/>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52"/>
    <w:rsid w:val="00044A52"/>
    <w:rsid w:val="001108D0"/>
    <w:rsid w:val="001C6ACB"/>
    <w:rsid w:val="002410AD"/>
    <w:rsid w:val="002C53AB"/>
    <w:rsid w:val="002F045F"/>
    <w:rsid w:val="00327829"/>
    <w:rsid w:val="003C3788"/>
    <w:rsid w:val="00444438"/>
    <w:rsid w:val="004A666D"/>
    <w:rsid w:val="005801EE"/>
    <w:rsid w:val="005A4C61"/>
    <w:rsid w:val="0076072F"/>
    <w:rsid w:val="009428F3"/>
    <w:rsid w:val="00B7002E"/>
    <w:rsid w:val="00B761B9"/>
    <w:rsid w:val="00BF465A"/>
    <w:rsid w:val="00CB0E9C"/>
    <w:rsid w:val="00D558D8"/>
    <w:rsid w:val="00DE02CD"/>
    <w:rsid w:val="00E00399"/>
    <w:rsid w:val="00E25332"/>
    <w:rsid w:val="00E519D1"/>
    <w:rsid w:val="00E56ECD"/>
    <w:rsid w:val="00FF6E6C"/>
    <w:rsid w:val="04EF7454"/>
    <w:rsid w:val="122B11A1"/>
    <w:rsid w:val="13406E11"/>
    <w:rsid w:val="2E1D02A8"/>
    <w:rsid w:val="34F664AF"/>
    <w:rsid w:val="3E7254D2"/>
    <w:rsid w:val="441D457D"/>
    <w:rsid w:val="47CC7525"/>
    <w:rsid w:val="524D3FD0"/>
    <w:rsid w:val="55B5645A"/>
    <w:rsid w:val="5A137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F9894"/>
  <w15:docId w15:val="{A6BE9A26-65C0-491F-95FD-710AEC7E0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SimSu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Pr>
      <w:color w:val="0563C1"/>
      <w:u w:val="single"/>
    </w:rPr>
  </w:style>
  <w:style w:type="paragraph" w:customStyle="1" w:styleId="Ventura-AuthorAddress">
    <w:name w:val="Ventura-AuthorAddress"/>
    <w:basedOn w:val="Normal"/>
    <w:qFormat/>
    <w:pPr>
      <w:widowControl w:val="0"/>
      <w:spacing w:after="0" w:line="240" w:lineRule="auto"/>
      <w:jc w:val="both"/>
    </w:pPr>
    <w:rPr>
      <w:rFonts w:ascii="Times New Roman" w:eastAsia="Times New Roman" w:hAnsi="Times New Roman" w:cs="Times New Roman"/>
      <w:i/>
      <w:sz w:val="20"/>
      <w:szCs w:val="24"/>
    </w:rPr>
  </w:style>
  <w:style w:type="paragraph" w:styleId="ListParagraph">
    <w:name w:val="List Paragraph"/>
    <w:basedOn w:val="Normal"/>
    <w:uiPriority w:val="34"/>
    <w:qFormat/>
    <w:pPr>
      <w:ind w:left="720"/>
      <w:contextualSpacing/>
    </w:pPr>
  </w:style>
  <w:style w:type="paragraph" w:customStyle="1" w:styleId="ydp5b9ef2f1msonormal">
    <w:name w:val="ydp5b9ef2f1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i.org/10.1177/014920639101700108" TargetMode="External"/><Relationship Id="rId13" Type="http://schemas.openxmlformats.org/officeDocument/2006/relationships/hyperlink" Target="https://doi.org/10.1016/0263-2373(96)00022-9" TargetMode="External"/><Relationship Id="rId18" Type="http://schemas.openxmlformats.org/officeDocument/2006/relationships/hyperlink" Target="https://doi.org/10.1016/j.mulfin.2016.04.00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504/IJLIC.2015.067822" TargetMode="External"/><Relationship Id="rId7" Type="http://schemas.openxmlformats.org/officeDocument/2006/relationships/hyperlink" Target="mailto:yuli.soesetio.fe@um.ac.id" TargetMode="External"/><Relationship Id="rId12" Type="http://schemas.openxmlformats.org/officeDocument/2006/relationships/hyperlink" Target="https://doi.org/10.1108/14691930210435624" TargetMode="External"/><Relationship Id="rId17" Type="http://schemas.openxmlformats.org/officeDocument/2006/relationships/hyperlink" Target="https://www.sciencedirect.com/science/journal/1042444X" TargetMode="External"/><Relationship Id="rId25" Type="http://schemas.openxmlformats.org/officeDocument/2006/relationships/hyperlink" Target="https://doi.org/10.1108/01443581211274610" TargetMode="External"/><Relationship Id="rId2" Type="http://schemas.openxmlformats.org/officeDocument/2006/relationships/numbering" Target="numbering.xml"/><Relationship Id="rId16" Type="http://schemas.openxmlformats.org/officeDocument/2006/relationships/hyperlink" Target="https://doi.org/10.1108/14691930710715088" TargetMode="External"/><Relationship Id="rId20" Type="http://schemas.openxmlformats.org/officeDocument/2006/relationships/hyperlink" Target="https://doi.org/10.1080/000368497326994"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1108/14691930510592771" TargetMode="External"/><Relationship Id="rId24" Type="http://schemas.openxmlformats.org/officeDocument/2006/relationships/hyperlink" Target="https://doi.org/10.1504/IJFSM.2014.065581" TargetMode="External"/><Relationship Id="rId5" Type="http://schemas.openxmlformats.org/officeDocument/2006/relationships/webSettings" Target="webSettings.xml"/><Relationship Id="rId15" Type="http://schemas.openxmlformats.org/officeDocument/2006/relationships/hyperlink" Target="https://doi.org/10.1353/mcb.2005.0015" TargetMode="External"/><Relationship Id="rId23" Type="http://schemas.openxmlformats.org/officeDocument/2006/relationships/hyperlink" Target="https://doi.org/10.1016/j.jebo.2014.03.021" TargetMode="External"/><Relationship Id="rId10" Type="http://schemas.openxmlformats.org/officeDocument/2006/relationships/hyperlink" Target="https://doi.org/10.1016/0378-4266(89)90020-4" TargetMode="External"/><Relationship Id="rId19" Type="http://schemas.openxmlformats.org/officeDocument/2006/relationships/hyperlink" Target="https://doi.org/10.1108/JFRA-05-2015-0060" TargetMode="External"/><Relationship Id="rId4" Type="http://schemas.openxmlformats.org/officeDocument/2006/relationships/settings" Target="settings.xml"/><Relationship Id="rId9" Type="http://schemas.openxmlformats.org/officeDocument/2006/relationships/hyperlink" Target="https://doi.org/10.1504/IJTM.1999.002780" TargetMode="External"/><Relationship Id="rId14" Type="http://schemas.openxmlformats.org/officeDocument/2006/relationships/hyperlink" Target="https://doi.org/10.1108/09555340510607352" TargetMode="External"/><Relationship Id="rId22" Type="http://schemas.openxmlformats.org/officeDocument/2006/relationships/hyperlink" Target="https://doi.org/10.1016/j.bir.2016.03.00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6165</Words>
  <Characters>35146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Yuli Soesetio</cp:lastModifiedBy>
  <cp:revision>2</cp:revision>
  <cp:lastPrinted>2019-02-09T11:46:00Z</cp:lastPrinted>
  <dcterms:created xsi:type="dcterms:W3CDTF">2019-05-12T16:38:00Z</dcterms:created>
  <dcterms:modified xsi:type="dcterms:W3CDTF">2019-05-12T16:38:00Z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