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356B4" w14:textId="77777777" w:rsidR="00693A54" w:rsidRPr="00100801" w:rsidRDefault="00693A54" w:rsidP="00693A54">
      <w:pPr>
        <w:spacing w:after="0" w:line="240" w:lineRule="auto"/>
        <w:jc w:val="center"/>
        <w:rPr>
          <w:rFonts w:eastAsia="Calibri" w:cstheme="minorHAnsi"/>
          <w:b/>
          <w:sz w:val="28"/>
          <w:szCs w:val="28"/>
        </w:rPr>
      </w:pPr>
      <w:r w:rsidRPr="00100801">
        <w:rPr>
          <w:rFonts w:eastAsia="Calibri" w:cstheme="minorHAnsi"/>
          <w:b/>
          <w:sz w:val="28"/>
          <w:szCs w:val="28"/>
          <w:lang w:val="id-ID"/>
        </w:rPr>
        <w:t>List of Amendments on Manuscript</w:t>
      </w:r>
      <w:r w:rsidRPr="00100801">
        <w:rPr>
          <w:rFonts w:eastAsia="Calibri" w:cstheme="minorHAnsi"/>
          <w:b/>
          <w:sz w:val="28"/>
          <w:szCs w:val="28"/>
        </w:rPr>
        <w:t xml:space="preserve"> (For Author)</w:t>
      </w:r>
    </w:p>
    <w:p w14:paraId="3CC21F3E" w14:textId="77777777" w:rsidR="00693A54" w:rsidRPr="00100801" w:rsidRDefault="00693A54" w:rsidP="00693A54">
      <w:pPr>
        <w:spacing w:after="0" w:line="240" w:lineRule="auto"/>
        <w:jc w:val="center"/>
        <w:rPr>
          <w:rFonts w:eastAsia="Calibri" w:cstheme="minorHAnsi"/>
          <w:b/>
          <w:sz w:val="28"/>
          <w:szCs w:val="28"/>
          <w:lang w:val="id-ID"/>
        </w:rPr>
      </w:pPr>
      <w:r w:rsidRPr="00100801">
        <w:rPr>
          <w:rFonts w:eastAsia="Calibri" w:cstheme="minorHAnsi"/>
          <w:b/>
          <w:sz w:val="28"/>
          <w:szCs w:val="28"/>
          <w:lang w:val="id-ID"/>
        </w:rPr>
        <w:t xml:space="preserve">Title : </w:t>
      </w:r>
      <w:r w:rsidRPr="006B1527">
        <w:rPr>
          <w:rFonts w:eastAsia="Calibri" w:cstheme="minorHAnsi"/>
          <w:b/>
          <w:sz w:val="28"/>
          <w:szCs w:val="28"/>
          <w:lang w:val="id-ID"/>
        </w:rPr>
        <w:t>Board of Directors and credit risk: an empirical study of Indonesian Islamic banks</w:t>
      </w:r>
    </w:p>
    <w:p w14:paraId="7E355DEB" w14:textId="77777777" w:rsidR="00693A54" w:rsidRDefault="00693A54" w:rsidP="00693A54">
      <w:pPr>
        <w:spacing w:after="0" w:line="240" w:lineRule="auto"/>
        <w:rPr>
          <w:rFonts w:cs="Calibri"/>
          <w:sz w:val="24"/>
          <w:szCs w:val="24"/>
        </w:rPr>
      </w:pPr>
      <w:r>
        <w:rPr>
          <w:rFonts w:cs="Calibri"/>
          <w:sz w:val="24"/>
          <w:szCs w:val="24"/>
        </w:rPr>
        <w:t>Please ensure that you fill in</w:t>
      </w:r>
      <w:r w:rsidRPr="00305E2D">
        <w:rPr>
          <w:rFonts w:cs="Calibri"/>
          <w:sz w:val="24"/>
          <w:szCs w:val="24"/>
        </w:rPr>
        <w:t xml:space="preserve"> ALL amendments with your </w:t>
      </w:r>
      <w:proofErr w:type="gramStart"/>
      <w:r w:rsidRPr="00305E2D">
        <w:rPr>
          <w:rFonts w:cs="Calibri"/>
          <w:sz w:val="24"/>
          <w:szCs w:val="24"/>
        </w:rPr>
        <w:t>reply</w:t>
      </w:r>
      <w:proofErr w:type="gramEnd"/>
      <w:r w:rsidRPr="00305E2D">
        <w:rPr>
          <w:rFonts w:cs="Calibri"/>
          <w:sz w:val="24"/>
          <w:szCs w:val="24"/>
        </w:rPr>
        <w:t xml:space="preserve"> as it is unlikely that any further changes will be possible.</w:t>
      </w:r>
    </w:p>
    <w:p w14:paraId="6060FCC0" w14:textId="77777777" w:rsidR="00693A54" w:rsidRPr="00100801" w:rsidRDefault="00693A54" w:rsidP="00693A54">
      <w:pPr>
        <w:spacing w:after="0" w:line="240" w:lineRule="auto"/>
        <w:jc w:val="center"/>
        <w:rPr>
          <w:rFonts w:eastAsia="Calibri" w:cstheme="minorHAnsi"/>
          <w:b/>
          <w:sz w:val="28"/>
          <w:szCs w:val="28"/>
          <w:lang w:val="id-ID"/>
        </w:rPr>
      </w:pPr>
    </w:p>
    <w:tbl>
      <w:tblPr>
        <w:tblStyle w:val="ListTable3-Accent41"/>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598"/>
        <w:gridCol w:w="1097"/>
        <w:gridCol w:w="3240"/>
        <w:gridCol w:w="1170"/>
      </w:tblGrid>
      <w:tr w:rsidR="00693A54" w:rsidRPr="00100801" w14:paraId="0FC2388E" w14:textId="77777777" w:rsidTr="00DB2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10" w:type="dxa"/>
          </w:tcPr>
          <w:p w14:paraId="03CD3FAC" w14:textId="77777777" w:rsidR="00693A54" w:rsidRPr="00100801" w:rsidRDefault="00693A54" w:rsidP="00DB24A8">
            <w:pPr>
              <w:jc w:val="center"/>
              <w:rPr>
                <w:rFonts w:eastAsia="Calibri" w:cstheme="minorHAnsi"/>
                <w:b w:val="0"/>
                <w:sz w:val="24"/>
                <w:szCs w:val="24"/>
              </w:rPr>
            </w:pPr>
            <w:r w:rsidRPr="00100801">
              <w:rPr>
                <w:rFonts w:eastAsia="Calibri" w:cstheme="minorHAnsi"/>
                <w:b w:val="0"/>
                <w:sz w:val="24"/>
                <w:szCs w:val="24"/>
              </w:rPr>
              <w:t>No.</w:t>
            </w:r>
          </w:p>
        </w:tc>
        <w:tc>
          <w:tcPr>
            <w:tcW w:w="3598" w:type="dxa"/>
          </w:tcPr>
          <w:p w14:paraId="74106EDD" w14:textId="77777777" w:rsidR="00693A54" w:rsidRPr="00100801" w:rsidRDefault="00693A54" w:rsidP="00DB24A8">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sz w:val="24"/>
                <w:szCs w:val="24"/>
              </w:rPr>
            </w:pPr>
            <w:r w:rsidRPr="00100801">
              <w:rPr>
                <w:rFonts w:eastAsia="Calibri" w:cstheme="minorHAnsi"/>
                <w:b w:val="0"/>
                <w:sz w:val="24"/>
                <w:szCs w:val="24"/>
              </w:rPr>
              <w:t xml:space="preserve">Comments &amp; Recommendations </w:t>
            </w:r>
          </w:p>
          <w:p w14:paraId="357A1C22" w14:textId="77777777" w:rsidR="00693A54" w:rsidRPr="00100801" w:rsidRDefault="00693A54" w:rsidP="00DB24A8">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sz w:val="24"/>
                <w:szCs w:val="24"/>
              </w:rPr>
            </w:pPr>
            <w:r w:rsidRPr="00100801">
              <w:rPr>
                <w:rFonts w:eastAsia="Calibri" w:cstheme="minorHAnsi"/>
                <w:b w:val="0"/>
                <w:sz w:val="24"/>
                <w:szCs w:val="24"/>
              </w:rPr>
              <w:t>(From Reviewer)</w:t>
            </w:r>
          </w:p>
        </w:tc>
        <w:tc>
          <w:tcPr>
            <w:tcW w:w="1097" w:type="dxa"/>
          </w:tcPr>
          <w:p w14:paraId="289603F8" w14:textId="77777777" w:rsidR="00693A54" w:rsidRPr="00100801" w:rsidRDefault="00693A54" w:rsidP="00DB24A8">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sz w:val="24"/>
                <w:szCs w:val="24"/>
              </w:rPr>
            </w:pPr>
            <w:r w:rsidRPr="00100801">
              <w:rPr>
                <w:rFonts w:eastAsia="Calibri" w:cstheme="minorHAnsi"/>
                <w:b w:val="0"/>
                <w:sz w:val="24"/>
                <w:szCs w:val="24"/>
              </w:rPr>
              <w:t>Pages (Before)</w:t>
            </w:r>
          </w:p>
        </w:tc>
        <w:tc>
          <w:tcPr>
            <w:tcW w:w="3240" w:type="dxa"/>
          </w:tcPr>
          <w:p w14:paraId="1E22FCBD" w14:textId="77777777" w:rsidR="00693A54" w:rsidRPr="00100801" w:rsidRDefault="00693A54" w:rsidP="00DB24A8">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sz w:val="24"/>
                <w:szCs w:val="24"/>
              </w:rPr>
            </w:pPr>
            <w:r w:rsidRPr="00100801">
              <w:rPr>
                <w:rFonts w:eastAsia="Calibri" w:cstheme="minorHAnsi"/>
                <w:b w:val="0"/>
                <w:sz w:val="24"/>
                <w:szCs w:val="24"/>
              </w:rPr>
              <w:t xml:space="preserve">Amendments </w:t>
            </w:r>
          </w:p>
          <w:p w14:paraId="3F46A89D" w14:textId="77777777" w:rsidR="00693A54" w:rsidRPr="00100801" w:rsidRDefault="00693A54" w:rsidP="00DB24A8">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sz w:val="24"/>
                <w:szCs w:val="24"/>
              </w:rPr>
            </w:pPr>
            <w:r w:rsidRPr="00100801">
              <w:rPr>
                <w:rFonts w:eastAsia="Calibri" w:cstheme="minorHAnsi"/>
                <w:b w:val="0"/>
                <w:sz w:val="24"/>
                <w:szCs w:val="24"/>
              </w:rPr>
              <w:t>(From Author)</w:t>
            </w:r>
          </w:p>
        </w:tc>
        <w:tc>
          <w:tcPr>
            <w:tcW w:w="1170" w:type="dxa"/>
          </w:tcPr>
          <w:p w14:paraId="14BF7398" w14:textId="77777777" w:rsidR="00693A54" w:rsidRPr="00100801" w:rsidRDefault="00693A54" w:rsidP="00DB24A8">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sz w:val="24"/>
                <w:szCs w:val="24"/>
              </w:rPr>
            </w:pPr>
            <w:r w:rsidRPr="00100801">
              <w:rPr>
                <w:rFonts w:eastAsia="Calibri" w:cstheme="minorHAnsi"/>
                <w:b w:val="0"/>
                <w:sz w:val="24"/>
                <w:szCs w:val="24"/>
              </w:rPr>
              <w:t>Pages (After)</w:t>
            </w:r>
          </w:p>
        </w:tc>
      </w:tr>
      <w:tr w:rsidR="00693A54" w:rsidRPr="00100801" w14:paraId="5CC27FC8" w14:textId="77777777" w:rsidTr="00DB2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0" w:type="dxa"/>
          </w:tcPr>
          <w:p w14:paraId="29006B1E" w14:textId="77777777" w:rsidR="00693A54" w:rsidRPr="00100801" w:rsidRDefault="00693A54" w:rsidP="00DB24A8">
            <w:pPr>
              <w:jc w:val="center"/>
              <w:rPr>
                <w:rFonts w:eastAsia="Calibri" w:cstheme="minorHAnsi"/>
              </w:rPr>
            </w:pPr>
            <w:r w:rsidRPr="00100801">
              <w:rPr>
                <w:rFonts w:eastAsia="Calibri" w:cstheme="minorHAnsi"/>
              </w:rPr>
              <w:t>1.</w:t>
            </w:r>
          </w:p>
        </w:tc>
        <w:tc>
          <w:tcPr>
            <w:tcW w:w="3598" w:type="dxa"/>
          </w:tcPr>
          <w:p w14:paraId="101A14F9" w14:textId="77777777" w:rsidR="00693A54" w:rsidRPr="00100801" w:rsidRDefault="00693A54" w:rsidP="00DB24A8">
            <w:pPr>
              <w:cnfStyle w:val="000000100000" w:firstRow="0" w:lastRow="0" w:firstColumn="0" w:lastColumn="0" w:oddVBand="0" w:evenVBand="0" w:oddHBand="1" w:evenHBand="0" w:firstRowFirstColumn="0" w:firstRowLastColumn="0" w:lastRowFirstColumn="0" w:lastRowLastColumn="0"/>
              <w:rPr>
                <w:rFonts w:eastAsia="Calibri" w:cstheme="minorHAnsi"/>
              </w:rPr>
            </w:pPr>
            <w:r>
              <w:rPr>
                <w:rFonts w:eastAsia="Calibri" w:cstheme="minorHAnsi"/>
              </w:rPr>
              <w:t>I</w:t>
            </w:r>
            <w:r w:rsidRPr="009C1372">
              <w:rPr>
                <w:rFonts w:eastAsia="Calibri" w:cstheme="minorHAnsi"/>
              </w:rPr>
              <w:t>n the text it is said “Profit and loss sharing (PLS) financing has the higher credit risk compared to other types of financing due to the moral hazard of borrowers who have incentive to share loss with banks (El-hawary et al., 2007). The previous study conducted by Ahmed and Khan (2005) also state that profit and loss sharing (PLS) modes of financing and mark-up financing (salam and istishna) are riskier than murabaha and ijara”. Therefore, the author should incorporate the statements above into the statistical model. By doing so the study will reflect better the fact that this study of risk is on islamic banking, not on conventional banking. For example, there might be another test to see if the majority of the financing of the bank is PLS then that bank will have higher risk.</w:t>
            </w:r>
          </w:p>
        </w:tc>
        <w:tc>
          <w:tcPr>
            <w:tcW w:w="1097" w:type="dxa"/>
          </w:tcPr>
          <w:p w14:paraId="53A35B57" w14:textId="77777777" w:rsidR="00693A54" w:rsidRPr="00100801" w:rsidRDefault="00172883" w:rsidP="00DB24A8">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GB"/>
              </w:rPr>
            </w:pPr>
            <w:r>
              <w:rPr>
                <w:rFonts w:eastAsia="Calibri" w:cstheme="minorHAnsi"/>
                <w:lang w:val="en-GB"/>
              </w:rPr>
              <w:t>5</w:t>
            </w:r>
          </w:p>
        </w:tc>
        <w:tc>
          <w:tcPr>
            <w:tcW w:w="3240" w:type="dxa"/>
          </w:tcPr>
          <w:p w14:paraId="3CF3EC00" w14:textId="77777777" w:rsidR="00693A54" w:rsidRPr="00100801" w:rsidRDefault="00172883" w:rsidP="00DB24A8">
            <w:pPr>
              <w:jc w:val="both"/>
              <w:cnfStyle w:val="000000100000" w:firstRow="0" w:lastRow="0" w:firstColumn="0" w:lastColumn="0" w:oddVBand="0" w:evenVBand="0" w:oddHBand="1" w:evenHBand="0" w:firstRowFirstColumn="0" w:firstRowLastColumn="0" w:lastRowFirstColumn="0" w:lastRowLastColumn="0"/>
              <w:rPr>
                <w:rFonts w:eastAsia="Calibri" w:cstheme="minorHAnsi"/>
                <w:lang w:val="en-GB"/>
              </w:rPr>
            </w:pPr>
            <w:r>
              <w:rPr>
                <w:rFonts w:eastAsia="Calibri" w:cstheme="minorHAnsi"/>
                <w:lang w:val="en-GB"/>
              </w:rPr>
              <w:t>We added the figure and explanation to support the argument by previous references</w:t>
            </w:r>
          </w:p>
        </w:tc>
        <w:tc>
          <w:tcPr>
            <w:tcW w:w="1170" w:type="dxa"/>
          </w:tcPr>
          <w:p w14:paraId="74B19C34" w14:textId="77777777" w:rsidR="00693A54" w:rsidRPr="00100801" w:rsidRDefault="00172883" w:rsidP="00DB24A8">
            <w:pPr>
              <w:jc w:val="both"/>
              <w:cnfStyle w:val="000000100000" w:firstRow="0" w:lastRow="0" w:firstColumn="0" w:lastColumn="0" w:oddVBand="0" w:evenVBand="0" w:oddHBand="1" w:evenHBand="0" w:firstRowFirstColumn="0" w:firstRowLastColumn="0" w:lastRowFirstColumn="0" w:lastRowLastColumn="0"/>
              <w:rPr>
                <w:rFonts w:eastAsia="Calibri" w:cstheme="minorHAnsi"/>
              </w:rPr>
            </w:pPr>
            <w:r>
              <w:rPr>
                <w:rFonts w:eastAsia="Calibri" w:cstheme="minorHAnsi"/>
              </w:rPr>
              <w:t>5-6</w:t>
            </w:r>
          </w:p>
        </w:tc>
      </w:tr>
      <w:tr w:rsidR="00693A54" w:rsidRPr="00100801" w14:paraId="48D97E6A" w14:textId="77777777" w:rsidTr="00DB24A8">
        <w:tc>
          <w:tcPr>
            <w:cnfStyle w:val="001000000000" w:firstRow="0" w:lastRow="0" w:firstColumn="1" w:lastColumn="0" w:oddVBand="0" w:evenVBand="0" w:oddHBand="0" w:evenHBand="0" w:firstRowFirstColumn="0" w:firstRowLastColumn="0" w:lastRowFirstColumn="0" w:lastRowLastColumn="0"/>
            <w:tcW w:w="610" w:type="dxa"/>
          </w:tcPr>
          <w:p w14:paraId="2CAD1677" w14:textId="77777777" w:rsidR="00693A54" w:rsidRPr="00100801" w:rsidRDefault="00693A54" w:rsidP="00DB24A8">
            <w:pPr>
              <w:jc w:val="center"/>
              <w:rPr>
                <w:rFonts w:eastAsia="Calibri" w:cstheme="minorHAnsi"/>
              </w:rPr>
            </w:pPr>
            <w:r w:rsidRPr="00100801">
              <w:rPr>
                <w:rFonts w:eastAsia="Calibri" w:cstheme="minorHAnsi"/>
              </w:rPr>
              <w:t>2.</w:t>
            </w:r>
          </w:p>
        </w:tc>
        <w:tc>
          <w:tcPr>
            <w:tcW w:w="3598" w:type="dxa"/>
          </w:tcPr>
          <w:p w14:paraId="0743A1E9" w14:textId="77777777" w:rsidR="00693A54" w:rsidRPr="00100801" w:rsidRDefault="00693A54" w:rsidP="00DB24A8">
            <w:pPr>
              <w:cnfStyle w:val="000000000000" w:firstRow="0" w:lastRow="0" w:firstColumn="0" w:lastColumn="0" w:oddVBand="0" w:evenVBand="0" w:oddHBand="0" w:evenHBand="0" w:firstRowFirstColumn="0" w:firstRowLastColumn="0" w:lastRowFirstColumn="0" w:lastRowLastColumn="0"/>
              <w:rPr>
                <w:rFonts w:eastAsia="Calibri" w:cstheme="minorHAnsi"/>
              </w:rPr>
            </w:pPr>
            <w:r>
              <w:rPr>
                <w:rFonts w:eastAsia="Calibri" w:cstheme="minorHAnsi"/>
              </w:rPr>
              <w:t>.</w:t>
            </w:r>
            <w:r w:rsidRPr="009C1372">
              <w:rPr>
                <w:rFonts w:eastAsia="Calibri" w:cstheme="minorHAnsi"/>
              </w:rPr>
              <w:t>All the hypotheses are directional ones. Given all the signs are as expected then the correct one for that situation is that all the p-values (Prob.) on Table 2 must be devided by 2. By doing so,  the author will find that not only LogMeet is significant at 1% level but also LogSize is now significant at the 5% level.</w:t>
            </w:r>
          </w:p>
        </w:tc>
        <w:tc>
          <w:tcPr>
            <w:tcW w:w="1097" w:type="dxa"/>
          </w:tcPr>
          <w:p w14:paraId="48A7107B" w14:textId="77777777" w:rsidR="00693A54" w:rsidRPr="00100801" w:rsidRDefault="00172883" w:rsidP="00DB24A8">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r>
              <w:rPr>
                <w:rFonts w:eastAsia="Calibri" w:cstheme="minorHAnsi"/>
                <w:lang w:val="en-GB"/>
              </w:rPr>
              <w:t>12</w:t>
            </w:r>
          </w:p>
        </w:tc>
        <w:tc>
          <w:tcPr>
            <w:tcW w:w="3240" w:type="dxa"/>
          </w:tcPr>
          <w:p w14:paraId="4C30184C" w14:textId="77777777" w:rsidR="00693A54" w:rsidRPr="00100801" w:rsidRDefault="00172883" w:rsidP="00DB24A8">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r>
              <w:rPr>
                <w:rFonts w:eastAsia="Calibri" w:cstheme="minorHAnsi"/>
                <w:lang w:val="en-GB"/>
              </w:rPr>
              <w:t>We have added the explanation below the table 2 and also adjusted the discussion about the result of board size</w:t>
            </w:r>
          </w:p>
        </w:tc>
        <w:tc>
          <w:tcPr>
            <w:tcW w:w="1170" w:type="dxa"/>
          </w:tcPr>
          <w:p w14:paraId="6C20FEBD" w14:textId="77777777" w:rsidR="00693A54" w:rsidRPr="00100801" w:rsidRDefault="00172883" w:rsidP="00DB24A8">
            <w:pPr>
              <w:jc w:val="both"/>
              <w:cnfStyle w:val="000000000000" w:firstRow="0" w:lastRow="0" w:firstColumn="0" w:lastColumn="0" w:oddVBand="0" w:evenVBand="0" w:oddHBand="0" w:evenHBand="0" w:firstRowFirstColumn="0" w:firstRowLastColumn="0" w:lastRowFirstColumn="0" w:lastRowLastColumn="0"/>
              <w:rPr>
                <w:rFonts w:eastAsia="Calibri" w:cstheme="minorHAnsi"/>
                <w:lang w:val="en-GB"/>
              </w:rPr>
            </w:pPr>
            <w:r>
              <w:rPr>
                <w:rFonts w:eastAsia="Calibri" w:cstheme="minorHAnsi"/>
                <w:lang w:val="en-GB"/>
              </w:rPr>
              <w:t>12 -13</w:t>
            </w:r>
          </w:p>
        </w:tc>
      </w:tr>
      <w:tr w:rsidR="00693A54" w:rsidRPr="00100801" w14:paraId="63905EE0" w14:textId="77777777" w:rsidTr="00DB2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0" w:type="dxa"/>
          </w:tcPr>
          <w:p w14:paraId="5AD375C2" w14:textId="77777777" w:rsidR="00693A54" w:rsidRPr="00100801" w:rsidRDefault="00693A54" w:rsidP="00DB24A8">
            <w:pPr>
              <w:jc w:val="center"/>
              <w:rPr>
                <w:rFonts w:eastAsia="Calibri" w:cstheme="minorHAnsi"/>
              </w:rPr>
            </w:pPr>
            <w:r w:rsidRPr="00100801">
              <w:rPr>
                <w:rFonts w:eastAsia="Calibri" w:cstheme="minorHAnsi"/>
              </w:rPr>
              <w:t>3.</w:t>
            </w:r>
          </w:p>
        </w:tc>
        <w:tc>
          <w:tcPr>
            <w:tcW w:w="3598" w:type="dxa"/>
          </w:tcPr>
          <w:p w14:paraId="7D5977BA" w14:textId="77777777" w:rsidR="00693A54" w:rsidRPr="00100801" w:rsidRDefault="00693A54" w:rsidP="00DB24A8">
            <w:pPr>
              <w:cnfStyle w:val="000000100000" w:firstRow="0" w:lastRow="0" w:firstColumn="0" w:lastColumn="0" w:oddVBand="0" w:evenVBand="0" w:oddHBand="1" w:evenHBand="0" w:firstRowFirstColumn="0" w:firstRowLastColumn="0" w:lastRowFirstColumn="0" w:lastRowLastColumn="0"/>
              <w:rPr>
                <w:rFonts w:eastAsia="Calibri" w:cstheme="minorHAnsi"/>
                <w:lang w:val="en-GB"/>
              </w:rPr>
            </w:pPr>
            <w:r w:rsidRPr="009C1372">
              <w:rPr>
                <w:rFonts w:eastAsia="Calibri" w:cstheme="minorHAnsi"/>
                <w:lang w:val="en-GB"/>
              </w:rPr>
              <w:t xml:space="preserve">Add a new section before the </w:t>
            </w:r>
            <w:proofErr w:type="spellStart"/>
            <w:r w:rsidRPr="009C1372">
              <w:rPr>
                <w:rFonts w:eastAsia="Calibri" w:cstheme="minorHAnsi"/>
                <w:lang w:val="en-GB"/>
              </w:rPr>
              <w:t>Conclussion</w:t>
            </w:r>
            <w:proofErr w:type="spellEnd"/>
            <w:r w:rsidRPr="009C1372">
              <w:rPr>
                <w:rFonts w:eastAsia="Calibri" w:cstheme="minorHAnsi"/>
                <w:lang w:val="en-GB"/>
              </w:rPr>
              <w:t xml:space="preserve"> section for Robustness test. The first robustness test is using the same model and run the </w:t>
            </w:r>
            <w:r w:rsidRPr="009C1372">
              <w:rPr>
                <w:rFonts w:eastAsia="Calibri" w:cstheme="minorHAnsi"/>
                <w:lang w:val="en-GB"/>
              </w:rPr>
              <w:lastRenderedPageBreak/>
              <w:t xml:space="preserve">data using pooled regression and the fixed- effect model (are the results the same?). For the second robustness test the authors should change the dependent </w:t>
            </w:r>
            <w:proofErr w:type="spellStart"/>
            <w:r w:rsidRPr="009C1372">
              <w:rPr>
                <w:rFonts w:eastAsia="Calibri" w:cstheme="minorHAnsi"/>
                <w:lang w:val="en-GB"/>
              </w:rPr>
              <w:t>variabel</w:t>
            </w:r>
            <w:proofErr w:type="spellEnd"/>
            <w:r w:rsidRPr="009C1372">
              <w:rPr>
                <w:rFonts w:eastAsia="Calibri" w:cstheme="minorHAnsi"/>
                <w:lang w:val="en-GB"/>
              </w:rPr>
              <w:t xml:space="preserve"> from NPF to NPF/ROA. It is well known that </w:t>
            </w:r>
            <w:proofErr w:type="spellStart"/>
            <w:r w:rsidRPr="009C1372">
              <w:rPr>
                <w:rFonts w:eastAsia="Calibri" w:cstheme="minorHAnsi"/>
                <w:lang w:val="en-GB"/>
              </w:rPr>
              <w:t>islamic</w:t>
            </w:r>
            <w:proofErr w:type="spellEnd"/>
            <w:r w:rsidRPr="009C1372">
              <w:rPr>
                <w:rFonts w:eastAsia="Calibri" w:cstheme="minorHAnsi"/>
                <w:lang w:val="en-GB"/>
              </w:rPr>
              <w:t xml:space="preserve"> banking has cheaper source of funding and gets higher returns when provide financing. Using NPF/ROA is a cleaner measurement of risk because it controls for risk-return trade off.</w:t>
            </w:r>
          </w:p>
        </w:tc>
        <w:tc>
          <w:tcPr>
            <w:tcW w:w="1097" w:type="dxa"/>
          </w:tcPr>
          <w:p w14:paraId="6C531C1E" w14:textId="77777777" w:rsidR="00693A54" w:rsidRPr="00100801" w:rsidRDefault="00172883" w:rsidP="00DB24A8">
            <w:pPr>
              <w:jc w:val="both"/>
              <w:cnfStyle w:val="000000100000" w:firstRow="0" w:lastRow="0" w:firstColumn="0" w:lastColumn="0" w:oddVBand="0" w:evenVBand="0" w:oddHBand="1" w:evenHBand="0" w:firstRowFirstColumn="0" w:firstRowLastColumn="0" w:lastRowFirstColumn="0" w:lastRowLastColumn="0"/>
              <w:rPr>
                <w:rFonts w:eastAsia="Calibri" w:cstheme="minorHAnsi"/>
                <w:bCs/>
                <w:lang w:val="en-GB"/>
              </w:rPr>
            </w:pPr>
            <w:r>
              <w:rPr>
                <w:rFonts w:eastAsia="Calibri" w:cstheme="minorHAnsi"/>
                <w:bCs/>
                <w:lang w:val="en-GB"/>
              </w:rPr>
              <w:lastRenderedPageBreak/>
              <w:t>15</w:t>
            </w:r>
          </w:p>
        </w:tc>
        <w:tc>
          <w:tcPr>
            <w:tcW w:w="3240" w:type="dxa"/>
          </w:tcPr>
          <w:p w14:paraId="4B6AAD59" w14:textId="77777777" w:rsidR="00693A54" w:rsidRPr="00100801" w:rsidRDefault="00172883" w:rsidP="00DB24A8">
            <w:pPr>
              <w:jc w:val="both"/>
              <w:cnfStyle w:val="000000100000" w:firstRow="0" w:lastRow="0" w:firstColumn="0" w:lastColumn="0" w:oddVBand="0" w:evenVBand="0" w:oddHBand="1" w:evenHBand="0" w:firstRowFirstColumn="0" w:firstRowLastColumn="0" w:lastRowFirstColumn="0" w:lastRowLastColumn="0"/>
              <w:rPr>
                <w:rFonts w:eastAsia="Calibri" w:cstheme="minorHAnsi"/>
                <w:bCs/>
                <w:lang w:val="en-GB"/>
              </w:rPr>
            </w:pPr>
            <w:r>
              <w:rPr>
                <w:rFonts w:eastAsia="Calibri" w:cstheme="minorHAnsi"/>
                <w:bCs/>
                <w:lang w:val="en-GB"/>
              </w:rPr>
              <w:t>We have added the section of robustness test following the suggestion from the reviewer</w:t>
            </w:r>
          </w:p>
        </w:tc>
        <w:tc>
          <w:tcPr>
            <w:tcW w:w="1170" w:type="dxa"/>
          </w:tcPr>
          <w:p w14:paraId="56891250" w14:textId="77777777" w:rsidR="00693A54" w:rsidRPr="00100801" w:rsidRDefault="00172883" w:rsidP="00DB24A8">
            <w:pPr>
              <w:jc w:val="both"/>
              <w:cnfStyle w:val="000000100000" w:firstRow="0" w:lastRow="0" w:firstColumn="0" w:lastColumn="0" w:oddVBand="0" w:evenVBand="0" w:oddHBand="1" w:evenHBand="0" w:firstRowFirstColumn="0" w:firstRowLastColumn="0" w:lastRowFirstColumn="0" w:lastRowLastColumn="0"/>
              <w:rPr>
                <w:rFonts w:eastAsia="Calibri" w:cstheme="minorHAnsi"/>
                <w:bCs/>
                <w:lang w:val="en-GB"/>
              </w:rPr>
            </w:pPr>
            <w:r>
              <w:rPr>
                <w:rFonts w:eastAsia="Calibri" w:cstheme="minorHAnsi"/>
                <w:bCs/>
                <w:lang w:val="en-GB"/>
              </w:rPr>
              <w:t>15</w:t>
            </w:r>
            <w:bookmarkStart w:id="0" w:name="_GoBack"/>
            <w:bookmarkEnd w:id="0"/>
          </w:p>
        </w:tc>
      </w:tr>
    </w:tbl>
    <w:p w14:paraId="3494B315" w14:textId="77777777" w:rsidR="00693A54" w:rsidRDefault="00693A54" w:rsidP="00693A54"/>
    <w:p w14:paraId="47A70232" w14:textId="77777777" w:rsidR="00AB45A8" w:rsidRPr="00693A54" w:rsidRDefault="00AB45A8" w:rsidP="00693A54"/>
    <w:sectPr w:rsidR="00AB45A8" w:rsidRPr="00693A54" w:rsidSect="00AB45A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A54"/>
    <w:rsid w:val="00172883"/>
    <w:rsid w:val="00693A54"/>
    <w:rsid w:val="00AB4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99A5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A54"/>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3-Accent41">
    <w:name w:val="List Table 3 - Accent 41"/>
    <w:basedOn w:val="TableNormal"/>
    <w:next w:val="TableNormal"/>
    <w:uiPriority w:val="48"/>
    <w:rsid w:val="00693A54"/>
    <w:rPr>
      <w:rFonts w:eastAsiaTheme="minorHAnsi"/>
      <w:sz w:val="22"/>
      <w:szCs w:val="22"/>
      <w:lang w:val="id-ID"/>
    </w:rPr>
    <w:tblPr>
      <w:tblStyleRowBandSize w:val="1"/>
      <w:tblStyleColBandSize w:val="1"/>
      <w:tblInd w:w="0" w:type="dxa"/>
      <w:tblBorders>
        <w:top w:val="single" w:sz="4" w:space="0" w:color="8064A2"/>
        <w:left w:val="single" w:sz="4" w:space="0" w:color="8064A2"/>
        <w:bottom w:val="single" w:sz="4" w:space="0" w:color="8064A2"/>
        <w:right w:val="single" w:sz="4" w:space="0" w:color="8064A2"/>
      </w:tblBorders>
      <w:tblCellMar>
        <w:top w:w="0" w:type="dxa"/>
        <w:left w:w="108" w:type="dxa"/>
        <w:bottom w:w="0" w:type="dxa"/>
        <w:right w:w="108" w:type="dxa"/>
      </w:tblCellMar>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3A54"/>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3-Accent41">
    <w:name w:val="List Table 3 - Accent 41"/>
    <w:basedOn w:val="TableNormal"/>
    <w:next w:val="TableNormal"/>
    <w:uiPriority w:val="48"/>
    <w:rsid w:val="00693A54"/>
    <w:rPr>
      <w:rFonts w:eastAsiaTheme="minorHAnsi"/>
      <w:sz w:val="22"/>
      <w:szCs w:val="22"/>
      <w:lang w:val="id-ID"/>
    </w:rPr>
    <w:tblPr>
      <w:tblStyleRowBandSize w:val="1"/>
      <w:tblStyleColBandSize w:val="1"/>
      <w:tblInd w:w="0" w:type="dxa"/>
      <w:tblBorders>
        <w:top w:val="single" w:sz="4" w:space="0" w:color="8064A2"/>
        <w:left w:val="single" w:sz="4" w:space="0" w:color="8064A2"/>
        <w:bottom w:val="single" w:sz="4" w:space="0" w:color="8064A2"/>
        <w:right w:val="single" w:sz="4" w:space="0" w:color="8064A2"/>
      </w:tblBorders>
      <w:tblCellMar>
        <w:top w:w="0" w:type="dxa"/>
        <w:left w:w="108" w:type="dxa"/>
        <w:bottom w:w="0" w:type="dxa"/>
        <w:right w:w="108" w:type="dxa"/>
      </w:tblCellMar>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1978</Characters>
  <Application>Microsoft Macintosh Word</Application>
  <DocSecurity>0</DocSecurity>
  <Lines>16</Lines>
  <Paragraphs>4</Paragraphs>
  <ScaleCrop>false</ScaleCrop>
  <Company/>
  <LinksUpToDate>false</LinksUpToDate>
  <CharactersWithSpaces>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Peni</dc:creator>
  <cp:keywords/>
  <dc:description/>
  <cp:lastModifiedBy>Peni</cp:lastModifiedBy>
  <cp:revision>2</cp:revision>
  <dcterms:created xsi:type="dcterms:W3CDTF">2019-10-20T15:41:00Z</dcterms:created>
  <dcterms:modified xsi:type="dcterms:W3CDTF">2019-10-20T15:52:00Z</dcterms:modified>
</cp:coreProperties>
</file>