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AB" w:rsidRDefault="000947AB" w:rsidP="009101B2">
      <w:pPr>
        <w:spacing w:after="0" w:line="300" w:lineRule="auto"/>
        <w:jc w:val="center"/>
        <w:rPr>
          <w:rFonts w:ascii="Times New Roman" w:hAnsi="Times New Roman" w:cs="Times New Roman"/>
          <w:b/>
          <w:sz w:val="28"/>
          <w:szCs w:val="28"/>
        </w:rPr>
      </w:pPr>
      <w:r w:rsidRPr="000947AB">
        <w:rPr>
          <w:rFonts w:ascii="Times New Roman" w:hAnsi="Times New Roman" w:cs="Times New Roman"/>
          <w:b/>
          <w:sz w:val="28"/>
          <w:szCs w:val="28"/>
        </w:rPr>
        <w:t xml:space="preserve">MACROECONOMIC FLUCTUATION IN </w:t>
      </w:r>
      <w:r>
        <w:rPr>
          <w:rFonts w:ascii="Times New Roman" w:hAnsi="Times New Roman" w:cs="Times New Roman"/>
          <w:b/>
          <w:sz w:val="28"/>
          <w:szCs w:val="28"/>
        </w:rPr>
        <w:t>MUSHARAKA CONTRACT</w:t>
      </w:r>
    </w:p>
    <w:p w:rsidR="000C1754" w:rsidRDefault="000C1754" w:rsidP="009101B2">
      <w:pPr>
        <w:spacing w:after="0" w:line="300" w:lineRule="auto"/>
        <w:jc w:val="center"/>
        <w:rPr>
          <w:rFonts w:ascii="Times New Roman" w:hAnsi="Times New Roman" w:cs="Times New Roman"/>
          <w:b/>
          <w:sz w:val="24"/>
          <w:szCs w:val="24"/>
        </w:rPr>
      </w:pPr>
    </w:p>
    <w:p w:rsidR="00237AD2" w:rsidRDefault="00237AD2" w:rsidP="009101B2">
      <w:pPr>
        <w:spacing w:after="0" w:line="300" w:lineRule="auto"/>
        <w:jc w:val="center"/>
        <w:rPr>
          <w:rFonts w:ascii="Times New Roman" w:hAnsi="Times New Roman" w:cs="Times New Roman"/>
          <w:b/>
          <w:sz w:val="24"/>
          <w:szCs w:val="24"/>
        </w:rPr>
      </w:pPr>
    </w:p>
    <w:p w:rsidR="00BD62A3" w:rsidRPr="00BD62A3" w:rsidRDefault="00BD62A3" w:rsidP="00BD62A3">
      <w:pPr>
        <w:spacing w:after="0" w:line="300" w:lineRule="auto"/>
        <w:jc w:val="both"/>
        <w:rPr>
          <w:rFonts w:ascii="Times New Roman" w:hAnsi="Times New Roman" w:cs="Times New Roman"/>
          <w:b/>
          <w:sz w:val="24"/>
          <w:szCs w:val="24"/>
        </w:rPr>
      </w:pPr>
      <w:r w:rsidRPr="00BD62A3">
        <w:rPr>
          <w:rFonts w:ascii="Times New Roman" w:hAnsi="Times New Roman" w:cs="Times New Roman"/>
          <w:b/>
          <w:sz w:val="24"/>
          <w:szCs w:val="24"/>
        </w:rPr>
        <w:t>Abstract</w:t>
      </w:r>
    </w:p>
    <w:p w:rsidR="00BD62A3" w:rsidRPr="00BD62A3" w:rsidRDefault="00BD62A3" w:rsidP="00BD62A3">
      <w:pPr>
        <w:spacing w:after="0" w:line="300" w:lineRule="auto"/>
        <w:jc w:val="both"/>
        <w:rPr>
          <w:rFonts w:ascii="Times New Roman" w:hAnsi="Times New Roman" w:cs="Times New Roman"/>
          <w:sz w:val="24"/>
          <w:szCs w:val="24"/>
        </w:rPr>
      </w:pPr>
    </w:p>
    <w:p w:rsidR="00BD62A3" w:rsidRPr="00BD62A3" w:rsidRDefault="00BD62A3" w:rsidP="00BD62A3">
      <w:pPr>
        <w:spacing w:after="0" w:line="300" w:lineRule="auto"/>
        <w:jc w:val="both"/>
        <w:rPr>
          <w:rFonts w:ascii="Times New Roman" w:hAnsi="Times New Roman" w:cs="Times New Roman"/>
          <w:sz w:val="24"/>
          <w:szCs w:val="24"/>
        </w:rPr>
      </w:pPr>
      <w:r w:rsidRPr="00BD62A3">
        <w:rPr>
          <w:rFonts w:ascii="Times New Roman" w:hAnsi="Times New Roman" w:cs="Times New Roman"/>
          <w:sz w:val="24"/>
          <w:szCs w:val="24"/>
        </w:rPr>
        <w:t>This study aims to analyze the effect of the movement of macroeconomic va</w:t>
      </w:r>
      <w:r w:rsidR="00912D3B">
        <w:rPr>
          <w:rFonts w:ascii="Times New Roman" w:hAnsi="Times New Roman" w:cs="Times New Roman"/>
          <w:sz w:val="24"/>
          <w:szCs w:val="24"/>
        </w:rPr>
        <w:t>riables on financing using the m</w:t>
      </w:r>
      <w:r w:rsidRPr="00BD62A3">
        <w:rPr>
          <w:rFonts w:ascii="Times New Roman" w:hAnsi="Times New Roman" w:cs="Times New Roman"/>
          <w:sz w:val="24"/>
          <w:szCs w:val="24"/>
        </w:rPr>
        <w:t xml:space="preserve">usharaka contract on Islamic banks. This study consists of Sharia Commercial Banks and Sharia Business Units using monthly data from January 2004 to December 2019. This study uses VECM to answer the research objectives. All variables tested have an influence on financing using the </w:t>
      </w:r>
      <w:r w:rsidR="00912D3B">
        <w:rPr>
          <w:rFonts w:ascii="Times New Roman" w:hAnsi="Times New Roman" w:cs="Times New Roman"/>
          <w:sz w:val="24"/>
          <w:szCs w:val="24"/>
        </w:rPr>
        <w:t>m</w:t>
      </w:r>
      <w:r w:rsidR="00912D3B" w:rsidRPr="00BD62A3">
        <w:rPr>
          <w:rFonts w:ascii="Times New Roman" w:hAnsi="Times New Roman" w:cs="Times New Roman"/>
          <w:sz w:val="24"/>
          <w:szCs w:val="24"/>
        </w:rPr>
        <w:t>usharaka</w:t>
      </w:r>
      <w:r w:rsidRPr="00BD62A3">
        <w:rPr>
          <w:rFonts w:ascii="Times New Roman" w:hAnsi="Times New Roman" w:cs="Times New Roman"/>
          <w:sz w:val="24"/>
          <w:szCs w:val="24"/>
        </w:rPr>
        <w:t xml:space="preserve"> contract. Financing using the </w:t>
      </w:r>
      <w:r w:rsidR="00912D3B">
        <w:rPr>
          <w:rFonts w:ascii="Times New Roman" w:hAnsi="Times New Roman" w:cs="Times New Roman"/>
          <w:sz w:val="24"/>
          <w:szCs w:val="24"/>
        </w:rPr>
        <w:t>m</w:t>
      </w:r>
      <w:r w:rsidR="00912D3B" w:rsidRPr="00BD62A3">
        <w:rPr>
          <w:rFonts w:ascii="Times New Roman" w:hAnsi="Times New Roman" w:cs="Times New Roman"/>
          <w:sz w:val="24"/>
          <w:szCs w:val="24"/>
        </w:rPr>
        <w:t>usharaka</w:t>
      </w:r>
      <w:r w:rsidRPr="00BD62A3">
        <w:rPr>
          <w:rFonts w:ascii="Times New Roman" w:hAnsi="Times New Roman" w:cs="Times New Roman"/>
          <w:sz w:val="24"/>
          <w:szCs w:val="24"/>
        </w:rPr>
        <w:t xml:space="preserve"> contract responds negatively to movements in the exchange rate and interest rates while inflation responds positively and negatively. The </w:t>
      </w:r>
      <w:r w:rsidR="00E80B77">
        <w:rPr>
          <w:rFonts w:ascii="Times New Roman" w:hAnsi="Times New Roman" w:cs="Times New Roman"/>
          <w:sz w:val="24"/>
          <w:szCs w:val="24"/>
        </w:rPr>
        <w:t>musharaka</w:t>
      </w:r>
      <w:r w:rsidRPr="00BD62A3">
        <w:rPr>
          <w:rFonts w:ascii="Times New Roman" w:hAnsi="Times New Roman" w:cs="Times New Roman"/>
          <w:sz w:val="24"/>
          <w:szCs w:val="24"/>
        </w:rPr>
        <w:t xml:space="preserve"> contract financing itself dominates the forecasting then followed by interest rates, inflation, and exchange rates.</w:t>
      </w:r>
    </w:p>
    <w:p w:rsidR="00BD62A3" w:rsidRPr="00BD62A3" w:rsidRDefault="00BD62A3" w:rsidP="00BD62A3">
      <w:pPr>
        <w:spacing w:after="0" w:line="300" w:lineRule="auto"/>
        <w:jc w:val="both"/>
        <w:rPr>
          <w:rFonts w:ascii="Times New Roman" w:hAnsi="Times New Roman" w:cs="Times New Roman"/>
          <w:sz w:val="24"/>
          <w:szCs w:val="24"/>
        </w:rPr>
      </w:pPr>
    </w:p>
    <w:p w:rsidR="00237AD2" w:rsidRPr="00BD62A3" w:rsidRDefault="00BD62A3" w:rsidP="00BD62A3">
      <w:pPr>
        <w:spacing w:after="0" w:line="300" w:lineRule="auto"/>
        <w:jc w:val="both"/>
        <w:rPr>
          <w:rFonts w:ascii="Times New Roman" w:hAnsi="Times New Roman" w:cs="Times New Roman"/>
          <w:sz w:val="24"/>
          <w:szCs w:val="24"/>
        </w:rPr>
      </w:pPr>
      <w:r w:rsidRPr="00BD62A3">
        <w:rPr>
          <w:rFonts w:ascii="Times New Roman" w:hAnsi="Times New Roman" w:cs="Times New Roman"/>
          <w:sz w:val="24"/>
          <w:szCs w:val="24"/>
        </w:rPr>
        <w:t>Keywords: Musharaka, Interest Rates, Inflation, Exchange Rates, VECM</w:t>
      </w:r>
    </w:p>
    <w:p w:rsidR="00912D3B" w:rsidRDefault="00912D3B" w:rsidP="00237AD2">
      <w:pPr>
        <w:spacing w:after="0" w:line="300" w:lineRule="auto"/>
        <w:jc w:val="both"/>
        <w:rPr>
          <w:rFonts w:ascii="Times New Roman" w:hAnsi="Times New Roman" w:cs="Times New Roman"/>
          <w:b/>
          <w:sz w:val="24"/>
          <w:szCs w:val="24"/>
        </w:rPr>
      </w:pPr>
    </w:p>
    <w:p w:rsidR="00237AD2" w:rsidRPr="0035726C" w:rsidRDefault="00237AD2" w:rsidP="00237AD2">
      <w:pPr>
        <w:spacing w:after="0" w:line="300" w:lineRule="auto"/>
        <w:jc w:val="both"/>
        <w:rPr>
          <w:rFonts w:ascii="Times New Roman" w:hAnsi="Times New Roman" w:cs="Times New Roman"/>
          <w:b/>
          <w:sz w:val="24"/>
          <w:szCs w:val="24"/>
        </w:rPr>
      </w:pPr>
      <w:r w:rsidRPr="0035726C">
        <w:rPr>
          <w:rFonts w:ascii="Times New Roman" w:hAnsi="Times New Roman" w:cs="Times New Roman"/>
          <w:b/>
          <w:sz w:val="24"/>
          <w:szCs w:val="24"/>
        </w:rPr>
        <w:t>Abstrak</w:t>
      </w:r>
    </w:p>
    <w:p w:rsidR="00237AD2" w:rsidRDefault="00237AD2" w:rsidP="00237AD2">
      <w:pPr>
        <w:spacing w:after="0" w:line="300" w:lineRule="auto"/>
        <w:jc w:val="both"/>
        <w:rPr>
          <w:rFonts w:ascii="Times New Roman" w:hAnsi="Times New Roman" w:cs="Times New Roman"/>
          <w:sz w:val="24"/>
          <w:szCs w:val="24"/>
        </w:rPr>
      </w:pPr>
      <w:r w:rsidRPr="00237AD2">
        <w:rPr>
          <w:rFonts w:ascii="Times New Roman" w:hAnsi="Times New Roman" w:cs="Times New Roman"/>
          <w:sz w:val="24"/>
          <w:szCs w:val="24"/>
        </w:rPr>
        <w:t xml:space="preserve">Penelitian ini bertujuan untuk menganalisis pengaruh pergerakan variabel makroekonomi terhadap pembiayaan </w:t>
      </w:r>
      <w:r w:rsidR="0035726C">
        <w:rPr>
          <w:rFonts w:ascii="Times New Roman" w:hAnsi="Times New Roman" w:cs="Times New Roman"/>
          <w:sz w:val="24"/>
          <w:szCs w:val="24"/>
        </w:rPr>
        <w:t xml:space="preserve">menggunakan </w:t>
      </w:r>
      <w:r w:rsidRPr="00237AD2">
        <w:rPr>
          <w:rFonts w:ascii="Times New Roman" w:hAnsi="Times New Roman" w:cs="Times New Roman"/>
          <w:sz w:val="24"/>
          <w:szCs w:val="24"/>
        </w:rPr>
        <w:t xml:space="preserve">akad </w:t>
      </w:r>
      <w:r w:rsidR="00E80B77">
        <w:rPr>
          <w:rFonts w:ascii="Times New Roman" w:hAnsi="Times New Roman" w:cs="Times New Roman"/>
          <w:sz w:val="24"/>
          <w:szCs w:val="24"/>
        </w:rPr>
        <w:t>musharaka</w:t>
      </w:r>
      <w:r w:rsidR="0035726C">
        <w:rPr>
          <w:rFonts w:ascii="Times New Roman" w:hAnsi="Times New Roman" w:cs="Times New Roman"/>
          <w:sz w:val="24"/>
          <w:szCs w:val="24"/>
        </w:rPr>
        <w:t xml:space="preserve"> pada bank syariah. Penelitian ini terdiri dari Bank Umum Syariah dan Unit Usaha Syariah dengan menggunakan data </w:t>
      </w:r>
      <w:r w:rsidRPr="00237AD2">
        <w:rPr>
          <w:rFonts w:ascii="Times New Roman" w:hAnsi="Times New Roman" w:cs="Times New Roman"/>
          <w:sz w:val="24"/>
          <w:szCs w:val="24"/>
        </w:rPr>
        <w:t>bulanan dari ja</w:t>
      </w:r>
      <w:r w:rsidR="0035726C">
        <w:rPr>
          <w:rFonts w:ascii="Times New Roman" w:hAnsi="Times New Roman" w:cs="Times New Roman"/>
          <w:sz w:val="24"/>
          <w:szCs w:val="24"/>
        </w:rPr>
        <w:t xml:space="preserve">nuari 2004 sampai dengan desember 2019. </w:t>
      </w:r>
      <w:r w:rsidRPr="00237AD2">
        <w:rPr>
          <w:rFonts w:ascii="Times New Roman" w:hAnsi="Times New Roman" w:cs="Times New Roman"/>
          <w:sz w:val="24"/>
          <w:szCs w:val="24"/>
        </w:rPr>
        <w:t>Penel</w:t>
      </w:r>
      <w:r w:rsidR="0035726C">
        <w:rPr>
          <w:rFonts w:ascii="Times New Roman" w:hAnsi="Times New Roman" w:cs="Times New Roman"/>
          <w:sz w:val="24"/>
          <w:szCs w:val="24"/>
        </w:rPr>
        <w:t>itian ini menggunakan VECM</w:t>
      </w:r>
      <w:r w:rsidRPr="00237AD2">
        <w:rPr>
          <w:rFonts w:ascii="Times New Roman" w:hAnsi="Times New Roman" w:cs="Times New Roman"/>
          <w:sz w:val="24"/>
          <w:szCs w:val="24"/>
        </w:rPr>
        <w:t xml:space="preserve"> untuk menjawab tujuan penelitian. </w:t>
      </w:r>
      <w:r w:rsidR="0035726C">
        <w:rPr>
          <w:rFonts w:ascii="Times New Roman" w:hAnsi="Times New Roman" w:cs="Times New Roman"/>
          <w:sz w:val="24"/>
          <w:szCs w:val="24"/>
        </w:rPr>
        <w:t xml:space="preserve">Semua variabel yang diujikan memiliki pengaruh terhadap </w:t>
      </w:r>
      <w:r w:rsidRPr="00237AD2">
        <w:rPr>
          <w:rFonts w:ascii="Times New Roman" w:hAnsi="Times New Roman" w:cs="Times New Roman"/>
          <w:sz w:val="24"/>
          <w:szCs w:val="24"/>
        </w:rPr>
        <w:t xml:space="preserve">pembiayaan </w:t>
      </w:r>
      <w:r w:rsidR="0035726C">
        <w:rPr>
          <w:rFonts w:ascii="Times New Roman" w:hAnsi="Times New Roman" w:cs="Times New Roman"/>
          <w:sz w:val="24"/>
          <w:szCs w:val="24"/>
        </w:rPr>
        <w:t xml:space="preserve">menggunakan </w:t>
      </w:r>
      <w:r w:rsidRPr="00237AD2">
        <w:rPr>
          <w:rFonts w:ascii="Times New Roman" w:hAnsi="Times New Roman" w:cs="Times New Roman"/>
          <w:sz w:val="24"/>
          <w:szCs w:val="24"/>
        </w:rPr>
        <w:t xml:space="preserve">akad </w:t>
      </w:r>
      <w:r w:rsidR="00E80B77">
        <w:rPr>
          <w:rFonts w:ascii="Times New Roman" w:hAnsi="Times New Roman" w:cs="Times New Roman"/>
          <w:sz w:val="24"/>
          <w:szCs w:val="24"/>
        </w:rPr>
        <w:t>musharaka</w:t>
      </w:r>
      <w:r w:rsidRPr="00237AD2">
        <w:rPr>
          <w:rFonts w:ascii="Times New Roman" w:hAnsi="Times New Roman" w:cs="Times New Roman"/>
          <w:sz w:val="24"/>
          <w:szCs w:val="24"/>
        </w:rPr>
        <w:t xml:space="preserve">. Pembiayaan </w:t>
      </w:r>
      <w:r w:rsidR="0035726C">
        <w:rPr>
          <w:rFonts w:ascii="Times New Roman" w:hAnsi="Times New Roman" w:cs="Times New Roman"/>
          <w:sz w:val="24"/>
          <w:szCs w:val="24"/>
        </w:rPr>
        <w:t xml:space="preserve">menggunakan </w:t>
      </w:r>
      <w:r w:rsidRPr="00237AD2">
        <w:rPr>
          <w:rFonts w:ascii="Times New Roman" w:hAnsi="Times New Roman" w:cs="Times New Roman"/>
          <w:sz w:val="24"/>
          <w:szCs w:val="24"/>
        </w:rPr>
        <w:t xml:space="preserve">akad </w:t>
      </w:r>
      <w:r w:rsidR="00E80B77">
        <w:rPr>
          <w:rFonts w:ascii="Times New Roman" w:hAnsi="Times New Roman" w:cs="Times New Roman"/>
          <w:sz w:val="24"/>
          <w:szCs w:val="24"/>
        </w:rPr>
        <w:t>musharaka</w:t>
      </w:r>
      <w:r w:rsidRPr="00237AD2">
        <w:rPr>
          <w:rFonts w:ascii="Times New Roman" w:hAnsi="Times New Roman" w:cs="Times New Roman"/>
          <w:sz w:val="24"/>
          <w:szCs w:val="24"/>
        </w:rPr>
        <w:t xml:space="preserve"> merespon </w:t>
      </w:r>
      <w:r w:rsidR="0035726C">
        <w:rPr>
          <w:rFonts w:ascii="Times New Roman" w:hAnsi="Times New Roman" w:cs="Times New Roman"/>
          <w:sz w:val="24"/>
          <w:szCs w:val="24"/>
        </w:rPr>
        <w:t xml:space="preserve">negatif pergerakan dari nilai tukar dan </w:t>
      </w:r>
      <w:r w:rsidRPr="00237AD2">
        <w:rPr>
          <w:rFonts w:ascii="Times New Roman" w:hAnsi="Times New Roman" w:cs="Times New Roman"/>
          <w:sz w:val="24"/>
          <w:szCs w:val="24"/>
        </w:rPr>
        <w:t>suku bunga</w:t>
      </w:r>
      <w:r w:rsidR="0035726C">
        <w:rPr>
          <w:rFonts w:ascii="Times New Roman" w:hAnsi="Times New Roman" w:cs="Times New Roman"/>
          <w:sz w:val="24"/>
          <w:szCs w:val="24"/>
        </w:rPr>
        <w:t xml:space="preserve"> sedangkan inflasi direspon positif dan negatif</w:t>
      </w:r>
      <w:r w:rsidRPr="00237AD2">
        <w:rPr>
          <w:rFonts w:ascii="Times New Roman" w:hAnsi="Times New Roman" w:cs="Times New Roman"/>
          <w:sz w:val="24"/>
          <w:szCs w:val="24"/>
        </w:rPr>
        <w:t xml:space="preserve">. Adapun peramalan didominasi oleh pembiayaan akad </w:t>
      </w:r>
      <w:r w:rsidR="00E80B77">
        <w:rPr>
          <w:rFonts w:ascii="Times New Roman" w:hAnsi="Times New Roman" w:cs="Times New Roman"/>
          <w:sz w:val="24"/>
          <w:szCs w:val="24"/>
        </w:rPr>
        <w:t>musharaka</w:t>
      </w:r>
      <w:r w:rsidRPr="00237AD2">
        <w:rPr>
          <w:rFonts w:ascii="Times New Roman" w:hAnsi="Times New Roman" w:cs="Times New Roman"/>
          <w:sz w:val="24"/>
          <w:szCs w:val="24"/>
        </w:rPr>
        <w:t xml:space="preserve"> itu sendiri kemudian diikuti oleh</w:t>
      </w:r>
      <w:r w:rsidR="0035726C">
        <w:rPr>
          <w:rFonts w:ascii="Times New Roman" w:hAnsi="Times New Roman" w:cs="Times New Roman"/>
          <w:sz w:val="24"/>
          <w:szCs w:val="24"/>
        </w:rPr>
        <w:t xml:space="preserve"> suku bunga, </w:t>
      </w:r>
      <w:r w:rsidRPr="00237AD2">
        <w:rPr>
          <w:rFonts w:ascii="Times New Roman" w:hAnsi="Times New Roman" w:cs="Times New Roman"/>
          <w:sz w:val="24"/>
          <w:szCs w:val="24"/>
        </w:rPr>
        <w:t>inflasi</w:t>
      </w:r>
      <w:r w:rsidR="0035726C">
        <w:rPr>
          <w:rFonts w:ascii="Times New Roman" w:hAnsi="Times New Roman" w:cs="Times New Roman"/>
          <w:sz w:val="24"/>
          <w:szCs w:val="24"/>
        </w:rPr>
        <w:t xml:space="preserve"> dan </w:t>
      </w:r>
      <w:r w:rsidR="0035726C" w:rsidRPr="00237AD2">
        <w:rPr>
          <w:rFonts w:ascii="Times New Roman" w:hAnsi="Times New Roman" w:cs="Times New Roman"/>
          <w:sz w:val="24"/>
          <w:szCs w:val="24"/>
        </w:rPr>
        <w:t>nilai tukar</w:t>
      </w:r>
      <w:r w:rsidRPr="00237AD2">
        <w:rPr>
          <w:rFonts w:ascii="Times New Roman" w:hAnsi="Times New Roman" w:cs="Times New Roman"/>
          <w:sz w:val="24"/>
          <w:szCs w:val="24"/>
        </w:rPr>
        <w:t>.</w:t>
      </w:r>
    </w:p>
    <w:p w:rsidR="009E4BE0" w:rsidRDefault="009E4BE0" w:rsidP="00237AD2">
      <w:pPr>
        <w:spacing w:after="0" w:line="300" w:lineRule="auto"/>
        <w:jc w:val="both"/>
        <w:rPr>
          <w:rFonts w:ascii="Times New Roman" w:hAnsi="Times New Roman" w:cs="Times New Roman"/>
          <w:sz w:val="24"/>
          <w:szCs w:val="24"/>
        </w:rPr>
      </w:pPr>
    </w:p>
    <w:p w:rsidR="009E4BE0" w:rsidRPr="00237AD2" w:rsidRDefault="009E4BE0" w:rsidP="00237AD2">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Kata Kunci : </w:t>
      </w:r>
      <w:r w:rsidR="00E80B77">
        <w:rPr>
          <w:rFonts w:ascii="Times New Roman" w:hAnsi="Times New Roman" w:cs="Times New Roman"/>
          <w:sz w:val="24"/>
          <w:szCs w:val="24"/>
        </w:rPr>
        <w:t>Musharaka</w:t>
      </w:r>
      <w:r>
        <w:rPr>
          <w:rFonts w:ascii="Times New Roman" w:hAnsi="Times New Roman" w:cs="Times New Roman"/>
          <w:sz w:val="24"/>
          <w:szCs w:val="24"/>
        </w:rPr>
        <w:t>, Suku Bunga, Inflasi, Nilai Tukar, VECM</w:t>
      </w:r>
    </w:p>
    <w:p w:rsidR="0035726C" w:rsidRDefault="0035726C" w:rsidP="009101B2">
      <w:pPr>
        <w:spacing w:after="0" w:line="300" w:lineRule="auto"/>
        <w:jc w:val="both"/>
        <w:rPr>
          <w:rFonts w:ascii="Times New Roman" w:hAnsi="Times New Roman" w:cs="Times New Roman"/>
          <w:b/>
          <w:sz w:val="24"/>
          <w:szCs w:val="24"/>
        </w:rPr>
      </w:pPr>
    </w:p>
    <w:p w:rsidR="00912D3B" w:rsidRDefault="00912D3B" w:rsidP="009101B2">
      <w:pPr>
        <w:spacing w:after="0" w:line="300" w:lineRule="auto"/>
        <w:jc w:val="both"/>
        <w:rPr>
          <w:rFonts w:ascii="Times New Roman" w:hAnsi="Times New Roman" w:cs="Times New Roman"/>
          <w:b/>
          <w:sz w:val="24"/>
          <w:szCs w:val="24"/>
        </w:rPr>
      </w:pPr>
    </w:p>
    <w:p w:rsidR="00912D3B" w:rsidRDefault="00912D3B" w:rsidP="009101B2">
      <w:pPr>
        <w:spacing w:after="0" w:line="300" w:lineRule="auto"/>
        <w:jc w:val="both"/>
        <w:rPr>
          <w:rFonts w:ascii="Times New Roman" w:hAnsi="Times New Roman" w:cs="Times New Roman"/>
          <w:b/>
          <w:sz w:val="24"/>
          <w:szCs w:val="24"/>
        </w:rPr>
      </w:pPr>
    </w:p>
    <w:p w:rsidR="00912D3B" w:rsidRDefault="00912D3B" w:rsidP="009101B2">
      <w:pPr>
        <w:spacing w:after="0" w:line="300" w:lineRule="auto"/>
        <w:jc w:val="both"/>
        <w:rPr>
          <w:rFonts w:ascii="Times New Roman" w:hAnsi="Times New Roman" w:cs="Times New Roman"/>
          <w:b/>
          <w:sz w:val="24"/>
          <w:szCs w:val="24"/>
        </w:rPr>
      </w:pPr>
    </w:p>
    <w:p w:rsidR="00912D3B" w:rsidRDefault="00912D3B" w:rsidP="009101B2">
      <w:pPr>
        <w:spacing w:after="0" w:line="300" w:lineRule="auto"/>
        <w:jc w:val="both"/>
        <w:rPr>
          <w:rFonts w:ascii="Times New Roman" w:hAnsi="Times New Roman" w:cs="Times New Roman"/>
          <w:b/>
          <w:sz w:val="24"/>
          <w:szCs w:val="24"/>
        </w:rPr>
      </w:pPr>
    </w:p>
    <w:p w:rsidR="00912D3B" w:rsidRDefault="00912D3B" w:rsidP="009101B2">
      <w:pPr>
        <w:spacing w:after="0" w:line="300" w:lineRule="auto"/>
        <w:jc w:val="both"/>
        <w:rPr>
          <w:rFonts w:ascii="Times New Roman" w:hAnsi="Times New Roman" w:cs="Times New Roman"/>
          <w:b/>
          <w:sz w:val="24"/>
          <w:szCs w:val="24"/>
        </w:rPr>
      </w:pPr>
    </w:p>
    <w:p w:rsidR="00E80B77" w:rsidRDefault="00E80B77" w:rsidP="009101B2">
      <w:pPr>
        <w:spacing w:after="0" w:line="300" w:lineRule="auto"/>
        <w:jc w:val="both"/>
        <w:rPr>
          <w:rFonts w:ascii="Times New Roman" w:hAnsi="Times New Roman" w:cs="Times New Roman"/>
          <w:b/>
          <w:sz w:val="24"/>
          <w:szCs w:val="24"/>
        </w:rPr>
        <w:sectPr w:rsidR="00E80B77" w:rsidSect="00B63E8C">
          <w:type w:val="continuous"/>
          <w:pgSz w:w="11907" w:h="16839" w:code="9"/>
          <w:pgMar w:top="1701" w:right="1701" w:bottom="1701" w:left="1701" w:header="720" w:footer="720" w:gutter="0"/>
          <w:cols w:space="720"/>
          <w:docGrid w:linePitch="360"/>
        </w:sectPr>
      </w:pPr>
    </w:p>
    <w:p w:rsidR="000947AB" w:rsidRDefault="000947AB" w:rsidP="009101B2">
      <w:pPr>
        <w:spacing w:after="0" w:line="300" w:lineRule="auto"/>
        <w:jc w:val="both"/>
        <w:rPr>
          <w:rFonts w:ascii="Times New Roman" w:hAnsi="Times New Roman" w:cs="Times New Roman"/>
          <w:b/>
          <w:sz w:val="24"/>
          <w:szCs w:val="24"/>
        </w:rPr>
      </w:pPr>
    </w:p>
    <w:p w:rsidR="000947AB" w:rsidRDefault="000947AB" w:rsidP="009101B2">
      <w:pPr>
        <w:spacing w:after="0" w:line="300" w:lineRule="auto"/>
        <w:jc w:val="both"/>
        <w:rPr>
          <w:rFonts w:ascii="Times New Roman" w:hAnsi="Times New Roman" w:cs="Times New Roman"/>
          <w:b/>
          <w:sz w:val="24"/>
          <w:szCs w:val="24"/>
        </w:rPr>
      </w:pPr>
    </w:p>
    <w:p w:rsidR="00ED4301" w:rsidRPr="009101B2" w:rsidRDefault="00E80B77" w:rsidP="009101B2">
      <w:pPr>
        <w:spacing w:after="0" w:line="30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9F3F78">
        <w:rPr>
          <w:rFonts w:ascii="Times New Roman" w:hAnsi="Times New Roman" w:cs="Times New Roman"/>
          <w:b/>
          <w:sz w:val="24"/>
          <w:szCs w:val="24"/>
        </w:rPr>
        <w:t>Introduction</w:t>
      </w:r>
    </w:p>
    <w:p w:rsidR="009F3F78" w:rsidRPr="009F3F78" w:rsidRDefault="009F3F78" w:rsidP="009F3F78">
      <w:pPr>
        <w:spacing w:after="0" w:line="300" w:lineRule="auto"/>
        <w:ind w:firstLine="851"/>
        <w:jc w:val="both"/>
        <w:rPr>
          <w:rFonts w:ascii="Times New Roman" w:hAnsi="Times New Roman" w:cs="Times New Roman"/>
          <w:sz w:val="24"/>
          <w:szCs w:val="24"/>
        </w:rPr>
      </w:pPr>
      <w:r w:rsidRPr="009F3F78">
        <w:rPr>
          <w:rFonts w:ascii="Times New Roman" w:hAnsi="Times New Roman" w:cs="Times New Roman"/>
          <w:sz w:val="24"/>
          <w:szCs w:val="24"/>
        </w:rPr>
        <w:t xml:space="preserve">Islamic banking as a financial institution that has an intermediary function where the function is to collect funds from the public and channel them back to the people who need these funds </w:t>
      </w:r>
      <w:r w:rsidR="00F05159">
        <w:rPr>
          <w:rFonts w:ascii="Times New Roman" w:hAnsi="Times New Roman" w:cs="Times New Roman"/>
          <w:sz w:val="24"/>
          <w:szCs w:val="24"/>
        </w:rPr>
        <w:fldChar w:fldCharType="begin" w:fldLock="1"/>
      </w:r>
      <w:r w:rsidR="00F05159">
        <w:rPr>
          <w:rFonts w:ascii="Times New Roman" w:hAnsi="Times New Roman" w:cs="Times New Roman"/>
          <w:sz w:val="24"/>
          <w:szCs w:val="24"/>
        </w:rPr>
        <w:instrText>ADDIN CSL_CITATION {"citationItems":[{"id":"ITEM-1","itemData":{"DOI":"10.1016/j.ribaf.2017.07.036","ISSN":"02755319","abstract":"The purpose of this paper is to present the some differences and similarities between corporate governance principles in Islamic banks and conventional banks by paradigmatic diversification. Since Corporate governance in Islamic banks is a social phenomenon in Islamic societies, the paper uses social theory paradigms (functionalist, interpretive, radical humanist and radical structuralist) to compare between corporate governance in Islamic banks and conventional banks. This paper demonstrates that mainstream corporate corporate governance theories are not a law of nature but a social construct.","author":[{"dropping-particle":"","family":"Shibani","given":"Osama","non-dropping-particle":"","parse-names":false,"suffix":""},{"dropping-particle":"","family":"Fuentes","given":"Cristina","non-dropping-particle":"De","parse-names":false,"suffix":""}],"container-title":"Research in International Business and Finance","id":"ITEM-1","issued":{"date-parts":[["2017"]]},"page":"1005-1010","publisher":"Elsevier B.V.","title":"Differences and Similaritites between Corporate Governance Principles in Islamic Banks and Conventional Banks","type":"article-journal","volume":"42"},"uris":["http://www.mendeley.com/documents/?uuid=3f1de023-cb9a-455d-b6aa-67ea4ffd5bb9"]},{"id":"ITEM-2","itemData":{"DOI":"10.1016/j.fbj.2017.01.002","ISSN":"23147210","abstract":"Banking sector is the backbone of any country's economy and bank deposits are the major tool of success for banking sector. Bank deposits are also a major part and determinant of country's saving. According to economic theories and practical considerations, interest rate is considered one of the major elements that can affect savings as well as bank deposits. But as we knows that in Islam interest is considered forbidden and Muslims tries to avoid interest income , So the basic purpose of this study is to know the fact that either religious factors have any effect on Muslim's decision while keeping their saving in banks. We used panel ARDL(Autoregressive Distributed Lag) method by using 23 non-Islamic and 23 Islamic countries data from 1999 to 2014 for this study. Results showed that in Islamic countries interest rate don't have any impact on bank deposits both in long run and short run. But in the case of non-Islamic countries interest rate have positive significant impact on bank deposits. Hence there is need of Islamic banks in countries with more Muslim population and there should be different economic policies for Islamic countries as religious factor affects decision of Muslims and interest rate doesn't have any impact on bank's deposits. &amp; 2017 Faculty of Commerce and Business Administration, Future University. Production and Hosting by Elsevier B.V. This is an open access article under the CC BY-NC-ND license (http://creativecommons.org/licenses/by-nc-nd/4.0/).","author":[{"dropping-particle":"","family":"Mushtaq","given":"Saba","non-dropping-particle":"","parse-names":false,"suffix":""},{"dropping-particle":"","family":"Siddiqui","given":"Danish Ahmed","non-dropping-particle":"","parse-names":false,"suffix":""}],"container-title":"Future Business Journal","id":"ITEM-2","issue":"1","issued":{"date-parts":[["2017"]]},"page":"1-8","publisher":"Elsevier B.V.","title":"Effect of Interest Rate on Bank Deposits : Evidences from Islamic and non-Islamic Economies","type":"article-journal","volume":"3"},"uris":["http://www.mendeley.com/documents/?uuid=e9ef6e8b-d9ed-4e86-9d7e-644a3042e8d2"]}],"mendeley":{"formattedCitation":"(Mushtaq &amp; Siddiqui, 2017; Shibani &amp; De Fuentes, 2017)","plainTextFormattedCitation":"(Mushtaq &amp; Siddiqui, 2017; Shibani &amp; De Fuentes, 2017)","previouslyFormattedCitation":"(Mushtaq &amp; Siddiqui, 2017; Shibani &amp; De Fuentes, 2017)"},"properties":{"noteIndex":0},"schema":"https://github.com/citation-style-language/schema/raw/master/csl-citation.json"}</w:instrText>
      </w:r>
      <w:r w:rsidR="00F05159">
        <w:rPr>
          <w:rFonts w:ascii="Times New Roman" w:hAnsi="Times New Roman" w:cs="Times New Roman"/>
          <w:sz w:val="24"/>
          <w:szCs w:val="24"/>
        </w:rPr>
        <w:fldChar w:fldCharType="separate"/>
      </w:r>
      <w:r w:rsidR="00F05159" w:rsidRPr="00F05159">
        <w:rPr>
          <w:rFonts w:ascii="Times New Roman" w:hAnsi="Times New Roman" w:cs="Times New Roman"/>
          <w:noProof/>
          <w:sz w:val="24"/>
          <w:szCs w:val="24"/>
        </w:rPr>
        <w:t>(Mushtaq &amp; Siddiqui, 2017; Shibani &amp; De Fuentes, 2017)</w:t>
      </w:r>
      <w:r w:rsidR="00F05159">
        <w:rPr>
          <w:rFonts w:ascii="Times New Roman" w:hAnsi="Times New Roman" w:cs="Times New Roman"/>
          <w:sz w:val="24"/>
          <w:szCs w:val="24"/>
        </w:rPr>
        <w:fldChar w:fldCharType="end"/>
      </w:r>
      <w:r w:rsidRPr="009F3F78">
        <w:rPr>
          <w:rFonts w:ascii="Times New Roman" w:hAnsi="Times New Roman" w:cs="Times New Roman"/>
          <w:sz w:val="24"/>
          <w:szCs w:val="24"/>
        </w:rPr>
        <w:t xml:space="preserve">. One of the main activities in Islamic banking operations, in addition to raising funds, is the distribution of funds or better known as financing </w:t>
      </w:r>
      <w:r w:rsidR="00F05159">
        <w:rPr>
          <w:rFonts w:ascii="Times New Roman" w:hAnsi="Times New Roman" w:cs="Times New Roman"/>
          <w:sz w:val="24"/>
          <w:szCs w:val="24"/>
        </w:rPr>
        <w:fldChar w:fldCharType="begin" w:fldLock="1"/>
      </w:r>
      <w:r w:rsidR="00F05159">
        <w:rPr>
          <w:rFonts w:ascii="Times New Roman" w:hAnsi="Times New Roman" w:cs="Times New Roman"/>
          <w:sz w:val="24"/>
          <w:szCs w:val="24"/>
        </w:rPr>
        <w:instrText>ADDIN CSL_CITATION {"citationItems":[{"id":"ITEM-1","itemData":{"DOI":"10.1016/j.molliq.2019.111474","ISSN":"0167-7322","author":[{"dropping-particle":"","family":"Paltrinieri","given":"Andrea","non-dropping-particle":"","parse-names":false,"suffix":""},{"dropping-particle":"","family":"Dreassi","given":"Alberto","non-dropping-particle":"","parse-names":false,"suffix":""},{"dropping-particle":"","family":"Rossi","given":"Simone","non-dropping-particle":"","parse-names":false,"suffix":""},{"dropping-particle":"","family":"Khan","given":"Ashraf","non-dropping-particle":"","parse-names":false,"suffix":""}],"container-title":"Global Finance Journal","id":"ITEM-1","issued":{"date-parts":[["2019"]]},"page":"1-42","publisher":"Elsevier Inc","title":"Risk-adjusted Profitability and Stability of Islamic and Conventional Banks: Does Revenue Diversification Matter?","type":"article-journal"},"uris":["http://www.mendeley.com/documents/?uuid=a503cef9-7e72-4254-94bd-015f28f1e07c"]}],"mendeley":{"formattedCitation":"(Paltrinieri, Dreassi, Rossi, &amp; Khan, 2019)","plainTextFormattedCitation":"(Paltrinieri, Dreassi, Rossi, &amp; Khan, 2019)","previouslyFormattedCitation":"(Paltrinieri, Dreassi, Rossi, &amp; Khan, 2019)"},"properties":{"noteIndex":0},"schema":"https://github.com/citation-style-language/schema/raw/master/csl-citation.json"}</w:instrText>
      </w:r>
      <w:r w:rsidR="00F05159">
        <w:rPr>
          <w:rFonts w:ascii="Times New Roman" w:hAnsi="Times New Roman" w:cs="Times New Roman"/>
          <w:sz w:val="24"/>
          <w:szCs w:val="24"/>
        </w:rPr>
        <w:fldChar w:fldCharType="separate"/>
      </w:r>
      <w:r w:rsidR="00F05159" w:rsidRPr="00F05159">
        <w:rPr>
          <w:rFonts w:ascii="Times New Roman" w:hAnsi="Times New Roman" w:cs="Times New Roman"/>
          <w:noProof/>
          <w:sz w:val="24"/>
          <w:szCs w:val="24"/>
        </w:rPr>
        <w:t>(Paltrinieri, Dreassi, Rossi, &amp; Khan, 2019)</w:t>
      </w:r>
      <w:r w:rsidR="00F05159">
        <w:rPr>
          <w:rFonts w:ascii="Times New Roman" w:hAnsi="Times New Roman" w:cs="Times New Roman"/>
          <w:sz w:val="24"/>
          <w:szCs w:val="24"/>
        </w:rPr>
        <w:fldChar w:fldCharType="end"/>
      </w:r>
      <w:r w:rsidRPr="009F3F78">
        <w:rPr>
          <w:rFonts w:ascii="Times New Roman" w:hAnsi="Times New Roman" w:cs="Times New Roman"/>
          <w:sz w:val="24"/>
          <w:szCs w:val="24"/>
        </w:rPr>
        <w:t>.</w:t>
      </w:r>
    </w:p>
    <w:p w:rsidR="009F3F78" w:rsidRPr="009F3F78" w:rsidRDefault="009F3F78" w:rsidP="009F3F78">
      <w:pPr>
        <w:spacing w:after="0" w:line="300" w:lineRule="auto"/>
        <w:ind w:firstLine="851"/>
        <w:jc w:val="both"/>
        <w:rPr>
          <w:rFonts w:ascii="Times New Roman" w:hAnsi="Times New Roman" w:cs="Times New Roman"/>
          <w:sz w:val="24"/>
          <w:szCs w:val="24"/>
        </w:rPr>
      </w:pPr>
      <w:r w:rsidRPr="009F3F78">
        <w:rPr>
          <w:rFonts w:ascii="Times New Roman" w:hAnsi="Times New Roman" w:cs="Times New Roman"/>
          <w:sz w:val="24"/>
          <w:szCs w:val="24"/>
        </w:rPr>
        <w:t xml:space="preserve">Fund distribution activities in the form of financing as an effort in moving the real sector have received significant attention from Islamic banking </w:t>
      </w:r>
      <w:r w:rsidR="00F05159">
        <w:rPr>
          <w:rFonts w:ascii="Times New Roman" w:hAnsi="Times New Roman" w:cs="Times New Roman"/>
          <w:sz w:val="24"/>
          <w:szCs w:val="24"/>
        </w:rPr>
        <w:fldChar w:fldCharType="begin" w:fldLock="1"/>
      </w:r>
      <w:r w:rsidR="00F05159">
        <w:rPr>
          <w:rFonts w:ascii="Times New Roman" w:hAnsi="Times New Roman" w:cs="Times New Roman"/>
          <w:sz w:val="24"/>
          <w:szCs w:val="24"/>
        </w:rPr>
        <w:instrText>ADDIN CSL_CITATION {"citationItems":[{"id":"ITEM-1","itemData":{"DOI":"10.1016/j.pacfin.2017.12.001","ISSN":"0927538X","abstract":"Conventional banks which once were competing with non-banking financial institutions and capital markets today face the new challenge of being reintermediated by Islamic banks. Earlier academic research has been debating over disintermediation and reintermediation of conventional banks, but consistently failed to address reintermediation through Islamic banks as a possibility. This study, however, fills the void by addressing the novel possibility of reintermediation “within” the banking sector and is the first attempt to analyze and compare Islamic and conventional banks from the perspective of reintermediated financial markets. After identifying the reintermediation trends led by Islamic banks we investigate several bank specific financial and non-financial characteristics that might have enabled Islamic banks to emerge as an important player in reintermediated financial markets. By keeping our focus on slightly modified version of CAMELS framework where 's’ represents “Service Quality” we find that along with better capitalization (C) and improved liquidity (L), better service quality (S) is another distinguished feature of Islamic banks that might be linked with their high degree of intermediation.","author":[{"dropping-particle":"","family":"Naqvi","given":"Bushra","non-dropping-particle":"","parse-names":false,"suffix":""},{"dropping-particle":"","family":"Rizvi","given":"S. K.A.","non-dropping-particle":"","parse-names":false,"suffix":""},{"dropping-particle":"","family":"Uqaili","given":"Hina Ahmed","non-dropping-particle":"","parse-names":false,"suffix":""},{"dropping-particle":"","family":"Chaudhry","given":"S. M.","non-dropping-particle":"","parse-names":false,"suffix":""}],"container-title":"Pacific Basin Finance Journal","id":"ITEM-1","issued":{"date-parts":[["2018"]]},"page":"5-25","publisher":"Elsevier B.V","title":"What Enables Islamic Banks to Contribute in Global Financial Reintermediation?","type":"article-journal","volume":"52"},"uris":["http://www.mendeley.com/documents/?uuid=e7267477-9266-49b7-a52f-159080efe735"]}],"mendeley":{"formattedCitation":"(Naqvi, Rizvi, Uqaili, &amp; Chaudhry, 2018)","plainTextFormattedCitation":"(Naqvi, Rizvi, Uqaili, &amp; Chaudhry, 2018)","previouslyFormattedCitation":"(Naqvi, Rizvi, Uqaili, &amp; Chaudhry, 2018)"},"properties":{"noteIndex":0},"schema":"https://github.com/citation-style-language/schema/raw/master/csl-citation.json"}</w:instrText>
      </w:r>
      <w:r w:rsidR="00F05159">
        <w:rPr>
          <w:rFonts w:ascii="Times New Roman" w:hAnsi="Times New Roman" w:cs="Times New Roman"/>
          <w:sz w:val="24"/>
          <w:szCs w:val="24"/>
        </w:rPr>
        <w:fldChar w:fldCharType="separate"/>
      </w:r>
      <w:r w:rsidR="00F05159" w:rsidRPr="00F05159">
        <w:rPr>
          <w:rFonts w:ascii="Times New Roman" w:hAnsi="Times New Roman" w:cs="Times New Roman"/>
          <w:noProof/>
          <w:sz w:val="24"/>
          <w:szCs w:val="24"/>
        </w:rPr>
        <w:t>(Naqvi, Rizvi, Uqaili, &amp; Chaudhry, 2018)</w:t>
      </w:r>
      <w:r w:rsidR="00F05159">
        <w:rPr>
          <w:rFonts w:ascii="Times New Roman" w:hAnsi="Times New Roman" w:cs="Times New Roman"/>
          <w:sz w:val="24"/>
          <w:szCs w:val="24"/>
        </w:rPr>
        <w:fldChar w:fldCharType="end"/>
      </w:r>
      <w:r w:rsidRPr="009F3F78">
        <w:rPr>
          <w:rFonts w:ascii="Times New Roman" w:hAnsi="Times New Roman" w:cs="Times New Roman"/>
          <w:sz w:val="24"/>
          <w:szCs w:val="24"/>
        </w:rPr>
        <w:t xml:space="preserve">. Total financing and total financing using musharaka contracts from year to year have increased. The total funding that was successfully channeled by Islamic banking until December 2019 was recorded at 344 trillion, while the total financing that was successfully directed using the </w:t>
      </w:r>
      <w:r w:rsidR="00E80B77">
        <w:rPr>
          <w:rFonts w:ascii="Times New Roman" w:hAnsi="Times New Roman" w:cs="Times New Roman"/>
          <w:sz w:val="24"/>
          <w:szCs w:val="24"/>
        </w:rPr>
        <w:t>musharaka</w:t>
      </w:r>
      <w:r w:rsidRPr="009F3F78">
        <w:rPr>
          <w:rFonts w:ascii="Times New Roman" w:hAnsi="Times New Roman" w:cs="Times New Roman"/>
          <w:sz w:val="24"/>
          <w:szCs w:val="24"/>
        </w:rPr>
        <w:t xml:space="preserve"> contract until December 2019 was recorded at 129.64 trillion </w:t>
      </w:r>
      <w:r w:rsidR="00F05159">
        <w:rPr>
          <w:rFonts w:ascii="Times New Roman" w:hAnsi="Times New Roman" w:cs="Times New Roman"/>
          <w:sz w:val="24"/>
          <w:szCs w:val="24"/>
        </w:rPr>
        <w:fldChar w:fldCharType="begin" w:fldLock="1"/>
      </w:r>
      <w:r w:rsidR="00F05159">
        <w:rPr>
          <w:rFonts w:ascii="Times New Roman" w:hAnsi="Times New Roman" w:cs="Times New Roman"/>
          <w:sz w:val="24"/>
          <w:szCs w:val="24"/>
        </w:rPr>
        <w:instrText>ADDIN CSL_CITATION {"citationItems":[{"id":"ITEM-1","itemData":{"DOI":"10.1017/CBO9781107415324.004","ISBN":"9788578110796","ISSN":"1098-6596","PMID":"25246403","author":[{"dropping-particle":"","family":"Otoritas Jasa Keuangan","given":"","non-dropping-particle":"","parse-names":false,"suffix":""}],"id":"ITEM-1","issued":{"date-parts":[["2019"]]},"title":"Statistik Perbankan Syariah","type":"report"},"uris":["http://www.mendeley.com/documents/?uuid=f3f7f038-ffa9-47b5-a474-203e4593c670"]}],"mendeley":{"formattedCitation":"(Otoritas Jasa Keuangan, 2019)","plainTextFormattedCitation":"(Otoritas Jasa Keuangan, 2019)","previouslyFormattedCitation":"(Otoritas Jasa Keuangan, 2019)"},"properties":{"noteIndex":0},"schema":"https://github.com/citation-style-language/schema/raw/master/csl-citation.json"}</w:instrText>
      </w:r>
      <w:r w:rsidR="00F05159">
        <w:rPr>
          <w:rFonts w:ascii="Times New Roman" w:hAnsi="Times New Roman" w:cs="Times New Roman"/>
          <w:sz w:val="24"/>
          <w:szCs w:val="24"/>
        </w:rPr>
        <w:fldChar w:fldCharType="separate"/>
      </w:r>
      <w:r w:rsidR="00F05159" w:rsidRPr="00F05159">
        <w:rPr>
          <w:rFonts w:ascii="Times New Roman" w:hAnsi="Times New Roman" w:cs="Times New Roman"/>
          <w:noProof/>
          <w:sz w:val="24"/>
          <w:szCs w:val="24"/>
        </w:rPr>
        <w:t>(Otoritas Jasa Keuangan, 2019)</w:t>
      </w:r>
      <w:r w:rsidR="00F05159">
        <w:rPr>
          <w:rFonts w:ascii="Times New Roman" w:hAnsi="Times New Roman" w:cs="Times New Roman"/>
          <w:sz w:val="24"/>
          <w:szCs w:val="24"/>
        </w:rPr>
        <w:fldChar w:fldCharType="end"/>
      </w:r>
      <w:r w:rsidR="00F05159">
        <w:rPr>
          <w:rFonts w:ascii="Times New Roman" w:hAnsi="Times New Roman" w:cs="Times New Roman"/>
          <w:sz w:val="24"/>
          <w:szCs w:val="24"/>
        </w:rPr>
        <w:t>.</w:t>
      </w:r>
    </w:p>
    <w:p w:rsidR="009F3F78" w:rsidRPr="009F3F78" w:rsidRDefault="009F3F78" w:rsidP="009F3F78">
      <w:pPr>
        <w:spacing w:after="0" w:line="300" w:lineRule="auto"/>
        <w:ind w:firstLine="851"/>
        <w:jc w:val="both"/>
        <w:rPr>
          <w:rFonts w:ascii="Times New Roman" w:hAnsi="Times New Roman" w:cs="Times New Roman"/>
          <w:sz w:val="24"/>
          <w:szCs w:val="24"/>
        </w:rPr>
      </w:pPr>
      <w:r w:rsidRPr="009F3F78">
        <w:rPr>
          <w:rFonts w:ascii="Times New Roman" w:hAnsi="Times New Roman" w:cs="Times New Roman"/>
          <w:sz w:val="24"/>
          <w:szCs w:val="24"/>
        </w:rPr>
        <w:t xml:space="preserve">Distribution of funds using the musharaka contract gives the most excellent results among the activities of channeling funds using other arrangements conducted by Islamic banks. Along with the high results obtained, of course, the risks that may arise from the process of financing distribution are also higher </w:t>
      </w:r>
      <w:r w:rsidR="00F05159">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{"citationItems":[{"id":"ITEM-1","itemData":{"DOI":"10.1016/j.ribaf.2017.07.113","ISSN":"02755319","abstract":"The aim of this paper is to investigate the determinants and the joint relationship between capital, risk and liquidity of conventional and Islamic banks. Particularly, we focus on the impact of financial and political instabilities on the risk-taking behavior of conventional and Islamic banks. Using the simultaneous equation model with partial adjustment, we find a positive bidirectional relationship between capital and risk of Islamic banks. Moreover, results highlight the risky aspect of this category of banks mainly caused by the type of contracts put in practice, obeying Sharia principles, such as Moudharaba and Moucharaka contracts. Also, changes in liquidity affect positively risk within Islamic and conventional banks, suggesting that both types of banks, by accumulating liquid assets; tend to have relatively riskier portfolios. Moreover, we find a significant impact of the Global financial crisis on the capital, risk and liquidity of conventional and Islamic banks.","author":[{"dropping-particle":"","family":"Mahdi","given":"Ines Ben Salah","non-dropping-particle":"","parse-names":false,"suffix":""},{"dropping-particle":"","family":"Abbes","given":"Mouna Boujelbene","non-dropping-particle":"","parse-names":false,"suffix":""}],"container-title":"Research in International Business and Finance","id":"ITEM-1","issued":{"date-parts":[["2018"]]},"page":"588-596","publisher":"Elsevier","title":"Relationship between Capital, Risk and Liquidity : a Comparative Study between Islamic and Conventional Banks in MENA Region","type":"article-journal","volume":"45"},"uris":["http://www.mendeley.com/documents/?uuid=2652bdd4-459c-45a1-a477-72fee89691bc"]}],"mendeley":{"formattedCitation":"(Mahdi &amp; Abbes, 2018)","plainTextFormattedCitation":"(Mahdi &amp; Abbes, 2018)","previouslyFormattedCitation":"(Mahdi &amp; Abbes, 2018)"},"properties":{"noteIndex":0},"schema":"https://github.com/citation-style-language/schema/raw/master/csl-citation.json"}</w:instrText>
      </w:r>
      <w:r w:rsidR="00F05159">
        <w:rPr>
          <w:rFonts w:ascii="Times New Roman" w:hAnsi="Times New Roman" w:cs="Times New Roman"/>
          <w:sz w:val="24"/>
          <w:szCs w:val="24"/>
        </w:rPr>
        <w:fldChar w:fldCharType="separate"/>
      </w:r>
      <w:r w:rsidR="00F05159" w:rsidRPr="00F05159">
        <w:rPr>
          <w:rFonts w:ascii="Times New Roman" w:hAnsi="Times New Roman" w:cs="Times New Roman"/>
          <w:noProof/>
          <w:sz w:val="24"/>
          <w:szCs w:val="24"/>
        </w:rPr>
        <w:t>(Mahdi &amp; Abbes, 2018)</w:t>
      </w:r>
      <w:r w:rsidR="00F05159">
        <w:rPr>
          <w:rFonts w:ascii="Times New Roman" w:hAnsi="Times New Roman" w:cs="Times New Roman"/>
          <w:sz w:val="24"/>
          <w:szCs w:val="24"/>
        </w:rPr>
        <w:fldChar w:fldCharType="end"/>
      </w:r>
      <w:r w:rsidRPr="009F3F78">
        <w:rPr>
          <w:rFonts w:ascii="Times New Roman" w:hAnsi="Times New Roman" w:cs="Times New Roman"/>
          <w:sz w:val="24"/>
          <w:szCs w:val="24"/>
        </w:rPr>
        <w:t xml:space="preserve">. Therefore, before </w:t>
      </w:r>
      <w:r w:rsidRPr="009F3F78">
        <w:rPr>
          <w:rFonts w:ascii="Times New Roman" w:hAnsi="Times New Roman" w:cs="Times New Roman"/>
          <w:sz w:val="24"/>
          <w:szCs w:val="24"/>
        </w:rPr>
        <w:lastRenderedPageBreak/>
        <w:t xml:space="preserve">channeling funds, Islamic banks should need to carry out a series of procedures to analyze the feasibility of financing proposed by prospective customers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{"citationItems":[{"id":"ITEM-1","itemData":{"DOI":"10.1016/j.pacfin.2015.03.001","ISSN":"0927538X","abstract":"This paper attempts to explain the dominance of asset side debt contracts in Islamic banks, even though many consider alternative Islamic joint venture (IJV) contracts to be the ideal Islamic financing mode. Theoretical models based on asymmetric information are used to argue that adverse selection and moral hazard alone cannot explain this phenomenon. The model is augmented with risk averse depositors to show that the emergence of asset side IJV could be deterred by Islamic banks' liability side. This paper suggests that for IJV, affiliated venture capital and private equity might prove more successful institutions than banking.","author":[{"dropping-particle":"","family":"Azmat","given":"Saad","non-dropping-particle":"","parse-names":false,"suffix":""},{"dropping-particle":"","family":"Skully","given":"Michael","non-dropping-particle":"","parse-names":false,"suffix":""},{"dropping-particle":"","family":"Brown","given":"Kym","non-dropping-particle":"","parse-names":false,"suffix":""}],"container-title":"Pacific Basin Finance Journal","id":"ITEM-1","issued":{"date-parts":[["2015"]]},"page":"253-272","publisher":"Elsevier B.V.","title":"Can Islamic Banking Ever Become Islamic?","type":"article-journal","volume":"34"},"uris":["http://www.mendeley.com/documents/?uuid=db90d753-55f4-4630-9f42-7618bc6c239c"]},{"id":"ITEM-2","itemData":{"DOI":"10.1016/j.fbj.2017.11.001","ISSN":"23147210","abstract":"This research aims at examining the differences between Islamic and conventional banks in terms of business orientation, stability, and efficiency. Data for this research are collected from 48 conventional banks and 28 Islamic banks of the Gulf Cooperative Council (GCC) countries over the period 2005 to 2014. Collected data are analyzed using accounting ratios, Stochastic Frontier Analysis (SFA), and ordinary least square (OLS) regression technique. Results show that conventional banks are more efficient in managing cost than their Islamic counterparts. However, Islamic banks are more solid in terms of short-term solvency but no such difference exists as far as the long-term stability is concerned. Regression estimation further shows that the operations of Islamic banks are different from their conventional counterparts and the results remain statistically significant even after controlling for bank specific variables. Moreover, larger banks have less intermediation ratio which indicates diseconomies of scale. Results also indicate that highly capitalized banks are more stable but cost inefficient which proves that capital-rich banks have failed to capitalize on the leverage effect. &amp; 2017 Faculty of Commerce and Business Administration, Future University. Production and Hosting by Elsevier B.V. This is an open access article under the CC BY-NC-ND license (http://creativecommons.org/licenses/by-nc-nd/4.0/). JEL classification: G21; G28","author":[{"dropping-particle":"","family":"Miah","given":"Mohammad Dulal","non-dropping-particle":"","parse-names":false,"suffix":""},{"dropping-particle":"","family":"Uddin","given":"Helal","non-dropping-particle":"","parse-names":false,"suffix":""}],"container-title":"Future Business Journal","id":"ITEM-2","issue":"2","issued":{"date-parts":[["2017"]]},"page":"172-185","title":"Efficiency and Stability: A Comparative Study between Islamic and Conventional Banks in GCC Countries","type":"article-journal","volume":"3"},"uris":["http://www.mendeley.com/documents/?uuid=a180a12d-a342-4bc9-9b5d-030bfb15a209"]}],"mendeley":{"formattedCitation":"(Azmat, Skully, &amp; Brown, 2015; Miah &amp; Uddin, 2017)","plainTextFormattedCitation":"(Azmat, Skully, &amp; Brown, 2015; Miah &amp; Uddin, 2017)","previouslyFormattedCitation":"(Azmat, Skully, &amp; Brown, 2015; Miah &amp; Uddin, 2017)"},"properties":{"noteIndex":0},"schema":"https://github.com/citation-style-language/schema/raw/master/csl-citation.json"}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(Azmat, Skully, &amp; Brown, 2015; Miah &amp; Uddin, 2017)</w:t>
      </w:r>
      <w:r w:rsidR="00CD04DD">
        <w:rPr>
          <w:rFonts w:ascii="Times New Roman" w:hAnsi="Times New Roman" w:cs="Times New Roman"/>
          <w:sz w:val="24"/>
          <w:szCs w:val="24"/>
        </w:rPr>
        <w:fldChar w:fldCharType="end"/>
      </w:r>
      <w:r w:rsidRPr="009F3F78">
        <w:rPr>
          <w:rFonts w:ascii="Times New Roman" w:hAnsi="Times New Roman" w:cs="Times New Roman"/>
          <w:sz w:val="24"/>
          <w:szCs w:val="24"/>
        </w:rPr>
        <w:t>.</w:t>
      </w:r>
    </w:p>
    <w:p w:rsidR="009F3F78" w:rsidRDefault="009F3F78" w:rsidP="009F3F78">
      <w:pPr>
        <w:spacing w:after="0" w:line="300" w:lineRule="auto"/>
        <w:ind w:firstLine="851"/>
        <w:jc w:val="both"/>
        <w:rPr>
          <w:rFonts w:ascii="Times New Roman" w:hAnsi="Times New Roman" w:cs="Times New Roman"/>
          <w:sz w:val="24"/>
          <w:szCs w:val="24"/>
        </w:rPr>
      </w:pPr>
      <w:r w:rsidRPr="009F3F78">
        <w:rPr>
          <w:rFonts w:ascii="Times New Roman" w:hAnsi="Times New Roman" w:cs="Times New Roman"/>
          <w:sz w:val="24"/>
          <w:szCs w:val="24"/>
        </w:rPr>
        <w:t>Indonesia, which adopts an open economic system, causes the implementation of monetary policy in creating conducive macroeconomic conditions that are also influenced by external changes so that Islamic banking as an intermediary in channeling financing is affected by these conditions</w:t>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{"citationItems":[{"id":"ITEM-1","itemData":{"DOI":"10.1016/j.bir.2016.09.003","ISSN":"22148469","abstract":"The objective of this paper is to study the impact of conventional stock market return and volatility and various macroeconomic variables (including inflation rate, short-term interest rate, the slope of the yield curve and money supply) on Islamic stock markets returns for twenty developed and emerging markets using Markov switching regression models. The empirical results for the period 2002–2014 show that both developed and emerging Islamic stock indices are influenced by conventional stock indices returns and money supply for both the low and high volatility regimes. However, the other macroeconomic variables fail to explain the dynamics of Islamic stock indices especially in the high volatility regime. Similar conclusions are obtained by using the MS-VAR model.","author":[{"dropping-particle":"","family":"Bahloul","given":"Slah","non-dropping-particle":"","parse-names":false,"suffix":""},{"dropping-particle":"","family":"Mroua","given":"Mourad","non-dropping-particle":"","parse-names":false,"suffix":""},{"dropping-particle":"","family":"Naifar","given":"Nader","non-dropping-particle":"","parse-names":false,"suffix":""}],"container-title":"Borsa Istanbul Review","id":"ITEM-1","issue":"1","issued":{"date-parts":[["2017"]]},"page":"62-74","publisher":"Elsevier Ltd","title":"The Impact of Macroeconomic and Conventional Stock Market Variables on Islamic Index Returns under Regime Switching","type":"article-journal","volume":"17"},"uris":["http://www.mendeley.com/documents/?uuid=3753dc63-db7b-4a87-bad4-c746f627c9e7"]}],"mendeley":{"formattedCitation":"(Bahloul, Mroua, &amp; Naifar, 2017)","plainTextFormattedCitation":"(Bahloul, Mroua, &amp; Naifar, 2017)","previouslyFormattedCitation":"(Bahloul, Mroua, &amp; Naifar, 2017)"},"properties":{"noteIndex":0},"schema":"https://github.com/citation-style-language/schema/raw/master/csl-citation.json"}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(Bahloul, Mroua, &amp; Naifar, 2017)</w:t>
      </w:r>
      <w:r w:rsidR="00CD04DD">
        <w:rPr>
          <w:rFonts w:ascii="Times New Roman" w:hAnsi="Times New Roman" w:cs="Times New Roman"/>
          <w:sz w:val="24"/>
          <w:szCs w:val="24"/>
        </w:rPr>
        <w:fldChar w:fldCharType="end"/>
      </w:r>
      <w:r w:rsidRPr="009F3F78">
        <w:rPr>
          <w:rFonts w:ascii="Times New Roman" w:hAnsi="Times New Roman" w:cs="Times New Roman"/>
          <w:sz w:val="24"/>
          <w:szCs w:val="24"/>
        </w:rPr>
        <w:t>. A stable macroeconomic environment will be useful for the development of the Islamic financial sector, ultimately driving economic growth</w:t>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{"citationItems":[{"id":"ITEM-1","itemData":{"DOI":"10.1016/j.asieco.2016.06.004","ISSN":"10490078","abstract":"Low and stable inflation is important for maintaining the viability of Islamic banking and finance within a dual banking system. Inflationary shocks when transmitted to real output growth cause a shift of investment to fixed return products as a hedge against the uncertainty of returns on equity investment under Islamic profit-loss sharing contracts. This study examines the transmission of inflationary shocks to the real economy for nine Muslim-majority countries (Bahrain, Bangladesh, Egypt, Indonesia, Iran, Malaysia, Pakistan, Saudi Arabia, and Turkey) that have introduced Islamic banking, all except Iran within dual-banking systems. A structural vector autoregressive (SVAR) framework is deployed to understand macroeconomic relationships using annual data from the late 1970s to 2014. The key finding is that inflationary shocks affect real interest and exchange rates which in turn impact real output growth. The paper argues that the absorption of inflationary shocks in real interest and exchange rates is the outcome of rigidities in nominal interest and exchange rates within repressed financial systems. Policy regimes that allow for greater adjustment in nominal interest and exchange rates under a deregulated financial system would offer better shock absorption capacity which would lead to less volatility in inflation, real interest and exchange rates, and real output growth. The resulting more stable macroeconomic environment would be more conducive to the development of an Islamic financial sector that would promote economic growth.","author":[{"dropping-particle":"","family":"Hossain","given":"Akhand Akhtar","non-dropping-particle":"","parse-names":false,"suffix":""}],"container-title":"Journal of Asian Economics","id":"ITEM-1","issued":{"date-parts":[["2016"]]},"page":"56-73","publisher":"Elsevier Inc.","title":"Inflationary Shocks and Real Output Growth in Nine Muslim-majority Countries: Implications for Islamic Banking and Finance","type":"article-journal","volume":"45"},"uris":["http://www.mendeley.com/documents/?uuid=ba766cfd-bfc1-440e-9d18-248b7f58d7b0"]}],"mendeley":{"formattedCitation":"(Hossain, 2016)","plainTextFormattedCitation":"(Hossain, 2016)","previouslyFormattedCitation":"(Hossain, 2016)"},"properties":{"noteIndex":0},"schema":"https://github.com/citation-style-language/schema/raw/master/csl-citation.json"}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(Hossain, 2016)</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 xml:space="preserve">. </w:t>
      </w:r>
      <w:r w:rsidRPr="009F3F78">
        <w:rPr>
          <w:rFonts w:ascii="Times New Roman" w:hAnsi="Times New Roman" w:cs="Times New Roman"/>
          <w:sz w:val="24"/>
          <w:szCs w:val="24"/>
        </w:rPr>
        <w:t xml:space="preserve">Fluctuations in exchange rates, inflation, and interest rates are macroeconomic indicators that have an essential role in the distribution of Islamic banking financing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salud.","author":[{"dropping-particle":"","family":"Sakti","given":"Muhammad Rizky Prima","non-dropping-particle":"","parse-names":false,"suffix":""},{"dropping-particle":"","family":"Harun","given":"Yousuf","non-dropping-particle":"","parse-names":false,"suffix":""}],"container-title":"Global Review of Islamic Economics and Business","id":"ITEM-1","issue":"1","issued":{"date-parts":[["2013"]]},"page":"71-84","title":"Relationship Between Islamic Stock Prices and Macroeconomic Variables : Evidence from Jakarta Stock Exchange Islamic Index","type":"article-journal","volume":"1"},"uris":["http://www.mendeley.com/documents/?uuid=65fe3200-01d1-42bf-8962-54641ee9c70d"]}],"mendeley":{"formattedCitation":"(Sakti &amp; Harun, 2013)","plainTextFormattedCitation":"(Sakti &amp; Harun, 2013)","previouslyFormattedCitation":"(Sakti &amp; Harun, 2013)"},"properties":{"noteIndex":0},"schema":"https://github.com/citation-style-language/schema/raw/master/csl-citation.json"}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(Sakti &amp; Harun, 2013)</w:t>
      </w:r>
      <w:r w:rsidR="00CD04DD">
        <w:rPr>
          <w:rFonts w:ascii="Times New Roman" w:hAnsi="Times New Roman" w:cs="Times New Roman"/>
          <w:sz w:val="24"/>
          <w:szCs w:val="24"/>
        </w:rPr>
        <w:fldChar w:fldCharType="end"/>
      </w:r>
      <w:r w:rsidRPr="009F3F78">
        <w:rPr>
          <w:rFonts w:ascii="Times New Roman" w:hAnsi="Times New Roman" w:cs="Times New Roman"/>
          <w:sz w:val="24"/>
          <w:szCs w:val="24"/>
        </w:rPr>
        <w:t>.</w:t>
      </w:r>
    </w:p>
    <w:p w:rsidR="00221167" w:rsidRPr="00221167" w:rsidRDefault="00221167" w:rsidP="00221167">
      <w:pPr>
        <w:spacing w:after="0" w:line="300" w:lineRule="auto"/>
        <w:ind w:firstLine="851"/>
        <w:jc w:val="both"/>
        <w:rPr>
          <w:rFonts w:ascii="Times New Roman" w:hAnsi="Times New Roman" w:cs="Times New Roman"/>
          <w:sz w:val="24"/>
          <w:szCs w:val="24"/>
        </w:rPr>
      </w:pPr>
      <w:r w:rsidRPr="00221167">
        <w:rPr>
          <w:rFonts w:ascii="Times New Roman" w:hAnsi="Times New Roman" w:cs="Times New Roman"/>
          <w:sz w:val="24"/>
          <w:szCs w:val="24"/>
        </w:rPr>
        <w:t xml:space="preserve">The exchange rate of the rupiah against the United States dollar (US) can affect the total Islamic banking financing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{"citationItems":[{"id":"ITEM-1","itemData":{"DOI":"10.18326/muqtasid.v8i1.18-39","ISSN":"2087-7013","abstract":"The purpose of this study was to determine the effect of the rupiah exchange rate, inflation, money supply and the growth of exports to total Islamic banking financing by using third party funds as a moderating variable. The population in this study is all Islamic banking in Indonesia both Islamic Banks or Business Unit of Sharia in 2007-2015. The sample is the entire population with time series data as much as 108 of data. The method used is multiple regression analysis. The results of this study showed that simultaneous variable rupiah exchange rate, inflation, the money supply and export growth significantly influence the total financing of Islamic banking in Indonesia. Meanwhile, third-party funds moderating influences the rupiah exchange rate, inflation and export growth to the total financing of Islamic banking in IndonesiaTujuan dari penelitian ini untuk mengetahui pengaruh kurs rupiah, inflasi, jumlah uang beredar dan pertumbuhan ekspor terhadap total pembiayaan perbankan syariah dengan menggunakan dana pihak ketiga sebagai variabel moderasi. Populasi dalam penelitian ini adalah seluruh perbankan syariah di Indonesia baik Bank Umum Syariah atau pun Unit Usaha Syariah tahun 2007-2015. Sampelnya adalah seluruh populasi dengan data time series sejumlah 108. Metode yang digunakan adalah analisis regresi berganda. Hasil penelitian ini menunjukkan bahwa secara simultan variabel kurs rupiah, inflasi, jumlah uang yang beredar dan pertumbuhan ekspor berpengaruh signifikan terhadap total pembiayaan perbankan syariah di Indonesia. Sedangkan, dana pihak ketiga memoderasi pengaruh kurs rupiah, inflasi dan pertumbuhan ekspor terhadap total pembiayaan perbankan syariah di Indonesia ","author":[{"dropping-particle":"","family":"Rifai","given":"Syukuri Ahmad","non-dropping-particle":"","parse-names":false,"suffix":""},{"dropping-particle":"","family":"Susanti","given":"Helmi","non-dropping-particle":"","parse-names":false,"suffix":""},{"dropping-particle":"","family":"Setyaningrum","given":"Aisyah","non-dropping-particle":"","parse-names":false,"suffix":""}],"container-title":"MUQTASID Jurnal Ekonomi dan Perbankan Syariah","id":"ITEM-1","issue":"1","issued":{"date-parts":[["2017"]]},"page":"18","title":"Analisis Pengaruh Kurs Rupiah, Laju Inﬂasi, Jumlah Uang Beredar dan Pertumbuhan Ekspor terhadap Total Pembiayaan Perbankan Syariah dengan Dana Pihak Ketiga sebagai Variabel Moderating","type":"article-journal","volume":"8"},"uris":["http://www.mendeley.com/documents/?uuid=a17a41e5-a88a-4bbb-adfd-0412f60ee858"]}],"mendeley":{"formattedCitation":"(Rifai, Susanti, &amp; Setyaningrum, 2017)","plainTextFormattedCitation":"(Rifai, Susanti, &amp; Setyaningrum, 2017)","previouslyFormattedCitation":"(Rifai, Susanti, &amp; Setyaningrum, 2017)"},"properties":{"noteIndex":0},"schema":"https://github.com/citation-style-language/schema/raw/master/csl-citation.json"}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(Rifai, Susanti, &amp; Setyaningrum, 2017)</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 xml:space="preserve">. </w:t>
      </w:r>
      <w:r w:rsidRPr="00221167">
        <w:rPr>
          <w:rFonts w:ascii="Times New Roman" w:hAnsi="Times New Roman" w:cs="Times New Roman"/>
          <w:sz w:val="24"/>
          <w:szCs w:val="24"/>
        </w:rPr>
        <w:t>The exchange rate is the level of exchange rates from one currency to another and is used in various transactions</w:t>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{"citationItems":[{"id":"ITEM-1","itemData":{"DOI":"10.1016/j.jmoneco.2019.02.003","ISSN":"03043932","abstract":"Empirical moments of asset prices and exchange rates imply that pricing kernels are almost perfectly correlated across countries. Otherwise, observed real exchange rates would be too smooth for high Sharpe ratios. However, the cross-country correlation among macro fundamentals is weak. We reconcile these facts in a two-country stochastic growth model with heterogeneous households and a home bias in consumption. In our model, only a small fraction of households trade domestic and foreign equities. We show that this mechanism can quantitatively account for the smoothness of exchange rates in the presence of volatile pricing kernels and weakly correlated macro fundamentals.","author":[{"dropping-particle":"","family":"Chien","given":"Yi Li","non-dropping-particle":"","parse-names":false,"suffix":""},{"dropping-particle":"","family":"Lustig","given":"Hanno","non-dropping-particle":"","parse-names":false,"suffix":""},{"dropping-particle":"","family":"Naknoi","given":"Kanda","non-dropping-particle":"","parse-names":false,"suffix":""}],"container-title":"Journal of Monetary Economics","id":"ITEM-1","issued":{"date-parts":[["2019"]]},"page":"1-16","publisher":"Elsevier B.V.","title":"Why are Exchange Rates so Smooth? A household Finance Explanation","type":"article-journal"},"uris":["http://www.mendeley.com/documents/?uuid=e64a464b-0870-4a51-9f53-795572e8fbbb"]}],"mendeley":{"formattedCitation":"(Chien, Lustig, &amp; Naknoi, 2019)","plainTextFormattedCitation":"(Chien, Lustig, &amp; Naknoi, 2019)","previouslyFormattedCitation":"(Chien, Lustig, &amp; Naknoi, 2019)"},"properties":{"noteIndex":0},"schema":"https://github.com/citation-style-language/schema/raw/master/csl-citation.json"}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(Chien, Lustig, &amp; Naknoi, 2019)</w:t>
      </w:r>
      <w:r w:rsidR="00CD04DD">
        <w:rPr>
          <w:rFonts w:ascii="Times New Roman" w:hAnsi="Times New Roman" w:cs="Times New Roman"/>
          <w:sz w:val="24"/>
          <w:szCs w:val="24"/>
        </w:rPr>
        <w:fldChar w:fldCharType="end"/>
      </w:r>
      <w:r w:rsidRPr="00221167">
        <w:rPr>
          <w:rFonts w:ascii="Times New Roman" w:hAnsi="Times New Roman" w:cs="Times New Roman"/>
          <w:sz w:val="24"/>
          <w:szCs w:val="24"/>
        </w:rPr>
        <w:t>. The inflation rate also plays a role in the distribution of Islamic banking financing using the Consumer Price Index proxy</w:t>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{"citationItems":[{"id":"ITEM-1","itemData":{"ISSN":"13087800","abstract":"This study analyzes the impact of monetary policy shocks on the conventional and Islamic banks in a dual banking system environment. The responses of the conventional banks to monetary policy shocks is expected to be different from that of the Islamic banks due to the nature of the Islamic ones which only involve with interest-free instruments. Focusing on the Malaysian data covering the period from January 1999 to December 2006. the study aims at determining the sensitivity of the Islamic banks by analyzing the impact of interest rate changes on the banks \" financing and deposits. To provide meaningful comparison, the same analysis is also conducted on the conventional banks so as to determine the unique risks confronting the Islamic banks. The study employs the impulse response functions and variance decomposition analysis based on the Vector Auto-Regression (VAR) methodology. Contrary to the general expectations, the results show that the Islamic banks\" balance sheet items are relatively more sensitive to monetary policy changes, while the conventional banks\" balance sheet items, particularly the conventional loans are insensitive to interest rate changes. This implies that the impact of monetan, policy is more destabilizing on the Islamic banks than the conventional banks. The results of this study have important implications for the risk management practices of the Islamic banks, particularly in a dual banking system such as in Malaysia. This study analyzes the impact of monetary policy shocks on the conventional and Islamic banks in a dual banking system environment. The responses of the conventional banks to monetary policy shocks is expected to be different from that of the Islamic banks due to the nature of the Islamic ones which only involve with interest-free instruments. Focusing on the Malaysian data covering the period from January 1999 to December 2006. the study aims at determining the sensitivity of the Islamic banks by analyzing the impact of interest rate changes on the banks\" financing and deposits. To provide meaningful comparison, the same analysis is also conducted on the conventional banks so as to determine the unique risks confronting the Islamic banks. The study employs the impulse response functions and variance decomposition analysis based on the Vector Auto-Regression (VAR) methodology. Contrary to the general expectations, the results show that the Islamic banks\" balance sheet items are relatively more sensitive to monetar…","author":[{"dropping-particle":"","family":"Kassim","given":"Salina H.","non-dropping-particle":"","parse-names":false,"suffix":""},{"dropping-particle":"","family":"Shabri","given":"M.","non-dropping-particle":"","parse-names":false,"suffix":""},{"dropping-particle":"","family":"Majid","given":"Abd","non-dropping-particle":"","parse-names":false,"suffix":""},{"dropping-particle":"","family":"Yusof","given":"Rosylin Mohd","non-dropping-particle":"","parse-names":false,"suffix":""}],"container-title":"Journal of Economic Cooperation and Development","id":"ITEM-1","issue":"1","issued":{"date-parts":[["2009"]]},"page":"41-58","title":"Impact of Monetary Policy Shocks on the Conventional and Islamic Banks in a Dual Banking System: Evidence from Malaysia","type":"article-journal","volume":"30"},"uris":["http://www.mendeley.com/documents/?uuid=b5b7cd6f-41c7-4882-af6d-d3cc2a43815a"]}],"mendeley":{"formattedCitation":"(Kassim, Shabri, Majid, &amp; Yusof, 2009)","plainTextFormattedCitation":"(Kassim, Shabri, Majid, &amp; Yusof, 2009)","previouslyFormattedCitation":"(Kassim, Shabri, Majid, &amp; Yusof, 2009)"},"properties":{"noteIndex":0},"schema":"https://github.com/citation-style-language/schema/raw/master/csl-citation.json"}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(Kassim, Shabri, Majid, &amp; Yusof, 2009)</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 xml:space="preserve">. </w:t>
      </w:r>
      <w:r w:rsidRPr="00221167">
        <w:rPr>
          <w:rFonts w:ascii="Times New Roman" w:hAnsi="Times New Roman" w:cs="Times New Roman"/>
          <w:sz w:val="24"/>
          <w:szCs w:val="24"/>
        </w:rPr>
        <w:t xml:space="preserve">Muslim economists say that the impact of </w:t>
      </w:r>
      <w:r w:rsidRPr="00221167">
        <w:rPr>
          <w:rFonts w:ascii="Times New Roman" w:hAnsi="Times New Roman" w:cs="Times New Roman"/>
          <w:sz w:val="24"/>
          <w:szCs w:val="24"/>
        </w:rPr>
        <w:lastRenderedPageBreak/>
        <w:t>inflation can cause disruption of the function of money, weaken the spirit of saving, increase shopping trends and lead to unproductive investments</w:t>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{"citationItems":[{"id":"ITEM-1","itemData":{"DOI":"10.4197/islec.3-1.5","ISSN":"1018-7383","abstract":"The main characteristics of an Islamic financial system are described relying on recent writings on the subject and on the actual practice of Islamic banking. A theoretical model of an Islamic economic system is developed by generalizing the standard IS-LM model in order to study the effects of monetary policy on the macro- economic variables of an Islamic economy. Whether the authorities attempt to influence monetary conditions through changing the money supply or use the flow of Mudarabah financing as an intermediate objective, there would be no fundamental change in the way monetary policy affects economic variables. An expansionary monetary policy would reduce rates of return and increase output. I","author":[{"dropping-particle":"","family":"Khan","given":"M.","non-dropping-particle":"","parse-names":false,"suffix":""},{"dropping-particle":"","family":"Mirakhor","given":"A","non-dropping-particle":"","parse-names":false,"suffix":""}],"container-title":"Journal of King Abdulaziz University-Islamic Economics","id":"ITEM-1","issue":"1","issued":{"date-parts":[["1989"]]},"page":"85-93","title":"The Financial System and Monetary Policy in an Islamic Economy","type":"article-journal","volume":"3"},"uris":["http://www.mendeley.com/documents/?uuid=29efb5e3-7b0e-4c47-b4c9-cd5ecdbed4ba"]},{"id":"ITEM-2","itemData":{"DOI":"10.1016/j.iedeen.2016.09.001","ISSN":"24448834","abstract":"The aim of this paper is to examine whether Islamic finance could be an alternative to the traditional financial system and could guarantee stability in times of crisis. To this end, 78 Islamic banks in 12 countries have been studied over the 2004–2013 period. A series of bank-specific and other country-specific indicators are combined to explain the soundness of Islamic banking in terms of profitability as measured by ROA and ROE, and risk divided into credit risk measured by IMLGL and EQL, and insolvency risk measured by Z-SCORE. The aim is to estimate five regressions using dynamic panel data econometrics (GMM system). The results indicate that bank size and capital are the main factors responsible for increasing profitability and stability of Islamic banks and reducing their credit risk. However, the ratios forming the variable liquidity and asset quality often lead to inconclusive results. It is also found that macroeconomic variables, except inflation, are able to improve Islamic banks’ stability. This is not the case for credit risk where the ratio is still unfavorable. The conclusion is that there are no major differences between IBs and CBs in terms of their profitability and risk features.","author":[{"dropping-particle":"","family":"Trad","given":"Naama","non-dropping-particle":"","parse-names":false,"suffix":""},{"dropping-particle":"","family":"Trabelsi","given":"Mohamed Ali","non-dropping-particle":"","parse-names":false,"suffix":""},{"dropping-particle":"","family":"Goux","given":"Jean François","non-dropping-particle":"","parse-names":false,"suffix":""}],"container-title":"European Research on Management and Business Economics","id":"ITEM-2","issue":"1","issued":{"date-parts":[["2017"]]},"page":"40-45","title":"Risk and Profitability of Islamic Banks: A Religious Deception or an Alternative Solution?","type":"article-journal","volume":"23"},"uris":["http://www.mendeley.com/documents/?uuid=5820dd65-0794-4222-a344-0656826c4542"]}],"mendeley":{"formattedCitation":"(Khan &amp; Mirakhor, 1989; Trad, Trabelsi, &amp; Goux, 2017)","plainTextFormattedCitation":"(Khan &amp; Mirakhor, 1989; Trad, Trabelsi, &amp; Goux, 2017)","previouslyFormattedCitation":"(Khan &amp; Mirakhor, 1989; Trad, Trabelsi, &amp; Goux, 2017)"},"properties":{"noteIndex":0},"schema":"https://github.com/citation-style-language/schema/raw/master/csl-citation.json"}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(Khan &amp; Mirakhor, 1989; Trad, Trabelsi, &amp; Goux, 2017)</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w:t>
      </w:r>
    </w:p>
    <w:p w:rsidR="00221167" w:rsidRPr="00221167" w:rsidRDefault="00221167" w:rsidP="00221167">
      <w:pPr>
        <w:spacing w:after="0" w:line="300" w:lineRule="auto"/>
        <w:ind w:firstLine="851"/>
        <w:jc w:val="both"/>
        <w:rPr>
          <w:rFonts w:ascii="Times New Roman" w:hAnsi="Times New Roman" w:cs="Times New Roman"/>
          <w:sz w:val="24"/>
          <w:szCs w:val="24"/>
        </w:rPr>
      </w:pPr>
      <w:r w:rsidRPr="00221167">
        <w:rPr>
          <w:rFonts w:ascii="Times New Roman" w:hAnsi="Times New Roman" w:cs="Times New Roman"/>
          <w:sz w:val="24"/>
          <w:szCs w:val="24"/>
        </w:rPr>
        <w:t>The interest rate determined by Bank Indonesia as an instrument of monetary policy will indirectly have an impact on the distribution of financing undertaken by Islamic banks. An increase in interest rates will affect the performance of third party fund collection of Islamic banks because the growth can increase the risk of transfer of funds from Islamic banks to conventional banks</w:t>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{"citationItems":[{"id":"ITEM-1","itemData":{"DOI":"10.2139/ssrn.1685226","ISSN":"73831018","abstract":"This study attempts to determine the factors affecting saving in the Islamic banks in Indonesia. By employing the Vector Autoregressive and its associated Impulse Response Function analysis for all Islamic banks in Indonesia from March 2000 to August 2007, the study analyzes the importance of real rate of return on Islamic deposit, interest rate on conventional deposit, real income and number of Islamic bank branches in determining the level of savings in the Islamic banks. The results highlight the influential role of conventional interest rate in determining the level of saving in the Islamic banks. In particular, higher Islamic deposit is significantly correlated with higher rate of return and lower interest rate. Furthermore, the study finds the existence of displaced commercial risk between the Islamic and conventional banks, such that the Islamic banks' depositors transfer their funds to the conventional banks when the rate of return provided by the Islamic banks is significantly lower than the interest rate of its counterpart. The findings of this study have important implications on the risk management practices in the Islamic banks in Indonesia.","author":[{"dropping-particle":"","family":"Kasri","given":"Rahmatina A.","non-dropping-particle":"","parse-names":false,"suffix":""},{"dropping-particle":"","family":"Kassim","given":"Salina Hj","non-dropping-particle":"","parse-names":false,"suffix":""}],"container-title":"Journal of King Abdulaziz University, Islamic Economics","id":"ITEM-1","issue":"2","issued":{"date-parts":[["2009"]]},"page":"181-201","title":"Empirical Determinants of Saving in the Islamic Banks: Evidence from Indonesia","type":"article-journal","volume":"22"},"uris":["http://www.mendeley.com/documents/?uuid=05e5715b-013c-476e-903d-bbffc2cc7074"]}],"mendeley":{"formattedCitation":"(Kasri &amp; Kassim, 2009)","plainTextFormattedCitation":"(Kasri &amp; Kassim, 2009)","previouslyFormattedCitation":"(Kasri &amp; Kassim, 2009)"},"properties":{"noteIndex":0},"schema":"https://github.com/citation-style-language/schema/raw/master/csl-citation.json"}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sidRPr="00CD04DD">
        <w:rPr>
          <w:rFonts w:ascii="Times New Roman" w:hAnsi="Times New Roman" w:cs="Times New Roman"/>
          <w:noProof/>
          <w:sz w:val="24"/>
          <w:szCs w:val="24"/>
        </w:rPr>
        <w:t>(Kasri &amp; Kassim, 2009)</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w:t>
      </w:r>
    </w:p>
    <w:p w:rsidR="00221167" w:rsidRPr="00221167" w:rsidRDefault="00221167" w:rsidP="00E841A7">
      <w:pPr>
        <w:spacing w:after="0" w:line="300" w:lineRule="auto"/>
        <w:ind w:firstLine="851"/>
        <w:jc w:val="both"/>
        <w:rPr>
          <w:rFonts w:ascii="Times New Roman" w:hAnsi="Times New Roman" w:cs="Times New Roman"/>
          <w:sz w:val="24"/>
          <w:szCs w:val="24"/>
        </w:rPr>
      </w:pPr>
      <w:r w:rsidRPr="00221167">
        <w:rPr>
          <w:rFonts w:ascii="Times New Roman" w:hAnsi="Times New Roman" w:cs="Times New Roman"/>
          <w:sz w:val="24"/>
          <w:szCs w:val="24"/>
        </w:rPr>
        <w:t>Research that discusses the relationship between macroeconomic variables on Islamic banking financing has indeed been conducted by</w:t>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{"citationItems":[{"id":"ITEM-1","itemData":{"DOI":"10.1016/j.qref.2018.05.009","ISSN":"10629769","abstract":"The study of credit risk is a great interest and the debate over the relative credit risk of Islamic banks remains open. The study aims at addressing this key question: Do Islamic banks (IBs) have higher credit risk than conventional banks (CBs) in Malaysia? Accordingly, some papers tried to answer this question but they were performed using cross-country data. The cross-country data should have been treated more cautiously since every country has its own developmental backgrounds and regional resulting in different characteristics of banking industry. Moreover, different financial systems that give support or limit the operation of Islamic banks will also make more difficult to compare the data of each country. For that reason, it is suggested to take suitable control for heterogeneity across countries to obtain consistently good conclusions about the credit risk. Different from the cross-country works, this study will focus on the country-level data of Malaysia. A panel data model was applied and it was used the generalized least squares (GLS) model and a yearly bank level data to evaluate the credit risk of 22 conventional banks and 17 Islamic banks in Malaysia. In addition, the study period, which lasted from 2005 to 2015, seems to be representative since it encompasses the period of the sub-prime crisis. This project is an extension of the study begun by Čihák and Hesse (2008) that used cross-country bank data such Malaysia. The results are particularly interesting and do not confirm the results generated by these researchers. The main contribution that this work will hopefully make is to show the reasons which account for the Islamic banks’ higher degree of credit risk, and particularly to provide additional insights and complement the existing cross-country studies on Islamic bank stability.","author":[{"dropping-particle":"","family":"Lassoued","given":"Mongi","non-dropping-particle":"","parse-names":false,"suffix":""}],"container-title":"Quarterly Review of Economics and Finance","id":"ITEM-1","issued":{"date-parts":[["2018"]]},"page":"267-278","publisher":"Board of Trustees of the University of Illinois","title":"Comparative Study on Credit Risk in Islamic Banking Institutions: The Case of Malaysia","type":"article-journal","volume":"70"},"uris":["http://www.mendeley.com/documents/?uuid=fa3fe809-442d-4ea2-880f-fbc466e5455c"]}],"mendeley":{"formattedCitation":"(Lassoued, 2018)","manualFormatting":"Lassoued (2018)","plainTextFormattedCitation":"(Lassoued, 2018)","previouslyFormattedCitation":"(Lassoued, 2018)"},"properties":{"noteIndex":0},"schema":"https://github.com/citation-style-language/schema/raw/master/csl-citation.json"}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Pr>
          <w:rFonts w:ascii="Times New Roman" w:hAnsi="Times New Roman" w:cs="Times New Roman"/>
          <w:noProof/>
          <w:sz w:val="24"/>
          <w:szCs w:val="24"/>
        </w:rPr>
        <w:t>Lassoued (</w:t>
      </w:r>
      <w:r w:rsidR="00CD04DD" w:rsidRPr="00CD04DD">
        <w:rPr>
          <w:rFonts w:ascii="Times New Roman" w:hAnsi="Times New Roman" w:cs="Times New Roman"/>
          <w:noProof/>
          <w:sz w:val="24"/>
          <w:szCs w:val="24"/>
        </w:rPr>
        <w:t>2018)</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{"citationItems":[{"id":"ITEM-1","itemData":{"DOI":"10.1016/j.pacfin.2017.04.010","ISSN":"0927538X","abstract":"The recent expansion of Islamic banks raises questions on its economic implications. The aim of this paper is to investigate the impact of Islamic banking development on access to credit. We combine data from a unique hand-collected database that covers Islamic banks with firm-level data covering developing and emerging countries over the period of 2006 to 2009. We find that Islamic banking development has overall no impact on credit constraints, while banking development and conventional banking development alleviate obstacles to financing. However Islamic banking development exerts a positive impact on access to credit when conventional banking development is low. Hence we support the view that Islamic banking does not overall alleviate obstacles to financing, but it can act as substitute to conventional banking.","author":[{"dropping-particle":"","family":"Léon","given":"Florian","non-dropping-particle":"","parse-names":false,"suffix":""},{"dropping-particle":"","family":"Weill","given":"Laurent","non-dropping-particle":"","parse-names":false,"suffix":""}],"container-title":"Pacific Basin Finance Journal","id":"ITEM-1","issue":"7","issued":{"date-parts":[["2018"]]},"page":"54-69","publisher":"Elsevier","title":"Islamic Banking Development and Access to Credit","type":"article-journal","volume":"52"},"uris":["http://www.mendeley.com/documents/?uuid=882227f3-222c-4920-88dd-d737862ee2eb"]}],"mendeley":{"formattedCitation":"(Léon &amp; Weill, 2018)","plainTextFormattedCitation":"(Léon &amp; Weill, 2018)","previouslyFormattedCitation":"(Léon &amp; Weill, 2018)"},"properties":{"noteIndex":0},"schema":"https://github.com/citation-style-language/schema/raw/master/csl-citation.json"}</w:instrText>
      </w:r>
      <w:r w:rsidR="00CD04DD">
        <w:rPr>
          <w:rFonts w:ascii="Times New Roman" w:hAnsi="Times New Roman" w:cs="Times New Roman"/>
          <w:sz w:val="24"/>
          <w:szCs w:val="24"/>
        </w:rPr>
        <w:fldChar w:fldCharType="separate"/>
      </w:r>
      <w:r w:rsidR="00E841A7" w:rsidRPr="00E841A7">
        <w:rPr>
          <w:rFonts w:ascii="Times New Roman" w:hAnsi="Times New Roman" w:cs="Times New Roman"/>
          <w:noProof/>
          <w:sz w:val="24"/>
          <w:szCs w:val="24"/>
        </w:rPr>
        <w:t>(Léon &amp; Weill, 2018)</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{"citationItems":[{"id":"ITEM-1","itemData":{"DOI":"10.1111/twec.12507","ISSN":"14679701","abstract":"We examine the interest rate sensitivity of both deposits and credits at Islamic and conventional banks in Turkey. We find that the bank lending channel is especially operative for Islamic banks. Impulse responses for conventional and Islamic banks reveal that Islamic bank depositors’ sensitivity to policy rate changes is substantially larger than that of conventional bank depositors. Next to heavily dependence on deposit funding, we consider that inertia in Islamic bank deposit rates impedes these banks to keep those depositors who consider the opportunity cost of monetary policy rates is unbearable. On the lending side, we obtain similar results, implying that tight monetary policy leads to a larger contraction in Islamic bank credits. This finding is a reflection of the favourable attitude of Islamic banks towards small and medium-sized enterprise (SME) financing. When similar relationships are analysed for currency and inflation shocks, we again find larger responses for Islamic banks showing the cyclical nature of SME credits.","author":[{"dropping-particle":"","family":"Aysan","given":"Ahmet F.","non-dropping-particle":"","parse-names":false,"suffix":""},{"dropping-particle":"","family":"Disli","given":"Mustafa","non-dropping-particle":"","parse-names":false,"suffix":""},{"dropping-particle":"","family":"Ozturk","given":"Huseyin","non-dropping-particle":"","parse-names":false,"suffix":""}],"container-title":"World Economy","id":"ITEM-1","issue":"3","issued":{"date-parts":[["2018"]]},"page":"674-698","title":"Bank Lending Channel in a Dual Banking System: Why are Islamic Banks so Responsive?","type":"article-journal","volume":"41"},"uris":["http://www.mendeley.com/documents/?uuid=baaed838-05ae-4495-966d-92896841c620"]}],"mendeley":{"formattedCitation":"(Aysan, Disli, &amp; Ozturk, 2018)","manualFormatting":"Aysan, Disli, &amp; Ozturk (2018)","plainTextFormattedCitation":"(Aysan, Disli, &amp; Ozturk, 2018)","previouslyFormattedCitation":"(Aysan, Disli, &amp; Ozturk, 2018)"},"properties":{"noteIndex":0},"schema":"https://github.com/citation-style-language/schema/raw/master/csl-citation.json"}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Pr>
          <w:rFonts w:ascii="Times New Roman" w:hAnsi="Times New Roman" w:cs="Times New Roman"/>
          <w:noProof/>
          <w:sz w:val="24"/>
          <w:szCs w:val="24"/>
        </w:rPr>
        <w:t>Aysan, Disli, &amp; Ozturk (</w:t>
      </w:r>
      <w:r w:rsidR="00CD04DD" w:rsidRPr="00CD04DD">
        <w:rPr>
          <w:rFonts w:ascii="Times New Roman" w:hAnsi="Times New Roman" w:cs="Times New Roman"/>
          <w:noProof/>
          <w:sz w:val="24"/>
          <w:szCs w:val="24"/>
        </w:rPr>
        <w:t>2018)</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CD04DD">
        <w:rPr>
          <w:rFonts w:ascii="Times New Roman" w:hAnsi="Times New Roman" w:cs="Times New Roman"/>
          <w:sz w:val="24"/>
          <w:szCs w:val="24"/>
        </w:rPr>
        <w:instrText>ADDIN CSL_CITATION {"citationItems":[{"id":"ITEM-1","itemData":{"DOI":"10.1016/j.ribaf.2017.09.004","ISSN":"02755319","abstract":"This paper examines the monetary transmission mechanism through Islamic banks’ debt financing channel. Its purpose is to test if this channel effectively works and to verify whether the reaction of Islamic banks to interest rates depends on their specific characteristics. The research main focus is on the possible mitigating effect that profit sharing investment accounts (PSIA) could exert on the debt financing channel, since that this source of funding, specific to Islamic banks, is expected to be more stable than deposit accounts for conventional banks. The study uses a quite representative sample composed of 50 Islamic banks and the estimation of a dynamic panel model observed between 2005 and 2014 using the system GMM estimator. Empirical findings confirm the presence of a debt financing channel of monetary policy since that interest rates variation affects Islamic bank financing. PSIA growth, capitalization, assets liquidity and size are among major determinants of Islamic banks’ debt assets supply. Besides, using several robustness tests, we show that, in addition to asset liquidity and bank size, growth rate of PSIA significantly mitigate the negative effect of interest rates on debt financing growth, which highlights the importance of this specific category of deposits in monetary transmission especially for countries where Islamic and conventional banking systems coexist.","author":[{"dropping-particle":"","family":"Hamza","given":"Hichem","non-dropping-particle":"","parse-names":false,"suffix":""},{"dropping-particle":"","family":"Saadaoui","given":"Zied","non-dropping-particle":"","parse-names":false,"suffix":""}],"container-title":"Research in International Business and Finance","id":"ITEM-1","issue":"3","issued":{"date-parts":[["2018"]]},"page":"557-570","publisher":"Elsevier","title":"Monetary Transmission Through the Debt Financing Channel of Islamic Banks: Does PSIA Play a Role?","type":"article-journal","volume":"45"},"uris":["http://www.mendeley.com/documents/?uuid=1a4de317-8a07-440d-8c47-22cd991c1a1c"]}],"mendeley":{"formattedCitation":"(Hamza &amp; Saadaoui, 2018)","manualFormatting":"Hamza &amp; Saadaoui (2018)","plainTextFormattedCitation":"(Hamza &amp; Saadaoui, 2018)","previouslyFormattedCitation":"(Hamza &amp; Saadaoui, 2018)"},"properties":{"noteIndex":0},"schema":"https://github.com/citation-style-language/schema/raw/master/csl-citation.json"}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Pr>
          <w:rFonts w:ascii="Times New Roman" w:hAnsi="Times New Roman" w:cs="Times New Roman"/>
          <w:noProof/>
          <w:sz w:val="24"/>
          <w:szCs w:val="24"/>
        </w:rPr>
        <w:t>Hamza &amp; Saadaoui (</w:t>
      </w:r>
      <w:r w:rsidR="00CD04DD" w:rsidRPr="00CD04DD">
        <w:rPr>
          <w:rFonts w:ascii="Times New Roman" w:hAnsi="Times New Roman" w:cs="Times New Roman"/>
          <w:noProof/>
          <w:sz w:val="24"/>
          <w:szCs w:val="24"/>
        </w:rPr>
        <w:t>2018)</w:t>
      </w:r>
      <w:r w:rsidR="00CD04DD">
        <w:rPr>
          <w:rFonts w:ascii="Times New Roman" w:hAnsi="Times New Roman" w:cs="Times New Roman"/>
          <w:sz w:val="24"/>
          <w:szCs w:val="24"/>
        </w:rPr>
        <w:fldChar w:fldCharType="end"/>
      </w:r>
      <w:r w:rsidR="00CD04DD">
        <w:rPr>
          <w:rFonts w:ascii="Times New Roman" w:hAnsi="Times New Roman" w:cs="Times New Roman"/>
          <w:sz w:val="24"/>
          <w:szCs w:val="24"/>
        </w:rPr>
        <w:t xml:space="preserve">, </w:t>
      </w:r>
      <w:r w:rsidR="00CD04DD">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{"citationItems":[{"id":"ITEM-1","itemData":{"DOI":"10.1016/j.ribaf.2018.10.006","ISSN":"02755319","abstract":"The aim of this paper is to provide a thorough assessment of Islamic banks’ (IBs) liquidity risk compared to conventional banks (CBs). We firstly investigate the relationship between liquidity and credit risk. Employing a simultaneous structural equation approach, on a comprehensive dataset of 52 IBs and CBs, from selected Organization of Islamic Cooperation Countries for the period of 2007–2015, we find that credit risk and liquidity risk have negative relationship. We then investigate the relationship between liquidity risk and stability, finding a negative relationship just for IBs. We finally show that Islamic banks are better than conventional in managing risks.","author":[{"dropping-particle":"","family":"Hassan","given":"M. Kabir","non-dropping-particle":"","parse-names":false,"suffix":""},{"dropping-particle":"","family":"Khan","given":"Ashraf","non-dropping-particle":"","parse-names":false,"suffix":""},{"dropping-particle":"","family":"Paltrinieri","given":"Andrea","non-dropping-particle":"","parse-names":false,"suffix":""}],"container-title":"Research in International Business and Finance","id":"ITEM-1","issued":{"date-parts":[["2019"]]},"page":"17-31","publisher":"Elsevier B.V.","title":"Liquidity Risk, Credit Risk and Stability in Islamic and Conventional Banks","type":"article-journal","volume":"48"},"uris":["http://www.mendeley.com/documents/?uuid=faed62b0-7ad6-4b8a-a524-0e788c8f59a8"]}],"mendeley":{"formattedCitation":"(Hassan, Khan, &amp; Paltrinieri, 2019)","manualFormatting":"Hassan, Khan, &amp; Paltrinieri (2019)","plainTextFormattedCitation":"(Hassan, Khan, &amp; Paltrinieri, 2019)","previouslyFormattedCitation":"(Hassan, Khan, &amp; Paltrinieri, 2019)"},"properties":{"noteIndex":0},"schema":"https://github.com/citation-style-language/schema/raw/master/csl-citation.json"}</w:instrText>
      </w:r>
      <w:r w:rsidR="00CD04DD">
        <w:rPr>
          <w:rFonts w:ascii="Times New Roman" w:hAnsi="Times New Roman" w:cs="Times New Roman"/>
          <w:sz w:val="24"/>
          <w:szCs w:val="24"/>
        </w:rPr>
        <w:fldChar w:fldCharType="separate"/>
      </w:r>
      <w:r w:rsidR="00CD04DD">
        <w:rPr>
          <w:rFonts w:ascii="Times New Roman" w:hAnsi="Times New Roman" w:cs="Times New Roman"/>
          <w:noProof/>
          <w:sz w:val="24"/>
          <w:szCs w:val="24"/>
        </w:rPr>
        <w:t>Hassan, Khan, &amp; Paltrinieri (</w:t>
      </w:r>
      <w:r w:rsidR="00CD04DD" w:rsidRPr="00CD04DD">
        <w:rPr>
          <w:rFonts w:ascii="Times New Roman" w:hAnsi="Times New Roman" w:cs="Times New Roman"/>
          <w:noProof/>
          <w:sz w:val="24"/>
          <w:szCs w:val="24"/>
        </w:rPr>
        <w:t>2019)</w:t>
      </w:r>
      <w:r w:rsidR="00CD04DD">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221167">
        <w:rPr>
          <w:rFonts w:ascii="Times New Roman" w:hAnsi="Times New Roman" w:cs="Times New Roman"/>
          <w:sz w:val="24"/>
          <w:szCs w:val="24"/>
        </w:rPr>
        <w:t xml:space="preserve">but no research discusses the relationship between macroeconomic variables on Islamic banking financing using the </w:t>
      </w:r>
      <w:r>
        <w:rPr>
          <w:rFonts w:ascii="Times New Roman" w:hAnsi="Times New Roman" w:cs="Times New Roman"/>
          <w:sz w:val="24"/>
          <w:szCs w:val="24"/>
        </w:rPr>
        <w:t>musharaka</w:t>
      </w:r>
      <w:r w:rsidRPr="00221167">
        <w:rPr>
          <w:rFonts w:ascii="Times New Roman" w:hAnsi="Times New Roman" w:cs="Times New Roman"/>
          <w:sz w:val="24"/>
          <w:szCs w:val="24"/>
        </w:rPr>
        <w:t xml:space="preserve"> contract. Therefore, this study fills the void from previous research.</w:t>
      </w:r>
    </w:p>
    <w:p w:rsidR="00221167" w:rsidRPr="00221167" w:rsidRDefault="00221167" w:rsidP="00221167">
      <w:pPr>
        <w:spacing w:after="0" w:line="300" w:lineRule="auto"/>
        <w:ind w:firstLine="851"/>
        <w:jc w:val="both"/>
        <w:rPr>
          <w:rFonts w:ascii="Times New Roman" w:hAnsi="Times New Roman" w:cs="Times New Roman"/>
          <w:sz w:val="24"/>
          <w:szCs w:val="24"/>
        </w:rPr>
      </w:pPr>
      <w:r w:rsidRPr="00221167">
        <w:rPr>
          <w:rFonts w:ascii="Times New Roman" w:hAnsi="Times New Roman" w:cs="Times New Roman"/>
          <w:sz w:val="24"/>
          <w:szCs w:val="24"/>
        </w:rPr>
        <w:t xml:space="preserve">This research contributes to the literature by discussing macroeconomics comprehensively with financing using a musharaka agreement with an extended range of years. Islamic banking financing performance that is influenced by macroeconomic conditions causes an increase or </w:t>
      </w:r>
      <w:r w:rsidRPr="00221167">
        <w:rPr>
          <w:rFonts w:ascii="Times New Roman" w:hAnsi="Times New Roman" w:cs="Times New Roman"/>
          <w:sz w:val="24"/>
          <w:szCs w:val="24"/>
        </w:rPr>
        <w:lastRenderedPageBreak/>
        <w:t xml:space="preserve">decrease in the distribution of financing to the public. Therefore, considering that Islamic banking financing is so necessary for the Indonesian economy, the purpose of this study is to empirically record the impact of changes in macroeconomic conditions on investment, in particular using the </w:t>
      </w:r>
      <w:r>
        <w:rPr>
          <w:rFonts w:ascii="Times New Roman" w:hAnsi="Times New Roman" w:cs="Times New Roman"/>
          <w:sz w:val="24"/>
          <w:szCs w:val="24"/>
        </w:rPr>
        <w:t>musharaka</w:t>
      </w:r>
      <w:r w:rsidRPr="00221167">
        <w:rPr>
          <w:rFonts w:ascii="Times New Roman" w:hAnsi="Times New Roman" w:cs="Times New Roman"/>
          <w:sz w:val="24"/>
          <w:szCs w:val="24"/>
        </w:rPr>
        <w:t xml:space="preserve"> contract on Islamic banking.</w:t>
      </w:r>
    </w:p>
    <w:p w:rsidR="00CE1D7D" w:rsidRPr="009101B2" w:rsidRDefault="00CE1D7D" w:rsidP="009101B2">
      <w:pPr>
        <w:spacing w:after="0" w:line="300" w:lineRule="auto"/>
        <w:ind w:firstLine="851"/>
        <w:jc w:val="both"/>
        <w:rPr>
          <w:rFonts w:ascii="Times New Roman" w:hAnsi="Times New Roman" w:cs="Times New Roman"/>
          <w:sz w:val="24"/>
          <w:szCs w:val="24"/>
        </w:rPr>
      </w:pPr>
    </w:p>
    <w:p w:rsidR="002558FF" w:rsidRPr="009101B2" w:rsidRDefault="002558FF" w:rsidP="009101B2">
      <w:pPr>
        <w:spacing w:after="0" w:line="300" w:lineRule="auto"/>
        <w:rPr>
          <w:rFonts w:ascii="Times New Roman" w:hAnsi="Times New Roman" w:cs="Times New Roman"/>
          <w:b/>
          <w:sz w:val="24"/>
          <w:szCs w:val="24"/>
        </w:rPr>
      </w:pPr>
      <w:r w:rsidRPr="009101B2">
        <w:rPr>
          <w:rFonts w:ascii="Times New Roman" w:hAnsi="Times New Roman" w:cs="Times New Roman"/>
          <w:b/>
          <w:sz w:val="24"/>
          <w:szCs w:val="24"/>
        </w:rPr>
        <w:t>Metode Penelitian</w:t>
      </w:r>
    </w:p>
    <w:p w:rsidR="007F036F" w:rsidRDefault="007F036F" w:rsidP="007F036F">
      <w:pPr>
        <w:spacing w:after="0" w:line="300" w:lineRule="auto"/>
        <w:ind w:firstLine="851"/>
        <w:jc w:val="both"/>
        <w:rPr>
          <w:rFonts w:ascii="Times New Roman" w:hAnsi="Times New Roman" w:cs="Times New Roman"/>
          <w:sz w:val="24"/>
          <w:szCs w:val="24"/>
        </w:rPr>
      </w:pPr>
      <w:r w:rsidRPr="007F036F">
        <w:rPr>
          <w:rFonts w:ascii="Times New Roman" w:hAnsi="Times New Roman" w:cs="Times New Roman"/>
          <w:sz w:val="24"/>
          <w:szCs w:val="24"/>
        </w:rPr>
        <w:t xml:space="preserve">The data used in this study uses secondary data obtained from the Financial Services Authority (OJK), the pacific exchange rate service, Bank Indonesia (BI), and the Central Statistics Agency (BPS). The data used are data on Islamic banking consisting of Islamic Commercial Banks (BUS) and Islamic Business Units (UUS), </w:t>
      </w:r>
      <w:r w:rsidR="001B39DB">
        <w:rPr>
          <w:rFonts w:ascii="Times New Roman" w:hAnsi="Times New Roman" w:cs="Times New Roman"/>
          <w:sz w:val="24"/>
          <w:szCs w:val="24"/>
        </w:rPr>
        <w:t>Funding uses a musharaka</w:t>
      </w:r>
      <w:r w:rsidR="001B39DB" w:rsidRPr="001B39DB">
        <w:rPr>
          <w:rFonts w:ascii="Times New Roman" w:hAnsi="Times New Roman" w:cs="Times New Roman"/>
          <w:sz w:val="24"/>
          <w:szCs w:val="24"/>
        </w:rPr>
        <w:t xml:space="preserve"> contract</w:t>
      </w:r>
      <w:r w:rsidR="001B39DB">
        <w:rPr>
          <w:rFonts w:ascii="Times New Roman" w:hAnsi="Times New Roman" w:cs="Times New Roman"/>
          <w:sz w:val="24"/>
          <w:szCs w:val="24"/>
        </w:rPr>
        <w:t xml:space="preserve"> (MUS), </w:t>
      </w:r>
      <w:r w:rsidRPr="007F036F">
        <w:rPr>
          <w:rFonts w:ascii="Times New Roman" w:hAnsi="Times New Roman" w:cs="Times New Roman"/>
          <w:sz w:val="24"/>
          <w:szCs w:val="24"/>
        </w:rPr>
        <w:t>exchange rate data that reflects the exchange rate of Rupiah per US Dollar</w:t>
      </w:r>
      <w:r w:rsidR="001B39DB">
        <w:rPr>
          <w:rFonts w:ascii="Times New Roman" w:hAnsi="Times New Roman" w:cs="Times New Roman"/>
          <w:sz w:val="24"/>
          <w:szCs w:val="24"/>
        </w:rPr>
        <w:t xml:space="preserve"> (EXR)</w:t>
      </w:r>
      <w:r w:rsidRPr="007F036F">
        <w:rPr>
          <w:rFonts w:ascii="Times New Roman" w:hAnsi="Times New Roman" w:cs="Times New Roman"/>
          <w:sz w:val="24"/>
          <w:szCs w:val="24"/>
        </w:rPr>
        <w:t>, inflation data that reflect changes in the price level</w:t>
      </w:r>
      <w:r w:rsidR="001B39DB">
        <w:rPr>
          <w:rFonts w:ascii="Times New Roman" w:hAnsi="Times New Roman" w:cs="Times New Roman"/>
          <w:sz w:val="24"/>
          <w:szCs w:val="24"/>
        </w:rPr>
        <w:t xml:space="preserve"> (CPI)</w:t>
      </w:r>
      <w:r w:rsidRPr="007F036F">
        <w:rPr>
          <w:rFonts w:ascii="Times New Roman" w:hAnsi="Times New Roman" w:cs="Times New Roman"/>
          <w:sz w:val="24"/>
          <w:szCs w:val="24"/>
        </w:rPr>
        <w:t xml:space="preserve"> and the BI Rate that is reflecting the benchmark interest rate</w:t>
      </w:r>
      <w:r w:rsidR="001B39DB">
        <w:rPr>
          <w:rFonts w:ascii="Times New Roman" w:hAnsi="Times New Roman" w:cs="Times New Roman"/>
          <w:sz w:val="24"/>
          <w:szCs w:val="24"/>
        </w:rPr>
        <w:t xml:space="preserve"> (BIR)</w:t>
      </w:r>
      <w:r w:rsidRPr="007F036F">
        <w:rPr>
          <w:rFonts w:ascii="Times New Roman" w:hAnsi="Times New Roman" w:cs="Times New Roman"/>
          <w:sz w:val="24"/>
          <w:szCs w:val="24"/>
        </w:rPr>
        <w:t>. The data used in this study are time series with the period January 2004 to December 2019.</w:t>
      </w:r>
    </w:p>
    <w:p w:rsidR="007F036F" w:rsidRPr="007F036F" w:rsidRDefault="007F036F" w:rsidP="007F036F">
      <w:pPr>
        <w:spacing w:after="0" w:line="300" w:lineRule="auto"/>
        <w:ind w:firstLine="851"/>
        <w:jc w:val="both"/>
        <w:rPr>
          <w:rFonts w:ascii="Times New Roman" w:hAnsi="Times New Roman" w:cs="Times New Roman"/>
          <w:sz w:val="24"/>
          <w:szCs w:val="24"/>
        </w:rPr>
      </w:pPr>
      <w:r w:rsidRPr="007F036F">
        <w:rPr>
          <w:rFonts w:ascii="Times New Roman" w:hAnsi="Times New Roman" w:cs="Times New Roman"/>
          <w:sz w:val="24"/>
          <w:szCs w:val="24"/>
        </w:rPr>
        <w:t xml:space="preserve">If it is found that the data used is not stationary at the level, then it must be differentiated in the first differentiation so that the results have a long-term relationship (cointegration) and the </w:t>
      </w:r>
      <w:r>
        <w:rPr>
          <w:rFonts w:ascii="Times New Roman" w:hAnsi="Times New Roman" w:cs="Times New Roman"/>
          <w:sz w:val="24"/>
          <w:szCs w:val="24"/>
        </w:rPr>
        <w:t>Vector Autoregression (</w:t>
      </w:r>
      <w:r w:rsidRPr="007F036F">
        <w:rPr>
          <w:rFonts w:ascii="Times New Roman" w:hAnsi="Times New Roman" w:cs="Times New Roman"/>
          <w:sz w:val="24"/>
          <w:szCs w:val="24"/>
        </w:rPr>
        <w:t>VAR</w:t>
      </w:r>
      <w:r>
        <w:rPr>
          <w:rFonts w:ascii="Times New Roman" w:hAnsi="Times New Roman" w:cs="Times New Roman"/>
          <w:sz w:val="24"/>
          <w:szCs w:val="24"/>
        </w:rPr>
        <w:t>)</w:t>
      </w:r>
      <w:r w:rsidRPr="007F036F">
        <w:rPr>
          <w:rFonts w:ascii="Times New Roman" w:hAnsi="Times New Roman" w:cs="Times New Roman"/>
          <w:sz w:val="24"/>
          <w:szCs w:val="24"/>
        </w:rPr>
        <w:t xml:space="preserve"> model will be combined with the error correction model into a Vector Error Correction Model (VECM). In the VAR and VECM analysis, several stages </w:t>
      </w:r>
      <w:r w:rsidRPr="007F036F">
        <w:rPr>
          <w:rFonts w:ascii="Times New Roman" w:hAnsi="Times New Roman" w:cs="Times New Roman"/>
          <w:sz w:val="24"/>
          <w:szCs w:val="24"/>
        </w:rPr>
        <w:lastRenderedPageBreak/>
        <w:t>need to be done, namely data stationarity test, stability test, optimal lag determination, cointegration test, general VECM model determination, and Innovation Accounting, which consists of Impulse Response Function (IRF) and Variance Decomposition (VD) analysis. The VAR general equation is as follows:</w:t>
      </w:r>
    </w:p>
    <w:p w:rsidR="002558FF" w:rsidRPr="009101B2" w:rsidRDefault="002558FF" w:rsidP="00E841A7">
      <w:pPr>
        <w:spacing w:after="0" w:line="300" w:lineRule="auto"/>
        <w:jc w:val="both"/>
        <w:rPr>
          <w:rFonts w:ascii="Times New Roman" w:hAnsi="Times New Roman" w:cs="Times New Roman"/>
          <w:sz w:val="24"/>
          <w:szCs w:val="24"/>
        </w:rPr>
      </w:pPr>
      <w:r w:rsidRPr="009101B2">
        <w:rPr>
          <w:rFonts w:ascii="Times New Roman" w:hAnsi="Times New Roman" w:cs="Times New Roman"/>
          <w:sz w:val="24"/>
          <w:szCs w:val="24"/>
        </w:rPr>
        <w:t>y</w:t>
      </w:r>
      <w:r w:rsidRPr="009101B2">
        <w:rPr>
          <w:rFonts w:ascii="Times New Roman" w:hAnsi="Times New Roman" w:cs="Times New Roman"/>
          <w:sz w:val="24"/>
          <w:szCs w:val="24"/>
          <w:vertAlign w:val="subscript"/>
        </w:rPr>
        <w:t>t</w:t>
      </w:r>
      <w:r w:rsidRPr="009101B2">
        <w:rPr>
          <w:rFonts w:ascii="Times New Roman" w:hAnsi="Times New Roman" w:cs="Times New Roman"/>
          <w:sz w:val="24"/>
          <w:szCs w:val="24"/>
        </w:rPr>
        <w:t xml:space="preserve"> = A</w:t>
      </w:r>
      <w:r w:rsidRPr="009101B2">
        <w:rPr>
          <w:rFonts w:ascii="Times New Roman" w:hAnsi="Times New Roman" w:cs="Times New Roman"/>
          <w:sz w:val="24"/>
          <w:szCs w:val="24"/>
          <w:vertAlign w:val="subscript"/>
        </w:rPr>
        <w:t>0</w:t>
      </w:r>
      <w:r w:rsidRPr="009101B2">
        <w:rPr>
          <w:rFonts w:ascii="Times New Roman" w:hAnsi="Times New Roman" w:cs="Times New Roman"/>
          <w:sz w:val="24"/>
          <w:szCs w:val="24"/>
        </w:rPr>
        <w:t xml:space="preserve"> + A</w:t>
      </w:r>
      <w:r w:rsidRPr="009101B2">
        <w:rPr>
          <w:rFonts w:ascii="Times New Roman" w:hAnsi="Times New Roman" w:cs="Times New Roman"/>
          <w:sz w:val="24"/>
          <w:szCs w:val="24"/>
          <w:vertAlign w:val="subscript"/>
        </w:rPr>
        <w:t>1</w:t>
      </w:r>
      <w:r w:rsidRPr="009101B2">
        <w:rPr>
          <w:rFonts w:ascii="Times New Roman" w:hAnsi="Times New Roman" w:cs="Times New Roman"/>
          <w:sz w:val="24"/>
          <w:szCs w:val="24"/>
        </w:rPr>
        <w:t xml:space="preserve"> y</w:t>
      </w:r>
      <w:r w:rsidRPr="009101B2">
        <w:rPr>
          <w:rFonts w:ascii="Times New Roman" w:hAnsi="Times New Roman" w:cs="Times New Roman"/>
          <w:sz w:val="24"/>
          <w:szCs w:val="24"/>
          <w:vertAlign w:val="subscript"/>
        </w:rPr>
        <w:t xml:space="preserve">t-1 </w:t>
      </w:r>
      <w:r w:rsidRPr="009101B2">
        <w:rPr>
          <w:rFonts w:ascii="Times New Roman" w:hAnsi="Times New Roman" w:cs="Times New Roman"/>
          <w:sz w:val="24"/>
          <w:szCs w:val="24"/>
        </w:rPr>
        <w:t>+ A</w:t>
      </w:r>
      <w:r w:rsidRPr="009101B2">
        <w:rPr>
          <w:rFonts w:ascii="Times New Roman" w:hAnsi="Times New Roman" w:cs="Times New Roman"/>
          <w:sz w:val="24"/>
          <w:szCs w:val="24"/>
          <w:vertAlign w:val="subscript"/>
        </w:rPr>
        <w:t>2</w:t>
      </w:r>
      <w:r w:rsidRPr="009101B2">
        <w:rPr>
          <w:rFonts w:ascii="Times New Roman" w:hAnsi="Times New Roman" w:cs="Times New Roman"/>
          <w:sz w:val="24"/>
          <w:szCs w:val="24"/>
        </w:rPr>
        <w:t xml:space="preserve"> y</w:t>
      </w:r>
      <w:r w:rsidRPr="009101B2">
        <w:rPr>
          <w:rFonts w:ascii="Times New Roman" w:hAnsi="Times New Roman" w:cs="Times New Roman"/>
          <w:sz w:val="24"/>
          <w:szCs w:val="24"/>
          <w:vertAlign w:val="subscript"/>
        </w:rPr>
        <w:t xml:space="preserve">t-2 </w:t>
      </w:r>
      <w:r w:rsidRPr="009101B2">
        <w:rPr>
          <w:rFonts w:ascii="Times New Roman" w:hAnsi="Times New Roman" w:cs="Times New Roman"/>
          <w:sz w:val="24"/>
          <w:szCs w:val="24"/>
        </w:rPr>
        <w:t>+ … + A</w:t>
      </w:r>
      <w:r w:rsidRPr="009101B2">
        <w:rPr>
          <w:rFonts w:ascii="Times New Roman" w:hAnsi="Times New Roman" w:cs="Times New Roman"/>
          <w:sz w:val="24"/>
          <w:szCs w:val="24"/>
          <w:vertAlign w:val="subscript"/>
        </w:rPr>
        <w:t>p</w:t>
      </w:r>
      <w:r w:rsidRPr="009101B2">
        <w:rPr>
          <w:rFonts w:ascii="Times New Roman" w:hAnsi="Times New Roman" w:cs="Times New Roman"/>
          <w:sz w:val="24"/>
          <w:szCs w:val="24"/>
        </w:rPr>
        <w:t>y</w:t>
      </w:r>
      <w:r w:rsidRPr="009101B2">
        <w:rPr>
          <w:rFonts w:ascii="Times New Roman" w:hAnsi="Times New Roman" w:cs="Times New Roman"/>
          <w:sz w:val="24"/>
          <w:szCs w:val="24"/>
          <w:vertAlign w:val="subscript"/>
        </w:rPr>
        <w:t xml:space="preserve">t-p </w:t>
      </w:r>
      <w:r w:rsidRPr="009101B2">
        <w:rPr>
          <w:rFonts w:ascii="Times New Roman" w:hAnsi="Times New Roman" w:cs="Times New Roman"/>
          <w:sz w:val="24"/>
          <w:szCs w:val="24"/>
        </w:rPr>
        <w:t>+ e</w:t>
      </w:r>
      <w:r w:rsidRPr="009101B2">
        <w:rPr>
          <w:rFonts w:ascii="Times New Roman" w:hAnsi="Times New Roman" w:cs="Times New Roman"/>
          <w:sz w:val="24"/>
          <w:szCs w:val="24"/>
          <w:vertAlign w:val="subscript"/>
        </w:rPr>
        <w:t>t</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Where:</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y</w:t>
      </w:r>
      <w:r w:rsidRPr="007F036F">
        <w:rPr>
          <w:rFonts w:ascii="Times New Roman" w:hAnsi="Times New Roman" w:cs="Times New Roman"/>
          <w:sz w:val="24"/>
          <w:szCs w:val="24"/>
          <w:vertAlign w:val="subscript"/>
        </w:rPr>
        <w:t>t</w:t>
      </w:r>
      <w:r w:rsidRPr="007F036F">
        <w:rPr>
          <w:rFonts w:ascii="Times New Roman" w:hAnsi="Times New Roman" w:cs="Times New Roman"/>
          <w:sz w:val="24"/>
          <w:szCs w:val="24"/>
        </w:rPr>
        <w:t xml:space="preserve"> = A vector (n.1) containing n variables in a VAR model</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A</w:t>
      </w:r>
      <w:r w:rsidRPr="007F036F">
        <w:rPr>
          <w:rFonts w:ascii="Times New Roman" w:hAnsi="Times New Roman" w:cs="Times New Roman"/>
          <w:sz w:val="24"/>
          <w:szCs w:val="24"/>
          <w:vertAlign w:val="subscript"/>
        </w:rPr>
        <w:t>0</w:t>
      </w:r>
      <w:r w:rsidRPr="007F036F">
        <w:rPr>
          <w:rFonts w:ascii="Times New Roman" w:hAnsi="Times New Roman" w:cs="Times New Roman"/>
          <w:sz w:val="24"/>
          <w:szCs w:val="24"/>
        </w:rPr>
        <w:t xml:space="preserve"> = Intercept vector sized (n.1)</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A</w:t>
      </w:r>
      <w:r w:rsidRPr="007F036F">
        <w:rPr>
          <w:rFonts w:ascii="Times New Roman" w:hAnsi="Times New Roman" w:cs="Times New Roman"/>
          <w:sz w:val="24"/>
          <w:szCs w:val="24"/>
          <w:vertAlign w:val="subscript"/>
        </w:rPr>
        <w:t>i</w:t>
      </w:r>
      <w:r w:rsidRPr="007F036F">
        <w:rPr>
          <w:rFonts w:ascii="Times New Roman" w:hAnsi="Times New Roman" w:cs="Times New Roman"/>
          <w:sz w:val="24"/>
          <w:szCs w:val="24"/>
        </w:rPr>
        <w:t xml:space="preserve"> = Matrix coefficient / parameter size (n.n) for each i = 1.2 ..., p</w:t>
      </w:r>
    </w:p>
    <w:p w:rsidR="00ED4301"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e</w:t>
      </w:r>
      <w:r w:rsidRPr="007F036F">
        <w:rPr>
          <w:rFonts w:ascii="Times New Roman" w:hAnsi="Times New Roman" w:cs="Times New Roman"/>
          <w:sz w:val="24"/>
          <w:szCs w:val="24"/>
          <w:vertAlign w:val="subscript"/>
        </w:rPr>
        <w:t>t</w:t>
      </w:r>
      <w:r w:rsidRPr="007F036F">
        <w:rPr>
          <w:rFonts w:ascii="Times New Roman" w:hAnsi="Times New Roman" w:cs="Times New Roman"/>
          <w:sz w:val="24"/>
          <w:szCs w:val="24"/>
        </w:rPr>
        <w:t xml:space="preserve"> = Vector error sized (n.1)</w:t>
      </w:r>
    </w:p>
    <w:p w:rsidR="007F036F" w:rsidRPr="009101B2" w:rsidRDefault="007F036F" w:rsidP="007F036F">
      <w:pPr>
        <w:spacing w:after="0" w:line="300" w:lineRule="auto"/>
        <w:jc w:val="both"/>
        <w:rPr>
          <w:rFonts w:ascii="Times New Roman" w:hAnsi="Times New Roman" w:cs="Times New Roman"/>
          <w:sz w:val="24"/>
          <w:szCs w:val="24"/>
        </w:rPr>
      </w:pPr>
    </w:p>
    <w:p w:rsid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While the VECM model is as follows:</w:t>
      </w:r>
    </w:p>
    <w:p w:rsidR="002558FF" w:rsidRPr="009101B2" w:rsidRDefault="002558FF" w:rsidP="00E841A7">
      <w:pPr>
        <w:spacing w:after="0" w:line="300" w:lineRule="auto"/>
        <w:jc w:val="both"/>
        <w:rPr>
          <w:rFonts w:ascii="Times New Roman" w:hAnsi="Times New Roman" w:cs="Times New Roman"/>
          <w:sz w:val="24"/>
          <w:szCs w:val="24"/>
        </w:rPr>
      </w:pPr>
      <w:r w:rsidRPr="009101B2">
        <w:rPr>
          <w:rFonts w:ascii="Times New Roman" w:hAnsi="Times New Roman" w:cs="Times New Roman"/>
          <w:sz w:val="24"/>
          <w:szCs w:val="24"/>
        </w:rPr>
        <w:t>Δ</w:t>
      </w:r>
      <w:r w:rsidRPr="009101B2">
        <w:rPr>
          <w:rFonts w:ascii="Times New Roman" w:hAnsi="Times New Roman" w:cs="Times New Roman"/>
          <w:sz w:val="28"/>
          <w:szCs w:val="28"/>
        </w:rPr>
        <w:t>y</w:t>
      </w:r>
      <w:r w:rsidRPr="009101B2">
        <w:rPr>
          <w:rFonts w:ascii="Times New Roman" w:hAnsi="Times New Roman" w:cs="Times New Roman"/>
          <w:sz w:val="24"/>
          <w:szCs w:val="24"/>
          <w:vertAlign w:val="subscript"/>
        </w:rPr>
        <w:t>t</w:t>
      </w:r>
      <w:r w:rsidRPr="009101B2">
        <w:rPr>
          <w:rFonts w:ascii="Times New Roman" w:hAnsi="Times New Roman" w:cs="Times New Roman"/>
          <w:sz w:val="24"/>
          <w:szCs w:val="24"/>
        </w:rPr>
        <w:t xml:space="preserve"> = </w:t>
      </w:r>
      <w:r w:rsidRPr="009101B2">
        <w:rPr>
          <w:rFonts w:ascii="Times New Roman" w:hAnsi="Times New Roman" w:cs="Times New Roman"/>
          <w:sz w:val="28"/>
          <w:szCs w:val="28"/>
        </w:rPr>
        <w:t>µ</w:t>
      </w:r>
      <w:r w:rsidRPr="009101B2">
        <w:rPr>
          <w:rFonts w:ascii="Times New Roman" w:hAnsi="Times New Roman" w:cs="Times New Roman"/>
          <w:sz w:val="24"/>
          <w:szCs w:val="24"/>
          <w:vertAlign w:val="subscript"/>
        </w:rPr>
        <w:t>0x</w:t>
      </w:r>
      <w:r w:rsidRPr="009101B2">
        <w:rPr>
          <w:rFonts w:ascii="Times New Roman" w:hAnsi="Times New Roman" w:cs="Times New Roman"/>
          <w:sz w:val="24"/>
          <w:szCs w:val="24"/>
        </w:rPr>
        <w:t xml:space="preserve"> + </w:t>
      </w:r>
      <w:r w:rsidRPr="009101B2">
        <w:rPr>
          <w:rFonts w:ascii="Times New Roman" w:hAnsi="Times New Roman" w:cs="Times New Roman"/>
          <w:sz w:val="28"/>
          <w:szCs w:val="28"/>
        </w:rPr>
        <w:t>µ</w:t>
      </w:r>
      <w:r w:rsidRPr="009101B2">
        <w:rPr>
          <w:rFonts w:ascii="Times New Roman" w:hAnsi="Times New Roman" w:cs="Times New Roman"/>
          <w:sz w:val="24"/>
          <w:szCs w:val="24"/>
          <w:vertAlign w:val="subscript"/>
        </w:rPr>
        <w:t>1x</w:t>
      </w:r>
      <w:r w:rsidRPr="009101B2">
        <w:rPr>
          <w:rFonts w:ascii="Times New Roman" w:hAnsi="Times New Roman" w:cs="Times New Roman"/>
          <w:sz w:val="28"/>
          <w:szCs w:val="28"/>
        </w:rPr>
        <w:t>t</w:t>
      </w:r>
      <w:r w:rsidRPr="009101B2">
        <w:rPr>
          <w:rFonts w:ascii="Times New Roman" w:hAnsi="Times New Roman" w:cs="Times New Roman"/>
          <w:sz w:val="24"/>
          <w:szCs w:val="24"/>
        </w:rPr>
        <w:t xml:space="preserve"> + ∏</w:t>
      </w:r>
      <w:r w:rsidRPr="009101B2">
        <w:rPr>
          <w:rFonts w:ascii="Times New Roman" w:hAnsi="Times New Roman" w:cs="Times New Roman"/>
          <w:sz w:val="24"/>
          <w:szCs w:val="24"/>
          <w:vertAlign w:val="subscript"/>
        </w:rPr>
        <w:t>x</w:t>
      </w:r>
      <w:r w:rsidRPr="009101B2">
        <w:rPr>
          <w:rFonts w:ascii="Times New Roman" w:hAnsi="Times New Roman" w:cs="Times New Roman"/>
          <w:sz w:val="28"/>
          <w:szCs w:val="28"/>
        </w:rPr>
        <w:t>y</w:t>
      </w:r>
      <w:r w:rsidRPr="009101B2">
        <w:rPr>
          <w:rFonts w:ascii="Times New Roman" w:hAnsi="Times New Roman" w:cs="Times New Roman"/>
          <w:sz w:val="24"/>
          <w:szCs w:val="24"/>
          <w:vertAlign w:val="subscript"/>
        </w:rPr>
        <w:t>t-1</w:t>
      </w:r>
      <w:r w:rsidRPr="009101B2">
        <w:rPr>
          <w:rFonts w:ascii="Times New Roman" w:hAnsi="Times New Roman" w:cs="Times New Roman"/>
          <w:sz w:val="24"/>
          <w:szCs w:val="24"/>
        </w:rPr>
        <w:t xml:space="preserve"> + </w:t>
      </w:r>
      <m:oMath>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sup>
          <m:e>
            <m:sSub>
              <m:sSubPr>
                <m:ctrlPr>
                  <w:rPr>
                    <w:rFonts w:ascii="Cambria Math" w:hAnsi="Times New Roman"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ix</m:t>
                </m:r>
              </m:sub>
            </m:sSub>
            <m:sSub>
              <m:sSubPr>
                <m:ctrlPr>
                  <w:rPr>
                    <w:rFonts w:ascii="Cambria Math" w:hAnsi="Times New Roman" w:cs="Times New Roman"/>
                    <w:i/>
                    <w:sz w:val="24"/>
                    <w:szCs w:val="24"/>
                  </w:rPr>
                </m:ctrlPr>
              </m:sSubPr>
              <m:e>
                <m:r>
                  <m:rPr>
                    <m:sty m:val="p"/>
                  </m:rPr>
                  <w:rPr>
                    <w:rFonts w:ascii="Times New Roman" w:hAnsi="Times New Roman" w:cs="Times New Roman"/>
                    <w:sz w:val="24"/>
                    <w:szCs w:val="24"/>
                  </w:rPr>
                  <m:t>Δ</m:t>
                </m:r>
                <m:r>
                  <m:rPr>
                    <m:sty m:val="p"/>
                  </m:rPr>
                  <w:rPr>
                    <w:rFonts w:ascii="Cambria Math" w:hAnsi="Times New Roman" w:cs="Times New Roman"/>
                    <w:sz w:val="28"/>
                    <w:szCs w:val="28"/>
                  </w:rPr>
                  <m:t>y</m:t>
                </m:r>
              </m:e>
              <m:sub>
                <m:r>
                  <w:rPr>
                    <w:rFonts w:ascii="Cambria Math" w:hAnsi="Cambria Math" w:cs="Times New Roman"/>
                    <w:sz w:val="24"/>
                    <w:szCs w:val="24"/>
                  </w:rPr>
                  <m:t>t</m:t>
                </m:r>
                <m:r>
                  <w:rPr>
                    <w:rFonts w:ascii="Times New Roman" w:hAnsi="Times New Roman" w:cs="Times New Roman"/>
                    <w:sz w:val="24"/>
                    <w:szCs w:val="24"/>
                  </w:rPr>
                  <m:t>-</m:t>
                </m:r>
                <m:r>
                  <w:rPr>
                    <w:rFonts w:ascii="Cambria Math" w:hAnsi="Cambria Math" w:cs="Times New Roman"/>
                    <w:sz w:val="24"/>
                    <w:szCs w:val="24"/>
                  </w:rPr>
                  <m:t>i</m:t>
                </m:r>
              </m:sub>
            </m:sSub>
          </m:e>
        </m:nary>
      </m:oMath>
      <w:r w:rsidRPr="009101B2">
        <w:rPr>
          <w:rFonts w:ascii="Times New Roman" w:hAnsi="Times New Roman" w:cs="Times New Roman"/>
          <w:sz w:val="24"/>
          <w:szCs w:val="24"/>
        </w:rPr>
        <w:t xml:space="preserve"> + </w:t>
      </w:r>
      <w:r w:rsidRPr="009101B2">
        <w:rPr>
          <w:rFonts w:ascii="Times New Roman" w:hAnsi="Times New Roman" w:cs="Times New Roman"/>
          <w:sz w:val="28"/>
          <w:szCs w:val="28"/>
        </w:rPr>
        <w:t>ε</w:t>
      </w:r>
      <w:r w:rsidRPr="009101B2">
        <w:rPr>
          <w:rFonts w:ascii="Times New Roman" w:hAnsi="Times New Roman" w:cs="Times New Roman"/>
          <w:sz w:val="24"/>
          <w:szCs w:val="24"/>
          <w:vertAlign w:val="subscript"/>
        </w:rPr>
        <w:t>t</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Where :</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y</w:t>
      </w:r>
      <w:r w:rsidRPr="007F036F">
        <w:rPr>
          <w:rFonts w:ascii="Times New Roman" w:hAnsi="Times New Roman" w:cs="Times New Roman"/>
          <w:sz w:val="24"/>
          <w:szCs w:val="24"/>
          <w:vertAlign w:val="subscript"/>
        </w:rPr>
        <w:t>t</w:t>
      </w:r>
      <w:r w:rsidRPr="007F036F">
        <w:rPr>
          <w:rFonts w:ascii="Times New Roman" w:hAnsi="Times New Roman" w:cs="Times New Roman"/>
          <w:sz w:val="24"/>
          <w:szCs w:val="24"/>
        </w:rPr>
        <w:t xml:space="preserve"> = vector containing the variables analyzed in the study</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µ</w:t>
      </w:r>
      <w:r w:rsidRPr="007F036F">
        <w:rPr>
          <w:rFonts w:ascii="Times New Roman" w:hAnsi="Times New Roman" w:cs="Times New Roman"/>
          <w:sz w:val="24"/>
          <w:szCs w:val="24"/>
          <w:vertAlign w:val="subscript"/>
        </w:rPr>
        <w:t>0x</w:t>
      </w:r>
      <w:r w:rsidRPr="007F036F">
        <w:rPr>
          <w:rFonts w:ascii="Times New Roman" w:hAnsi="Times New Roman" w:cs="Times New Roman"/>
          <w:sz w:val="24"/>
          <w:szCs w:val="24"/>
        </w:rPr>
        <w:t xml:space="preserve"> = intersept vector</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µ</w:t>
      </w:r>
      <w:r w:rsidRPr="007F036F">
        <w:rPr>
          <w:rFonts w:ascii="Times New Roman" w:hAnsi="Times New Roman" w:cs="Times New Roman"/>
          <w:sz w:val="24"/>
          <w:szCs w:val="24"/>
          <w:vertAlign w:val="subscript"/>
        </w:rPr>
        <w:t>1x</w:t>
      </w:r>
      <w:r w:rsidRPr="007F036F">
        <w:rPr>
          <w:rFonts w:ascii="Times New Roman" w:hAnsi="Times New Roman" w:cs="Times New Roman"/>
          <w:sz w:val="24"/>
          <w:szCs w:val="24"/>
        </w:rPr>
        <w:t xml:space="preserve"> = regression coefficient vector</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t = time period</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w:t>
      </w:r>
      <w:r w:rsidRPr="007F036F">
        <w:rPr>
          <w:rFonts w:ascii="Times New Roman" w:hAnsi="Times New Roman" w:cs="Times New Roman"/>
          <w:sz w:val="24"/>
          <w:szCs w:val="24"/>
          <w:vertAlign w:val="subscript"/>
        </w:rPr>
        <w:t>x</w:t>
      </w:r>
      <w:r w:rsidRPr="007F036F">
        <w:rPr>
          <w:rFonts w:ascii="Times New Roman" w:hAnsi="Times New Roman" w:cs="Times New Roman"/>
          <w:sz w:val="24"/>
          <w:szCs w:val="24"/>
        </w:rPr>
        <w:t xml:space="preserve"> = αxβ where b contains a long-term cointegration equation</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y</w:t>
      </w:r>
      <w:r w:rsidRPr="007F036F">
        <w:rPr>
          <w:rFonts w:ascii="Times New Roman" w:hAnsi="Times New Roman" w:cs="Times New Roman"/>
          <w:sz w:val="24"/>
          <w:szCs w:val="24"/>
          <w:vertAlign w:val="subscript"/>
        </w:rPr>
        <w:t xml:space="preserve">t-1 </w:t>
      </w:r>
      <w:r w:rsidRPr="007F036F">
        <w:rPr>
          <w:rFonts w:ascii="Times New Roman" w:hAnsi="Times New Roman" w:cs="Times New Roman"/>
          <w:sz w:val="24"/>
          <w:szCs w:val="24"/>
        </w:rPr>
        <w:t>= in-level variable</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Γ_</w:t>
      </w:r>
      <w:r w:rsidRPr="007F036F">
        <w:rPr>
          <w:rFonts w:ascii="Times New Roman" w:hAnsi="Times New Roman" w:cs="Times New Roman"/>
          <w:sz w:val="24"/>
          <w:szCs w:val="24"/>
          <w:vertAlign w:val="subscript"/>
        </w:rPr>
        <w:t>ix</w:t>
      </w:r>
      <w:r w:rsidRPr="007F036F">
        <w:rPr>
          <w:rFonts w:ascii="Times New Roman" w:hAnsi="Times New Roman" w:cs="Times New Roman"/>
          <w:sz w:val="24"/>
          <w:szCs w:val="24"/>
        </w:rPr>
        <w:t xml:space="preserve"> = regression coefficient matrix</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k-1 = VECM order of VAR</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ε</w:t>
      </w:r>
      <w:r w:rsidRPr="007F036F">
        <w:rPr>
          <w:rFonts w:ascii="Times New Roman" w:hAnsi="Times New Roman" w:cs="Times New Roman"/>
          <w:sz w:val="24"/>
          <w:szCs w:val="24"/>
          <w:vertAlign w:val="subscript"/>
        </w:rPr>
        <w:t>t</w:t>
      </w:r>
      <w:r w:rsidRPr="007F036F">
        <w:rPr>
          <w:rFonts w:ascii="Times New Roman" w:hAnsi="Times New Roman" w:cs="Times New Roman"/>
          <w:sz w:val="24"/>
          <w:szCs w:val="24"/>
        </w:rPr>
        <w:t xml:space="preserve"> = error term</w:t>
      </w:r>
    </w:p>
    <w:p w:rsidR="007F036F" w:rsidRPr="007F036F" w:rsidRDefault="007F036F" w:rsidP="007F036F">
      <w:pPr>
        <w:spacing w:after="0" w:line="300" w:lineRule="auto"/>
        <w:jc w:val="both"/>
        <w:rPr>
          <w:rFonts w:ascii="Times New Roman" w:hAnsi="Times New Roman" w:cs="Times New Roman"/>
          <w:sz w:val="24"/>
          <w:szCs w:val="24"/>
        </w:rPr>
      </w:pPr>
    </w:p>
    <w:p w:rsidR="00E841A7" w:rsidRDefault="00E841A7" w:rsidP="007F036F">
      <w:pPr>
        <w:spacing w:after="0" w:line="300" w:lineRule="auto"/>
        <w:jc w:val="both"/>
        <w:rPr>
          <w:rFonts w:ascii="Times New Roman" w:hAnsi="Times New Roman" w:cs="Times New Roman"/>
          <w:b/>
          <w:sz w:val="24"/>
          <w:szCs w:val="24"/>
        </w:rPr>
      </w:pPr>
    </w:p>
    <w:p w:rsidR="00E841A7" w:rsidRDefault="00E841A7" w:rsidP="007F036F">
      <w:pPr>
        <w:spacing w:after="0" w:line="300" w:lineRule="auto"/>
        <w:jc w:val="both"/>
        <w:rPr>
          <w:rFonts w:ascii="Times New Roman" w:hAnsi="Times New Roman" w:cs="Times New Roman"/>
          <w:b/>
          <w:sz w:val="24"/>
          <w:szCs w:val="24"/>
        </w:rPr>
      </w:pPr>
    </w:p>
    <w:p w:rsidR="007F036F" w:rsidRPr="007F036F" w:rsidRDefault="007F036F" w:rsidP="007F036F">
      <w:pPr>
        <w:spacing w:after="0" w:line="300" w:lineRule="auto"/>
        <w:jc w:val="both"/>
        <w:rPr>
          <w:rFonts w:ascii="Times New Roman" w:hAnsi="Times New Roman" w:cs="Times New Roman"/>
          <w:b/>
          <w:sz w:val="24"/>
          <w:szCs w:val="24"/>
        </w:rPr>
      </w:pPr>
      <w:r w:rsidRPr="007F036F">
        <w:rPr>
          <w:rFonts w:ascii="Times New Roman" w:hAnsi="Times New Roman" w:cs="Times New Roman"/>
          <w:b/>
          <w:sz w:val="24"/>
          <w:szCs w:val="24"/>
        </w:rPr>
        <w:lastRenderedPageBreak/>
        <w:t>RESULTS AND DISCUSSION</w:t>
      </w:r>
    </w:p>
    <w:p w:rsidR="007F036F" w:rsidRPr="007F036F" w:rsidRDefault="007F036F" w:rsidP="007F036F">
      <w:pPr>
        <w:spacing w:after="0" w:line="300" w:lineRule="auto"/>
        <w:jc w:val="both"/>
        <w:rPr>
          <w:rFonts w:ascii="Times New Roman" w:hAnsi="Times New Roman" w:cs="Times New Roman"/>
          <w:b/>
          <w:sz w:val="24"/>
          <w:szCs w:val="24"/>
        </w:rPr>
      </w:pPr>
      <w:r w:rsidRPr="007F036F">
        <w:rPr>
          <w:rFonts w:ascii="Times New Roman" w:hAnsi="Times New Roman" w:cs="Times New Roman"/>
          <w:b/>
          <w:sz w:val="24"/>
          <w:szCs w:val="24"/>
        </w:rPr>
        <w:t>Data Stationary Testing</w:t>
      </w:r>
    </w:p>
    <w:p w:rsidR="007F036F" w:rsidRDefault="007F036F" w:rsidP="007F036F">
      <w:pPr>
        <w:spacing w:after="0" w:line="300" w:lineRule="auto"/>
        <w:ind w:firstLine="851"/>
        <w:jc w:val="both"/>
        <w:rPr>
          <w:rFonts w:ascii="Times New Roman" w:hAnsi="Times New Roman" w:cs="Times New Roman"/>
          <w:sz w:val="24"/>
          <w:szCs w:val="24"/>
        </w:rPr>
      </w:pPr>
      <w:r w:rsidRPr="007F036F">
        <w:rPr>
          <w:rFonts w:ascii="Times New Roman" w:hAnsi="Times New Roman" w:cs="Times New Roman"/>
          <w:sz w:val="24"/>
          <w:szCs w:val="24"/>
        </w:rPr>
        <w:t>Time series data generally contain unit roots, which can cause the data to become un stationery at the level. Data that have unit roots are often found to have good results but, in reality, cannot describe the actual conditions, so stationary testing of each variable needs to be done.</w:t>
      </w:r>
    </w:p>
    <w:p w:rsidR="007F036F" w:rsidRPr="007F036F" w:rsidRDefault="007F036F" w:rsidP="007F036F">
      <w:pPr>
        <w:spacing w:after="0" w:line="300" w:lineRule="auto"/>
        <w:ind w:firstLine="851"/>
        <w:jc w:val="both"/>
        <w:rPr>
          <w:rFonts w:ascii="Times New Roman" w:hAnsi="Times New Roman" w:cs="Times New Roman"/>
          <w:sz w:val="24"/>
          <w:szCs w:val="24"/>
        </w:rPr>
      </w:pPr>
      <w:r w:rsidRPr="007F036F">
        <w:rPr>
          <w:rFonts w:ascii="Times New Roman" w:hAnsi="Times New Roman" w:cs="Times New Roman"/>
          <w:sz w:val="24"/>
          <w:szCs w:val="24"/>
        </w:rPr>
        <w:t>In this study, stationary testing uses the Augmented Dickey-Fuller (ADF) test. The rule that applies in ADF testing is that if the ADF probability value is smaller than the critical value (5 percent), then the data is stationary. The ADF test decision is to reject H0, which indicates that the data is stationary. Checking the time series data stationarity on each variable in the level using the ADF test can be seen in Table 1. As for stationarity testing, the hypotheses tested are as follows:</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H</w:t>
      </w:r>
      <w:r w:rsidRPr="007F036F">
        <w:rPr>
          <w:rFonts w:ascii="Times New Roman" w:hAnsi="Times New Roman" w:cs="Times New Roman"/>
          <w:sz w:val="24"/>
          <w:szCs w:val="24"/>
          <w:vertAlign w:val="subscript"/>
        </w:rPr>
        <w:t>0</w:t>
      </w:r>
      <w:r w:rsidRPr="007F036F">
        <w:rPr>
          <w:rFonts w:ascii="Times New Roman" w:hAnsi="Times New Roman" w:cs="Times New Roman"/>
          <w:sz w:val="24"/>
          <w:szCs w:val="24"/>
        </w:rPr>
        <w:t>: δ = 0 (data not stationary)</w:t>
      </w:r>
    </w:p>
    <w:p w:rsidR="007F036F" w:rsidRPr="007F036F" w:rsidRDefault="007F036F" w:rsidP="007F036F">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t>H</w:t>
      </w:r>
      <w:r w:rsidRPr="007F036F">
        <w:rPr>
          <w:rFonts w:ascii="Times New Roman" w:hAnsi="Times New Roman" w:cs="Times New Roman"/>
          <w:sz w:val="24"/>
          <w:szCs w:val="24"/>
          <w:vertAlign w:val="subscript"/>
        </w:rPr>
        <w:t>1</w:t>
      </w:r>
      <w:r w:rsidRPr="007F036F">
        <w:rPr>
          <w:rFonts w:ascii="Times New Roman" w:hAnsi="Times New Roman" w:cs="Times New Roman"/>
          <w:sz w:val="24"/>
          <w:szCs w:val="24"/>
        </w:rPr>
        <w:t>: δ &lt;0 (data is stationary)</w:t>
      </w:r>
    </w:p>
    <w:p w:rsidR="007F036F" w:rsidRPr="007F036F" w:rsidRDefault="007F036F" w:rsidP="007F036F">
      <w:pPr>
        <w:spacing w:after="0" w:line="300" w:lineRule="auto"/>
        <w:ind w:firstLine="851"/>
        <w:jc w:val="both"/>
        <w:rPr>
          <w:rFonts w:ascii="Times New Roman" w:hAnsi="Times New Roman" w:cs="Times New Roman"/>
          <w:sz w:val="24"/>
          <w:szCs w:val="24"/>
        </w:rPr>
      </w:pPr>
      <w:r w:rsidRPr="007F036F">
        <w:rPr>
          <w:rFonts w:ascii="Times New Roman" w:hAnsi="Times New Roman" w:cs="Times New Roman"/>
          <w:sz w:val="24"/>
          <w:szCs w:val="24"/>
        </w:rPr>
        <w:t>Based on the results of tests that have been done, it can be concluded that the MUS, EXR, CPI, and BIR data are not stationary at the level, but are already stationary at the difference. As a result of data that has not been stationary at the level of the level of integration, tests are carried out, which requires that the data is differentiated to a certain degree so that the data becomes stationary.</w:t>
      </w:r>
    </w:p>
    <w:p w:rsidR="00E80B77" w:rsidRDefault="00E80B77" w:rsidP="009101B2">
      <w:pPr>
        <w:spacing w:after="0" w:line="300" w:lineRule="auto"/>
        <w:jc w:val="both"/>
        <w:rPr>
          <w:rFonts w:ascii="Times New Roman" w:hAnsi="Times New Roman" w:cs="Times New Roman"/>
          <w:sz w:val="24"/>
          <w:szCs w:val="24"/>
        </w:rPr>
        <w:sectPr w:rsidR="00E80B77" w:rsidSect="00E80B77">
          <w:type w:val="continuous"/>
          <w:pgSz w:w="11907" w:h="16839" w:code="9"/>
          <w:pgMar w:top="1701" w:right="1701" w:bottom="1701" w:left="1701" w:header="720" w:footer="720" w:gutter="0"/>
          <w:cols w:num="2" w:space="720"/>
          <w:docGrid w:linePitch="360"/>
        </w:sectPr>
      </w:pPr>
    </w:p>
    <w:p w:rsidR="002558FF" w:rsidRPr="009101B2" w:rsidRDefault="002558FF" w:rsidP="009101B2">
      <w:pPr>
        <w:spacing w:after="0" w:line="300" w:lineRule="auto"/>
        <w:jc w:val="both"/>
        <w:rPr>
          <w:rFonts w:ascii="Times New Roman" w:hAnsi="Times New Roman" w:cs="Times New Roman"/>
          <w:sz w:val="24"/>
          <w:szCs w:val="24"/>
        </w:rPr>
      </w:pPr>
    </w:p>
    <w:p w:rsidR="00ED4301" w:rsidRPr="009101B2" w:rsidRDefault="007F036F" w:rsidP="009101B2">
      <w:pPr>
        <w:spacing w:after="0" w:line="300" w:lineRule="auto"/>
        <w:jc w:val="both"/>
        <w:rPr>
          <w:rFonts w:ascii="Times New Roman" w:hAnsi="Times New Roman" w:cs="Times New Roman"/>
          <w:sz w:val="24"/>
          <w:szCs w:val="24"/>
        </w:rPr>
      </w:pPr>
      <w:r w:rsidRPr="007F036F">
        <w:rPr>
          <w:rFonts w:ascii="Times New Roman" w:hAnsi="Times New Roman" w:cs="Times New Roman"/>
          <w:sz w:val="24"/>
          <w:szCs w:val="24"/>
        </w:rPr>
        <w:lastRenderedPageBreak/>
        <w:t>Table 1. Testing the Stationarity of Data</w:t>
      </w:r>
    </w:p>
    <w:tbl>
      <w:tblPr>
        <w:tblStyle w:val="TableGrid"/>
        <w:tblW w:w="5000" w:type="pct"/>
        <w:tblLook w:val="04A0"/>
      </w:tblPr>
      <w:tblGrid>
        <w:gridCol w:w="2907"/>
        <w:gridCol w:w="2908"/>
        <w:gridCol w:w="2906"/>
      </w:tblGrid>
      <w:tr w:rsidR="00ED4301" w:rsidRPr="009101B2" w:rsidTr="00845FCC">
        <w:tc>
          <w:tcPr>
            <w:tcW w:w="1667" w:type="pct"/>
            <w:vMerge w:val="restart"/>
            <w:vAlign w:val="center"/>
          </w:tcPr>
          <w:p w:rsidR="00ED4301" w:rsidRPr="009101B2" w:rsidRDefault="005C4EAD" w:rsidP="009101B2">
            <w:pPr>
              <w:spacing w:line="300" w:lineRule="auto"/>
              <w:jc w:val="center"/>
              <w:rPr>
                <w:rFonts w:ascii="Times New Roman" w:hAnsi="Times New Roman" w:cs="Times New Roman"/>
                <w:b/>
                <w:sz w:val="24"/>
                <w:szCs w:val="24"/>
              </w:rPr>
            </w:pPr>
            <w:r>
              <w:rPr>
                <w:rFonts w:ascii="Times New Roman" w:hAnsi="Times New Roman" w:cs="Times New Roman"/>
                <w:b/>
                <w:sz w:val="24"/>
                <w:szCs w:val="24"/>
              </w:rPr>
              <w:t>Variab</w:t>
            </w:r>
            <w:r w:rsidR="00ED4301" w:rsidRPr="009101B2">
              <w:rPr>
                <w:rFonts w:ascii="Times New Roman" w:hAnsi="Times New Roman" w:cs="Times New Roman"/>
                <w:b/>
                <w:sz w:val="24"/>
                <w:szCs w:val="24"/>
              </w:rPr>
              <w:t>l</w:t>
            </w:r>
            <w:r>
              <w:rPr>
                <w:rFonts w:ascii="Times New Roman" w:hAnsi="Times New Roman" w:cs="Times New Roman"/>
                <w:b/>
                <w:sz w:val="24"/>
                <w:szCs w:val="24"/>
              </w:rPr>
              <w:t>e</w:t>
            </w:r>
          </w:p>
        </w:tc>
        <w:tc>
          <w:tcPr>
            <w:tcW w:w="3333" w:type="pct"/>
            <w:gridSpan w:val="2"/>
            <w:vAlign w:val="center"/>
          </w:tcPr>
          <w:p w:rsidR="00ED4301" w:rsidRPr="009101B2" w:rsidRDefault="00ED4301" w:rsidP="009101B2">
            <w:pPr>
              <w:spacing w:line="300" w:lineRule="auto"/>
              <w:jc w:val="center"/>
              <w:rPr>
                <w:rFonts w:ascii="Times New Roman" w:hAnsi="Times New Roman" w:cs="Times New Roman"/>
                <w:b/>
                <w:sz w:val="24"/>
                <w:szCs w:val="24"/>
              </w:rPr>
            </w:pPr>
            <w:r w:rsidRPr="009101B2">
              <w:rPr>
                <w:rFonts w:ascii="Times New Roman" w:hAnsi="Times New Roman" w:cs="Times New Roman"/>
                <w:b/>
                <w:sz w:val="24"/>
                <w:szCs w:val="24"/>
              </w:rPr>
              <w:t>ADF</w:t>
            </w:r>
          </w:p>
        </w:tc>
      </w:tr>
      <w:tr w:rsidR="00ED4301" w:rsidRPr="009101B2" w:rsidTr="00845FCC">
        <w:tc>
          <w:tcPr>
            <w:tcW w:w="1667" w:type="pct"/>
            <w:vMerge/>
            <w:vAlign w:val="center"/>
          </w:tcPr>
          <w:p w:rsidR="00ED4301" w:rsidRPr="009101B2" w:rsidRDefault="00ED4301" w:rsidP="009101B2">
            <w:pPr>
              <w:spacing w:line="300" w:lineRule="auto"/>
              <w:jc w:val="center"/>
              <w:rPr>
                <w:rFonts w:ascii="Times New Roman" w:hAnsi="Times New Roman" w:cs="Times New Roman"/>
                <w:b/>
                <w:sz w:val="24"/>
                <w:szCs w:val="24"/>
              </w:rPr>
            </w:pPr>
          </w:p>
        </w:tc>
        <w:tc>
          <w:tcPr>
            <w:tcW w:w="1667" w:type="pct"/>
            <w:vAlign w:val="center"/>
          </w:tcPr>
          <w:p w:rsidR="00ED4301" w:rsidRPr="009101B2" w:rsidRDefault="00ED4301" w:rsidP="009101B2">
            <w:pPr>
              <w:spacing w:line="300" w:lineRule="auto"/>
              <w:jc w:val="center"/>
              <w:rPr>
                <w:rFonts w:ascii="Times New Roman" w:hAnsi="Times New Roman" w:cs="Times New Roman"/>
                <w:b/>
                <w:sz w:val="24"/>
                <w:szCs w:val="24"/>
              </w:rPr>
            </w:pPr>
            <w:r w:rsidRPr="009101B2">
              <w:rPr>
                <w:rFonts w:ascii="Times New Roman" w:hAnsi="Times New Roman" w:cs="Times New Roman"/>
                <w:b/>
                <w:sz w:val="24"/>
                <w:szCs w:val="24"/>
              </w:rPr>
              <w:t>Level</w:t>
            </w:r>
          </w:p>
        </w:tc>
        <w:tc>
          <w:tcPr>
            <w:tcW w:w="1666" w:type="pct"/>
            <w:vAlign w:val="center"/>
          </w:tcPr>
          <w:p w:rsidR="00ED4301" w:rsidRPr="005C4EAD" w:rsidRDefault="00ED4301" w:rsidP="009101B2">
            <w:pPr>
              <w:spacing w:line="300" w:lineRule="auto"/>
              <w:jc w:val="center"/>
              <w:rPr>
                <w:rFonts w:ascii="Times New Roman" w:hAnsi="Times New Roman" w:cs="Times New Roman"/>
                <w:b/>
                <w:sz w:val="24"/>
                <w:szCs w:val="24"/>
              </w:rPr>
            </w:pPr>
            <w:r w:rsidRPr="005C4EAD">
              <w:rPr>
                <w:rFonts w:ascii="Times New Roman" w:hAnsi="Times New Roman" w:cs="Times New Roman"/>
                <w:b/>
                <w:sz w:val="24"/>
                <w:szCs w:val="24"/>
              </w:rPr>
              <w:t>Difference</w:t>
            </w:r>
          </w:p>
        </w:tc>
      </w:tr>
      <w:tr w:rsidR="00ED4301" w:rsidRPr="009101B2" w:rsidTr="00845FCC">
        <w:tc>
          <w:tcPr>
            <w:tcW w:w="1667" w:type="pct"/>
            <w:vAlign w:val="center"/>
          </w:tcPr>
          <w:p w:rsidR="00ED4301" w:rsidRPr="009101B2" w:rsidRDefault="00ED4301" w:rsidP="009101B2">
            <w:pPr>
              <w:spacing w:line="300" w:lineRule="auto"/>
              <w:jc w:val="both"/>
              <w:rPr>
                <w:rFonts w:ascii="Times New Roman" w:hAnsi="Times New Roman" w:cs="Times New Roman"/>
                <w:sz w:val="24"/>
                <w:szCs w:val="24"/>
              </w:rPr>
            </w:pPr>
            <w:r w:rsidRPr="009101B2">
              <w:rPr>
                <w:rFonts w:ascii="Times New Roman" w:hAnsi="Times New Roman" w:cs="Times New Roman"/>
                <w:sz w:val="24"/>
                <w:szCs w:val="24"/>
              </w:rPr>
              <w:t>MUS</w:t>
            </w:r>
          </w:p>
        </w:tc>
        <w:tc>
          <w:tcPr>
            <w:tcW w:w="1667" w:type="pct"/>
            <w:vAlign w:val="center"/>
          </w:tcPr>
          <w:p w:rsidR="00ED4301" w:rsidRPr="009101B2" w:rsidRDefault="00B63E8C"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0.1629</w:t>
            </w:r>
          </w:p>
        </w:tc>
        <w:tc>
          <w:tcPr>
            <w:tcW w:w="1666" w:type="pct"/>
            <w:vAlign w:val="center"/>
          </w:tcPr>
          <w:p w:rsidR="00ED4301" w:rsidRPr="009101B2" w:rsidRDefault="00B63E8C"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0.0000</w:t>
            </w:r>
            <w:r w:rsidR="00ED4301" w:rsidRPr="009101B2">
              <w:rPr>
                <w:rFonts w:ascii="Times New Roman" w:hAnsi="Times New Roman" w:cs="Times New Roman"/>
                <w:sz w:val="24"/>
                <w:szCs w:val="24"/>
              </w:rPr>
              <w:t>*</w:t>
            </w:r>
          </w:p>
        </w:tc>
      </w:tr>
      <w:tr w:rsidR="00ED4301" w:rsidRPr="009101B2" w:rsidTr="00845FCC">
        <w:tc>
          <w:tcPr>
            <w:tcW w:w="1667" w:type="pct"/>
            <w:vAlign w:val="center"/>
          </w:tcPr>
          <w:p w:rsidR="00ED4301" w:rsidRPr="009101B2" w:rsidRDefault="00ED4301" w:rsidP="009101B2">
            <w:pPr>
              <w:spacing w:line="300" w:lineRule="auto"/>
              <w:jc w:val="both"/>
              <w:rPr>
                <w:rFonts w:ascii="Times New Roman" w:hAnsi="Times New Roman" w:cs="Times New Roman"/>
                <w:sz w:val="24"/>
                <w:szCs w:val="24"/>
              </w:rPr>
            </w:pPr>
            <w:r w:rsidRPr="009101B2">
              <w:rPr>
                <w:rFonts w:ascii="Times New Roman" w:hAnsi="Times New Roman" w:cs="Times New Roman"/>
                <w:sz w:val="24"/>
                <w:szCs w:val="24"/>
              </w:rPr>
              <w:t>EXR</w:t>
            </w:r>
          </w:p>
        </w:tc>
        <w:tc>
          <w:tcPr>
            <w:tcW w:w="1667" w:type="pct"/>
            <w:vAlign w:val="center"/>
          </w:tcPr>
          <w:p w:rsidR="00ED4301" w:rsidRPr="009101B2" w:rsidRDefault="00B63E8C"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0.5757</w:t>
            </w:r>
          </w:p>
        </w:tc>
        <w:tc>
          <w:tcPr>
            <w:tcW w:w="1666" w:type="pct"/>
            <w:vAlign w:val="center"/>
          </w:tcPr>
          <w:p w:rsidR="00ED4301" w:rsidRPr="009101B2" w:rsidRDefault="00ED4301"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0.0000*</w:t>
            </w:r>
          </w:p>
        </w:tc>
      </w:tr>
      <w:tr w:rsidR="00ED4301" w:rsidRPr="009101B2" w:rsidTr="00845FCC">
        <w:tc>
          <w:tcPr>
            <w:tcW w:w="1667" w:type="pct"/>
            <w:vAlign w:val="center"/>
          </w:tcPr>
          <w:p w:rsidR="00ED4301" w:rsidRPr="009101B2" w:rsidRDefault="00ED4301" w:rsidP="009101B2">
            <w:pPr>
              <w:spacing w:line="300" w:lineRule="auto"/>
              <w:jc w:val="both"/>
              <w:rPr>
                <w:rFonts w:ascii="Times New Roman" w:hAnsi="Times New Roman" w:cs="Times New Roman"/>
                <w:sz w:val="24"/>
                <w:szCs w:val="24"/>
              </w:rPr>
            </w:pPr>
            <w:r w:rsidRPr="009101B2">
              <w:rPr>
                <w:rFonts w:ascii="Times New Roman" w:hAnsi="Times New Roman" w:cs="Times New Roman"/>
                <w:sz w:val="24"/>
                <w:szCs w:val="24"/>
              </w:rPr>
              <w:t>CPI</w:t>
            </w:r>
          </w:p>
        </w:tc>
        <w:tc>
          <w:tcPr>
            <w:tcW w:w="1667" w:type="pct"/>
            <w:vAlign w:val="center"/>
          </w:tcPr>
          <w:p w:rsidR="00ED4301" w:rsidRPr="009101B2" w:rsidRDefault="00B63E8C"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0.0927</w:t>
            </w:r>
          </w:p>
        </w:tc>
        <w:tc>
          <w:tcPr>
            <w:tcW w:w="1666" w:type="pct"/>
            <w:vAlign w:val="center"/>
          </w:tcPr>
          <w:p w:rsidR="00ED4301" w:rsidRPr="009101B2" w:rsidRDefault="00ED4301"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0.0000*</w:t>
            </w:r>
          </w:p>
        </w:tc>
      </w:tr>
      <w:tr w:rsidR="00ED4301" w:rsidRPr="009101B2" w:rsidTr="00845FCC">
        <w:tc>
          <w:tcPr>
            <w:tcW w:w="1667" w:type="pct"/>
            <w:vAlign w:val="center"/>
          </w:tcPr>
          <w:p w:rsidR="00ED4301" w:rsidRPr="009101B2" w:rsidRDefault="00ED4301" w:rsidP="009101B2">
            <w:pPr>
              <w:spacing w:line="300" w:lineRule="auto"/>
              <w:jc w:val="both"/>
              <w:rPr>
                <w:rFonts w:ascii="Times New Roman" w:hAnsi="Times New Roman" w:cs="Times New Roman"/>
                <w:sz w:val="24"/>
                <w:szCs w:val="24"/>
              </w:rPr>
            </w:pPr>
            <w:r w:rsidRPr="009101B2">
              <w:rPr>
                <w:rFonts w:ascii="Times New Roman" w:hAnsi="Times New Roman" w:cs="Times New Roman"/>
                <w:sz w:val="24"/>
                <w:szCs w:val="24"/>
              </w:rPr>
              <w:t>BIR</w:t>
            </w:r>
          </w:p>
        </w:tc>
        <w:tc>
          <w:tcPr>
            <w:tcW w:w="1667" w:type="pct"/>
            <w:vAlign w:val="center"/>
          </w:tcPr>
          <w:p w:rsidR="00ED4301" w:rsidRPr="009101B2" w:rsidRDefault="00B63E8C"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0.1182</w:t>
            </w:r>
          </w:p>
        </w:tc>
        <w:tc>
          <w:tcPr>
            <w:tcW w:w="1666" w:type="pct"/>
            <w:vAlign w:val="center"/>
          </w:tcPr>
          <w:p w:rsidR="00ED4301" w:rsidRPr="009101B2" w:rsidRDefault="00ED4301" w:rsidP="009101B2">
            <w:pPr>
              <w:spacing w:line="300" w:lineRule="auto"/>
              <w:jc w:val="center"/>
              <w:rPr>
                <w:rFonts w:ascii="Times New Roman" w:hAnsi="Times New Roman" w:cs="Times New Roman"/>
                <w:sz w:val="24"/>
                <w:szCs w:val="24"/>
              </w:rPr>
            </w:pPr>
            <w:r w:rsidRPr="009101B2">
              <w:rPr>
                <w:rFonts w:ascii="Times New Roman" w:hAnsi="Times New Roman" w:cs="Times New Roman"/>
                <w:sz w:val="24"/>
                <w:szCs w:val="24"/>
              </w:rPr>
              <w:t>0.000</w:t>
            </w:r>
            <w:r w:rsidR="00B63E8C" w:rsidRPr="009101B2">
              <w:rPr>
                <w:rFonts w:ascii="Times New Roman" w:hAnsi="Times New Roman" w:cs="Times New Roman"/>
                <w:sz w:val="24"/>
                <w:szCs w:val="24"/>
              </w:rPr>
              <w:t>0</w:t>
            </w:r>
            <w:r w:rsidRPr="009101B2">
              <w:rPr>
                <w:rFonts w:ascii="Times New Roman" w:hAnsi="Times New Roman" w:cs="Times New Roman"/>
                <w:sz w:val="24"/>
                <w:szCs w:val="24"/>
              </w:rPr>
              <w:t>*</w:t>
            </w:r>
          </w:p>
        </w:tc>
      </w:tr>
    </w:tbl>
    <w:p w:rsidR="00845FCC" w:rsidRDefault="005C4EAD" w:rsidP="005C4EAD">
      <w:pPr>
        <w:spacing w:after="0" w:line="300" w:lineRule="auto"/>
        <w:jc w:val="both"/>
        <w:rPr>
          <w:rFonts w:ascii="Times New Roman" w:hAnsi="Times New Roman" w:cs="Times New Roman"/>
          <w:sz w:val="24"/>
          <w:szCs w:val="24"/>
        </w:rPr>
      </w:pPr>
      <w:r w:rsidRPr="005C4EAD">
        <w:rPr>
          <w:rFonts w:ascii="Times New Roman" w:hAnsi="Times New Roman" w:cs="Times New Roman"/>
          <w:sz w:val="16"/>
          <w:szCs w:val="16"/>
        </w:rPr>
        <w:t>* stationery at 5 percent real level</w:t>
      </w:r>
    </w:p>
    <w:p w:rsidR="005C4EAD" w:rsidRDefault="005C4EAD" w:rsidP="009101B2">
      <w:pPr>
        <w:spacing w:after="0" w:line="300" w:lineRule="auto"/>
        <w:ind w:left="567" w:hanging="567"/>
        <w:jc w:val="both"/>
        <w:rPr>
          <w:rFonts w:ascii="Times New Roman" w:hAnsi="Times New Roman" w:cs="Times New Roman"/>
          <w:b/>
          <w:sz w:val="24"/>
          <w:szCs w:val="24"/>
        </w:rPr>
      </w:pPr>
    </w:p>
    <w:p w:rsidR="00E80B77" w:rsidRDefault="00E80B77" w:rsidP="005C4EAD">
      <w:pPr>
        <w:spacing w:after="0" w:line="300" w:lineRule="auto"/>
        <w:jc w:val="both"/>
        <w:rPr>
          <w:rFonts w:ascii="Times New Roman" w:hAnsi="Times New Roman" w:cs="Times New Roman"/>
          <w:b/>
          <w:sz w:val="24"/>
          <w:szCs w:val="24"/>
        </w:rPr>
        <w:sectPr w:rsidR="00E80B77" w:rsidSect="00B63E8C">
          <w:type w:val="continuous"/>
          <w:pgSz w:w="11907" w:h="16839" w:code="9"/>
          <w:pgMar w:top="1701" w:right="1701" w:bottom="1701" w:left="1701" w:header="720" w:footer="720" w:gutter="0"/>
          <w:cols w:space="720"/>
          <w:docGrid w:linePitch="360"/>
        </w:sectPr>
      </w:pPr>
    </w:p>
    <w:p w:rsidR="005C4EAD" w:rsidRPr="005C4EAD" w:rsidRDefault="005C4EAD" w:rsidP="005C4EAD">
      <w:pPr>
        <w:spacing w:after="0" w:line="300" w:lineRule="auto"/>
        <w:jc w:val="both"/>
        <w:rPr>
          <w:rFonts w:ascii="Times New Roman" w:hAnsi="Times New Roman" w:cs="Times New Roman"/>
          <w:b/>
          <w:sz w:val="24"/>
          <w:szCs w:val="24"/>
        </w:rPr>
      </w:pPr>
      <w:r w:rsidRPr="005C4EAD">
        <w:rPr>
          <w:rFonts w:ascii="Times New Roman" w:hAnsi="Times New Roman" w:cs="Times New Roman"/>
          <w:b/>
          <w:sz w:val="24"/>
          <w:szCs w:val="24"/>
        </w:rPr>
        <w:lastRenderedPageBreak/>
        <w:t>Cointegration Testing</w:t>
      </w:r>
    </w:p>
    <w:p w:rsidR="005C4EAD" w:rsidRPr="005C4EAD" w:rsidRDefault="005C4EAD" w:rsidP="005C4EAD">
      <w:pPr>
        <w:spacing w:after="0" w:line="300" w:lineRule="auto"/>
        <w:ind w:firstLine="851"/>
        <w:jc w:val="both"/>
        <w:rPr>
          <w:rFonts w:ascii="Times New Roman" w:hAnsi="Times New Roman" w:cs="Times New Roman"/>
          <w:sz w:val="24"/>
          <w:szCs w:val="24"/>
        </w:rPr>
      </w:pPr>
      <w:r w:rsidRPr="005C4EAD">
        <w:rPr>
          <w:rFonts w:ascii="Times New Roman" w:hAnsi="Times New Roman" w:cs="Times New Roman"/>
          <w:sz w:val="24"/>
          <w:szCs w:val="24"/>
        </w:rPr>
        <w:t xml:space="preserve"> This test aims to determine whether the variables are not stationary cointegrated or not. The concept of cointegration as a linear combination of two or more variables that are not stationary will produce a fixed variable. This test is significant because it can see each of the variables used in this study in the relationship in the long run even though when viewed individually it is </w:t>
      </w:r>
      <w:r w:rsidRPr="005C4EAD">
        <w:rPr>
          <w:rFonts w:ascii="Times New Roman" w:hAnsi="Times New Roman" w:cs="Times New Roman"/>
          <w:sz w:val="24"/>
          <w:szCs w:val="24"/>
        </w:rPr>
        <w:lastRenderedPageBreak/>
        <w:t>not stationary but will be fixed if considered in a linear combination. To achieve a long-term relationship, the value of the error must fluctuate around zero.</w:t>
      </w:r>
      <w:r>
        <w:rPr>
          <w:rFonts w:ascii="Times New Roman" w:hAnsi="Times New Roman" w:cs="Times New Roman"/>
          <w:sz w:val="24"/>
          <w:szCs w:val="24"/>
        </w:rPr>
        <w:t xml:space="preserve"> </w:t>
      </w:r>
      <w:r w:rsidRPr="005C4EAD">
        <w:rPr>
          <w:rFonts w:ascii="Times New Roman" w:hAnsi="Times New Roman" w:cs="Times New Roman"/>
          <w:sz w:val="24"/>
          <w:szCs w:val="24"/>
        </w:rPr>
        <w:t>From the test results using the Johansen Cointegration Test for the primary proxy variable MUS, it can be seen that there is cointegration. So that in this study using the VECM method in answering research problems</w:t>
      </w:r>
    </w:p>
    <w:p w:rsidR="00E80B77" w:rsidRDefault="00E80B77" w:rsidP="005C4EAD">
      <w:pPr>
        <w:spacing w:after="0" w:line="300" w:lineRule="auto"/>
        <w:ind w:firstLine="851"/>
        <w:jc w:val="both"/>
        <w:rPr>
          <w:rFonts w:ascii="Times New Roman" w:hAnsi="Times New Roman" w:cs="Times New Roman"/>
          <w:sz w:val="24"/>
          <w:szCs w:val="24"/>
        </w:rPr>
        <w:sectPr w:rsidR="00E80B77" w:rsidSect="00E80B77">
          <w:type w:val="continuous"/>
          <w:pgSz w:w="11907" w:h="16839" w:code="9"/>
          <w:pgMar w:top="1701" w:right="1701" w:bottom="1701" w:left="1701" w:header="720" w:footer="720" w:gutter="0"/>
          <w:cols w:num="2" w:space="720"/>
          <w:docGrid w:linePitch="360"/>
        </w:sectPr>
      </w:pPr>
    </w:p>
    <w:p w:rsidR="005C4EAD" w:rsidRDefault="005C4EAD" w:rsidP="005C4EAD">
      <w:pPr>
        <w:spacing w:after="0" w:line="300" w:lineRule="auto"/>
        <w:ind w:firstLine="851"/>
        <w:jc w:val="both"/>
        <w:rPr>
          <w:rFonts w:ascii="Times New Roman" w:hAnsi="Times New Roman" w:cs="Times New Roman"/>
          <w:sz w:val="24"/>
          <w:szCs w:val="24"/>
        </w:rPr>
      </w:pPr>
    </w:p>
    <w:p w:rsidR="00ED4301" w:rsidRPr="009101B2" w:rsidRDefault="005C4EAD" w:rsidP="009101B2">
      <w:pPr>
        <w:spacing w:after="0" w:line="300" w:lineRule="auto"/>
        <w:jc w:val="both"/>
        <w:rPr>
          <w:rFonts w:ascii="Times New Roman" w:hAnsi="Times New Roman" w:cs="Times New Roman"/>
          <w:sz w:val="24"/>
          <w:szCs w:val="24"/>
        </w:rPr>
      </w:pPr>
      <w:r w:rsidRPr="005C4EAD">
        <w:rPr>
          <w:rFonts w:ascii="Times New Roman" w:hAnsi="Times New Roman" w:cs="Times New Roman"/>
          <w:sz w:val="24"/>
          <w:szCs w:val="24"/>
        </w:rPr>
        <w:t>Table 2. Cointegration Testing Results</w:t>
      </w:r>
    </w:p>
    <w:tbl>
      <w:tblPr>
        <w:tblStyle w:val="TableGrid"/>
        <w:tblW w:w="5000" w:type="pct"/>
        <w:tblLook w:val="0000"/>
      </w:tblPr>
      <w:tblGrid>
        <w:gridCol w:w="1715"/>
        <w:gridCol w:w="1753"/>
        <w:gridCol w:w="1751"/>
        <w:gridCol w:w="1753"/>
        <w:gridCol w:w="1749"/>
      </w:tblGrid>
      <w:tr w:rsidR="00B63E8C" w:rsidRPr="00B63E8C" w:rsidTr="00845FCC">
        <w:trPr>
          <w:trHeight w:val="225"/>
        </w:trPr>
        <w:tc>
          <w:tcPr>
            <w:tcW w:w="98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Hypothesized</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p>
        </w:tc>
        <w:tc>
          <w:tcPr>
            <w:tcW w:w="1004"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Trace</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0.05</w:t>
            </w:r>
          </w:p>
        </w:tc>
        <w:tc>
          <w:tcPr>
            <w:tcW w:w="100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p>
        </w:tc>
      </w:tr>
      <w:tr w:rsidR="00B63E8C" w:rsidRPr="00B63E8C" w:rsidTr="00845FCC">
        <w:trPr>
          <w:trHeight w:val="225"/>
        </w:trPr>
        <w:tc>
          <w:tcPr>
            <w:tcW w:w="98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No. of CE(s)</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Eigenvalue</w:t>
            </w:r>
          </w:p>
        </w:tc>
        <w:tc>
          <w:tcPr>
            <w:tcW w:w="1004"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Statistic</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Critical Value</w:t>
            </w:r>
          </w:p>
        </w:tc>
        <w:tc>
          <w:tcPr>
            <w:tcW w:w="100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Prob.**</w:t>
            </w:r>
          </w:p>
        </w:tc>
      </w:tr>
      <w:tr w:rsidR="00B63E8C" w:rsidRPr="00B63E8C" w:rsidTr="00845FCC">
        <w:trPr>
          <w:trHeight w:val="225"/>
        </w:trPr>
        <w:tc>
          <w:tcPr>
            <w:tcW w:w="98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None *</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0.221311</w:t>
            </w:r>
          </w:p>
        </w:tc>
        <w:tc>
          <w:tcPr>
            <w:tcW w:w="1004"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100.0819</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63.87610</w:t>
            </w:r>
          </w:p>
        </w:tc>
        <w:tc>
          <w:tcPr>
            <w:tcW w:w="100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0.0000</w:t>
            </w:r>
          </w:p>
        </w:tc>
      </w:tr>
      <w:tr w:rsidR="00B63E8C" w:rsidRPr="00B63E8C" w:rsidTr="00845FCC">
        <w:trPr>
          <w:trHeight w:val="225"/>
        </w:trPr>
        <w:tc>
          <w:tcPr>
            <w:tcW w:w="98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At most 1 *</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0.142983</w:t>
            </w:r>
          </w:p>
        </w:tc>
        <w:tc>
          <w:tcPr>
            <w:tcW w:w="1004"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52.55464</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42.91525</w:t>
            </w:r>
          </w:p>
        </w:tc>
        <w:tc>
          <w:tcPr>
            <w:tcW w:w="100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0.0042</w:t>
            </w:r>
          </w:p>
        </w:tc>
      </w:tr>
      <w:tr w:rsidR="00B63E8C" w:rsidRPr="00B63E8C" w:rsidTr="00845FCC">
        <w:trPr>
          <w:trHeight w:val="225"/>
        </w:trPr>
        <w:tc>
          <w:tcPr>
            <w:tcW w:w="98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At most 2</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0.079055</w:t>
            </w:r>
          </w:p>
        </w:tc>
        <w:tc>
          <w:tcPr>
            <w:tcW w:w="1004"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23.23805</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25.87211</w:t>
            </w:r>
          </w:p>
        </w:tc>
        <w:tc>
          <w:tcPr>
            <w:tcW w:w="100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0.1028</w:t>
            </w:r>
          </w:p>
        </w:tc>
      </w:tr>
      <w:tr w:rsidR="00B63E8C" w:rsidRPr="00B63E8C" w:rsidTr="00845FCC">
        <w:trPr>
          <w:trHeight w:val="225"/>
        </w:trPr>
        <w:tc>
          <w:tcPr>
            <w:tcW w:w="98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At most 3</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0.039163</w:t>
            </w:r>
          </w:p>
        </w:tc>
        <w:tc>
          <w:tcPr>
            <w:tcW w:w="1004"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7.590617</w:t>
            </w:r>
          </w:p>
        </w:tc>
        <w:tc>
          <w:tcPr>
            <w:tcW w:w="1005"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12.51798</w:t>
            </w:r>
          </w:p>
        </w:tc>
        <w:tc>
          <w:tcPr>
            <w:tcW w:w="1003" w:type="pct"/>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sz w:val="20"/>
                <w:szCs w:val="20"/>
              </w:rPr>
            </w:pPr>
            <w:r w:rsidRPr="00B63E8C">
              <w:rPr>
                <w:rFonts w:ascii="Times New Roman" w:hAnsi="Times New Roman" w:cs="Times New Roman"/>
                <w:color w:val="000000"/>
                <w:sz w:val="20"/>
                <w:szCs w:val="20"/>
              </w:rPr>
              <w:t> 0.2869</w:t>
            </w:r>
          </w:p>
        </w:tc>
      </w:tr>
    </w:tbl>
    <w:p w:rsidR="00B63E8C" w:rsidRPr="00845FCC" w:rsidRDefault="00B63E8C" w:rsidP="009101B2">
      <w:pPr>
        <w:spacing w:after="0" w:line="300" w:lineRule="auto"/>
        <w:jc w:val="both"/>
        <w:rPr>
          <w:rFonts w:ascii="Times New Roman" w:hAnsi="Times New Roman" w:cs="Times New Roman"/>
          <w:sz w:val="16"/>
          <w:szCs w:val="16"/>
        </w:rPr>
      </w:pPr>
      <w:r w:rsidRPr="00845FCC">
        <w:rPr>
          <w:rFonts w:ascii="Times New Roman" w:hAnsi="Times New Roman" w:cs="Times New Roman"/>
          <w:sz w:val="16"/>
          <w:szCs w:val="16"/>
        </w:rPr>
        <w:t>Trace test indicates 2 cointegrating eqn(s) at the 0.05 level</w:t>
      </w:r>
    </w:p>
    <w:p w:rsidR="00B63E8C" w:rsidRPr="00845FCC" w:rsidRDefault="00B63E8C" w:rsidP="009101B2">
      <w:pPr>
        <w:spacing w:after="0" w:line="300" w:lineRule="auto"/>
        <w:jc w:val="both"/>
        <w:rPr>
          <w:rFonts w:ascii="Times New Roman" w:hAnsi="Times New Roman" w:cs="Times New Roman"/>
          <w:sz w:val="16"/>
          <w:szCs w:val="16"/>
        </w:rPr>
      </w:pPr>
      <w:r w:rsidRPr="00845FCC">
        <w:rPr>
          <w:rFonts w:ascii="Times New Roman" w:hAnsi="Times New Roman" w:cs="Times New Roman"/>
          <w:sz w:val="16"/>
          <w:szCs w:val="16"/>
        </w:rPr>
        <w:t>* denotes rejection of the hypothesis at the 0.05 level</w:t>
      </w:r>
    </w:p>
    <w:p w:rsidR="00B63E8C" w:rsidRPr="00845FCC" w:rsidRDefault="00B63E8C" w:rsidP="009101B2">
      <w:pPr>
        <w:spacing w:after="0" w:line="300" w:lineRule="auto"/>
        <w:jc w:val="both"/>
        <w:rPr>
          <w:rFonts w:ascii="Times New Roman" w:hAnsi="Times New Roman" w:cs="Times New Roman"/>
          <w:sz w:val="16"/>
          <w:szCs w:val="16"/>
        </w:rPr>
      </w:pPr>
      <w:r w:rsidRPr="00845FCC">
        <w:rPr>
          <w:rFonts w:ascii="Times New Roman" w:hAnsi="Times New Roman" w:cs="Times New Roman"/>
          <w:sz w:val="16"/>
          <w:szCs w:val="16"/>
        </w:rPr>
        <w:t>**MacKinnon-Haug-Michelis (1999) p-values</w:t>
      </w:r>
    </w:p>
    <w:p w:rsidR="00D821D3" w:rsidRPr="009101B2" w:rsidRDefault="00D821D3" w:rsidP="009101B2">
      <w:pPr>
        <w:spacing w:after="0" w:line="300" w:lineRule="auto"/>
        <w:jc w:val="both"/>
        <w:rPr>
          <w:rFonts w:ascii="Times New Roman" w:hAnsi="Times New Roman" w:cs="Times New Roman"/>
          <w:b/>
          <w:sz w:val="24"/>
          <w:szCs w:val="24"/>
        </w:rPr>
        <w:sectPr w:rsidR="00D821D3" w:rsidRPr="009101B2" w:rsidSect="00B63E8C">
          <w:type w:val="continuous"/>
          <w:pgSz w:w="11907" w:h="16839" w:code="9"/>
          <w:pgMar w:top="1701" w:right="1701" w:bottom="1701" w:left="1701" w:header="720" w:footer="720" w:gutter="0"/>
          <w:cols w:space="720"/>
          <w:docGrid w:linePitch="360"/>
        </w:sectPr>
      </w:pPr>
    </w:p>
    <w:p w:rsidR="008956B0" w:rsidRDefault="008956B0" w:rsidP="00845FCC">
      <w:pPr>
        <w:spacing w:after="0" w:line="300" w:lineRule="auto"/>
        <w:ind w:firstLine="851"/>
        <w:jc w:val="both"/>
        <w:rPr>
          <w:rFonts w:ascii="Times New Roman" w:hAnsi="Times New Roman" w:cs="Times New Roman"/>
          <w:sz w:val="24"/>
          <w:szCs w:val="24"/>
        </w:rPr>
      </w:pPr>
    </w:p>
    <w:p w:rsidR="00E80B77" w:rsidRDefault="00E80B77" w:rsidP="005C4EAD">
      <w:pPr>
        <w:spacing w:after="0" w:line="300" w:lineRule="auto"/>
        <w:jc w:val="both"/>
        <w:rPr>
          <w:rFonts w:ascii="Times New Roman" w:hAnsi="Times New Roman" w:cs="Times New Roman"/>
          <w:b/>
          <w:sz w:val="24"/>
          <w:szCs w:val="24"/>
        </w:rPr>
        <w:sectPr w:rsidR="00E80B77" w:rsidSect="00B63E8C">
          <w:type w:val="continuous"/>
          <w:pgSz w:w="11907" w:h="16839" w:code="9"/>
          <w:pgMar w:top="1701" w:right="1701" w:bottom="1701" w:left="1701" w:header="720" w:footer="720" w:gutter="0"/>
          <w:cols w:space="720"/>
          <w:docGrid w:linePitch="360"/>
        </w:sectPr>
      </w:pPr>
    </w:p>
    <w:p w:rsidR="005C4EAD" w:rsidRPr="005C4EAD" w:rsidRDefault="005C4EAD" w:rsidP="005C4EAD">
      <w:pPr>
        <w:spacing w:after="0" w:line="300" w:lineRule="auto"/>
        <w:jc w:val="both"/>
        <w:rPr>
          <w:rFonts w:ascii="Times New Roman" w:hAnsi="Times New Roman" w:cs="Times New Roman"/>
          <w:b/>
          <w:sz w:val="24"/>
          <w:szCs w:val="24"/>
        </w:rPr>
      </w:pPr>
      <w:r w:rsidRPr="005C4EAD">
        <w:rPr>
          <w:rFonts w:ascii="Times New Roman" w:hAnsi="Times New Roman" w:cs="Times New Roman"/>
          <w:b/>
          <w:sz w:val="24"/>
          <w:szCs w:val="24"/>
        </w:rPr>
        <w:lastRenderedPageBreak/>
        <w:t>Optimal Lag Testing</w:t>
      </w:r>
    </w:p>
    <w:p w:rsidR="005C4EAD" w:rsidRPr="005C4EAD" w:rsidRDefault="005C4EAD" w:rsidP="005C4EAD">
      <w:pPr>
        <w:spacing w:after="0" w:line="300" w:lineRule="auto"/>
        <w:ind w:firstLine="851"/>
        <w:jc w:val="both"/>
        <w:rPr>
          <w:rFonts w:ascii="Times New Roman" w:hAnsi="Times New Roman" w:cs="Times New Roman"/>
          <w:sz w:val="24"/>
          <w:szCs w:val="24"/>
        </w:rPr>
      </w:pPr>
      <w:r w:rsidRPr="005C4EAD">
        <w:rPr>
          <w:rFonts w:ascii="Times New Roman" w:hAnsi="Times New Roman" w:cs="Times New Roman"/>
          <w:sz w:val="24"/>
          <w:szCs w:val="24"/>
        </w:rPr>
        <w:t xml:space="preserve">Before entering into the VAR structural analysis stage, optimal lag testing will be performed to determine the optimum amount of lag that will be used in the variables to be analyzed. Testing the optimal lag length by utilizing the available criteria, namely Likelihood Ratio (LR), Final Prediction </w:t>
      </w:r>
      <w:r w:rsidRPr="005C4EAD">
        <w:rPr>
          <w:rFonts w:ascii="Times New Roman" w:hAnsi="Times New Roman" w:cs="Times New Roman"/>
          <w:sz w:val="24"/>
          <w:szCs w:val="24"/>
        </w:rPr>
        <w:lastRenderedPageBreak/>
        <w:t xml:space="preserve">Error (FPE), Akaike Information Criterion (AIC), Schwarz Information Criterion (SC) and Hannan-Quinn Criterion (HQ). If the information criteria only refer to an interval candidate, then that candidate is chosen as the optimal interval length to continue estimating the next stage. The optimal number of lags in this study is </w:t>
      </w:r>
      <w:r w:rsidRPr="005C4EAD">
        <w:rPr>
          <w:rFonts w:ascii="Times New Roman" w:hAnsi="Times New Roman" w:cs="Times New Roman"/>
          <w:sz w:val="24"/>
          <w:szCs w:val="24"/>
        </w:rPr>
        <w:lastRenderedPageBreak/>
        <w:t xml:space="preserve">based on the smallest or minimum Schwarz Information Criterion (SC) value. The optimal lag test results of the </w:t>
      </w:r>
      <w:r w:rsidRPr="005C4EAD">
        <w:rPr>
          <w:rFonts w:ascii="Times New Roman" w:hAnsi="Times New Roman" w:cs="Times New Roman"/>
          <w:sz w:val="24"/>
          <w:szCs w:val="24"/>
        </w:rPr>
        <w:lastRenderedPageBreak/>
        <w:t>model Table 3. Based on the specified criteria (smallest SC), it appears that the selected lag is lag 1.</w:t>
      </w:r>
    </w:p>
    <w:p w:rsidR="00E80B77" w:rsidRDefault="00E80B77" w:rsidP="009101B2">
      <w:pPr>
        <w:spacing w:after="0" w:line="300" w:lineRule="auto"/>
        <w:jc w:val="both"/>
        <w:rPr>
          <w:rFonts w:ascii="Times New Roman" w:hAnsi="Times New Roman" w:cs="Times New Roman"/>
          <w:sz w:val="24"/>
          <w:szCs w:val="24"/>
        </w:rPr>
        <w:sectPr w:rsidR="00E80B77" w:rsidSect="00E80B77">
          <w:type w:val="continuous"/>
          <w:pgSz w:w="11907" w:h="16839" w:code="9"/>
          <w:pgMar w:top="1701" w:right="1701" w:bottom="1701" w:left="1701" w:header="720" w:footer="720" w:gutter="0"/>
          <w:cols w:num="2" w:space="720"/>
          <w:docGrid w:linePitch="360"/>
        </w:sectPr>
      </w:pPr>
    </w:p>
    <w:p w:rsidR="005C4EAD" w:rsidRPr="005C4EAD" w:rsidRDefault="005C4EAD" w:rsidP="009101B2">
      <w:pPr>
        <w:spacing w:after="0" w:line="300" w:lineRule="auto"/>
        <w:jc w:val="both"/>
        <w:rPr>
          <w:rFonts w:ascii="Times New Roman" w:hAnsi="Times New Roman" w:cs="Times New Roman"/>
          <w:sz w:val="24"/>
          <w:szCs w:val="24"/>
        </w:rPr>
      </w:pPr>
    </w:p>
    <w:p w:rsidR="00ED4301" w:rsidRPr="009101B2" w:rsidRDefault="005C4EAD" w:rsidP="009101B2">
      <w:pPr>
        <w:spacing w:after="0" w:line="300" w:lineRule="auto"/>
        <w:jc w:val="both"/>
        <w:rPr>
          <w:rFonts w:ascii="Times New Roman" w:hAnsi="Times New Roman" w:cs="Times New Roman"/>
          <w:sz w:val="24"/>
          <w:szCs w:val="24"/>
        </w:rPr>
      </w:pPr>
      <w:r w:rsidRPr="005C4EAD">
        <w:rPr>
          <w:rFonts w:ascii="Times New Roman" w:hAnsi="Times New Roman" w:cs="Times New Roman"/>
          <w:sz w:val="24"/>
          <w:szCs w:val="24"/>
        </w:rPr>
        <w:t>Table 3. Optimal Lag Test Results</w:t>
      </w:r>
    </w:p>
    <w:tbl>
      <w:tblPr>
        <w:tblStyle w:val="TableGrid"/>
        <w:tblW w:w="8737" w:type="dxa"/>
        <w:tblLayout w:type="fixed"/>
        <w:tblLook w:val="0000"/>
      </w:tblPr>
      <w:tblGrid>
        <w:gridCol w:w="862"/>
        <w:gridCol w:w="1313"/>
        <w:gridCol w:w="1312"/>
        <w:gridCol w:w="1313"/>
        <w:gridCol w:w="1312"/>
        <w:gridCol w:w="1313"/>
        <w:gridCol w:w="1312"/>
      </w:tblGrid>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b/>
                <w:color w:val="000000"/>
              </w:rPr>
            </w:pPr>
            <w:r w:rsidRPr="00B63E8C">
              <w:rPr>
                <w:rFonts w:ascii="Times New Roman" w:hAnsi="Times New Roman" w:cs="Times New Roman"/>
                <w:b/>
                <w:color w:val="000000"/>
              </w:rPr>
              <w:t> Lag</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b/>
                <w:color w:val="000000"/>
              </w:rPr>
            </w:pPr>
            <w:r w:rsidRPr="00B63E8C">
              <w:rPr>
                <w:rFonts w:ascii="Times New Roman" w:hAnsi="Times New Roman" w:cs="Times New Roman"/>
                <w:b/>
                <w:color w:val="000000"/>
              </w:rPr>
              <w:t>LogL</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b/>
                <w:color w:val="000000"/>
              </w:rPr>
            </w:pPr>
            <w:r w:rsidRPr="00B63E8C">
              <w:rPr>
                <w:rFonts w:ascii="Times New Roman" w:hAnsi="Times New Roman" w:cs="Times New Roman"/>
                <w:b/>
                <w:color w:val="000000"/>
              </w:rPr>
              <w:t>LR</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b/>
                <w:color w:val="000000"/>
              </w:rPr>
            </w:pPr>
            <w:r w:rsidRPr="00B63E8C">
              <w:rPr>
                <w:rFonts w:ascii="Times New Roman" w:hAnsi="Times New Roman" w:cs="Times New Roman"/>
                <w:b/>
                <w:color w:val="000000"/>
              </w:rPr>
              <w:t>FPE</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b/>
                <w:color w:val="000000"/>
              </w:rPr>
            </w:pPr>
            <w:r w:rsidRPr="00B63E8C">
              <w:rPr>
                <w:rFonts w:ascii="Times New Roman" w:hAnsi="Times New Roman" w:cs="Times New Roman"/>
                <w:b/>
                <w:color w:val="000000"/>
              </w:rPr>
              <w:t>AIC</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b/>
                <w:color w:val="000000"/>
              </w:rPr>
            </w:pPr>
            <w:r w:rsidRPr="00B63E8C">
              <w:rPr>
                <w:rFonts w:ascii="Times New Roman" w:hAnsi="Times New Roman" w:cs="Times New Roman"/>
                <w:b/>
                <w:color w:val="000000"/>
              </w:rPr>
              <w:t>SC</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b/>
                <w:color w:val="000000"/>
              </w:rPr>
            </w:pPr>
            <w:r w:rsidRPr="00B63E8C">
              <w:rPr>
                <w:rFonts w:ascii="Times New Roman" w:hAnsi="Times New Roman" w:cs="Times New Roman"/>
                <w:b/>
                <w:color w:val="000000"/>
              </w:rPr>
              <w:t>HQ</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0</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758.1754</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NA </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3.24e-09</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-8.197559</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-8.127669</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-8.169232</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1595.935</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1629.988*</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4.27e-13*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-17.12972*</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-16.78027*</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-16.98809*</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2</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1606.058</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19.25715</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4.56e-13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-17.06585</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-16.43684</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-16.81091</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3</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1612.627</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12.20911</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5.05e-13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-16.96334</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-16.05477</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-16.59508</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4</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1624.584</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21.70442</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5.28e-13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-16.91939</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-15.73126</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-16.43783</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5</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1631.867</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12.90355</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5.82e-13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-16.82464</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-15.35695</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-16.22977</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6</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1636.732</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8.408354</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6.59e-13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-16.70361</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-14.95636</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-15.99543</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7</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1642.058</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8.973152</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7.43e-13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-16.58759</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-14.56078</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-15.76610</w:t>
            </w:r>
          </w:p>
        </w:tc>
      </w:tr>
      <w:tr w:rsidR="00B63E8C" w:rsidRPr="00B63E8C" w:rsidTr="00845FCC">
        <w:trPr>
          <w:trHeight w:val="225"/>
        </w:trPr>
        <w:tc>
          <w:tcPr>
            <w:tcW w:w="86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8</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1651.221</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15.03880</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 8.04e-13</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-16.51327</w:t>
            </w:r>
          </w:p>
        </w:tc>
        <w:tc>
          <w:tcPr>
            <w:tcW w:w="1313"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-14.20690</w:t>
            </w:r>
          </w:p>
        </w:tc>
        <w:tc>
          <w:tcPr>
            <w:tcW w:w="1312" w:type="dxa"/>
            <w:vAlign w:val="center"/>
          </w:tcPr>
          <w:p w:rsidR="00B63E8C" w:rsidRPr="00B63E8C" w:rsidRDefault="00B63E8C" w:rsidP="009101B2">
            <w:pPr>
              <w:autoSpaceDE w:val="0"/>
              <w:autoSpaceDN w:val="0"/>
              <w:adjustRightInd w:val="0"/>
              <w:spacing w:line="300" w:lineRule="auto"/>
              <w:jc w:val="center"/>
              <w:rPr>
                <w:rFonts w:ascii="Times New Roman" w:hAnsi="Times New Roman" w:cs="Times New Roman"/>
                <w:color w:val="000000"/>
              </w:rPr>
            </w:pPr>
            <w:r w:rsidRPr="00B63E8C">
              <w:rPr>
                <w:rFonts w:ascii="Times New Roman" w:hAnsi="Times New Roman" w:cs="Times New Roman"/>
                <w:color w:val="000000"/>
              </w:rPr>
              <w:t>-15.57847</w:t>
            </w:r>
          </w:p>
        </w:tc>
      </w:tr>
    </w:tbl>
    <w:p w:rsidR="00B63E8C" w:rsidRPr="009101B2" w:rsidRDefault="00B63E8C" w:rsidP="009101B2">
      <w:pPr>
        <w:spacing w:after="0" w:line="300" w:lineRule="auto"/>
        <w:jc w:val="both"/>
        <w:rPr>
          <w:rFonts w:ascii="Times New Roman" w:hAnsi="Times New Roman" w:cs="Times New Roman"/>
          <w:sz w:val="18"/>
          <w:szCs w:val="18"/>
        </w:rPr>
      </w:pPr>
      <w:r w:rsidRPr="009101B2">
        <w:rPr>
          <w:rFonts w:ascii="Times New Roman" w:hAnsi="Times New Roman" w:cs="Times New Roman"/>
          <w:sz w:val="18"/>
          <w:szCs w:val="18"/>
        </w:rPr>
        <w:t>*indicates lag order selected by the criterion</w:t>
      </w:r>
    </w:p>
    <w:p w:rsidR="00B63E8C" w:rsidRPr="009101B2" w:rsidRDefault="00B63E8C" w:rsidP="009101B2">
      <w:pPr>
        <w:spacing w:after="0" w:line="300" w:lineRule="auto"/>
        <w:jc w:val="both"/>
        <w:rPr>
          <w:rFonts w:ascii="Times New Roman" w:hAnsi="Times New Roman" w:cs="Times New Roman"/>
          <w:sz w:val="18"/>
          <w:szCs w:val="18"/>
        </w:rPr>
      </w:pPr>
      <w:r w:rsidRPr="009101B2">
        <w:rPr>
          <w:rFonts w:ascii="Times New Roman" w:hAnsi="Times New Roman" w:cs="Times New Roman"/>
          <w:sz w:val="18"/>
          <w:szCs w:val="18"/>
        </w:rPr>
        <w:t>LR: sequential modified LR test statistic (each test at 5% level)</w:t>
      </w:r>
      <w:r w:rsidRPr="009101B2">
        <w:rPr>
          <w:rFonts w:ascii="Times New Roman" w:hAnsi="Times New Roman" w:cs="Times New Roman"/>
          <w:sz w:val="18"/>
          <w:szCs w:val="18"/>
        </w:rPr>
        <w:tab/>
      </w:r>
    </w:p>
    <w:p w:rsidR="00B63E8C" w:rsidRPr="009101B2" w:rsidRDefault="00B63E8C" w:rsidP="009101B2">
      <w:pPr>
        <w:spacing w:after="0" w:line="300" w:lineRule="auto"/>
        <w:jc w:val="both"/>
        <w:rPr>
          <w:rFonts w:ascii="Times New Roman" w:hAnsi="Times New Roman" w:cs="Times New Roman"/>
          <w:sz w:val="18"/>
          <w:szCs w:val="18"/>
        </w:rPr>
      </w:pPr>
      <w:r w:rsidRPr="009101B2">
        <w:rPr>
          <w:rFonts w:ascii="Times New Roman" w:hAnsi="Times New Roman" w:cs="Times New Roman"/>
          <w:sz w:val="18"/>
          <w:szCs w:val="18"/>
        </w:rPr>
        <w:t>FPE: Final prediction error</w:t>
      </w:r>
    </w:p>
    <w:p w:rsidR="00B63E8C" w:rsidRPr="009101B2" w:rsidRDefault="00B63E8C" w:rsidP="009101B2">
      <w:pPr>
        <w:spacing w:after="0" w:line="300" w:lineRule="auto"/>
        <w:jc w:val="both"/>
        <w:rPr>
          <w:rFonts w:ascii="Times New Roman" w:hAnsi="Times New Roman" w:cs="Times New Roman"/>
          <w:sz w:val="18"/>
          <w:szCs w:val="18"/>
        </w:rPr>
      </w:pPr>
      <w:r w:rsidRPr="009101B2">
        <w:rPr>
          <w:rFonts w:ascii="Times New Roman" w:hAnsi="Times New Roman" w:cs="Times New Roman"/>
          <w:sz w:val="18"/>
          <w:szCs w:val="18"/>
        </w:rPr>
        <w:t>AIC: Akaike information criterion</w:t>
      </w:r>
    </w:p>
    <w:p w:rsidR="00B63E8C" w:rsidRPr="009101B2" w:rsidRDefault="00B63E8C" w:rsidP="009101B2">
      <w:pPr>
        <w:spacing w:after="0" w:line="300" w:lineRule="auto"/>
        <w:jc w:val="both"/>
        <w:rPr>
          <w:rFonts w:ascii="Times New Roman" w:hAnsi="Times New Roman" w:cs="Times New Roman"/>
          <w:sz w:val="18"/>
          <w:szCs w:val="18"/>
        </w:rPr>
      </w:pPr>
      <w:r w:rsidRPr="009101B2">
        <w:rPr>
          <w:rFonts w:ascii="Times New Roman" w:hAnsi="Times New Roman" w:cs="Times New Roman"/>
          <w:sz w:val="18"/>
          <w:szCs w:val="18"/>
        </w:rPr>
        <w:t>SC: Schwarz information criterion</w:t>
      </w:r>
    </w:p>
    <w:p w:rsidR="00B63E8C" w:rsidRPr="009101B2" w:rsidRDefault="00B63E8C" w:rsidP="009101B2">
      <w:pPr>
        <w:spacing w:after="0" w:line="300" w:lineRule="auto"/>
        <w:jc w:val="both"/>
        <w:rPr>
          <w:rFonts w:ascii="Times New Roman" w:hAnsi="Times New Roman" w:cs="Times New Roman"/>
          <w:sz w:val="18"/>
          <w:szCs w:val="18"/>
        </w:rPr>
      </w:pPr>
      <w:r w:rsidRPr="009101B2">
        <w:rPr>
          <w:rFonts w:ascii="Times New Roman" w:hAnsi="Times New Roman" w:cs="Times New Roman"/>
          <w:sz w:val="18"/>
          <w:szCs w:val="18"/>
        </w:rPr>
        <w:t>HQ: Hannan-Quinn information criterion</w:t>
      </w:r>
    </w:p>
    <w:p w:rsidR="00D821D3" w:rsidRPr="009101B2" w:rsidRDefault="00D821D3" w:rsidP="009101B2">
      <w:pPr>
        <w:spacing w:after="0" w:line="300" w:lineRule="auto"/>
        <w:jc w:val="both"/>
        <w:rPr>
          <w:rFonts w:ascii="Times New Roman" w:hAnsi="Times New Roman" w:cs="Times New Roman"/>
          <w:sz w:val="24"/>
          <w:szCs w:val="24"/>
        </w:rPr>
      </w:pPr>
    </w:p>
    <w:p w:rsidR="00D821D3" w:rsidRPr="009101B2" w:rsidRDefault="00D821D3" w:rsidP="009101B2">
      <w:pPr>
        <w:spacing w:after="0" w:line="300" w:lineRule="auto"/>
        <w:jc w:val="both"/>
        <w:rPr>
          <w:rFonts w:ascii="Times New Roman" w:hAnsi="Times New Roman" w:cs="Times New Roman"/>
          <w:b/>
          <w:sz w:val="24"/>
          <w:szCs w:val="24"/>
        </w:rPr>
        <w:sectPr w:rsidR="00D821D3" w:rsidRPr="009101B2" w:rsidSect="00B63E8C">
          <w:type w:val="continuous"/>
          <w:pgSz w:w="11907" w:h="16839" w:code="9"/>
          <w:pgMar w:top="1701" w:right="1701" w:bottom="1701" w:left="1701" w:header="720" w:footer="720" w:gutter="0"/>
          <w:cols w:space="720"/>
          <w:docGrid w:linePitch="360"/>
        </w:sectPr>
      </w:pPr>
    </w:p>
    <w:p w:rsidR="005C4EAD" w:rsidRPr="005C4EAD" w:rsidRDefault="005C4EAD" w:rsidP="005C4EAD">
      <w:pPr>
        <w:spacing w:after="0" w:line="300" w:lineRule="auto"/>
        <w:jc w:val="both"/>
        <w:rPr>
          <w:rFonts w:ascii="Times New Roman" w:hAnsi="Times New Roman" w:cs="Times New Roman"/>
          <w:b/>
          <w:sz w:val="24"/>
          <w:szCs w:val="24"/>
        </w:rPr>
      </w:pPr>
      <w:r w:rsidRPr="005C4EAD">
        <w:rPr>
          <w:rFonts w:ascii="Times New Roman" w:hAnsi="Times New Roman" w:cs="Times New Roman"/>
          <w:b/>
          <w:sz w:val="24"/>
          <w:szCs w:val="24"/>
        </w:rPr>
        <w:lastRenderedPageBreak/>
        <w:t>VAR Stability Testing</w:t>
      </w:r>
    </w:p>
    <w:p w:rsidR="005C4EAD" w:rsidRPr="005C4EAD" w:rsidRDefault="005C4EAD" w:rsidP="005C4EAD">
      <w:pPr>
        <w:spacing w:after="0" w:line="300" w:lineRule="auto"/>
        <w:ind w:firstLine="851"/>
        <w:jc w:val="both"/>
        <w:rPr>
          <w:rFonts w:ascii="Times New Roman" w:hAnsi="Times New Roman" w:cs="Times New Roman"/>
          <w:sz w:val="24"/>
          <w:szCs w:val="24"/>
        </w:rPr>
      </w:pPr>
      <w:r w:rsidRPr="005C4EAD">
        <w:rPr>
          <w:rFonts w:ascii="Times New Roman" w:hAnsi="Times New Roman" w:cs="Times New Roman"/>
          <w:sz w:val="24"/>
          <w:szCs w:val="24"/>
        </w:rPr>
        <w:t xml:space="preserve">The estimation results of the VAR equation system that have been formed are then tested for stability through the VAR stability condition check in the form of roots of the characteristic polynomial of all variables used multiplied by the number of lags of each VAR. If the modulus of </w:t>
      </w:r>
      <w:r w:rsidRPr="005C4EAD">
        <w:rPr>
          <w:rFonts w:ascii="Times New Roman" w:hAnsi="Times New Roman" w:cs="Times New Roman"/>
          <w:sz w:val="24"/>
          <w:szCs w:val="24"/>
        </w:rPr>
        <w:lastRenderedPageBreak/>
        <w:t>all sources of a characteristic polynomial is less than one, the VAR equation system is considered stable. After the VAR equation system is stable, an estimation of VECM can be performed. Based on the results of the VAR stability test, it can be concluded that the VAR system with the optimal lag that is used is stable.</w:t>
      </w:r>
    </w:p>
    <w:p w:rsidR="00E80B77" w:rsidRDefault="00E80B77" w:rsidP="009101B2">
      <w:pPr>
        <w:spacing w:after="0" w:line="300" w:lineRule="auto"/>
        <w:jc w:val="both"/>
        <w:rPr>
          <w:rFonts w:ascii="Times New Roman" w:hAnsi="Times New Roman" w:cs="Times New Roman"/>
          <w:sz w:val="24"/>
          <w:szCs w:val="24"/>
        </w:rPr>
        <w:sectPr w:rsidR="00E80B77" w:rsidSect="00E80B77">
          <w:type w:val="continuous"/>
          <w:pgSz w:w="11907" w:h="16839" w:code="9"/>
          <w:pgMar w:top="1701" w:right="1701" w:bottom="1701" w:left="1701" w:header="720" w:footer="720" w:gutter="0"/>
          <w:cols w:num="2" w:space="720"/>
          <w:docGrid w:linePitch="360"/>
        </w:sectPr>
      </w:pPr>
    </w:p>
    <w:p w:rsidR="009101B2" w:rsidRDefault="009101B2" w:rsidP="009101B2">
      <w:pPr>
        <w:spacing w:after="0" w:line="300" w:lineRule="auto"/>
        <w:jc w:val="both"/>
        <w:rPr>
          <w:rFonts w:ascii="Times New Roman" w:hAnsi="Times New Roman" w:cs="Times New Roman"/>
          <w:sz w:val="24"/>
          <w:szCs w:val="24"/>
        </w:rPr>
      </w:pPr>
    </w:p>
    <w:p w:rsidR="00ED4301" w:rsidRPr="009101B2" w:rsidRDefault="005C4EAD" w:rsidP="009101B2">
      <w:pPr>
        <w:spacing w:after="0" w:line="300" w:lineRule="auto"/>
        <w:jc w:val="both"/>
        <w:rPr>
          <w:rFonts w:ascii="Times New Roman" w:hAnsi="Times New Roman" w:cs="Times New Roman"/>
          <w:sz w:val="24"/>
          <w:szCs w:val="24"/>
        </w:rPr>
      </w:pPr>
      <w:r w:rsidRPr="005C4EAD">
        <w:rPr>
          <w:rFonts w:ascii="Times New Roman" w:hAnsi="Times New Roman" w:cs="Times New Roman"/>
          <w:sz w:val="24"/>
          <w:szCs w:val="24"/>
        </w:rPr>
        <w:t>Table 4. VAR Stability Testing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910"/>
        <w:gridCol w:w="3605"/>
      </w:tblGrid>
      <w:tr w:rsidR="009101B2" w:rsidRPr="009101B2" w:rsidTr="00845FCC">
        <w:trPr>
          <w:trHeight w:val="225"/>
        </w:trPr>
        <w:tc>
          <w:tcPr>
            <w:tcW w:w="2883" w:type="pct"/>
            <w:vAlign w:val="center"/>
          </w:tcPr>
          <w:p w:rsidR="009101B2" w:rsidRPr="009101B2" w:rsidRDefault="009101B2" w:rsidP="009101B2">
            <w:pPr>
              <w:autoSpaceDE w:val="0"/>
              <w:autoSpaceDN w:val="0"/>
              <w:adjustRightInd w:val="0"/>
              <w:spacing w:after="0" w:line="300" w:lineRule="auto"/>
              <w:jc w:val="center"/>
              <w:rPr>
                <w:rFonts w:ascii="Times New Roman" w:hAnsi="Times New Roman" w:cs="Times New Roman"/>
                <w:b/>
                <w:color w:val="000000"/>
                <w:sz w:val="24"/>
                <w:szCs w:val="24"/>
              </w:rPr>
            </w:pPr>
            <w:r w:rsidRPr="009101B2">
              <w:rPr>
                <w:rFonts w:ascii="Times New Roman" w:hAnsi="Times New Roman" w:cs="Times New Roman"/>
                <w:b/>
                <w:color w:val="000000"/>
                <w:sz w:val="24"/>
                <w:szCs w:val="24"/>
              </w:rPr>
              <w:t>Root</w:t>
            </w:r>
          </w:p>
        </w:tc>
        <w:tc>
          <w:tcPr>
            <w:tcW w:w="2117" w:type="pct"/>
            <w:vAlign w:val="center"/>
          </w:tcPr>
          <w:p w:rsidR="009101B2" w:rsidRPr="009101B2" w:rsidRDefault="009101B2" w:rsidP="009101B2">
            <w:pPr>
              <w:autoSpaceDE w:val="0"/>
              <w:autoSpaceDN w:val="0"/>
              <w:adjustRightInd w:val="0"/>
              <w:spacing w:after="0" w:line="300" w:lineRule="auto"/>
              <w:jc w:val="center"/>
              <w:rPr>
                <w:rFonts w:ascii="Times New Roman" w:hAnsi="Times New Roman" w:cs="Times New Roman"/>
                <w:b/>
                <w:color w:val="000000"/>
                <w:sz w:val="24"/>
                <w:szCs w:val="24"/>
              </w:rPr>
            </w:pPr>
            <w:r w:rsidRPr="009101B2">
              <w:rPr>
                <w:rFonts w:ascii="Times New Roman" w:hAnsi="Times New Roman" w:cs="Times New Roman"/>
                <w:b/>
                <w:color w:val="000000"/>
                <w:sz w:val="24"/>
                <w:szCs w:val="24"/>
              </w:rPr>
              <w:t>Modulus</w:t>
            </w:r>
          </w:p>
        </w:tc>
      </w:tr>
      <w:tr w:rsidR="009101B2" w:rsidRPr="009101B2" w:rsidTr="00845FCC">
        <w:trPr>
          <w:trHeight w:val="225"/>
        </w:trPr>
        <w:tc>
          <w:tcPr>
            <w:tcW w:w="2883" w:type="pct"/>
            <w:vAlign w:val="center"/>
          </w:tcPr>
          <w:p w:rsidR="009101B2" w:rsidRPr="009101B2" w:rsidRDefault="009101B2" w:rsidP="009101B2">
            <w:pPr>
              <w:autoSpaceDE w:val="0"/>
              <w:autoSpaceDN w:val="0"/>
              <w:adjustRightInd w:val="0"/>
              <w:spacing w:after="0" w:line="300" w:lineRule="auto"/>
              <w:rPr>
                <w:rFonts w:ascii="Times New Roman" w:hAnsi="Times New Roman" w:cs="Times New Roman"/>
                <w:color w:val="000000"/>
                <w:sz w:val="24"/>
                <w:szCs w:val="24"/>
              </w:rPr>
            </w:pPr>
            <w:r w:rsidRPr="009101B2">
              <w:rPr>
                <w:rFonts w:ascii="Times New Roman" w:hAnsi="Times New Roman" w:cs="Times New Roman"/>
                <w:color w:val="000000"/>
                <w:sz w:val="24"/>
                <w:szCs w:val="24"/>
              </w:rPr>
              <w:t> 0.993986</w:t>
            </w:r>
          </w:p>
        </w:tc>
        <w:tc>
          <w:tcPr>
            <w:tcW w:w="2117" w:type="pct"/>
            <w:vAlign w:val="center"/>
          </w:tcPr>
          <w:p w:rsidR="009101B2" w:rsidRPr="009101B2" w:rsidRDefault="009101B2" w:rsidP="009101B2">
            <w:pPr>
              <w:autoSpaceDE w:val="0"/>
              <w:autoSpaceDN w:val="0"/>
              <w:adjustRightInd w:val="0"/>
              <w:spacing w:after="0" w:line="300" w:lineRule="auto"/>
              <w:jc w:val="center"/>
              <w:rPr>
                <w:rFonts w:ascii="Times New Roman" w:hAnsi="Times New Roman" w:cs="Times New Roman"/>
                <w:color w:val="000000"/>
                <w:sz w:val="24"/>
                <w:szCs w:val="24"/>
              </w:rPr>
            </w:pPr>
            <w:r w:rsidRPr="009101B2">
              <w:rPr>
                <w:rFonts w:ascii="Times New Roman" w:hAnsi="Times New Roman" w:cs="Times New Roman"/>
                <w:color w:val="000000"/>
                <w:sz w:val="24"/>
                <w:szCs w:val="24"/>
              </w:rPr>
              <w:t> 0.993986</w:t>
            </w:r>
          </w:p>
        </w:tc>
      </w:tr>
      <w:tr w:rsidR="009101B2" w:rsidRPr="009101B2" w:rsidTr="00845FCC">
        <w:trPr>
          <w:trHeight w:val="225"/>
        </w:trPr>
        <w:tc>
          <w:tcPr>
            <w:tcW w:w="2883" w:type="pct"/>
            <w:vAlign w:val="center"/>
          </w:tcPr>
          <w:p w:rsidR="009101B2" w:rsidRPr="009101B2" w:rsidRDefault="009101B2" w:rsidP="009101B2">
            <w:pPr>
              <w:autoSpaceDE w:val="0"/>
              <w:autoSpaceDN w:val="0"/>
              <w:adjustRightInd w:val="0"/>
              <w:spacing w:after="0" w:line="300" w:lineRule="auto"/>
              <w:rPr>
                <w:rFonts w:ascii="Times New Roman" w:hAnsi="Times New Roman" w:cs="Times New Roman"/>
                <w:color w:val="000000"/>
                <w:sz w:val="24"/>
                <w:szCs w:val="24"/>
              </w:rPr>
            </w:pPr>
            <w:r w:rsidRPr="009101B2">
              <w:rPr>
                <w:rFonts w:ascii="Times New Roman" w:hAnsi="Times New Roman" w:cs="Times New Roman"/>
                <w:color w:val="000000"/>
                <w:sz w:val="24"/>
                <w:szCs w:val="24"/>
              </w:rPr>
              <w:t> 0.921546</w:t>
            </w:r>
          </w:p>
        </w:tc>
        <w:tc>
          <w:tcPr>
            <w:tcW w:w="2117" w:type="pct"/>
            <w:vAlign w:val="center"/>
          </w:tcPr>
          <w:p w:rsidR="009101B2" w:rsidRPr="009101B2" w:rsidRDefault="009101B2" w:rsidP="009101B2">
            <w:pPr>
              <w:autoSpaceDE w:val="0"/>
              <w:autoSpaceDN w:val="0"/>
              <w:adjustRightInd w:val="0"/>
              <w:spacing w:after="0" w:line="300" w:lineRule="auto"/>
              <w:jc w:val="center"/>
              <w:rPr>
                <w:rFonts w:ascii="Times New Roman" w:hAnsi="Times New Roman" w:cs="Times New Roman"/>
                <w:color w:val="000000"/>
                <w:sz w:val="24"/>
                <w:szCs w:val="24"/>
              </w:rPr>
            </w:pPr>
            <w:r w:rsidRPr="009101B2">
              <w:rPr>
                <w:rFonts w:ascii="Times New Roman" w:hAnsi="Times New Roman" w:cs="Times New Roman"/>
                <w:color w:val="000000"/>
                <w:sz w:val="24"/>
                <w:szCs w:val="24"/>
              </w:rPr>
              <w:t> 0.921546</w:t>
            </w:r>
          </w:p>
        </w:tc>
      </w:tr>
      <w:tr w:rsidR="009101B2" w:rsidRPr="009101B2" w:rsidTr="00845FCC">
        <w:trPr>
          <w:trHeight w:val="225"/>
        </w:trPr>
        <w:tc>
          <w:tcPr>
            <w:tcW w:w="2883" w:type="pct"/>
            <w:vAlign w:val="center"/>
          </w:tcPr>
          <w:p w:rsidR="009101B2" w:rsidRPr="009101B2" w:rsidRDefault="009101B2" w:rsidP="009101B2">
            <w:pPr>
              <w:autoSpaceDE w:val="0"/>
              <w:autoSpaceDN w:val="0"/>
              <w:adjustRightInd w:val="0"/>
              <w:spacing w:after="0" w:line="300" w:lineRule="auto"/>
              <w:rPr>
                <w:rFonts w:ascii="Times New Roman" w:hAnsi="Times New Roman" w:cs="Times New Roman"/>
                <w:color w:val="000000"/>
                <w:sz w:val="24"/>
                <w:szCs w:val="24"/>
              </w:rPr>
            </w:pPr>
            <w:r w:rsidRPr="009101B2">
              <w:rPr>
                <w:rFonts w:ascii="Times New Roman" w:hAnsi="Times New Roman" w:cs="Times New Roman"/>
                <w:color w:val="000000"/>
                <w:sz w:val="24"/>
                <w:szCs w:val="24"/>
              </w:rPr>
              <w:t> 0.844538 - 0.020727i</w:t>
            </w:r>
          </w:p>
        </w:tc>
        <w:tc>
          <w:tcPr>
            <w:tcW w:w="2117" w:type="pct"/>
            <w:vAlign w:val="center"/>
          </w:tcPr>
          <w:p w:rsidR="009101B2" w:rsidRPr="009101B2" w:rsidRDefault="009101B2" w:rsidP="009101B2">
            <w:pPr>
              <w:autoSpaceDE w:val="0"/>
              <w:autoSpaceDN w:val="0"/>
              <w:adjustRightInd w:val="0"/>
              <w:spacing w:after="0" w:line="300" w:lineRule="auto"/>
              <w:jc w:val="center"/>
              <w:rPr>
                <w:rFonts w:ascii="Times New Roman" w:hAnsi="Times New Roman" w:cs="Times New Roman"/>
                <w:color w:val="000000"/>
                <w:sz w:val="24"/>
                <w:szCs w:val="24"/>
              </w:rPr>
            </w:pPr>
            <w:r w:rsidRPr="009101B2">
              <w:rPr>
                <w:rFonts w:ascii="Times New Roman" w:hAnsi="Times New Roman" w:cs="Times New Roman"/>
                <w:color w:val="000000"/>
                <w:sz w:val="24"/>
                <w:szCs w:val="24"/>
              </w:rPr>
              <w:t> 0.844792</w:t>
            </w:r>
          </w:p>
        </w:tc>
      </w:tr>
      <w:tr w:rsidR="009101B2" w:rsidRPr="009101B2" w:rsidTr="00845FCC">
        <w:trPr>
          <w:trHeight w:val="225"/>
        </w:trPr>
        <w:tc>
          <w:tcPr>
            <w:tcW w:w="2883" w:type="pct"/>
            <w:vAlign w:val="center"/>
          </w:tcPr>
          <w:p w:rsidR="009101B2" w:rsidRPr="009101B2" w:rsidRDefault="009101B2" w:rsidP="009101B2">
            <w:pPr>
              <w:autoSpaceDE w:val="0"/>
              <w:autoSpaceDN w:val="0"/>
              <w:adjustRightInd w:val="0"/>
              <w:spacing w:after="0" w:line="300" w:lineRule="auto"/>
              <w:rPr>
                <w:rFonts w:ascii="Times New Roman" w:hAnsi="Times New Roman" w:cs="Times New Roman"/>
                <w:color w:val="000000"/>
                <w:sz w:val="24"/>
                <w:szCs w:val="24"/>
              </w:rPr>
            </w:pPr>
            <w:r w:rsidRPr="009101B2">
              <w:rPr>
                <w:rFonts w:ascii="Times New Roman" w:hAnsi="Times New Roman" w:cs="Times New Roman"/>
                <w:color w:val="000000"/>
                <w:sz w:val="24"/>
                <w:szCs w:val="24"/>
              </w:rPr>
              <w:t> 0.844538 + 0.020727i</w:t>
            </w:r>
          </w:p>
        </w:tc>
        <w:tc>
          <w:tcPr>
            <w:tcW w:w="2117" w:type="pct"/>
            <w:vAlign w:val="center"/>
          </w:tcPr>
          <w:p w:rsidR="009101B2" w:rsidRPr="009101B2" w:rsidRDefault="009101B2" w:rsidP="009101B2">
            <w:pPr>
              <w:autoSpaceDE w:val="0"/>
              <w:autoSpaceDN w:val="0"/>
              <w:adjustRightInd w:val="0"/>
              <w:spacing w:after="0" w:line="300" w:lineRule="auto"/>
              <w:jc w:val="center"/>
              <w:rPr>
                <w:rFonts w:ascii="Times New Roman" w:hAnsi="Times New Roman" w:cs="Times New Roman"/>
                <w:color w:val="000000"/>
                <w:sz w:val="24"/>
                <w:szCs w:val="24"/>
              </w:rPr>
            </w:pPr>
            <w:r w:rsidRPr="009101B2">
              <w:rPr>
                <w:rFonts w:ascii="Times New Roman" w:hAnsi="Times New Roman" w:cs="Times New Roman"/>
                <w:color w:val="000000"/>
                <w:sz w:val="24"/>
                <w:szCs w:val="24"/>
              </w:rPr>
              <w:t> 0.844792</w:t>
            </w:r>
          </w:p>
        </w:tc>
      </w:tr>
    </w:tbl>
    <w:p w:rsidR="009101B2" w:rsidRPr="005578A2" w:rsidRDefault="009101B2" w:rsidP="005578A2">
      <w:pPr>
        <w:spacing w:after="0" w:line="240" w:lineRule="auto"/>
        <w:jc w:val="both"/>
        <w:rPr>
          <w:rFonts w:ascii="Times New Roman" w:hAnsi="Times New Roman" w:cs="Times New Roman"/>
          <w:sz w:val="16"/>
          <w:szCs w:val="16"/>
        </w:rPr>
      </w:pPr>
      <w:r w:rsidRPr="005578A2">
        <w:rPr>
          <w:rFonts w:ascii="Times New Roman" w:hAnsi="Times New Roman" w:cs="Times New Roman"/>
          <w:sz w:val="16"/>
          <w:szCs w:val="16"/>
        </w:rPr>
        <w:t>No root lies outside the unit circle.</w:t>
      </w:r>
    </w:p>
    <w:p w:rsidR="009101B2" w:rsidRPr="005578A2" w:rsidRDefault="009101B2" w:rsidP="005578A2">
      <w:pPr>
        <w:spacing w:after="0" w:line="240" w:lineRule="auto"/>
        <w:jc w:val="both"/>
        <w:rPr>
          <w:rFonts w:ascii="Times New Roman" w:hAnsi="Times New Roman" w:cs="Times New Roman"/>
          <w:sz w:val="16"/>
          <w:szCs w:val="16"/>
        </w:rPr>
      </w:pPr>
      <w:r w:rsidRPr="005578A2">
        <w:rPr>
          <w:rFonts w:ascii="Times New Roman" w:hAnsi="Times New Roman" w:cs="Times New Roman"/>
          <w:sz w:val="16"/>
          <w:szCs w:val="16"/>
        </w:rPr>
        <w:t>VAR satisfies the stability condition.</w:t>
      </w:r>
    </w:p>
    <w:p w:rsidR="009101B2" w:rsidRDefault="009101B2" w:rsidP="009101B2">
      <w:pPr>
        <w:spacing w:after="0" w:line="300" w:lineRule="auto"/>
        <w:ind w:left="851" w:hanging="851"/>
        <w:jc w:val="both"/>
        <w:rPr>
          <w:rFonts w:ascii="Times New Roman" w:hAnsi="Times New Roman" w:cs="Times New Roman"/>
          <w:b/>
          <w:sz w:val="24"/>
          <w:szCs w:val="24"/>
        </w:rPr>
      </w:pPr>
    </w:p>
    <w:p w:rsidR="00E80B77" w:rsidRDefault="00E80B77" w:rsidP="00830062">
      <w:pPr>
        <w:spacing w:after="0" w:line="300" w:lineRule="auto"/>
        <w:jc w:val="both"/>
        <w:rPr>
          <w:rFonts w:ascii="Times New Roman" w:hAnsi="Times New Roman" w:cs="Times New Roman"/>
          <w:b/>
          <w:sz w:val="24"/>
          <w:szCs w:val="24"/>
        </w:rPr>
        <w:sectPr w:rsidR="00E80B77" w:rsidSect="00B63E8C">
          <w:type w:val="continuous"/>
          <w:pgSz w:w="11907" w:h="16839" w:code="9"/>
          <w:pgMar w:top="1701" w:right="1701" w:bottom="1701" w:left="1701" w:header="720" w:footer="720" w:gutter="0"/>
          <w:cols w:space="720"/>
          <w:docGrid w:linePitch="360"/>
        </w:sectPr>
      </w:pPr>
    </w:p>
    <w:p w:rsidR="00830062" w:rsidRPr="00830062" w:rsidRDefault="00830062" w:rsidP="00830062">
      <w:pPr>
        <w:spacing w:after="0" w:line="300" w:lineRule="auto"/>
        <w:jc w:val="both"/>
        <w:rPr>
          <w:rFonts w:ascii="Times New Roman" w:hAnsi="Times New Roman" w:cs="Times New Roman"/>
          <w:b/>
          <w:sz w:val="24"/>
          <w:szCs w:val="24"/>
        </w:rPr>
      </w:pPr>
      <w:r w:rsidRPr="00830062">
        <w:rPr>
          <w:rFonts w:ascii="Times New Roman" w:hAnsi="Times New Roman" w:cs="Times New Roman"/>
          <w:b/>
          <w:sz w:val="24"/>
          <w:szCs w:val="24"/>
        </w:rPr>
        <w:lastRenderedPageBreak/>
        <w:t>VECM Testing</w:t>
      </w:r>
    </w:p>
    <w:p w:rsidR="00830062" w:rsidRPr="00830062" w:rsidRDefault="00830062" w:rsidP="00830062">
      <w:pPr>
        <w:spacing w:after="0" w:line="300" w:lineRule="auto"/>
        <w:ind w:firstLine="851"/>
        <w:jc w:val="both"/>
        <w:rPr>
          <w:rFonts w:ascii="Times New Roman" w:hAnsi="Times New Roman" w:cs="Times New Roman"/>
          <w:sz w:val="24"/>
          <w:szCs w:val="24"/>
        </w:rPr>
      </w:pPr>
      <w:r w:rsidRPr="00830062">
        <w:rPr>
          <w:rFonts w:ascii="Times New Roman" w:hAnsi="Times New Roman" w:cs="Times New Roman"/>
          <w:sz w:val="24"/>
          <w:szCs w:val="24"/>
        </w:rPr>
        <w:t>From the results of processing the VAR test will compare the calculated t-statistic value in the square brackets with the t-statistic value (α / 2, n-1) = 1,652 with the reject rule H</w:t>
      </w:r>
      <w:r w:rsidRPr="00830062">
        <w:rPr>
          <w:rFonts w:ascii="Times New Roman" w:hAnsi="Times New Roman" w:cs="Times New Roman"/>
          <w:sz w:val="24"/>
          <w:szCs w:val="24"/>
          <w:vertAlign w:val="subscript"/>
        </w:rPr>
        <w:t>0</w:t>
      </w:r>
      <w:r w:rsidRPr="00830062">
        <w:rPr>
          <w:rFonts w:ascii="Times New Roman" w:hAnsi="Times New Roman" w:cs="Times New Roman"/>
          <w:sz w:val="24"/>
          <w:szCs w:val="24"/>
        </w:rPr>
        <w:t xml:space="preserve"> if the calculated t-statistic value &lt;-1,652 or t-statistic count&gt; 1,652. The hypotheses used are:</w:t>
      </w:r>
    </w:p>
    <w:p w:rsidR="00830062" w:rsidRPr="00830062" w:rsidRDefault="00830062" w:rsidP="00830062">
      <w:pPr>
        <w:spacing w:after="0" w:line="300" w:lineRule="auto"/>
        <w:jc w:val="both"/>
        <w:rPr>
          <w:rFonts w:ascii="Times New Roman" w:hAnsi="Times New Roman" w:cs="Times New Roman"/>
          <w:sz w:val="24"/>
          <w:szCs w:val="24"/>
        </w:rPr>
      </w:pPr>
      <w:r w:rsidRPr="00830062">
        <w:rPr>
          <w:rFonts w:ascii="Times New Roman" w:hAnsi="Times New Roman" w:cs="Times New Roman"/>
          <w:sz w:val="24"/>
          <w:szCs w:val="24"/>
        </w:rPr>
        <w:t>H</w:t>
      </w:r>
      <w:r w:rsidRPr="00830062">
        <w:rPr>
          <w:rFonts w:ascii="Times New Roman" w:hAnsi="Times New Roman" w:cs="Times New Roman"/>
          <w:sz w:val="24"/>
          <w:szCs w:val="24"/>
          <w:vertAlign w:val="subscript"/>
        </w:rPr>
        <w:t>0</w:t>
      </w:r>
      <w:r w:rsidRPr="00830062">
        <w:rPr>
          <w:rFonts w:ascii="Times New Roman" w:hAnsi="Times New Roman" w:cs="Times New Roman"/>
          <w:sz w:val="24"/>
          <w:szCs w:val="24"/>
        </w:rPr>
        <w:t>: the independent variable does not influence the dependent variable</w:t>
      </w:r>
    </w:p>
    <w:p w:rsidR="00830062" w:rsidRPr="00830062" w:rsidRDefault="00830062" w:rsidP="00830062">
      <w:pPr>
        <w:spacing w:after="0" w:line="300" w:lineRule="auto"/>
        <w:jc w:val="both"/>
        <w:rPr>
          <w:rFonts w:ascii="Times New Roman" w:hAnsi="Times New Roman" w:cs="Times New Roman"/>
          <w:sz w:val="24"/>
          <w:szCs w:val="24"/>
        </w:rPr>
      </w:pPr>
      <w:r w:rsidRPr="00830062">
        <w:rPr>
          <w:rFonts w:ascii="Times New Roman" w:hAnsi="Times New Roman" w:cs="Times New Roman"/>
          <w:sz w:val="24"/>
          <w:szCs w:val="24"/>
        </w:rPr>
        <w:t>H</w:t>
      </w:r>
      <w:r w:rsidRPr="00830062">
        <w:rPr>
          <w:rFonts w:ascii="Times New Roman" w:hAnsi="Times New Roman" w:cs="Times New Roman"/>
          <w:sz w:val="24"/>
          <w:szCs w:val="24"/>
          <w:vertAlign w:val="subscript"/>
        </w:rPr>
        <w:t>1</w:t>
      </w:r>
      <w:r w:rsidRPr="00830062">
        <w:rPr>
          <w:rFonts w:ascii="Times New Roman" w:hAnsi="Times New Roman" w:cs="Times New Roman"/>
          <w:sz w:val="24"/>
          <w:szCs w:val="24"/>
        </w:rPr>
        <w:t>: The independent variable significantly influences the dependent variable</w:t>
      </w:r>
    </w:p>
    <w:p w:rsidR="00830062" w:rsidRPr="00830062" w:rsidRDefault="00830062" w:rsidP="00830062">
      <w:pPr>
        <w:spacing w:after="0" w:line="300" w:lineRule="auto"/>
        <w:ind w:firstLine="851"/>
        <w:jc w:val="both"/>
        <w:rPr>
          <w:rFonts w:ascii="Times New Roman" w:hAnsi="Times New Roman" w:cs="Times New Roman"/>
          <w:sz w:val="24"/>
          <w:szCs w:val="24"/>
        </w:rPr>
      </w:pPr>
      <w:r w:rsidRPr="00830062">
        <w:rPr>
          <w:rFonts w:ascii="Times New Roman" w:hAnsi="Times New Roman" w:cs="Times New Roman"/>
          <w:sz w:val="24"/>
          <w:szCs w:val="24"/>
        </w:rPr>
        <w:t xml:space="preserve">The adjustment mechanism from the short run to the long run shown by the cointegration of errors shows significant results. This condition indicates that there is an adjustment from the short term to a long time, or in other words, Islamic banking is longer in achieving stability. The EXC variable that reflects the exchange rate has a </w:t>
      </w:r>
      <w:r w:rsidRPr="00830062">
        <w:rPr>
          <w:rFonts w:ascii="Times New Roman" w:hAnsi="Times New Roman" w:cs="Times New Roman"/>
          <w:sz w:val="24"/>
          <w:szCs w:val="24"/>
        </w:rPr>
        <w:lastRenderedPageBreak/>
        <w:t xml:space="preserve">positive and significant effect on financing using the musharaka contract at a 5 percent real level, with the resulting coefficient of 0.051187. The results showed that when there was an increase in the exchange rate, which meant a weakening of the rupiah currency, it would increase financing by Islamic banks using the </w:t>
      </w:r>
      <w:r>
        <w:rPr>
          <w:rFonts w:ascii="Times New Roman" w:hAnsi="Times New Roman" w:cs="Times New Roman"/>
          <w:sz w:val="24"/>
          <w:szCs w:val="24"/>
        </w:rPr>
        <w:t>musharaka</w:t>
      </w:r>
      <w:r w:rsidRPr="00830062">
        <w:rPr>
          <w:rFonts w:ascii="Times New Roman" w:hAnsi="Times New Roman" w:cs="Times New Roman"/>
          <w:sz w:val="24"/>
          <w:szCs w:val="24"/>
        </w:rPr>
        <w:t xml:space="preserve"> contract by 0.051187 percent. </w:t>
      </w:r>
      <w:r>
        <w:rPr>
          <w:rFonts w:ascii="Times New Roman" w:hAnsi="Times New Roman" w:cs="Times New Roman"/>
          <w:sz w:val="24"/>
          <w:szCs w:val="24"/>
        </w:rPr>
        <w:t>Musharaka</w:t>
      </w:r>
      <w:r w:rsidRPr="00830062">
        <w:rPr>
          <w:rFonts w:ascii="Times New Roman" w:hAnsi="Times New Roman" w:cs="Times New Roman"/>
          <w:sz w:val="24"/>
          <w:szCs w:val="24"/>
        </w:rPr>
        <w:t xml:space="preserve"> is a contract of cooperation between two or more parties for a specific business, where each party contributes funds provided that the profits and losses are shared based on the agreement. The weakening of the rupiah has resulted in domestic trade relying on imported goods, which will automatically weaken people's purchasing power because the price of goods has increased. So the possibility of decreased business turnover and will reduce the velocity of money.</w:t>
      </w:r>
    </w:p>
    <w:p w:rsidR="00E80B77" w:rsidRDefault="00E80B77" w:rsidP="00830062">
      <w:pPr>
        <w:spacing w:after="0" w:line="300" w:lineRule="auto"/>
        <w:jc w:val="both"/>
        <w:rPr>
          <w:rFonts w:ascii="Times New Roman" w:hAnsi="Times New Roman" w:cs="Times New Roman"/>
          <w:sz w:val="24"/>
          <w:szCs w:val="24"/>
        </w:rPr>
        <w:sectPr w:rsidR="00E80B77" w:rsidSect="00E80B77">
          <w:type w:val="continuous"/>
          <w:pgSz w:w="11907" w:h="16839" w:code="9"/>
          <w:pgMar w:top="1701" w:right="1701" w:bottom="1701" w:left="1701" w:header="720" w:footer="720" w:gutter="0"/>
          <w:cols w:num="2" w:space="720"/>
          <w:docGrid w:linePitch="360"/>
        </w:sectPr>
      </w:pPr>
    </w:p>
    <w:p w:rsidR="005C4EAD" w:rsidRPr="00830062" w:rsidRDefault="005C4EAD" w:rsidP="00830062">
      <w:pPr>
        <w:spacing w:after="0" w:line="300" w:lineRule="auto"/>
        <w:jc w:val="both"/>
        <w:rPr>
          <w:rFonts w:ascii="Times New Roman" w:hAnsi="Times New Roman" w:cs="Times New Roman"/>
          <w:sz w:val="24"/>
          <w:szCs w:val="24"/>
        </w:rPr>
      </w:pPr>
    </w:p>
    <w:p w:rsidR="00ED4301" w:rsidRDefault="00AB79CD" w:rsidP="009101B2">
      <w:pPr>
        <w:spacing w:after="0" w:line="300" w:lineRule="auto"/>
        <w:jc w:val="both"/>
        <w:rPr>
          <w:rFonts w:ascii="Times New Roman" w:hAnsi="Times New Roman" w:cs="Times New Roman"/>
          <w:sz w:val="24"/>
          <w:szCs w:val="24"/>
        </w:rPr>
      </w:pPr>
      <w:r w:rsidRPr="009101B2">
        <w:rPr>
          <w:rFonts w:ascii="Times New Roman" w:hAnsi="Times New Roman" w:cs="Times New Roman"/>
          <w:sz w:val="24"/>
          <w:szCs w:val="24"/>
        </w:rPr>
        <w:t>Ta</w:t>
      </w:r>
      <w:r w:rsidR="00EF216D">
        <w:rPr>
          <w:rFonts w:ascii="Times New Roman" w:hAnsi="Times New Roman" w:cs="Times New Roman"/>
          <w:sz w:val="24"/>
          <w:szCs w:val="24"/>
        </w:rPr>
        <w:t>bel 5</w:t>
      </w:r>
      <w:r w:rsidR="00CA73DE">
        <w:rPr>
          <w:rFonts w:ascii="Times New Roman" w:hAnsi="Times New Roman" w:cs="Times New Roman"/>
          <w:sz w:val="24"/>
          <w:szCs w:val="24"/>
        </w:rPr>
        <w:t>. Hasil Pengujian VECM</w:t>
      </w:r>
    </w:p>
    <w:tbl>
      <w:tblPr>
        <w:tblStyle w:val="TableGrid"/>
        <w:tblW w:w="0" w:type="auto"/>
        <w:tblLook w:val="04A0"/>
      </w:tblPr>
      <w:tblGrid>
        <w:gridCol w:w="2907"/>
        <w:gridCol w:w="2907"/>
        <w:gridCol w:w="2907"/>
      </w:tblGrid>
      <w:tr w:rsidR="00845FCC" w:rsidRPr="00845FCC" w:rsidTr="00845FCC">
        <w:tc>
          <w:tcPr>
            <w:tcW w:w="2907" w:type="dxa"/>
            <w:vMerge w:val="restart"/>
            <w:vAlign w:val="center"/>
          </w:tcPr>
          <w:p w:rsidR="00845FCC" w:rsidRPr="00845FCC" w:rsidRDefault="00845FCC" w:rsidP="00845FCC">
            <w:pPr>
              <w:spacing w:line="300" w:lineRule="auto"/>
              <w:jc w:val="center"/>
              <w:rPr>
                <w:rFonts w:ascii="Times New Roman" w:hAnsi="Times New Roman" w:cs="Times New Roman"/>
                <w:b/>
                <w:sz w:val="24"/>
                <w:szCs w:val="24"/>
              </w:rPr>
            </w:pPr>
            <w:r w:rsidRPr="00845FCC">
              <w:rPr>
                <w:rFonts w:ascii="Times New Roman" w:hAnsi="Times New Roman" w:cs="Times New Roman"/>
                <w:b/>
                <w:sz w:val="24"/>
                <w:szCs w:val="24"/>
              </w:rPr>
              <w:t>Variab</w:t>
            </w:r>
            <w:r w:rsidR="00E841A7">
              <w:rPr>
                <w:rFonts w:ascii="Times New Roman" w:hAnsi="Times New Roman" w:cs="Times New Roman"/>
                <w:b/>
                <w:sz w:val="24"/>
                <w:szCs w:val="24"/>
              </w:rPr>
              <w:t>le</w:t>
            </w:r>
          </w:p>
        </w:tc>
        <w:tc>
          <w:tcPr>
            <w:tcW w:w="2907" w:type="dxa"/>
            <w:vAlign w:val="center"/>
          </w:tcPr>
          <w:p w:rsidR="00845FCC" w:rsidRPr="00845FCC" w:rsidRDefault="00E841A7" w:rsidP="00845FCC">
            <w:pPr>
              <w:spacing w:line="300" w:lineRule="auto"/>
              <w:jc w:val="center"/>
              <w:rPr>
                <w:rFonts w:ascii="Times New Roman" w:hAnsi="Times New Roman" w:cs="Times New Roman"/>
                <w:b/>
                <w:sz w:val="24"/>
                <w:szCs w:val="24"/>
              </w:rPr>
            </w:pPr>
            <w:r w:rsidRPr="00E841A7">
              <w:rPr>
                <w:rFonts w:ascii="Times New Roman" w:hAnsi="Times New Roman" w:cs="Times New Roman"/>
                <w:b/>
                <w:sz w:val="24"/>
                <w:szCs w:val="24"/>
              </w:rPr>
              <w:t>Coefficient</w:t>
            </w:r>
          </w:p>
        </w:tc>
        <w:tc>
          <w:tcPr>
            <w:tcW w:w="2907" w:type="dxa"/>
            <w:vMerge w:val="restart"/>
            <w:vAlign w:val="center"/>
          </w:tcPr>
          <w:p w:rsidR="00845FCC" w:rsidRPr="00845FCC" w:rsidRDefault="00845FCC" w:rsidP="00E841A7">
            <w:pPr>
              <w:spacing w:line="300" w:lineRule="auto"/>
              <w:jc w:val="center"/>
              <w:rPr>
                <w:rFonts w:ascii="Times New Roman" w:hAnsi="Times New Roman" w:cs="Times New Roman"/>
                <w:b/>
                <w:sz w:val="24"/>
                <w:szCs w:val="24"/>
              </w:rPr>
            </w:pPr>
            <w:r w:rsidRPr="00845FCC">
              <w:rPr>
                <w:rFonts w:ascii="Times New Roman" w:hAnsi="Times New Roman" w:cs="Times New Roman"/>
                <w:b/>
                <w:sz w:val="24"/>
                <w:szCs w:val="24"/>
              </w:rPr>
              <w:t>|</w:t>
            </w:r>
            <w:r w:rsidR="00E841A7" w:rsidRPr="00E841A7">
              <w:rPr>
                <w:rFonts w:ascii="Times New Roman" w:hAnsi="Times New Roman" w:cs="Times New Roman"/>
                <w:b/>
                <w:sz w:val="24"/>
                <w:szCs w:val="24"/>
              </w:rPr>
              <w:t>t-statistics</w:t>
            </w:r>
            <w:r w:rsidRPr="00845FCC">
              <w:rPr>
                <w:rFonts w:ascii="Times New Roman" w:hAnsi="Times New Roman" w:cs="Times New Roman"/>
                <w:b/>
                <w:sz w:val="24"/>
                <w:szCs w:val="24"/>
              </w:rPr>
              <w:t>|</w:t>
            </w:r>
          </w:p>
        </w:tc>
      </w:tr>
      <w:tr w:rsidR="00845FCC" w:rsidRPr="00845FCC" w:rsidTr="00845FCC">
        <w:tc>
          <w:tcPr>
            <w:tcW w:w="2907" w:type="dxa"/>
            <w:vMerge/>
            <w:vAlign w:val="center"/>
          </w:tcPr>
          <w:p w:rsidR="00845FCC" w:rsidRPr="00845FCC" w:rsidRDefault="00845FCC" w:rsidP="00845FCC">
            <w:pPr>
              <w:spacing w:line="300" w:lineRule="auto"/>
              <w:jc w:val="center"/>
              <w:rPr>
                <w:rFonts w:ascii="Times New Roman" w:hAnsi="Times New Roman" w:cs="Times New Roman"/>
                <w:b/>
                <w:sz w:val="24"/>
                <w:szCs w:val="24"/>
              </w:rPr>
            </w:pPr>
          </w:p>
        </w:tc>
        <w:tc>
          <w:tcPr>
            <w:tcW w:w="2907" w:type="dxa"/>
            <w:vAlign w:val="center"/>
          </w:tcPr>
          <w:p w:rsidR="00845FCC" w:rsidRPr="00845FCC" w:rsidRDefault="00E841A7" w:rsidP="00E841A7">
            <w:pPr>
              <w:jc w:val="center"/>
              <w:rPr>
                <w:rFonts w:ascii="Times New Roman" w:hAnsi="Times New Roman" w:cs="Times New Roman"/>
                <w:b/>
                <w:sz w:val="24"/>
                <w:szCs w:val="24"/>
              </w:rPr>
            </w:pPr>
            <w:r w:rsidRPr="00E841A7">
              <w:rPr>
                <w:rFonts w:ascii="Times New Roman" w:hAnsi="Times New Roman" w:cs="Times New Roman"/>
                <w:b/>
                <w:sz w:val="24"/>
                <w:szCs w:val="24"/>
              </w:rPr>
              <w:t>Short-term</w:t>
            </w:r>
          </w:p>
        </w:tc>
        <w:tc>
          <w:tcPr>
            <w:tcW w:w="2907" w:type="dxa"/>
            <w:vMerge/>
            <w:vAlign w:val="center"/>
          </w:tcPr>
          <w:p w:rsidR="00845FCC" w:rsidRPr="00845FCC" w:rsidRDefault="00845FCC" w:rsidP="00845FCC">
            <w:pPr>
              <w:spacing w:line="300" w:lineRule="auto"/>
              <w:jc w:val="center"/>
              <w:rPr>
                <w:rFonts w:ascii="Times New Roman" w:hAnsi="Times New Roman" w:cs="Times New Roman"/>
                <w:b/>
                <w:sz w:val="24"/>
                <w:szCs w:val="24"/>
              </w:rPr>
            </w:pPr>
          </w:p>
        </w:tc>
      </w:tr>
      <w:tr w:rsidR="00EF216D" w:rsidTr="00845FCC">
        <w:tc>
          <w:tcPr>
            <w:tcW w:w="2907" w:type="dxa"/>
            <w:vAlign w:val="center"/>
          </w:tcPr>
          <w:p w:rsid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CointEq1</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-0.059496</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-1.53663</w:t>
            </w:r>
            <w:r w:rsidR="00845FCC">
              <w:rPr>
                <w:rFonts w:ascii="Times New Roman" w:hAnsi="Times New Roman" w:cs="Times New Roman"/>
                <w:sz w:val="24"/>
                <w:szCs w:val="24"/>
              </w:rPr>
              <w:t>*</w:t>
            </w:r>
          </w:p>
        </w:tc>
      </w:tr>
      <w:tr w:rsidR="00EF216D" w:rsidTr="00845FCC">
        <w:tc>
          <w:tcPr>
            <w:tcW w:w="2907" w:type="dxa"/>
            <w:vAlign w:val="center"/>
          </w:tcPr>
          <w:p w:rsid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D(MUSY(-1))</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-0.090057</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-1.09635</w:t>
            </w:r>
            <w:r w:rsidR="00845FCC">
              <w:rPr>
                <w:rFonts w:ascii="Times New Roman" w:hAnsi="Times New Roman" w:cs="Times New Roman"/>
                <w:sz w:val="24"/>
                <w:szCs w:val="24"/>
              </w:rPr>
              <w:t>*</w:t>
            </w:r>
          </w:p>
        </w:tc>
      </w:tr>
      <w:tr w:rsidR="00EF216D" w:rsidTr="00845FCC">
        <w:tc>
          <w:tcPr>
            <w:tcW w:w="2907" w:type="dxa"/>
            <w:vAlign w:val="center"/>
          </w:tcPr>
          <w:p w:rsid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D(EXR(-1))</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0.051187</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0.12844</w:t>
            </w:r>
            <w:r w:rsidR="00845FCC">
              <w:rPr>
                <w:rFonts w:ascii="Times New Roman" w:hAnsi="Times New Roman" w:cs="Times New Roman"/>
                <w:sz w:val="24"/>
                <w:szCs w:val="24"/>
              </w:rPr>
              <w:t>*</w:t>
            </w:r>
          </w:p>
        </w:tc>
      </w:tr>
      <w:tr w:rsidR="00EF216D" w:rsidTr="00845FCC">
        <w:tc>
          <w:tcPr>
            <w:tcW w:w="2907" w:type="dxa"/>
            <w:vAlign w:val="center"/>
          </w:tcPr>
          <w:p w:rsid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D(CPI(-1))</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-1.764391</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-1.4751</w:t>
            </w:r>
            <w:r w:rsidR="00845FCC">
              <w:rPr>
                <w:rFonts w:ascii="Times New Roman" w:hAnsi="Times New Roman" w:cs="Times New Roman"/>
                <w:sz w:val="24"/>
                <w:szCs w:val="24"/>
              </w:rPr>
              <w:t>*</w:t>
            </w:r>
          </w:p>
        </w:tc>
      </w:tr>
      <w:tr w:rsidR="00EF216D" w:rsidTr="00845FCC">
        <w:tc>
          <w:tcPr>
            <w:tcW w:w="2907" w:type="dxa"/>
            <w:vAlign w:val="center"/>
          </w:tcPr>
          <w:p w:rsid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D(BIR(-1))</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1.732452</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0.79229</w:t>
            </w:r>
            <w:r w:rsidR="00845FCC">
              <w:rPr>
                <w:rFonts w:ascii="Times New Roman" w:hAnsi="Times New Roman" w:cs="Times New Roman"/>
                <w:sz w:val="24"/>
                <w:szCs w:val="24"/>
              </w:rPr>
              <w:t>*</w:t>
            </w:r>
          </w:p>
        </w:tc>
      </w:tr>
      <w:tr w:rsidR="00EF216D" w:rsidTr="00845FCC">
        <w:tc>
          <w:tcPr>
            <w:tcW w:w="2907" w:type="dxa"/>
            <w:vAlign w:val="center"/>
          </w:tcPr>
          <w:p w:rsid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C</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0.027875</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1.87826</w:t>
            </w:r>
          </w:p>
        </w:tc>
      </w:tr>
      <w:tr w:rsidR="00EF216D" w:rsidRPr="00845FCC" w:rsidTr="00845FCC">
        <w:tc>
          <w:tcPr>
            <w:tcW w:w="2907" w:type="dxa"/>
            <w:vAlign w:val="center"/>
          </w:tcPr>
          <w:p w:rsidR="00EF216D" w:rsidRPr="00845FCC" w:rsidRDefault="00EF216D" w:rsidP="00845FCC">
            <w:pPr>
              <w:spacing w:line="300" w:lineRule="auto"/>
              <w:jc w:val="center"/>
              <w:rPr>
                <w:rFonts w:ascii="Times New Roman" w:hAnsi="Times New Roman" w:cs="Times New Roman"/>
                <w:b/>
                <w:sz w:val="24"/>
                <w:szCs w:val="24"/>
              </w:rPr>
            </w:pPr>
          </w:p>
        </w:tc>
        <w:tc>
          <w:tcPr>
            <w:tcW w:w="2907" w:type="dxa"/>
            <w:vAlign w:val="center"/>
          </w:tcPr>
          <w:p w:rsidR="00EF216D" w:rsidRPr="00845FCC" w:rsidRDefault="00E841A7" w:rsidP="00E841A7">
            <w:pPr>
              <w:jc w:val="center"/>
              <w:rPr>
                <w:rFonts w:ascii="Times New Roman" w:hAnsi="Times New Roman" w:cs="Times New Roman"/>
                <w:b/>
                <w:sz w:val="24"/>
                <w:szCs w:val="24"/>
              </w:rPr>
            </w:pPr>
            <w:r>
              <w:rPr>
                <w:rFonts w:ascii="Times New Roman" w:hAnsi="Times New Roman" w:cs="Times New Roman"/>
                <w:b/>
                <w:sz w:val="24"/>
                <w:szCs w:val="24"/>
              </w:rPr>
              <w:t>Long</w:t>
            </w:r>
            <w:r w:rsidRPr="00E841A7">
              <w:rPr>
                <w:rFonts w:ascii="Times New Roman" w:hAnsi="Times New Roman" w:cs="Times New Roman"/>
                <w:b/>
                <w:sz w:val="24"/>
                <w:szCs w:val="24"/>
              </w:rPr>
              <w:t>-term</w:t>
            </w:r>
          </w:p>
        </w:tc>
        <w:tc>
          <w:tcPr>
            <w:tcW w:w="2907" w:type="dxa"/>
            <w:vAlign w:val="center"/>
          </w:tcPr>
          <w:p w:rsidR="00EF216D" w:rsidRPr="00845FCC" w:rsidRDefault="00EF216D" w:rsidP="00845FCC">
            <w:pPr>
              <w:spacing w:line="300" w:lineRule="auto"/>
              <w:jc w:val="center"/>
              <w:rPr>
                <w:rFonts w:ascii="Times New Roman" w:hAnsi="Times New Roman" w:cs="Times New Roman"/>
                <w:b/>
                <w:sz w:val="24"/>
                <w:szCs w:val="24"/>
              </w:rPr>
            </w:pPr>
          </w:p>
        </w:tc>
      </w:tr>
      <w:tr w:rsidR="00EF216D" w:rsidTr="00845FCC">
        <w:tc>
          <w:tcPr>
            <w:tcW w:w="2907" w:type="dxa"/>
            <w:vAlign w:val="center"/>
          </w:tcPr>
          <w:p w:rsid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EXR(-1)</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1.503504</w:t>
            </w:r>
          </w:p>
        </w:tc>
        <w:tc>
          <w:tcPr>
            <w:tcW w:w="2907" w:type="dxa"/>
            <w:vAlign w:val="center"/>
          </w:tcPr>
          <w:p w:rsid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2.61500</w:t>
            </w:r>
          </w:p>
        </w:tc>
      </w:tr>
      <w:tr w:rsidR="00EF216D" w:rsidTr="00845FCC">
        <w:tc>
          <w:tcPr>
            <w:tcW w:w="2907" w:type="dxa"/>
            <w:vAlign w:val="center"/>
          </w:tcPr>
          <w:p w:rsidR="00EF216D" w:rsidRP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CPI(-1)</w:t>
            </w:r>
          </w:p>
        </w:tc>
        <w:tc>
          <w:tcPr>
            <w:tcW w:w="2907" w:type="dxa"/>
            <w:vAlign w:val="center"/>
          </w:tcPr>
          <w:p w:rsidR="00EF216D" w:rsidRP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-12.18993</w:t>
            </w:r>
          </w:p>
        </w:tc>
        <w:tc>
          <w:tcPr>
            <w:tcW w:w="2907" w:type="dxa"/>
            <w:vAlign w:val="center"/>
          </w:tcPr>
          <w:p w:rsidR="00EF216D" w:rsidRP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-5.41101</w:t>
            </w:r>
          </w:p>
        </w:tc>
      </w:tr>
      <w:tr w:rsidR="00EF216D" w:rsidTr="00845FCC">
        <w:tc>
          <w:tcPr>
            <w:tcW w:w="2907" w:type="dxa"/>
            <w:vAlign w:val="center"/>
          </w:tcPr>
          <w:p w:rsidR="00EF216D" w:rsidRPr="00EF216D" w:rsidRDefault="00EF216D" w:rsidP="009101B2">
            <w:pPr>
              <w:spacing w:line="300" w:lineRule="auto"/>
              <w:jc w:val="both"/>
              <w:rPr>
                <w:rFonts w:ascii="Times New Roman" w:hAnsi="Times New Roman" w:cs="Times New Roman"/>
                <w:sz w:val="24"/>
                <w:szCs w:val="24"/>
              </w:rPr>
            </w:pPr>
            <w:r w:rsidRPr="00EF216D">
              <w:rPr>
                <w:rFonts w:ascii="Times New Roman" w:hAnsi="Times New Roman" w:cs="Times New Roman"/>
                <w:sz w:val="24"/>
                <w:szCs w:val="24"/>
              </w:rPr>
              <w:t>BIR(-1)</w:t>
            </w:r>
          </w:p>
        </w:tc>
        <w:tc>
          <w:tcPr>
            <w:tcW w:w="2907" w:type="dxa"/>
            <w:vAlign w:val="center"/>
          </w:tcPr>
          <w:p w:rsidR="00EF216D" w:rsidRP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23.84893</w:t>
            </w:r>
          </w:p>
        </w:tc>
        <w:tc>
          <w:tcPr>
            <w:tcW w:w="2907" w:type="dxa"/>
            <w:vAlign w:val="center"/>
          </w:tcPr>
          <w:p w:rsidR="00EF216D" w:rsidRPr="00EF216D" w:rsidRDefault="00EF216D" w:rsidP="00845FCC">
            <w:pPr>
              <w:spacing w:line="300" w:lineRule="auto"/>
              <w:jc w:val="center"/>
              <w:rPr>
                <w:rFonts w:ascii="Times New Roman" w:hAnsi="Times New Roman" w:cs="Times New Roman"/>
                <w:sz w:val="24"/>
                <w:szCs w:val="24"/>
              </w:rPr>
            </w:pPr>
            <w:r w:rsidRPr="00EF216D">
              <w:rPr>
                <w:rFonts w:ascii="Times New Roman" w:hAnsi="Times New Roman" w:cs="Times New Roman"/>
                <w:sz w:val="24"/>
                <w:szCs w:val="24"/>
              </w:rPr>
              <w:t>5.04631</w:t>
            </w:r>
          </w:p>
        </w:tc>
      </w:tr>
    </w:tbl>
    <w:p w:rsidR="00EF216D" w:rsidRPr="00845FCC" w:rsidRDefault="00845FCC" w:rsidP="009101B2">
      <w:pPr>
        <w:spacing w:after="0" w:line="300" w:lineRule="auto"/>
        <w:jc w:val="both"/>
        <w:rPr>
          <w:rFonts w:ascii="Times New Roman" w:hAnsi="Times New Roman" w:cs="Times New Roman"/>
          <w:sz w:val="16"/>
          <w:szCs w:val="16"/>
        </w:rPr>
      </w:pPr>
      <w:r w:rsidRPr="00845FCC">
        <w:rPr>
          <w:rFonts w:ascii="Times New Roman" w:hAnsi="Times New Roman" w:cs="Times New Roman"/>
          <w:sz w:val="16"/>
          <w:szCs w:val="16"/>
        </w:rPr>
        <w:t>*Signifikan pada 5 persen</w:t>
      </w:r>
    </w:p>
    <w:p w:rsidR="00845FCC" w:rsidRDefault="00845FCC" w:rsidP="00845FCC">
      <w:pPr>
        <w:spacing w:after="0" w:line="300" w:lineRule="auto"/>
        <w:ind w:firstLine="851"/>
        <w:jc w:val="both"/>
        <w:rPr>
          <w:rFonts w:ascii="Times New Roman" w:hAnsi="Times New Roman" w:cs="Times New Roman"/>
          <w:sz w:val="24"/>
          <w:szCs w:val="24"/>
        </w:rPr>
      </w:pPr>
    </w:p>
    <w:p w:rsidR="00E80B77" w:rsidRDefault="00E80B77" w:rsidP="00830062">
      <w:pPr>
        <w:spacing w:after="0" w:line="300" w:lineRule="auto"/>
        <w:ind w:firstLine="851"/>
        <w:jc w:val="both"/>
        <w:rPr>
          <w:rFonts w:ascii="Times New Roman" w:hAnsi="Times New Roman" w:cs="Times New Roman"/>
          <w:sz w:val="24"/>
          <w:szCs w:val="24"/>
        </w:rPr>
        <w:sectPr w:rsidR="00E80B77" w:rsidSect="00B63E8C">
          <w:type w:val="continuous"/>
          <w:pgSz w:w="11907" w:h="16839" w:code="9"/>
          <w:pgMar w:top="1701" w:right="1701" w:bottom="1701" w:left="1701" w:header="720" w:footer="720" w:gutter="0"/>
          <w:cols w:space="720"/>
          <w:docGrid w:linePitch="360"/>
        </w:sectPr>
      </w:pPr>
    </w:p>
    <w:p w:rsidR="00830062" w:rsidRPr="00830062" w:rsidRDefault="00830062" w:rsidP="00830062">
      <w:pPr>
        <w:spacing w:after="0" w:line="300" w:lineRule="auto"/>
        <w:ind w:firstLine="851"/>
        <w:jc w:val="both"/>
        <w:rPr>
          <w:rFonts w:ascii="Times New Roman" w:hAnsi="Times New Roman" w:cs="Times New Roman"/>
          <w:sz w:val="24"/>
          <w:szCs w:val="24"/>
        </w:rPr>
      </w:pPr>
      <w:r w:rsidRPr="00830062">
        <w:rPr>
          <w:rFonts w:ascii="Times New Roman" w:hAnsi="Times New Roman" w:cs="Times New Roman"/>
          <w:sz w:val="24"/>
          <w:szCs w:val="24"/>
        </w:rPr>
        <w:lastRenderedPageBreak/>
        <w:t xml:space="preserve">This study is in line with research conducted by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{"citationItems":[{"id":"ITEM-1","itemData":{"DOI":"10.1016/j.red.2018.05.002","ISSN":"10942025","abstract":"This study examines the role of credit constraints in determining the trade effect of exchange rate volatility. We first develop a small open economy general equilibrium model with credit constraints. In our model, constrained firms respond to real depreciations and appreciations in an asymmetric way, and exchange rate volatility reduces their exports on average. The effect of exchange rate volatility on unconstrained firms’ exports, however, is ambiguous. Overall, exchange rate volatility has a more negative impact on constrained firms. In a large sector-level bilateral trade dataset, we find robust empirical evidence supporting the predictions of the model. We show that financially more constrained sectors have a more negative exposure of their trade volumes to exchange rate volatility. Moreover, the estimated trade effects of exchange rate volatility vary substantially across sectors and can be either positive or negative depending on the degree of credit constraints.","author":[{"dropping-particle":"","family":"Lin","given":"Shu","non-dropping-particle":"","parse-names":false,"suffix":""},{"dropping-particle":"","family":"Shi","given":"Kang","non-dropping-particle":"","parse-names":false,"suffix":""},{"dropping-particle":"","family":"Ye","given":"Haichun","non-dropping-particle":"","parse-names":false,"suffix":""}],"container-title":"Review of Economic Dynamics","id":"ITEM-1","issued":{"date-parts":[["2018"]]},"page":"203-222","publisher":"Elsevier Inc.","title":"Exchange Rate Volatility and Trade: The Role of Credit Constraints","type":"article-journal","volume":"30"},"uris":["http://www.mendeley.com/documents/?uuid=74e54b7f-dab7-4f89-8f3a-65a330e7c6ee"]}],"mendeley":{"formattedCitation":"(Lin, Shi, &amp; Ye, 2018)","manualFormatting":"Lin, Shi, &amp; Ye (2018)","plainTextFormattedCitation":"(Lin, Shi, &amp; Ye, 2018)","previouslyFormattedCitation":"(Lin, Shi, &amp; Ye, 2018)"},"properties":{"noteIndex":0},"schema":"https://github.com/citation-style-language/schema/raw/master/csl-citation.json"}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Pr>
          <w:rFonts w:ascii="Times New Roman" w:hAnsi="Times New Roman" w:cs="Times New Roman"/>
          <w:noProof/>
          <w:sz w:val="24"/>
          <w:szCs w:val="24"/>
        </w:rPr>
        <w:t>Lin, Shi, &amp; Ye (</w:t>
      </w:r>
      <w:r w:rsidR="00E841A7" w:rsidRPr="00E841A7">
        <w:rPr>
          <w:rFonts w:ascii="Times New Roman" w:hAnsi="Times New Roman" w:cs="Times New Roman"/>
          <w:noProof/>
          <w:sz w:val="24"/>
          <w:szCs w:val="24"/>
        </w:rPr>
        <w:t>2018)</w:t>
      </w:r>
      <w:r w:rsidR="00E841A7">
        <w:rPr>
          <w:rFonts w:ascii="Times New Roman" w:hAnsi="Times New Roman" w:cs="Times New Roman"/>
          <w:sz w:val="24"/>
          <w:szCs w:val="24"/>
        </w:rPr>
        <w:fldChar w:fldCharType="end"/>
      </w:r>
      <w:r w:rsidRPr="00830062">
        <w:rPr>
          <w:rFonts w:ascii="Times New Roman" w:hAnsi="Times New Roman" w:cs="Times New Roman"/>
          <w:sz w:val="24"/>
          <w:szCs w:val="24"/>
        </w:rPr>
        <w:t>, which states that the role of financing in determining the trading effects of exchange rate volatility. Overall, the exchange rate volatility influences a company.</w:t>
      </w:r>
      <w:r w:rsidR="00E841A7">
        <w:rPr>
          <w:rFonts w:ascii="Times New Roman" w:hAnsi="Times New Roman" w:cs="Times New Roman"/>
          <w:sz w:val="24"/>
          <w:szCs w:val="24"/>
        </w:rPr>
        <w:t xml:space="preserve">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{"citationItems":[{"id":"ITEM-1","itemData":{"DOI":"10.1016/j.jinteco.2018.10.002","ISSN":"18730353","abstract":"The recent global financial crisis has re-emphasized the need for better understanding the relation between the type of exchange rate regime (ERR) in place and the effects of global credit supply shocks. Recent advances in the measurement of such shocks and their large realizations in the recent financial crisis produce a suitable quasi-natural experiment for studying this relation. Toward this end, I use ERR classification data for a panel of 40 emerging market economies (EMEs) to establish the following main findings: output responds significantly more adversely to contractionary global credit supply shocks in the fixed ERR than in the non-fixed ERR; deleveraging and the fall in imports are much more severe in the fixed ERR; and the lack of exchange rate depreciation in the fixed ERR is accompanied by a stronger fall in exports. These results are broadly consistent with predictions from models which include both the expenditure-switching channel and the balance sheet channel of exchange rate depreciation, where the latter channel effectively becomes expansionary, rather than contractionary as commonly thought, owing to favorable effects of the expenditure-switching channel on balance sheets’ asset side.","author":[{"dropping-particle":"Ben","family":"Zeev","given":"Nadav","non-dropping-particle":"","parse-names":false,"suffix":""}],"container-title":"Journal of International Economics","id":"ITEM-1","issued":{"date-parts":[["2019"]]},"page":"1-32","publisher":"Elsevier B.V","title":"Global Credit Supply Shocks and Exchange Rate Regimes","type":"article-journal","volume":"116"},"uris":["http://www.mendeley.com/documents/?uuid=e7d66024-074b-4051-8c6b-d5c92696535a"]}],"mendeley":{"formattedCitation":"(Zeev, 2019)","manualFormatting":"Zeev (2019)","plainTextFormattedCitation":"(Zeev, 2019)","previouslyFormattedCitation":"(Zeev, 2019)"},"properties":{"noteIndex":0},"schema":"https://github.com/citation-style-language/schema/raw/master/csl-citation.json"}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Pr>
          <w:rFonts w:ascii="Times New Roman" w:hAnsi="Times New Roman" w:cs="Times New Roman"/>
          <w:noProof/>
          <w:sz w:val="24"/>
          <w:szCs w:val="24"/>
        </w:rPr>
        <w:t>Zeev (</w:t>
      </w:r>
      <w:r w:rsidR="00E841A7" w:rsidRPr="00E841A7">
        <w:rPr>
          <w:rFonts w:ascii="Times New Roman" w:hAnsi="Times New Roman" w:cs="Times New Roman"/>
          <w:noProof/>
          <w:sz w:val="24"/>
          <w:szCs w:val="24"/>
        </w:rPr>
        <w:t>2019)</w:t>
      </w:r>
      <w:r w:rsidR="00E841A7">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830062">
        <w:rPr>
          <w:rFonts w:ascii="Times New Roman" w:hAnsi="Times New Roman" w:cs="Times New Roman"/>
          <w:sz w:val="24"/>
          <w:szCs w:val="24"/>
        </w:rPr>
        <w:t xml:space="preserve">states that exchange rate depreciation can effectively be a profitable expansion of loan spending.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{"citationItems":[{"id":"ITEM-1","itemData":{"DOI":"10.1016/j.jimonfin.2015.02.010","ISSN":"02615606","abstract":"We identify periods of capital inflows reversals-looking at both gross and net capital flows-and document the behavior of macro and credit variables in economies with different degrees of exchange rate flexibility. We find that more exchange rate flexibility moderates credit swings during capital flow cycles, mainly because it is associated with milder credit growth during the boom. Flexibility, however, cannot completely shield the economy from a credit reversal. We observe what we dub as a recovery puzzle: credit growth in economies with more flexible exchange rate regimes remains tepid well after the capital flow reversal takes place. This results stress potential complementarity of macro-prudential policies with the exchange rate regime. More flexible regimes could help smoothing the credit cycle through capital surcharges and dynamic provisioning that build buffers to counteract the credit recovery puzzle. In contrast, more rigid exchange rate regimes would benefit the most from measures to contain excessive credit growth during booms, such as reserve requirements, loan-to-income ratios, and debt-to-income and debt-service-to-income limits.","author":[{"dropping-particle":"","family":"Magud","given":"Nicolas E","non-dropping-particle":"","parse-names":false,"suffix":""},{"dropping-particle":"","family":"Vesperoni","given":"Esteban R","non-dropping-particle":"","parse-names":false,"suffix":""}],"container-title":"Journal of International Money and Finance","id":"ITEM-1","issued":{"date-parts":[["2015"]]},"page":"88-110","title":"Exchange Rate Flexibility and Credit During Capital Inflow Reversals: Purgatory . . . Not Paradise","type":"article-journal","volume":"55"},"uris":["http://www.mendeley.com/documents/?uuid=7dcd6502-cd4f-459a-9059-70047c397ba4"]}],"mendeley":{"formattedCitation":"(Magud &amp; Vesperoni, 2015)","manualFormatting":"Magud &amp; Vesperoni (2015)","plainTextFormattedCitation":"(Magud &amp; Vesperoni, 2015)","previouslyFormattedCitation":"(Magud &amp; Vesperoni, 2015)"},"properties":{"noteIndex":0},"schema":"https://github.com/citation-style-language/schema/raw/master/csl-citation.json"}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Pr>
          <w:rFonts w:ascii="Times New Roman" w:hAnsi="Times New Roman" w:cs="Times New Roman"/>
          <w:noProof/>
          <w:sz w:val="24"/>
          <w:szCs w:val="24"/>
        </w:rPr>
        <w:t>Magud &amp; Vesperoni (</w:t>
      </w:r>
      <w:r w:rsidR="00E841A7" w:rsidRPr="00E841A7">
        <w:rPr>
          <w:rFonts w:ascii="Times New Roman" w:hAnsi="Times New Roman" w:cs="Times New Roman"/>
          <w:noProof/>
          <w:sz w:val="24"/>
          <w:szCs w:val="24"/>
        </w:rPr>
        <w:t>2015)</w:t>
      </w:r>
      <w:r w:rsidR="00E841A7">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830062">
        <w:rPr>
          <w:rFonts w:ascii="Times New Roman" w:hAnsi="Times New Roman" w:cs="Times New Roman"/>
          <w:sz w:val="24"/>
          <w:szCs w:val="24"/>
        </w:rPr>
        <w:t>found that more exchange rate flexibility moderate changes in financing. However, flexibility cannot completely protect the economy from credit reversals. A flexible exchange rate policy can help smooth the financing cycle through additional capital costs. Conversely, a more rigid exchange rate policy would benefit the most from measures to curb excessive financing growth.</w:t>
      </w:r>
    </w:p>
    <w:p w:rsidR="00830062" w:rsidRPr="00830062" w:rsidRDefault="00830062" w:rsidP="00830062">
      <w:pPr>
        <w:spacing w:after="0" w:line="300" w:lineRule="auto"/>
        <w:ind w:firstLine="851"/>
        <w:jc w:val="both"/>
        <w:rPr>
          <w:rFonts w:ascii="Times New Roman" w:hAnsi="Times New Roman" w:cs="Times New Roman"/>
          <w:sz w:val="24"/>
          <w:szCs w:val="24"/>
        </w:rPr>
      </w:pPr>
      <w:r w:rsidRPr="00830062">
        <w:rPr>
          <w:rFonts w:ascii="Times New Roman" w:hAnsi="Times New Roman" w:cs="Times New Roman"/>
          <w:sz w:val="24"/>
          <w:szCs w:val="24"/>
        </w:rPr>
        <w:t xml:space="preserve">The CPI variable that reflects the inflation rate has a negative and significant effect on financing using the musharaka contract at the 5 percent real level, with the resulting coefficient of -1.764391. The results showed that when there was an increase in the inflation rate, it would reduce financing by Islamic banks using the </w:t>
      </w:r>
      <w:r w:rsidR="00E80B77">
        <w:rPr>
          <w:rFonts w:ascii="Times New Roman" w:hAnsi="Times New Roman" w:cs="Times New Roman"/>
          <w:sz w:val="24"/>
          <w:szCs w:val="24"/>
        </w:rPr>
        <w:t>musharaka</w:t>
      </w:r>
      <w:r w:rsidRPr="00830062">
        <w:rPr>
          <w:rFonts w:ascii="Times New Roman" w:hAnsi="Times New Roman" w:cs="Times New Roman"/>
          <w:sz w:val="24"/>
          <w:szCs w:val="24"/>
        </w:rPr>
        <w:t xml:space="preserve"> contract by 1.764391 percent. The growth affected by this aspect has a higher proportion than the increase in other variables. The inflation movement shows the economy is getting better and growing</w:t>
      </w:r>
      <w:r w:rsidR="00E841A7">
        <w:rPr>
          <w:rFonts w:ascii="Times New Roman" w:hAnsi="Times New Roman" w:cs="Times New Roman"/>
          <w:sz w:val="24"/>
          <w:szCs w:val="24"/>
        </w:rPr>
        <w:t xml:space="preserve">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{"citationItems":[{"id":"ITEM-1","itemData":{"DOI":"10.1016/j.asieco.2016.06.004","ISSN":"10490078","abstract":"Low and stable inflation is important for maintaining the viability of Islamic banking and finance within a dual banking system. Inflationary shocks when transmitted to real output growth cause a shift of investment to fixed return products as a hedge against the uncertainty of returns on equity investment under Islamic profit-loss sharing contracts. This study examines the transmission of inflationary shocks to the real economy for nine Muslim-majority countries (Bahrain, Bangladesh, Egypt, Indonesia, Iran, Malaysia, Pakistan, Saudi Arabia, and Turkey) that have introduced Islamic banking, all except Iran within dual-banking systems. A structural vector autoregressive (SVAR) framework is deployed to understand macroeconomic relationships using annual data from the late 1970s to 2014. The key finding is that inflationary shocks affect real interest and exchange rates which in turn impact real output growth. The paper argues that the absorption of inflationary shocks in real interest and exchange rates is the outcome of rigidities in nominal interest and exchange rates within repressed financial systems. Policy regimes that allow for greater adjustment in nominal interest and exchange rates under a deregulated financial system would offer better shock absorption capacity which would lead to less volatility in inflation, real interest and exchange rates, and real output growth. The resulting more stable macroeconomic environment would be more conducive to the development of an Islamic financial sector that would promote economic growth.","author":[{"dropping-particle":"","family":"Hossain","given":"Akhand Akhtar","non-dropping-particle":"","parse-names":false,"suffix":""}],"container-title":"Journal of Asian Economics","id":"ITEM-1","issued":{"date-parts":[["2016"]]},"page":"56-73","publisher":"Elsevier Inc.","title":"Inflationary Shocks and Real Output Growth in Nine Muslim-majority Countries: Implications for Islamic Banking and Finance","type":"article-journal","volume":"45"},"uris":["http://www.mendeley.com/documents/?uuid=ba766cfd-bfc1-440e-9d18-248b7f58d7b0"]}],"mendeley":{"formattedCitation":"(Hossain, 2016)","plainTextFormattedCitation":"(Hossain, 2016)","previouslyFormattedCitation":"(Hossain, 2016)"},"properties":{"noteIndex":0},"schema":"https://github.com/citation-style-language/schema/raw/master/csl-citation.json"}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sidRPr="00E841A7">
        <w:rPr>
          <w:rFonts w:ascii="Times New Roman" w:hAnsi="Times New Roman" w:cs="Times New Roman"/>
          <w:noProof/>
          <w:sz w:val="24"/>
          <w:szCs w:val="24"/>
        </w:rPr>
        <w:t>(Hossain, 2016)</w:t>
      </w:r>
      <w:r w:rsidR="00E841A7">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830062">
        <w:rPr>
          <w:rFonts w:ascii="Times New Roman" w:hAnsi="Times New Roman" w:cs="Times New Roman"/>
          <w:sz w:val="24"/>
          <w:szCs w:val="24"/>
        </w:rPr>
        <w:t xml:space="preserve">This can be seen from the significant growth of the middle class in the study period. This study is in line with research conducted </w:t>
      </w:r>
      <w:r w:rsidRPr="00830062">
        <w:rPr>
          <w:rFonts w:ascii="Times New Roman" w:hAnsi="Times New Roman" w:cs="Times New Roman"/>
          <w:sz w:val="24"/>
          <w:szCs w:val="24"/>
        </w:rPr>
        <w:lastRenderedPageBreak/>
        <w:t>by</w:t>
      </w:r>
      <w:r w:rsidR="00E841A7">
        <w:rPr>
          <w:rFonts w:ascii="Times New Roman" w:hAnsi="Times New Roman" w:cs="Times New Roman"/>
          <w:sz w:val="24"/>
          <w:szCs w:val="24"/>
        </w:rPr>
        <w:t xml:space="preserve">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10.6007/ijarems/v3-i4/1112","author":[{"dropping-particle":"","family":"Ostadi","given":"Hossein","non-dropping-particle":"","parse-names":false,"suffix":""},{"dropping-particle":"","family":"Sarlak","given":"Ali","non-dropping-particle":"","parse-names":false,"suffix":""}],"container-title":"International Journal of Academic Research in Economics and Management Sciences","id":"ITEM-1","issue":"4","issued":{"date-parts":[["2014"]]},"page":"139-149","title":"Effective Factors on the Absorption of Bank Deposits in Order to Increase the Relative Share of Isfahan Sepah Bank","type":"article-journal","volume":"3"},"uris":["http://www.mendeley.com/documents/?uuid=46924465-953b-4756-8251-17fb0b503c97"]}],"mendeley":{"formattedCitation":"(Ostadi &amp; Sarlak, 2014)","manualFormatting":"Ostadi &amp; Sarlak (2014)","plainTextFormattedCitation":"(Ostadi &amp; Sarlak, 2014)","previouslyFormattedCitation":"(Ostadi &amp; Sarlak, 2014)"},"properties":{"noteIndex":0},"schema":"https://github.com/citation-style-language/schema/raw/master/csl-citation.json"}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Pr>
          <w:rFonts w:ascii="Times New Roman" w:hAnsi="Times New Roman" w:cs="Times New Roman"/>
          <w:noProof/>
          <w:sz w:val="24"/>
          <w:szCs w:val="24"/>
        </w:rPr>
        <w:t>Ostadi &amp; Sarlak (</w:t>
      </w:r>
      <w:r w:rsidR="00E841A7" w:rsidRPr="00E841A7">
        <w:rPr>
          <w:rFonts w:ascii="Times New Roman" w:hAnsi="Times New Roman" w:cs="Times New Roman"/>
          <w:noProof/>
          <w:sz w:val="24"/>
          <w:szCs w:val="24"/>
        </w:rPr>
        <w:t>2014)</w:t>
      </w:r>
      <w:r w:rsidR="00E841A7">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830062">
        <w:rPr>
          <w:rFonts w:ascii="Times New Roman" w:hAnsi="Times New Roman" w:cs="Times New Roman"/>
          <w:sz w:val="24"/>
          <w:szCs w:val="24"/>
        </w:rPr>
        <w:t>that inflation has a significant negative effect on Islamic banking financing in Iran.</w:t>
      </w:r>
    </w:p>
    <w:p w:rsidR="00830062" w:rsidRPr="00830062" w:rsidRDefault="00830062" w:rsidP="00830062">
      <w:pPr>
        <w:spacing w:after="0" w:line="300" w:lineRule="auto"/>
        <w:ind w:firstLine="851"/>
        <w:jc w:val="both"/>
        <w:rPr>
          <w:rFonts w:ascii="Times New Roman" w:hAnsi="Times New Roman" w:cs="Times New Roman"/>
          <w:sz w:val="24"/>
          <w:szCs w:val="24"/>
        </w:rPr>
      </w:pPr>
      <w:r w:rsidRPr="00830062">
        <w:rPr>
          <w:rFonts w:ascii="Times New Roman" w:hAnsi="Times New Roman" w:cs="Times New Roman"/>
          <w:sz w:val="24"/>
          <w:szCs w:val="24"/>
        </w:rPr>
        <w:t>A conducive economic situation needs to be maintained and improved so that the stretch of the real sector continues to move. The increased benchmark interest rate will undoubtedly be followed by an increase in lending rates</w:t>
      </w:r>
      <w:r w:rsidR="00E841A7">
        <w:rPr>
          <w:rFonts w:ascii="Times New Roman" w:hAnsi="Times New Roman" w:cs="Times New Roman"/>
          <w:sz w:val="24"/>
          <w:szCs w:val="24"/>
        </w:rPr>
        <w:t xml:space="preserve">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{"citationItems":[{"id":"ITEM-1","itemData":{"DOI":"10.1016/j.econmod.2017.02.013","ISSN":"02649993","abstract":"This paper addresses the issue of competition in dual banking markets by analyzing the determinants of deposit rates in Islamic and conventional banks. Using a sample of 20 countries with dual banking systems over the 2000–2014 period, our results show significant differences in the drivers of Islamic and conventional banks' pricing behavior. Conventional banks with stronger market power set lower deposit rates but market power is not significant for Islamic banks. In predominantly Muslim environments, conventional banks set higher deposit rates and further higher when their market power is lower. Whereas conventional banks are influenced by the competitiveness of Islamic banks, Islamic banks are only affected by their peers in predominantly Muslim countries. Our findings have important implications regarding competition and bank stability in dual banking markets.","author":[{"dropping-particle":"","family":"Meslier","given":"Céline","non-dropping-particle":"","parse-names":false,"suffix":""},{"dropping-particle":"","family":"Risfandy","given":"Tastaftiyan","non-dropping-particle":"","parse-names":false,"suffix":""},{"dropping-particle":"","family":"Tarazi","given":"Amine","non-dropping-particle":"","parse-names":false,"suffix":""}],"container-title":"Economic Modelling","id":"ITEM-1","issued":{"date-parts":[["2017"]]},"page":"318-333","publisher":"Elsevier","title":"Dual market competition and deposit rate setting in Islamic and conventional banks","type":"article-journal","volume":"63"},"uris":["http://www.mendeley.com/documents/?uuid=b7fe1f28-88dd-4e5f-84b1-51243376da39"]}],"mendeley":{"formattedCitation":"(Meslier, Risfandy, &amp; Tarazi, 2017)","plainTextFormattedCitation":"(Meslier, Risfandy, &amp; Tarazi, 2017)","previouslyFormattedCitation":"(Meslier, Risfandy, &amp; Tarazi, 2017)"},"properties":{"noteIndex":0},"schema":"https://github.com/citation-style-language/schema/raw/master/csl-citation.json"}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sidRPr="00E841A7">
        <w:rPr>
          <w:rFonts w:ascii="Times New Roman" w:hAnsi="Times New Roman" w:cs="Times New Roman"/>
          <w:noProof/>
          <w:sz w:val="24"/>
          <w:szCs w:val="24"/>
        </w:rPr>
        <w:t>(Meslier, Risfandy, &amp; Tarazi, 2017)</w:t>
      </w:r>
      <w:r w:rsidR="00E841A7">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830062">
        <w:rPr>
          <w:rFonts w:ascii="Times New Roman" w:hAnsi="Times New Roman" w:cs="Times New Roman"/>
          <w:sz w:val="24"/>
          <w:szCs w:val="24"/>
        </w:rPr>
        <w:t>The rise in interest rates was responded positively by the distribution of financing using a musharaka contract in the short term. Interest costs to be paid by debtors may be lower than the gains obtained with loans received so that even though interest rates increase, it is not a crucial problem for customers</w:t>
      </w:r>
      <w:r w:rsidR="00E841A7">
        <w:rPr>
          <w:rFonts w:ascii="Times New Roman" w:hAnsi="Times New Roman" w:cs="Times New Roman"/>
          <w:sz w:val="24"/>
          <w:szCs w:val="24"/>
        </w:rPr>
        <w:t xml:space="preserve">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{"citationItems":[{"id":"ITEM-1","itemData":{"DOI":"10.1016/j.econmod.2017.02.025","ISSN":"02649993","abstract":"In this paper, we perform a non-linear assessment of Islamic rate – conventional rate relations for the case of Malaysia. Using monthly data covering the period January 1999 to November 2016, we find strong evidence supporting non-linear reactions of the Islamic investment rates to conventional rates in the long run and/or short-run for all matched maturities. More precisely, the Islamic investment rates exhibit faster upward movement (slower downward movement) in responses to conventional deposit rate increases (decreases). The asymmetric pricing behaviour of Islamic banks however tends to weaken as maturity lengthens. Accordingly, we infer that Islamic banks do not rigidly peg their investment deposit rates to conventional deposit rates as some have claimed in questioning the Islamicity of Islamic banks.","author":[{"dropping-particle":"","family":"Sukmana","given":"Raditya","non-dropping-particle":"","parse-names":false,"suffix":""},{"dropping-particle":"","family":"Ibrahim","given":"Mansor H.","non-dropping-particle":"","parse-names":false,"suffix":""}],"container-title":"Economic Modelling","id":"ITEM-1","issued":{"date-parts":[["2017"]]},"page":"443-448","publisher":"Elsevier","title":"How Islamic are Islamic Banks? A Non-linear Assessment of Islamic Rate – Conventional Rate Relations","type":"article-journal","volume":"64"},"uris":["http://www.mendeley.com/documents/?uuid=1a913cda-63a2-49b5-b4f5-7ef70acfb73d"]}],"mendeley":{"formattedCitation":"(Sukmana &amp; Ibrahim, 2017)","plainTextFormattedCitation":"(Sukmana &amp; Ibrahim, 2017)","previouslyFormattedCitation":"(Sukmana &amp; Ibrahim, 2017)"},"properties":{"noteIndex":0},"schema":"https://github.com/citation-style-language/schema/raw/master/csl-citation.json"}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sidRPr="00E841A7">
        <w:rPr>
          <w:rFonts w:ascii="Times New Roman" w:hAnsi="Times New Roman" w:cs="Times New Roman"/>
          <w:noProof/>
          <w:sz w:val="24"/>
          <w:szCs w:val="24"/>
        </w:rPr>
        <w:t>(Sukmana &amp; Ibrahim, 2017)</w:t>
      </w:r>
      <w:r w:rsidR="00E841A7">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830062">
        <w:rPr>
          <w:rFonts w:ascii="Times New Roman" w:hAnsi="Times New Roman" w:cs="Times New Roman"/>
          <w:sz w:val="24"/>
          <w:szCs w:val="24"/>
        </w:rPr>
        <w:t>The results of this study are in line with research conducted by</w:t>
      </w:r>
      <w:r w:rsidR="00E841A7">
        <w:rPr>
          <w:rFonts w:ascii="Times New Roman" w:hAnsi="Times New Roman" w:cs="Times New Roman"/>
          <w:sz w:val="24"/>
          <w:szCs w:val="24"/>
        </w:rPr>
        <w:t xml:space="preserve"> </w:t>
      </w:r>
      <w:r w:rsidR="00E841A7">
        <w:rPr>
          <w:rFonts w:ascii="Times New Roman" w:hAnsi="Times New Roman" w:cs="Times New Roman"/>
          <w:sz w:val="24"/>
          <w:szCs w:val="24"/>
        </w:rPr>
        <w:fldChar w:fldCharType="begin" w:fldLock="1"/>
      </w:r>
      <w:r w:rsidR="00E841A7">
        <w:rPr>
          <w:rFonts w:ascii="Times New Roman" w:hAnsi="Times New Roman" w:cs="Times New Roman"/>
          <w:sz w:val="24"/>
          <w:szCs w:val="24"/>
        </w:rPr>
        <w:instrText>ADDIN CSL_CITATION {"citationItems":[{"id":"ITEM-1","itemData":{"DOI":"10.1016/j.bir.2016.03.002","ISSN":"22148469","abstract":"The aim of this study is to empirically examine the bank-specific, financial, and macroeconomic determinants of performance of Islamic and conventional banks in Pakistan. To do this, we first constructed the financial performance index (FPI) based on CAMELS' ratios and then run the computed index on the said determinants. We have used an unbalanced annual panel data covering the period 2006-2012. The GLS regression results show that operating efficiency, reserves, and overheads are significant determinants of conventional banks' performance, whereas, operating efficiency, deposits, and market concentration are significant in explaining performance of Islamic banks. We also show that the impact of GDP and the lending interest rate on performance is negative for both types of banks. Bank managers may focus on controlling overheads and operating costs to improve performance because, according the empirical results presented in the study, both of these variables are negatively related to the FPI. Our results suggest that advancements in overall management practices and new standards in operating efficiency and financial risk management are essential to enhance performance of banks.","author":[{"dropping-particle":"","family":"Rashid","given":"Abdul","non-dropping-particle":"","parse-names":false,"suffix":""},{"dropping-particle":"","family":"Jabeen","given":"Sana","non-dropping-particle":"","parse-names":false,"suffix":""}],"container-title":"Borsa Istanbul Review","id":"ITEM-1","issue":"2","issued":{"date-parts":[["2016"]]},"page":"92-107","publisher":"Elsevier Ltd","title":"Analyzing Performance Determinants : Conventional versus Islamic Banks in Pakistan","type":"article-journal","volume":"16"},"uris":["http://www.mendeley.com/documents/?uuid=e0f04e92-1c0b-4ca2-b261-48fffd9f2b64"]}],"mendeley":{"formattedCitation":"(Rashid &amp; Jabeen, 2016)","manualFormatting":"Rashid &amp; Jabeen (2016)","plainTextFormattedCitation":"(Rashid &amp; Jabeen, 2016)","previouslyFormattedCitation":"(Rashid &amp; Jabeen, 2016)"},"properties":{"noteIndex":0},"schema":"https://github.com/citation-style-language/schema/raw/master/csl-citation.json"}</w:instrText>
      </w:r>
      <w:r w:rsidR="00E841A7">
        <w:rPr>
          <w:rFonts w:ascii="Times New Roman" w:hAnsi="Times New Roman" w:cs="Times New Roman"/>
          <w:sz w:val="24"/>
          <w:szCs w:val="24"/>
        </w:rPr>
        <w:fldChar w:fldCharType="separate"/>
      </w:r>
      <w:r w:rsidR="00E841A7">
        <w:rPr>
          <w:rFonts w:ascii="Times New Roman" w:hAnsi="Times New Roman" w:cs="Times New Roman"/>
          <w:noProof/>
          <w:sz w:val="24"/>
          <w:szCs w:val="24"/>
        </w:rPr>
        <w:t>Rashid &amp; Jabeen (</w:t>
      </w:r>
      <w:r w:rsidR="00E841A7" w:rsidRPr="00E841A7">
        <w:rPr>
          <w:rFonts w:ascii="Times New Roman" w:hAnsi="Times New Roman" w:cs="Times New Roman"/>
          <w:noProof/>
          <w:sz w:val="24"/>
          <w:szCs w:val="24"/>
        </w:rPr>
        <w:t>2016)</w:t>
      </w:r>
      <w:r w:rsidR="00E841A7">
        <w:rPr>
          <w:rFonts w:ascii="Times New Roman" w:hAnsi="Times New Roman" w:cs="Times New Roman"/>
          <w:sz w:val="24"/>
          <w:szCs w:val="24"/>
        </w:rPr>
        <w:fldChar w:fldCharType="end"/>
      </w:r>
      <w:r w:rsidR="00E841A7">
        <w:rPr>
          <w:rFonts w:ascii="Times New Roman" w:hAnsi="Times New Roman" w:cs="Times New Roman"/>
          <w:sz w:val="24"/>
          <w:szCs w:val="24"/>
        </w:rPr>
        <w:t xml:space="preserve"> </w:t>
      </w:r>
      <w:r w:rsidRPr="00830062">
        <w:rPr>
          <w:rFonts w:ascii="Times New Roman" w:hAnsi="Times New Roman" w:cs="Times New Roman"/>
          <w:sz w:val="24"/>
          <w:szCs w:val="24"/>
        </w:rPr>
        <w:t>Islamic banking in Pakistan.</w:t>
      </w:r>
    </w:p>
    <w:p w:rsidR="00830062" w:rsidRDefault="00830062" w:rsidP="009B1288">
      <w:pPr>
        <w:spacing w:after="0" w:line="300" w:lineRule="auto"/>
        <w:ind w:firstLine="851"/>
        <w:jc w:val="both"/>
        <w:rPr>
          <w:rFonts w:ascii="Times New Roman" w:hAnsi="Times New Roman" w:cs="Times New Roman"/>
          <w:sz w:val="24"/>
          <w:szCs w:val="24"/>
        </w:rPr>
      </w:pPr>
    </w:p>
    <w:p w:rsidR="00AB79CD" w:rsidRPr="009101B2" w:rsidRDefault="00ED4301" w:rsidP="009101B2">
      <w:pPr>
        <w:spacing w:after="0" w:line="300" w:lineRule="auto"/>
        <w:jc w:val="both"/>
        <w:rPr>
          <w:rFonts w:ascii="Times New Roman" w:hAnsi="Times New Roman" w:cs="Times New Roman"/>
          <w:b/>
          <w:i/>
          <w:sz w:val="24"/>
          <w:szCs w:val="24"/>
        </w:rPr>
      </w:pPr>
      <w:r w:rsidRPr="009101B2">
        <w:rPr>
          <w:rFonts w:ascii="Times New Roman" w:hAnsi="Times New Roman" w:cs="Times New Roman"/>
          <w:b/>
          <w:i/>
          <w:sz w:val="24"/>
          <w:szCs w:val="24"/>
        </w:rPr>
        <w:t>Impulse Response Function</w:t>
      </w:r>
      <w:r w:rsidR="00AB79CD" w:rsidRPr="009101B2">
        <w:rPr>
          <w:rFonts w:ascii="Times New Roman" w:hAnsi="Times New Roman" w:cs="Times New Roman"/>
          <w:b/>
          <w:i/>
          <w:sz w:val="24"/>
          <w:szCs w:val="24"/>
        </w:rPr>
        <w:t xml:space="preserve"> </w:t>
      </w:r>
    </w:p>
    <w:p w:rsidR="00830062" w:rsidRDefault="00830062" w:rsidP="00830062">
      <w:pPr>
        <w:spacing w:after="0" w:line="300" w:lineRule="auto"/>
        <w:ind w:firstLine="851"/>
        <w:jc w:val="both"/>
        <w:rPr>
          <w:rFonts w:ascii="Times New Roman" w:hAnsi="Times New Roman" w:cs="Times New Roman"/>
          <w:sz w:val="24"/>
          <w:szCs w:val="24"/>
        </w:rPr>
      </w:pPr>
      <w:r w:rsidRPr="00830062">
        <w:rPr>
          <w:rFonts w:ascii="Times New Roman" w:hAnsi="Times New Roman" w:cs="Times New Roman"/>
          <w:sz w:val="24"/>
          <w:szCs w:val="24"/>
        </w:rPr>
        <w:t>Monetary policy, in addition to influencing banking performance in its role as an intermediary institution, also impacts capital market activities. The right system will undoubtedly have a positive impact and affect the increase in bank financing. Several macroeconomic variables undoubtedly influence the amount of funding provided by banks.</w:t>
      </w:r>
      <w:r>
        <w:rPr>
          <w:rFonts w:ascii="Times New Roman" w:hAnsi="Times New Roman" w:cs="Times New Roman"/>
          <w:sz w:val="24"/>
          <w:szCs w:val="24"/>
        </w:rPr>
        <w:t xml:space="preserve"> </w:t>
      </w:r>
      <w:r w:rsidRPr="00830062">
        <w:rPr>
          <w:rFonts w:ascii="Times New Roman" w:hAnsi="Times New Roman" w:cs="Times New Roman"/>
          <w:sz w:val="24"/>
          <w:szCs w:val="24"/>
        </w:rPr>
        <w:t xml:space="preserve">Islamic banking does not only compete with similar banks but also competes with conventional banking. The increase in the exchange rate responded positively </w:t>
      </w:r>
      <w:r w:rsidRPr="00830062">
        <w:rPr>
          <w:rFonts w:ascii="Times New Roman" w:hAnsi="Times New Roman" w:cs="Times New Roman"/>
          <w:sz w:val="24"/>
          <w:szCs w:val="24"/>
        </w:rPr>
        <w:lastRenderedPageBreak/>
        <w:t>by Islamic banking financing for the next thirty months. Exchange rate conditions always fluctuate, often many commodities traded are affected by volatility, for example, when depreciation of imported products will be more expensive, when debtors want to make purchases, for instance, electronic devices with specific prices will feel the loss when the exchange rate improves again because the actual cost will be cheaper. Therefore, rational customers will think more about finding more affordable sources of financing when the exchange rate falls.</w:t>
      </w:r>
    </w:p>
    <w:p w:rsidR="00830062" w:rsidRPr="00830062" w:rsidRDefault="00830062" w:rsidP="00830062">
      <w:pPr>
        <w:spacing w:after="0" w:line="300" w:lineRule="auto"/>
        <w:ind w:firstLine="851"/>
        <w:jc w:val="both"/>
        <w:rPr>
          <w:rFonts w:ascii="Times New Roman" w:hAnsi="Times New Roman" w:cs="Times New Roman"/>
          <w:sz w:val="24"/>
          <w:szCs w:val="24"/>
        </w:rPr>
      </w:pPr>
      <w:r w:rsidRPr="00830062">
        <w:rPr>
          <w:rFonts w:ascii="Times New Roman" w:hAnsi="Times New Roman" w:cs="Times New Roman"/>
          <w:sz w:val="24"/>
          <w:szCs w:val="24"/>
        </w:rPr>
        <w:t xml:space="preserve">Islamic banking financing has responded negatively to inflation movements for the next thirty months. </w:t>
      </w:r>
      <w:r w:rsidRPr="00830062">
        <w:rPr>
          <w:rFonts w:ascii="Times New Roman" w:hAnsi="Times New Roman" w:cs="Times New Roman"/>
          <w:sz w:val="24"/>
          <w:szCs w:val="24"/>
        </w:rPr>
        <w:lastRenderedPageBreak/>
        <w:t>Inflation reflects economic stability. If inflation rises, people tend to reduce investment. This condition will have an impact on the decline in banking assets in real terms because the funds raised have decreased so that it will affect the ability of banking operations in lending. When viewed from the debtor's side, inflation is considered beneficial because, at the time of debt payment to creditors, the value of money is lower than when borrowing. Conversely, for creditors or those who lend money will suffer losses because the amount of the cashback is smaller when compared to the time of borrowing. Inflationary pressures that occur require the central bank to raise interest rates to reduce it.</w:t>
      </w:r>
    </w:p>
    <w:p w:rsidR="00E80B77" w:rsidRDefault="00E80B77" w:rsidP="00D562C3">
      <w:pPr>
        <w:spacing w:after="0" w:line="300" w:lineRule="auto"/>
        <w:jc w:val="both"/>
        <w:rPr>
          <w:rFonts w:ascii="Times New Roman" w:hAnsi="Times New Roman" w:cs="Times New Roman"/>
          <w:sz w:val="24"/>
          <w:szCs w:val="24"/>
        </w:rPr>
        <w:sectPr w:rsidR="00E80B77" w:rsidSect="00E80B77">
          <w:type w:val="continuous"/>
          <w:pgSz w:w="11907" w:h="16839" w:code="9"/>
          <w:pgMar w:top="1701" w:right="1701" w:bottom="1701" w:left="1701" w:header="720" w:footer="720" w:gutter="0"/>
          <w:cols w:num="2" w:space="720"/>
          <w:docGrid w:linePitch="360"/>
        </w:sectPr>
      </w:pPr>
    </w:p>
    <w:p w:rsidR="00D562C3" w:rsidRDefault="00D562C3" w:rsidP="00D562C3">
      <w:pPr>
        <w:spacing w:after="0" w:line="30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5"/>
        <w:gridCol w:w="2886"/>
        <w:gridCol w:w="2950"/>
      </w:tblGrid>
      <w:tr w:rsidR="00D562C3" w:rsidTr="00302912">
        <w:tc>
          <w:tcPr>
            <w:tcW w:w="2907" w:type="dxa"/>
          </w:tcPr>
          <w:p w:rsidR="00D562C3" w:rsidRDefault="00D562C3" w:rsidP="00302912">
            <w:pPr>
              <w:spacing w:line="300" w:lineRule="auto"/>
              <w:jc w:val="center"/>
              <w:rPr>
                <w:rFonts w:ascii="Times New Roman" w:hAnsi="Times New Roman" w:cs="Times New Roman"/>
                <w:sz w:val="24"/>
                <w:szCs w:val="24"/>
              </w:rPr>
            </w:pPr>
            <w:r w:rsidRPr="00D562C3">
              <w:rPr>
                <w:rFonts w:ascii="Times New Roman" w:hAnsi="Times New Roman" w:cs="Times New Roman"/>
                <w:sz w:val="24"/>
                <w:szCs w:val="24"/>
              </w:rPr>
              <w:drawing>
                <wp:inline distT="0" distB="0" distL="0" distR="0">
                  <wp:extent cx="1601693" cy="142049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468" t="5805" r="10405" b="63542"/>
                          <a:stretch>
                            <a:fillRect/>
                          </a:stretch>
                        </pic:blipFill>
                        <pic:spPr bwMode="auto">
                          <a:xfrm>
                            <a:off x="0" y="0"/>
                            <a:ext cx="1601693" cy="1420491"/>
                          </a:xfrm>
                          <a:prstGeom prst="rect">
                            <a:avLst/>
                          </a:prstGeom>
                          <a:noFill/>
                          <a:ln w="9525">
                            <a:noFill/>
                            <a:miter lim="800000"/>
                            <a:headEnd/>
                            <a:tailEnd/>
                          </a:ln>
                        </pic:spPr>
                      </pic:pic>
                    </a:graphicData>
                  </a:graphic>
                </wp:inline>
              </w:drawing>
            </w:r>
          </w:p>
        </w:tc>
        <w:tc>
          <w:tcPr>
            <w:tcW w:w="2907" w:type="dxa"/>
          </w:tcPr>
          <w:p w:rsidR="00D562C3" w:rsidRDefault="00D562C3" w:rsidP="00302912">
            <w:pPr>
              <w:spacing w:line="300" w:lineRule="auto"/>
              <w:jc w:val="center"/>
              <w:rPr>
                <w:rFonts w:ascii="Times New Roman" w:hAnsi="Times New Roman" w:cs="Times New Roman"/>
                <w:sz w:val="24"/>
                <w:szCs w:val="24"/>
              </w:rPr>
            </w:pPr>
            <w:r w:rsidRPr="00D562C3">
              <w:rPr>
                <w:rFonts w:ascii="Times New Roman" w:hAnsi="Times New Roman" w:cs="Times New Roman"/>
                <w:sz w:val="24"/>
                <w:szCs w:val="24"/>
              </w:rPr>
              <w:drawing>
                <wp:inline distT="0" distB="0" distL="0" distR="0">
                  <wp:extent cx="1608816" cy="140399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260" t="36443" r="10230" b="33260"/>
                          <a:stretch>
                            <a:fillRect/>
                          </a:stretch>
                        </pic:blipFill>
                        <pic:spPr bwMode="auto">
                          <a:xfrm>
                            <a:off x="0" y="0"/>
                            <a:ext cx="1608816" cy="1403994"/>
                          </a:xfrm>
                          <a:prstGeom prst="rect">
                            <a:avLst/>
                          </a:prstGeom>
                          <a:noFill/>
                          <a:ln w="9525">
                            <a:noFill/>
                            <a:miter lim="800000"/>
                            <a:headEnd/>
                            <a:tailEnd/>
                          </a:ln>
                        </pic:spPr>
                      </pic:pic>
                    </a:graphicData>
                  </a:graphic>
                </wp:inline>
              </w:drawing>
            </w:r>
          </w:p>
        </w:tc>
        <w:tc>
          <w:tcPr>
            <w:tcW w:w="2907" w:type="dxa"/>
          </w:tcPr>
          <w:p w:rsidR="00D562C3" w:rsidRDefault="00302912" w:rsidP="00302912">
            <w:pPr>
              <w:spacing w:line="300" w:lineRule="auto"/>
              <w:jc w:val="center"/>
              <w:rPr>
                <w:rFonts w:ascii="Times New Roman" w:hAnsi="Times New Roman" w:cs="Times New Roman"/>
                <w:sz w:val="24"/>
                <w:szCs w:val="24"/>
              </w:rPr>
            </w:pPr>
            <w:r w:rsidRPr="00302912">
              <w:rPr>
                <w:rFonts w:ascii="Times New Roman" w:hAnsi="Times New Roman" w:cs="Times New Roman"/>
                <w:sz w:val="24"/>
                <w:szCs w:val="24"/>
              </w:rPr>
              <w:drawing>
                <wp:inline distT="0" distB="0" distL="0" distR="0">
                  <wp:extent cx="1716585" cy="1372621"/>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t="66850" r="7695" b="3530"/>
                          <a:stretch>
                            <a:fillRect/>
                          </a:stretch>
                        </pic:blipFill>
                        <pic:spPr bwMode="auto">
                          <a:xfrm>
                            <a:off x="0" y="0"/>
                            <a:ext cx="1716585" cy="1372621"/>
                          </a:xfrm>
                          <a:prstGeom prst="rect">
                            <a:avLst/>
                          </a:prstGeom>
                          <a:noFill/>
                          <a:ln w="9525">
                            <a:noFill/>
                            <a:miter lim="800000"/>
                            <a:headEnd/>
                            <a:tailEnd/>
                          </a:ln>
                        </pic:spPr>
                      </pic:pic>
                    </a:graphicData>
                  </a:graphic>
                </wp:inline>
              </w:drawing>
            </w:r>
          </w:p>
        </w:tc>
      </w:tr>
    </w:tbl>
    <w:p w:rsidR="00ED4301" w:rsidRPr="009101B2" w:rsidRDefault="00ED4301" w:rsidP="001C4177">
      <w:pPr>
        <w:spacing w:after="0" w:line="300" w:lineRule="auto"/>
        <w:jc w:val="center"/>
        <w:rPr>
          <w:rFonts w:ascii="Times New Roman" w:hAnsi="Times New Roman" w:cs="Times New Roman"/>
          <w:sz w:val="24"/>
          <w:szCs w:val="24"/>
        </w:rPr>
      </w:pPr>
    </w:p>
    <w:p w:rsidR="00ED4301" w:rsidRPr="009101B2" w:rsidRDefault="00042907" w:rsidP="00042907">
      <w:pPr>
        <w:spacing w:after="0" w:line="300" w:lineRule="auto"/>
        <w:jc w:val="center"/>
        <w:rPr>
          <w:rFonts w:ascii="Times New Roman" w:hAnsi="Times New Roman" w:cs="Times New Roman"/>
          <w:sz w:val="24"/>
          <w:szCs w:val="24"/>
        </w:rPr>
      </w:pPr>
      <w:r w:rsidRPr="00042907">
        <w:rPr>
          <w:rFonts w:ascii="Times New Roman" w:hAnsi="Times New Roman" w:cs="Times New Roman"/>
          <w:sz w:val="24"/>
          <w:szCs w:val="24"/>
        </w:rPr>
        <w:t>Figure 1. Financing Response to Exchange Rate Movements, Inflation, and Interest Rates</w:t>
      </w:r>
    </w:p>
    <w:p w:rsidR="00AB79CD" w:rsidRPr="009101B2" w:rsidRDefault="00AB79CD" w:rsidP="009101B2">
      <w:pPr>
        <w:spacing w:after="0" w:line="300" w:lineRule="auto"/>
        <w:ind w:firstLine="567"/>
        <w:jc w:val="both"/>
        <w:rPr>
          <w:rFonts w:ascii="Times New Roman" w:hAnsi="Times New Roman" w:cs="Times New Roman"/>
          <w:sz w:val="24"/>
          <w:szCs w:val="24"/>
        </w:rPr>
        <w:sectPr w:rsidR="00AB79CD" w:rsidRPr="009101B2" w:rsidSect="00B63E8C">
          <w:type w:val="continuous"/>
          <w:pgSz w:w="11907" w:h="16839" w:code="9"/>
          <w:pgMar w:top="1701" w:right="1701" w:bottom="1701" w:left="1701" w:header="720" w:footer="720" w:gutter="0"/>
          <w:cols w:space="720"/>
          <w:docGrid w:linePitch="360"/>
        </w:sectPr>
      </w:pPr>
    </w:p>
    <w:p w:rsidR="00E80B77" w:rsidRDefault="00E80B77" w:rsidP="00830062">
      <w:pPr>
        <w:ind w:firstLine="851"/>
        <w:jc w:val="both"/>
        <w:rPr>
          <w:rFonts w:ascii="Times New Roman" w:hAnsi="Times New Roman" w:cs="Times New Roman"/>
          <w:sz w:val="24"/>
          <w:szCs w:val="24"/>
        </w:rPr>
      </w:pPr>
    </w:p>
    <w:p w:rsidR="00E80B77" w:rsidRDefault="00E80B77" w:rsidP="00830062">
      <w:pPr>
        <w:ind w:firstLine="851"/>
        <w:jc w:val="both"/>
        <w:rPr>
          <w:rFonts w:ascii="Times New Roman" w:hAnsi="Times New Roman" w:cs="Times New Roman"/>
          <w:sz w:val="24"/>
          <w:szCs w:val="24"/>
        </w:rPr>
        <w:sectPr w:rsidR="00E80B77" w:rsidSect="00B63E8C">
          <w:type w:val="continuous"/>
          <w:pgSz w:w="11907" w:h="16839" w:code="9"/>
          <w:pgMar w:top="1701" w:right="1701" w:bottom="1701" w:left="1701" w:header="720" w:footer="720" w:gutter="0"/>
          <w:cols w:space="720"/>
          <w:docGrid w:linePitch="360"/>
        </w:sectPr>
      </w:pPr>
    </w:p>
    <w:p w:rsidR="00830062" w:rsidRPr="00830062" w:rsidRDefault="00830062" w:rsidP="00830062">
      <w:pPr>
        <w:ind w:firstLine="851"/>
        <w:jc w:val="both"/>
        <w:rPr>
          <w:rFonts w:ascii="Times New Roman" w:hAnsi="Times New Roman" w:cs="Times New Roman"/>
          <w:sz w:val="24"/>
          <w:szCs w:val="24"/>
        </w:rPr>
      </w:pPr>
      <w:r w:rsidRPr="00830062">
        <w:rPr>
          <w:rFonts w:ascii="Times New Roman" w:hAnsi="Times New Roman" w:cs="Times New Roman"/>
          <w:sz w:val="24"/>
          <w:szCs w:val="24"/>
        </w:rPr>
        <w:lastRenderedPageBreak/>
        <w:t xml:space="preserve">Debtors negatively responded to the increase in bank interest rates in the short term because they were concerned about the liquidity of the company's finances. The benchmark interest rate set by the central bank will encourage banks to increase lending and deposit rates, which aim to stimulate customers to raise deposit funds. When </w:t>
      </w:r>
      <w:r w:rsidRPr="00830062">
        <w:rPr>
          <w:rFonts w:ascii="Times New Roman" w:hAnsi="Times New Roman" w:cs="Times New Roman"/>
          <w:sz w:val="24"/>
          <w:szCs w:val="24"/>
        </w:rPr>
        <w:lastRenderedPageBreak/>
        <w:t xml:space="preserve">viewed from the demand side, the increase in loan interest rates has a negative correlation with the number of loans because the interest costs that must be incurred by the debtor are higher. Interest rate movements have not been responded to by Islamic banking financing and only reacted negatively in the second to the thirtieth </w:t>
      </w:r>
      <w:r w:rsidRPr="00830062">
        <w:rPr>
          <w:rFonts w:ascii="Times New Roman" w:hAnsi="Times New Roman" w:cs="Times New Roman"/>
          <w:sz w:val="24"/>
          <w:szCs w:val="24"/>
        </w:rPr>
        <w:lastRenderedPageBreak/>
        <w:t>month. This condition explains that Islamic banking is a substitute for conventional banking, where when there is an increase in interest rates will have an impact on the movement of customers who will apply for credit from traditional banking to Islamic banking because the costs incurred by the debtor will be higher than before the interest rate increase. This condition is called displaced commercial risk where when interest rates are in a period of growth, the debtor will turn to look for sources of substitution financing from Islamic banking and vice versa.</w:t>
      </w:r>
    </w:p>
    <w:p w:rsidR="00830062" w:rsidRDefault="00830062" w:rsidP="009101B2">
      <w:pPr>
        <w:spacing w:after="0" w:line="300" w:lineRule="auto"/>
        <w:jc w:val="both"/>
        <w:rPr>
          <w:rFonts w:ascii="Times New Roman" w:hAnsi="Times New Roman" w:cs="Times New Roman"/>
          <w:b/>
          <w:i/>
          <w:sz w:val="24"/>
          <w:szCs w:val="24"/>
        </w:rPr>
      </w:pPr>
    </w:p>
    <w:p w:rsidR="00ED4301" w:rsidRPr="00042907" w:rsidRDefault="00ED4301" w:rsidP="009101B2">
      <w:pPr>
        <w:spacing w:after="0" w:line="300" w:lineRule="auto"/>
        <w:jc w:val="both"/>
        <w:rPr>
          <w:rFonts w:ascii="Times New Roman" w:hAnsi="Times New Roman" w:cs="Times New Roman"/>
          <w:b/>
          <w:sz w:val="24"/>
          <w:szCs w:val="24"/>
        </w:rPr>
      </w:pPr>
      <w:r w:rsidRPr="009101B2">
        <w:rPr>
          <w:rFonts w:ascii="Times New Roman" w:hAnsi="Times New Roman" w:cs="Times New Roman"/>
          <w:b/>
          <w:i/>
          <w:sz w:val="24"/>
          <w:szCs w:val="24"/>
        </w:rPr>
        <w:t>Forecast Error Variance Decomposition</w:t>
      </w:r>
      <w:r w:rsidR="00042907">
        <w:rPr>
          <w:rFonts w:ascii="Times New Roman" w:hAnsi="Times New Roman" w:cs="Times New Roman"/>
          <w:b/>
          <w:i/>
          <w:sz w:val="24"/>
          <w:szCs w:val="24"/>
        </w:rPr>
        <w:t xml:space="preserve"> </w:t>
      </w:r>
      <w:r w:rsidR="00042907">
        <w:rPr>
          <w:rFonts w:ascii="Times New Roman" w:hAnsi="Times New Roman" w:cs="Times New Roman"/>
          <w:b/>
          <w:sz w:val="24"/>
          <w:szCs w:val="24"/>
        </w:rPr>
        <w:t>(FEVD)</w:t>
      </w:r>
    </w:p>
    <w:p w:rsidR="00830062" w:rsidRPr="00830062" w:rsidRDefault="00830062" w:rsidP="00830062">
      <w:pPr>
        <w:spacing w:after="0" w:line="300" w:lineRule="auto"/>
        <w:ind w:firstLine="567"/>
        <w:jc w:val="both"/>
        <w:rPr>
          <w:rFonts w:ascii="Times New Roman" w:hAnsi="Times New Roman" w:cs="Times New Roman"/>
          <w:sz w:val="24"/>
          <w:szCs w:val="24"/>
        </w:rPr>
      </w:pPr>
      <w:r w:rsidRPr="00830062">
        <w:rPr>
          <w:rFonts w:ascii="Times New Roman" w:hAnsi="Times New Roman" w:cs="Times New Roman"/>
          <w:sz w:val="24"/>
          <w:szCs w:val="24"/>
        </w:rPr>
        <w:t xml:space="preserve">Fluctuations of each variable due to shocks can be done by analyzing the role of each trauma in explaining changes in macroeconomic variables through FEVD analysis or variance decomposition analysis. The results of </w:t>
      </w:r>
      <w:r w:rsidRPr="00830062">
        <w:rPr>
          <w:rFonts w:ascii="Times New Roman" w:hAnsi="Times New Roman" w:cs="Times New Roman"/>
          <w:sz w:val="24"/>
          <w:szCs w:val="24"/>
        </w:rPr>
        <w:lastRenderedPageBreak/>
        <w:t>the variance decomposition of the sharia banking model in Indonesia show that the forecasting variance in financing intervals using the Islamic banking musharaka contract (MUS) is very much due to MUS's innovation itself.</w:t>
      </w:r>
    </w:p>
    <w:p w:rsidR="00830062" w:rsidRPr="00830062" w:rsidRDefault="00830062" w:rsidP="00830062">
      <w:pPr>
        <w:spacing w:after="0" w:line="300" w:lineRule="auto"/>
        <w:ind w:firstLine="567"/>
        <w:jc w:val="both"/>
        <w:rPr>
          <w:rFonts w:ascii="Times New Roman" w:hAnsi="Times New Roman" w:cs="Times New Roman"/>
          <w:sz w:val="24"/>
          <w:szCs w:val="24"/>
        </w:rPr>
      </w:pPr>
      <w:r w:rsidRPr="00830062">
        <w:rPr>
          <w:rFonts w:ascii="Times New Roman" w:hAnsi="Times New Roman" w:cs="Times New Roman"/>
          <w:sz w:val="24"/>
          <w:szCs w:val="24"/>
        </w:rPr>
        <w:t>The simulation presented in Figure 2 shows that in the first period, the macroeconomic variable shock was influenced by the MUS shock itself by 100 percent. In contrast, the other variables did not affect. The contribution of macroeconomic variable shocks began to be felt in the second period of observation even though the percentage affecting was tiny. This is because the effect of changing macro conditions requires time to influence other aspects. Interest rate shocks (BIR) provide the most significant contribution, followed by inflation (CPI) and exchange rate (EXC).</w:t>
      </w:r>
    </w:p>
    <w:p w:rsidR="00AB79CD" w:rsidRPr="009101B2" w:rsidRDefault="00AB79CD" w:rsidP="009101B2">
      <w:pPr>
        <w:spacing w:after="0" w:line="300" w:lineRule="auto"/>
        <w:ind w:firstLine="567"/>
        <w:jc w:val="both"/>
        <w:rPr>
          <w:rFonts w:ascii="Times New Roman" w:hAnsi="Times New Roman" w:cs="Times New Roman"/>
          <w:sz w:val="24"/>
          <w:szCs w:val="24"/>
        </w:rPr>
        <w:sectPr w:rsidR="00AB79CD" w:rsidRPr="009101B2" w:rsidSect="00E80B77">
          <w:type w:val="continuous"/>
          <w:pgSz w:w="11907" w:h="16839" w:code="9"/>
          <w:pgMar w:top="1701" w:right="1701" w:bottom="1701" w:left="1701" w:header="720" w:footer="720" w:gutter="0"/>
          <w:cols w:num="2" w:space="720"/>
          <w:docGrid w:linePitch="360"/>
        </w:sectPr>
      </w:pPr>
    </w:p>
    <w:p w:rsidR="00E80B77" w:rsidRDefault="00E80B77" w:rsidP="009101B2">
      <w:pPr>
        <w:spacing w:after="0" w:line="300" w:lineRule="auto"/>
        <w:ind w:firstLine="567"/>
        <w:jc w:val="both"/>
        <w:rPr>
          <w:rFonts w:ascii="Times New Roman" w:hAnsi="Times New Roman" w:cs="Times New Roman"/>
          <w:sz w:val="24"/>
          <w:szCs w:val="24"/>
        </w:rPr>
        <w:sectPr w:rsidR="00E80B77" w:rsidSect="00B63E8C">
          <w:type w:val="continuous"/>
          <w:pgSz w:w="11907" w:h="16839" w:code="9"/>
          <w:pgMar w:top="1701" w:right="1701" w:bottom="1701" w:left="1701" w:header="720" w:footer="720" w:gutter="0"/>
          <w:cols w:space="720"/>
          <w:docGrid w:linePitch="360"/>
        </w:sectPr>
      </w:pPr>
    </w:p>
    <w:p w:rsidR="00AB79CD" w:rsidRPr="009101B2" w:rsidRDefault="00AB79CD" w:rsidP="009101B2">
      <w:pPr>
        <w:spacing w:after="0" w:line="300" w:lineRule="auto"/>
        <w:ind w:firstLine="567"/>
        <w:jc w:val="both"/>
        <w:rPr>
          <w:rFonts w:ascii="Times New Roman" w:hAnsi="Times New Roman" w:cs="Times New Roman"/>
          <w:sz w:val="24"/>
          <w:szCs w:val="24"/>
        </w:rPr>
      </w:pPr>
    </w:p>
    <w:p w:rsidR="00ED4301" w:rsidRPr="009101B2" w:rsidRDefault="005578A2" w:rsidP="009101B2">
      <w:pPr>
        <w:spacing w:after="0" w:line="300" w:lineRule="auto"/>
        <w:jc w:val="center"/>
        <w:rPr>
          <w:rFonts w:ascii="Times New Roman" w:hAnsi="Times New Roman" w:cs="Times New Roman"/>
          <w:sz w:val="24"/>
          <w:szCs w:val="24"/>
        </w:rPr>
      </w:pPr>
      <w:r w:rsidRPr="005578A2">
        <w:rPr>
          <w:rFonts w:ascii="Times New Roman" w:hAnsi="Times New Roman" w:cs="Times New Roman"/>
          <w:noProof/>
          <w:sz w:val="24"/>
          <w:szCs w:val="24"/>
        </w:rPr>
        <w:drawing>
          <wp:inline distT="0" distB="0" distL="0" distR="0">
            <wp:extent cx="4572000" cy="2743200"/>
            <wp:effectExtent l="19050" t="0" r="1905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79CD" w:rsidRDefault="00042907" w:rsidP="009101B2">
      <w:pPr>
        <w:spacing w:after="0" w:line="300" w:lineRule="auto"/>
        <w:ind w:firstLine="567"/>
        <w:jc w:val="both"/>
        <w:rPr>
          <w:rFonts w:ascii="Times New Roman" w:hAnsi="Times New Roman" w:cs="Times New Roman"/>
          <w:sz w:val="24"/>
          <w:szCs w:val="24"/>
        </w:rPr>
      </w:pPr>
      <w:r w:rsidRPr="00042907">
        <w:rPr>
          <w:rFonts w:ascii="Times New Roman" w:hAnsi="Times New Roman" w:cs="Times New Roman"/>
          <w:sz w:val="24"/>
          <w:szCs w:val="24"/>
        </w:rPr>
        <w:t>Figure 2. Variance Decomposition of Mus</w:t>
      </w:r>
      <w:r>
        <w:rPr>
          <w:rFonts w:ascii="Times New Roman" w:hAnsi="Times New Roman" w:cs="Times New Roman"/>
          <w:sz w:val="24"/>
          <w:szCs w:val="24"/>
        </w:rPr>
        <w:t>h</w:t>
      </w:r>
      <w:r w:rsidRPr="00042907">
        <w:rPr>
          <w:rFonts w:ascii="Times New Roman" w:hAnsi="Times New Roman" w:cs="Times New Roman"/>
          <w:sz w:val="24"/>
          <w:szCs w:val="24"/>
        </w:rPr>
        <w:t>araka Contract Financing Model</w:t>
      </w:r>
    </w:p>
    <w:p w:rsidR="00042907" w:rsidRPr="009101B2" w:rsidRDefault="00042907" w:rsidP="009101B2">
      <w:pPr>
        <w:spacing w:after="0" w:line="300" w:lineRule="auto"/>
        <w:ind w:firstLine="567"/>
        <w:jc w:val="both"/>
        <w:rPr>
          <w:rFonts w:ascii="Times New Roman" w:hAnsi="Times New Roman" w:cs="Times New Roman"/>
          <w:sz w:val="24"/>
          <w:szCs w:val="24"/>
        </w:rPr>
      </w:pPr>
    </w:p>
    <w:p w:rsidR="00AB79CD" w:rsidRPr="009101B2" w:rsidRDefault="00AB79CD" w:rsidP="009101B2">
      <w:pPr>
        <w:spacing w:after="0" w:line="300" w:lineRule="auto"/>
        <w:ind w:firstLine="567"/>
        <w:jc w:val="both"/>
        <w:rPr>
          <w:rFonts w:ascii="Times New Roman" w:hAnsi="Times New Roman" w:cs="Times New Roman"/>
          <w:sz w:val="24"/>
          <w:szCs w:val="24"/>
        </w:rPr>
        <w:sectPr w:rsidR="00AB79CD" w:rsidRPr="009101B2" w:rsidSect="00B63E8C">
          <w:type w:val="continuous"/>
          <w:pgSz w:w="11907" w:h="16839" w:code="9"/>
          <w:pgMar w:top="1701" w:right="1701" w:bottom="1701" w:left="1701" w:header="720" w:footer="720" w:gutter="0"/>
          <w:cols w:space="720"/>
          <w:docGrid w:linePitch="360"/>
        </w:sectPr>
      </w:pPr>
    </w:p>
    <w:p w:rsidR="00042907" w:rsidRDefault="00042907" w:rsidP="00042907">
      <w:pPr>
        <w:spacing w:after="0" w:line="300" w:lineRule="auto"/>
        <w:ind w:firstLine="851"/>
        <w:jc w:val="both"/>
        <w:rPr>
          <w:rFonts w:ascii="Times New Roman" w:hAnsi="Times New Roman" w:cs="Times New Roman"/>
          <w:sz w:val="24"/>
          <w:szCs w:val="24"/>
        </w:rPr>
      </w:pPr>
      <w:r w:rsidRPr="00042907">
        <w:rPr>
          <w:rFonts w:ascii="Times New Roman" w:hAnsi="Times New Roman" w:cs="Times New Roman"/>
          <w:sz w:val="24"/>
          <w:szCs w:val="24"/>
        </w:rPr>
        <w:lastRenderedPageBreak/>
        <w:t>The effect of MUS shocks on itself decreases with time, while other macroeconomic variables make relatively smaller contributions. The results of the variance decomposition indicate that innovations in Islamic financing such as exchange rates, inflation rates, and interest rates have a more modest effect compared to innovations in the funding itself. Changes in the exchange rate in the first period responded by Islamic financing to be a factor that affects the performance of the financing because it is inseparable from the condition of exchange rate fluctuations that affect. However, the proportion caused by shocks from these variables is tiny or can even be concluded with no effect in the long run. Exchange rate stability is needed for every economic entity, especially entrepreneurs who carry out export-import transactions. Thus, the regulator must pay serious attention to policies issued to maintain or even improve the competitiveness of Islamic banking.</w:t>
      </w:r>
    </w:p>
    <w:p w:rsidR="00042907" w:rsidRDefault="00042907" w:rsidP="00042907">
      <w:pPr>
        <w:spacing w:after="0" w:line="300" w:lineRule="auto"/>
        <w:ind w:firstLine="851"/>
        <w:jc w:val="both"/>
        <w:rPr>
          <w:rFonts w:ascii="Times New Roman" w:hAnsi="Times New Roman" w:cs="Times New Roman"/>
          <w:sz w:val="24"/>
          <w:szCs w:val="24"/>
        </w:rPr>
      </w:pPr>
      <w:r w:rsidRPr="00042907">
        <w:rPr>
          <w:rFonts w:ascii="Times New Roman" w:hAnsi="Times New Roman" w:cs="Times New Roman"/>
          <w:sz w:val="24"/>
          <w:szCs w:val="24"/>
        </w:rPr>
        <w:t xml:space="preserve">CPI contribution continues to grow and becomes one of the dominant factors in macro variables as the forecast period increases. CPI is considered by the debtor to increase the loan. High CPI will undoubtedly adversely affect the performance of financing distribution. The regulator will respond to the CPI to raise interest rates so that debtors will think twice about increasing their loans. Rational </w:t>
      </w:r>
      <w:r w:rsidRPr="00042907">
        <w:rPr>
          <w:rFonts w:ascii="Times New Roman" w:hAnsi="Times New Roman" w:cs="Times New Roman"/>
          <w:sz w:val="24"/>
          <w:szCs w:val="24"/>
        </w:rPr>
        <w:lastRenderedPageBreak/>
        <w:t>debtors will use a much cheaper source of financing, meaning that when there is an increase in interest rates will be responded to by falling demand for investment. An increase in interest rates is sometimes not a sensitive matter for debtors, so the high and low-interest rates do not always result in an increase or decrease in financing demand because this variable is one of the variables considered both in the supply and demand functions of financing.</w:t>
      </w:r>
    </w:p>
    <w:p w:rsidR="00042907" w:rsidRPr="00042907" w:rsidRDefault="00042907" w:rsidP="00042907">
      <w:pPr>
        <w:spacing w:after="0" w:line="300" w:lineRule="auto"/>
        <w:ind w:firstLine="851"/>
        <w:jc w:val="both"/>
        <w:rPr>
          <w:rFonts w:ascii="Times New Roman" w:hAnsi="Times New Roman" w:cs="Times New Roman"/>
          <w:sz w:val="24"/>
          <w:szCs w:val="24"/>
        </w:rPr>
      </w:pPr>
      <w:r w:rsidRPr="00042907">
        <w:rPr>
          <w:rFonts w:ascii="Times New Roman" w:hAnsi="Times New Roman" w:cs="Times New Roman"/>
          <w:sz w:val="24"/>
          <w:szCs w:val="24"/>
        </w:rPr>
        <w:t>Demand for financing, especially those originating from the micro and small business sector as well as financing for consumptive purposes, are usually not too based on high or low-interest rates, but rather consider the speed of service and facilities felt in the loan application process. Another case with large-scale business sectors, interest rates are sensitive to the demand for financing because the loan quantity proposed is relatively large and has a long maturity period so that with high-interest rates will undoubtedly add to the burden of the company, especially in the future.</w:t>
      </w:r>
    </w:p>
    <w:p w:rsidR="00ED4301" w:rsidRDefault="00ED4301" w:rsidP="009101B2">
      <w:pPr>
        <w:spacing w:after="0" w:line="300" w:lineRule="auto"/>
        <w:jc w:val="both"/>
        <w:rPr>
          <w:rFonts w:ascii="Times New Roman" w:hAnsi="Times New Roman" w:cs="Times New Roman"/>
          <w:sz w:val="24"/>
          <w:szCs w:val="24"/>
        </w:rPr>
      </w:pPr>
    </w:p>
    <w:p w:rsidR="00042907" w:rsidRPr="00042907" w:rsidRDefault="00042907" w:rsidP="00042907">
      <w:pPr>
        <w:spacing w:after="0" w:line="300" w:lineRule="auto"/>
        <w:jc w:val="both"/>
        <w:rPr>
          <w:rFonts w:ascii="Times New Roman" w:hAnsi="Times New Roman" w:cs="Times New Roman"/>
          <w:b/>
          <w:sz w:val="24"/>
          <w:szCs w:val="24"/>
        </w:rPr>
      </w:pPr>
      <w:r w:rsidRPr="00042907">
        <w:rPr>
          <w:rFonts w:ascii="Times New Roman" w:hAnsi="Times New Roman" w:cs="Times New Roman"/>
          <w:b/>
          <w:sz w:val="24"/>
          <w:szCs w:val="24"/>
        </w:rPr>
        <w:t>Conclusion</w:t>
      </w:r>
    </w:p>
    <w:p w:rsidR="00042907" w:rsidRDefault="00042907" w:rsidP="00042907">
      <w:pPr>
        <w:spacing w:after="0" w:line="300" w:lineRule="auto"/>
        <w:ind w:firstLine="851"/>
        <w:jc w:val="both"/>
        <w:rPr>
          <w:rFonts w:ascii="Times New Roman" w:hAnsi="Times New Roman" w:cs="Times New Roman"/>
          <w:sz w:val="24"/>
          <w:szCs w:val="24"/>
        </w:rPr>
      </w:pPr>
      <w:r w:rsidRPr="00042907">
        <w:rPr>
          <w:rFonts w:ascii="Times New Roman" w:hAnsi="Times New Roman" w:cs="Times New Roman"/>
          <w:sz w:val="24"/>
          <w:szCs w:val="24"/>
        </w:rPr>
        <w:t xml:space="preserve">The exchange rate variable has a positive and significant effect on financing using the </w:t>
      </w:r>
      <w:r w:rsidR="00E80B77">
        <w:rPr>
          <w:rFonts w:ascii="Times New Roman" w:hAnsi="Times New Roman" w:cs="Times New Roman"/>
          <w:sz w:val="24"/>
          <w:szCs w:val="24"/>
        </w:rPr>
        <w:t>musharaka</w:t>
      </w:r>
      <w:r w:rsidRPr="00042907">
        <w:rPr>
          <w:rFonts w:ascii="Times New Roman" w:hAnsi="Times New Roman" w:cs="Times New Roman"/>
          <w:sz w:val="24"/>
          <w:szCs w:val="24"/>
        </w:rPr>
        <w:t xml:space="preserve"> contract. Whereas variable interest rates and inflation rates have a positive and negative influence on investment using the </w:t>
      </w:r>
      <w:r w:rsidR="00E80B77">
        <w:rPr>
          <w:rFonts w:ascii="Times New Roman" w:hAnsi="Times New Roman" w:cs="Times New Roman"/>
          <w:sz w:val="24"/>
          <w:szCs w:val="24"/>
        </w:rPr>
        <w:t>musharaka</w:t>
      </w:r>
      <w:r w:rsidRPr="00042907">
        <w:rPr>
          <w:rFonts w:ascii="Times New Roman" w:hAnsi="Times New Roman" w:cs="Times New Roman"/>
          <w:sz w:val="24"/>
          <w:szCs w:val="24"/>
        </w:rPr>
        <w:t xml:space="preserve"> contract. The exchange rate increase was responded negatively </w:t>
      </w:r>
      <w:r w:rsidRPr="00042907">
        <w:rPr>
          <w:rFonts w:ascii="Times New Roman" w:hAnsi="Times New Roman" w:cs="Times New Roman"/>
          <w:sz w:val="24"/>
          <w:szCs w:val="24"/>
        </w:rPr>
        <w:lastRenderedPageBreak/>
        <w:t>by Islamic banking financing for the next thirty months. Islamic banking financing responded negatively and then positively to inflation movements for the next thirty months. Inflation reflects economic stability. If inflation rises, people tend to reduce investment. This condition will have an impact on the decline in banking assets in real terms because the funds raised have decreased so that it will affect the ability of banking operations in lending.</w:t>
      </w:r>
    </w:p>
    <w:p w:rsidR="00042907" w:rsidRDefault="00042907" w:rsidP="00042907">
      <w:pPr>
        <w:spacing w:after="0" w:line="300" w:lineRule="auto"/>
        <w:ind w:firstLine="851"/>
        <w:jc w:val="both"/>
        <w:rPr>
          <w:rFonts w:ascii="Times New Roman" w:hAnsi="Times New Roman" w:cs="Times New Roman"/>
          <w:sz w:val="24"/>
          <w:szCs w:val="24"/>
        </w:rPr>
      </w:pPr>
      <w:r w:rsidRPr="00042907">
        <w:rPr>
          <w:rFonts w:ascii="Times New Roman" w:hAnsi="Times New Roman" w:cs="Times New Roman"/>
          <w:sz w:val="24"/>
          <w:szCs w:val="24"/>
        </w:rPr>
        <w:t xml:space="preserve">Debtors negatively responded to the increase in bank interest rates in the short term because they were concerned about the liquidity of the company's finances. Macroeconomic variable shocks are influenced by sharia financing shocks themselves, while </w:t>
      </w:r>
      <w:r w:rsidRPr="00042907">
        <w:rPr>
          <w:rFonts w:ascii="Times New Roman" w:hAnsi="Times New Roman" w:cs="Times New Roman"/>
          <w:sz w:val="24"/>
          <w:szCs w:val="24"/>
        </w:rPr>
        <w:lastRenderedPageBreak/>
        <w:t>other variables do not affect. The contribution of macroeconomic variable shocks began to be felt in the second period of observation even though the percentage affecting was tiny. The most influencing variables are the variable interest rates, inflation rates, and exchange rates.</w:t>
      </w:r>
    </w:p>
    <w:p w:rsidR="00042907" w:rsidRPr="00042907" w:rsidRDefault="00042907" w:rsidP="00042907">
      <w:pPr>
        <w:spacing w:after="0" w:line="300" w:lineRule="auto"/>
        <w:ind w:firstLine="851"/>
        <w:jc w:val="both"/>
        <w:rPr>
          <w:rFonts w:ascii="Times New Roman" w:hAnsi="Times New Roman" w:cs="Times New Roman"/>
          <w:sz w:val="24"/>
          <w:szCs w:val="24"/>
        </w:rPr>
      </w:pPr>
      <w:r w:rsidRPr="00042907">
        <w:rPr>
          <w:rFonts w:ascii="Times New Roman" w:hAnsi="Times New Roman" w:cs="Times New Roman"/>
          <w:sz w:val="24"/>
          <w:szCs w:val="24"/>
        </w:rPr>
        <w:t>Some implications that can be formulated are increasing the intensity of socialization and improving communication-related to product and service development, formulating an imaging program through providing entrepreneurship training and capital support, improving the quality of human resources by increasing sharia financial experts, promoting superior loan products to attract debtors.</w:t>
      </w:r>
    </w:p>
    <w:p w:rsidR="00E80B77" w:rsidRDefault="00E80B77" w:rsidP="009101B2">
      <w:pPr>
        <w:spacing w:after="0" w:line="300" w:lineRule="auto"/>
        <w:jc w:val="both"/>
        <w:rPr>
          <w:rFonts w:ascii="Times New Roman" w:hAnsi="Times New Roman" w:cs="Times New Roman"/>
          <w:sz w:val="24"/>
          <w:szCs w:val="24"/>
        </w:rPr>
        <w:sectPr w:rsidR="00E80B77" w:rsidSect="00E80B77">
          <w:type w:val="continuous"/>
          <w:pgSz w:w="11907" w:h="16839" w:code="9"/>
          <w:pgMar w:top="1701" w:right="1701" w:bottom="1701" w:left="1701" w:header="720" w:footer="720" w:gutter="0"/>
          <w:cols w:num="2" w:space="720"/>
          <w:docGrid w:linePitch="360"/>
        </w:sectPr>
      </w:pPr>
    </w:p>
    <w:p w:rsidR="00042907" w:rsidRDefault="00042907" w:rsidP="009101B2">
      <w:pPr>
        <w:spacing w:after="0" w:line="300" w:lineRule="auto"/>
        <w:jc w:val="both"/>
        <w:rPr>
          <w:rFonts w:ascii="Times New Roman" w:hAnsi="Times New Roman" w:cs="Times New Roman"/>
          <w:sz w:val="24"/>
          <w:szCs w:val="24"/>
        </w:rPr>
      </w:pPr>
    </w:p>
    <w:p w:rsidR="00ED4301" w:rsidRDefault="00F05159" w:rsidP="009101B2">
      <w:pPr>
        <w:spacing w:after="0" w:line="30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References</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E841A7">
        <w:rPr>
          <w:rFonts w:ascii="Times New Roman" w:hAnsi="Times New Roman" w:cs="Times New Roman"/>
          <w:noProof/>
          <w:sz w:val="24"/>
          <w:szCs w:val="24"/>
        </w:rPr>
        <w:t xml:space="preserve">Aysan, A. F., Disli, M., &amp; Ozturk, H. (2018). Bank Lending Channel in a Dual Banking System: Why are Islamic Banks so Responsive? </w:t>
      </w:r>
      <w:r w:rsidRPr="00E841A7">
        <w:rPr>
          <w:rFonts w:ascii="Times New Roman" w:hAnsi="Times New Roman" w:cs="Times New Roman"/>
          <w:i/>
          <w:iCs/>
          <w:noProof/>
          <w:sz w:val="24"/>
          <w:szCs w:val="24"/>
        </w:rPr>
        <w:t>World Economy</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41</w:t>
      </w:r>
      <w:r w:rsidRPr="00E841A7">
        <w:rPr>
          <w:rFonts w:ascii="Times New Roman" w:hAnsi="Times New Roman" w:cs="Times New Roman"/>
          <w:noProof/>
          <w:sz w:val="24"/>
          <w:szCs w:val="24"/>
        </w:rPr>
        <w:t>(3), 674–698. https://doi.org/10.1111/twec.12507</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Azmat, S., Skully, M., &amp; Brown, K. (2015). Can Islamic Banking Ever Become Islamic? </w:t>
      </w:r>
      <w:r w:rsidRPr="00E841A7">
        <w:rPr>
          <w:rFonts w:ascii="Times New Roman" w:hAnsi="Times New Roman" w:cs="Times New Roman"/>
          <w:i/>
          <w:iCs/>
          <w:noProof/>
          <w:sz w:val="24"/>
          <w:szCs w:val="24"/>
        </w:rPr>
        <w:t>Pacific Basin Finance Journal</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34</w:t>
      </w:r>
      <w:r w:rsidRPr="00E841A7">
        <w:rPr>
          <w:rFonts w:ascii="Times New Roman" w:hAnsi="Times New Roman" w:cs="Times New Roman"/>
          <w:noProof/>
          <w:sz w:val="24"/>
          <w:szCs w:val="24"/>
        </w:rPr>
        <w:t>, 253–272. https://doi.org/10.1016/j.pacfin.2015.03.001</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Bahloul, S., Mroua, M., &amp; Naifar, N. (2017). The Impact of Macroeconomic and Conventional Stock Market Variables on Islamic Index Returns under Regime Switching. </w:t>
      </w:r>
      <w:r w:rsidRPr="00E841A7">
        <w:rPr>
          <w:rFonts w:ascii="Times New Roman" w:hAnsi="Times New Roman" w:cs="Times New Roman"/>
          <w:i/>
          <w:iCs/>
          <w:noProof/>
          <w:sz w:val="24"/>
          <w:szCs w:val="24"/>
        </w:rPr>
        <w:t>Borsa Istanbul Review</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17</w:t>
      </w:r>
      <w:r w:rsidRPr="00E841A7">
        <w:rPr>
          <w:rFonts w:ascii="Times New Roman" w:hAnsi="Times New Roman" w:cs="Times New Roman"/>
          <w:noProof/>
          <w:sz w:val="24"/>
          <w:szCs w:val="24"/>
        </w:rPr>
        <w:t>(1), 62–74. https://doi.org/10.1016/j.bir.2016.09.003</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Chien, Y. L., Lustig, H., &amp; Naknoi, K. (2019). Why are Exchange Rates so Smooth? A household Finance Explanation. </w:t>
      </w:r>
      <w:r w:rsidRPr="00E841A7">
        <w:rPr>
          <w:rFonts w:ascii="Times New Roman" w:hAnsi="Times New Roman" w:cs="Times New Roman"/>
          <w:i/>
          <w:iCs/>
          <w:noProof/>
          <w:sz w:val="24"/>
          <w:szCs w:val="24"/>
        </w:rPr>
        <w:t>Journal of Monetary Economics</w:t>
      </w:r>
      <w:r w:rsidRPr="00E841A7">
        <w:rPr>
          <w:rFonts w:ascii="Times New Roman" w:hAnsi="Times New Roman" w:cs="Times New Roman"/>
          <w:noProof/>
          <w:sz w:val="24"/>
          <w:szCs w:val="24"/>
        </w:rPr>
        <w:t>, 1–16. https://doi.org/10.1016/j.jmoneco.2019.02.003</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Hamza, H., &amp; Saadaoui, Z. (2018). Monetary Transmission Through the Debt Financing Channel of Islamic Banks: Does PSIA Play a Role? </w:t>
      </w:r>
      <w:r w:rsidRPr="00E841A7">
        <w:rPr>
          <w:rFonts w:ascii="Times New Roman" w:hAnsi="Times New Roman" w:cs="Times New Roman"/>
          <w:i/>
          <w:iCs/>
          <w:noProof/>
          <w:sz w:val="24"/>
          <w:szCs w:val="24"/>
        </w:rPr>
        <w:t>Research in International Business and Finance</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45</w:t>
      </w:r>
      <w:r w:rsidRPr="00E841A7">
        <w:rPr>
          <w:rFonts w:ascii="Times New Roman" w:hAnsi="Times New Roman" w:cs="Times New Roman"/>
          <w:noProof/>
          <w:sz w:val="24"/>
          <w:szCs w:val="24"/>
        </w:rPr>
        <w:t>(3), 557–570. https://doi.org/10.1016/j.ribaf.2017.09.004</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Hassan, M. K., Khan, A., &amp; Paltrinieri, A. (2019). Liquidity Risk, Credit Risk and Stability in Islamic and Conventional Banks. </w:t>
      </w:r>
      <w:r w:rsidRPr="00E841A7">
        <w:rPr>
          <w:rFonts w:ascii="Times New Roman" w:hAnsi="Times New Roman" w:cs="Times New Roman"/>
          <w:i/>
          <w:iCs/>
          <w:noProof/>
          <w:sz w:val="24"/>
          <w:szCs w:val="24"/>
        </w:rPr>
        <w:t>Research in International Business and Finance</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48</w:t>
      </w:r>
      <w:r w:rsidRPr="00E841A7">
        <w:rPr>
          <w:rFonts w:ascii="Times New Roman" w:hAnsi="Times New Roman" w:cs="Times New Roman"/>
          <w:noProof/>
          <w:sz w:val="24"/>
          <w:szCs w:val="24"/>
        </w:rPr>
        <w:t>, 17–31. https://doi.org/10.1016/j.ribaf.2018.10.006</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Hossain, A. A. (2016). Inflationary Shocks and Real Output Growth in Nine Muslim-majority Countries: Implications for Islamic Banking and Finance. </w:t>
      </w:r>
      <w:r w:rsidRPr="00E841A7">
        <w:rPr>
          <w:rFonts w:ascii="Times New Roman" w:hAnsi="Times New Roman" w:cs="Times New Roman"/>
          <w:i/>
          <w:iCs/>
          <w:noProof/>
          <w:sz w:val="24"/>
          <w:szCs w:val="24"/>
        </w:rPr>
        <w:t xml:space="preserve">Journal of </w:t>
      </w:r>
      <w:r w:rsidRPr="00E841A7">
        <w:rPr>
          <w:rFonts w:ascii="Times New Roman" w:hAnsi="Times New Roman" w:cs="Times New Roman"/>
          <w:i/>
          <w:iCs/>
          <w:noProof/>
          <w:sz w:val="24"/>
          <w:szCs w:val="24"/>
        </w:rPr>
        <w:lastRenderedPageBreak/>
        <w:t>Asian Economics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45</w:t>
      </w:r>
      <w:r w:rsidRPr="00E841A7">
        <w:rPr>
          <w:rFonts w:ascii="Times New Roman" w:hAnsi="Times New Roman" w:cs="Times New Roman"/>
          <w:noProof/>
          <w:sz w:val="24"/>
          <w:szCs w:val="24"/>
        </w:rPr>
        <w:t>, 56–73. https://doi.org/10.1016/j.asieco.2016.06.004</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Kasri, R. A., &amp; Kassim, S. H. (2009). Empirical Determinants of Saving in the Islamic Banks: Evidence from Indonesia. </w:t>
      </w:r>
      <w:r w:rsidRPr="00E841A7">
        <w:rPr>
          <w:rFonts w:ascii="Times New Roman" w:hAnsi="Times New Roman" w:cs="Times New Roman"/>
          <w:i/>
          <w:iCs/>
          <w:noProof/>
          <w:sz w:val="24"/>
          <w:szCs w:val="24"/>
        </w:rPr>
        <w:t>Journal of King Abdulaziz University, Islamic Economics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22</w:t>
      </w:r>
      <w:r w:rsidRPr="00E841A7">
        <w:rPr>
          <w:rFonts w:ascii="Times New Roman" w:hAnsi="Times New Roman" w:cs="Times New Roman"/>
          <w:noProof/>
          <w:sz w:val="24"/>
          <w:szCs w:val="24"/>
        </w:rPr>
        <w:t>(2), 181–201. https://doi.org/10.2139/ssrn.1685226</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Kassim, S. H., Shabri, M., Majid, A., &amp; Yusof, R. M. (2009). Impact of Monetary Policy Shocks on the Conventional and Islamic Banks in a Dual Banking System: Evidence from Malaysia. </w:t>
      </w:r>
      <w:r w:rsidRPr="00E841A7">
        <w:rPr>
          <w:rFonts w:ascii="Times New Roman" w:hAnsi="Times New Roman" w:cs="Times New Roman"/>
          <w:i/>
          <w:iCs/>
          <w:noProof/>
          <w:sz w:val="24"/>
          <w:szCs w:val="24"/>
        </w:rPr>
        <w:t>Journal of Economic Cooperation and Development</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30</w:t>
      </w:r>
      <w:r w:rsidRPr="00E841A7">
        <w:rPr>
          <w:rFonts w:ascii="Times New Roman" w:hAnsi="Times New Roman" w:cs="Times New Roman"/>
          <w:noProof/>
          <w:sz w:val="24"/>
          <w:szCs w:val="24"/>
        </w:rPr>
        <w:t>(1), 41–58.</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Khan, M., &amp; Mirakhor, A. (1989). The Financial System and Monetary Policy in an Islamic Economy. </w:t>
      </w:r>
      <w:r w:rsidRPr="00E841A7">
        <w:rPr>
          <w:rFonts w:ascii="Times New Roman" w:hAnsi="Times New Roman" w:cs="Times New Roman"/>
          <w:i/>
          <w:iCs/>
          <w:noProof/>
          <w:sz w:val="24"/>
          <w:szCs w:val="24"/>
        </w:rPr>
        <w:t>Journal of King Abdulaziz University-Islamic Economics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3</w:t>
      </w:r>
      <w:r w:rsidRPr="00E841A7">
        <w:rPr>
          <w:rFonts w:ascii="Times New Roman" w:hAnsi="Times New Roman" w:cs="Times New Roman"/>
          <w:noProof/>
          <w:sz w:val="24"/>
          <w:szCs w:val="24"/>
        </w:rPr>
        <w:t>(1), 85–93. https://doi.org/10.4197/islec.3-1.5</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Lassoued, M. (2018). Comparative Study on Credit Risk in Islamic Banking Institutions: The Case of Malaysia. </w:t>
      </w:r>
      <w:r w:rsidRPr="00E841A7">
        <w:rPr>
          <w:rFonts w:ascii="Times New Roman" w:hAnsi="Times New Roman" w:cs="Times New Roman"/>
          <w:i/>
          <w:iCs/>
          <w:noProof/>
          <w:sz w:val="24"/>
          <w:szCs w:val="24"/>
        </w:rPr>
        <w:t>Quarterly Review of Economics and Finance</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70</w:t>
      </w:r>
      <w:r w:rsidRPr="00E841A7">
        <w:rPr>
          <w:rFonts w:ascii="Times New Roman" w:hAnsi="Times New Roman" w:cs="Times New Roman"/>
          <w:noProof/>
          <w:sz w:val="24"/>
          <w:szCs w:val="24"/>
        </w:rPr>
        <w:t>, 267–278. https://doi.org/10.1016/j.qref.2018.05.009</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Léon, F., &amp; Weill, L. (2018). Islamic Banking Development and Access to Credit. </w:t>
      </w:r>
      <w:r w:rsidRPr="00E841A7">
        <w:rPr>
          <w:rFonts w:ascii="Times New Roman" w:hAnsi="Times New Roman" w:cs="Times New Roman"/>
          <w:i/>
          <w:iCs/>
          <w:noProof/>
          <w:sz w:val="24"/>
          <w:szCs w:val="24"/>
        </w:rPr>
        <w:t>Pacific Basin Finance Journal</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52</w:t>
      </w:r>
      <w:r w:rsidRPr="00E841A7">
        <w:rPr>
          <w:rFonts w:ascii="Times New Roman" w:hAnsi="Times New Roman" w:cs="Times New Roman"/>
          <w:noProof/>
          <w:sz w:val="24"/>
          <w:szCs w:val="24"/>
        </w:rPr>
        <w:t>(7), 54–69. https://doi.org/10.1016/j.pacfin.2017.04.010</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Lin, S., Shi, K., &amp; Ye, H. (2018). Exchange Rate Volatility and Trade: The Role of Credit Constraints. </w:t>
      </w:r>
      <w:r w:rsidRPr="00E841A7">
        <w:rPr>
          <w:rFonts w:ascii="Times New Roman" w:hAnsi="Times New Roman" w:cs="Times New Roman"/>
          <w:i/>
          <w:iCs/>
          <w:noProof/>
          <w:sz w:val="24"/>
          <w:szCs w:val="24"/>
        </w:rPr>
        <w:t>Review of Economic Dynamics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30</w:t>
      </w:r>
      <w:r w:rsidRPr="00E841A7">
        <w:rPr>
          <w:rFonts w:ascii="Times New Roman" w:hAnsi="Times New Roman" w:cs="Times New Roman"/>
          <w:noProof/>
          <w:sz w:val="24"/>
          <w:szCs w:val="24"/>
        </w:rPr>
        <w:t>, 203–222. https://doi.org/10.1016/j.red.2018.05.002</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Magud, N. E., &amp; Vesperoni, E. R. (2015). Exchange Rate Flexibility and Credit During Capital Inflow Reversals: Purgatory . . . Not Paradise. </w:t>
      </w:r>
      <w:r w:rsidRPr="00E841A7">
        <w:rPr>
          <w:rFonts w:ascii="Times New Roman" w:hAnsi="Times New Roman" w:cs="Times New Roman"/>
          <w:i/>
          <w:iCs/>
          <w:noProof/>
          <w:sz w:val="24"/>
          <w:szCs w:val="24"/>
        </w:rPr>
        <w:t>Journal of International Money and Finance</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55</w:t>
      </w:r>
      <w:r w:rsidRPr="00E841A7">
        <w:rPr>
          <w:rFonts w:ascii="Times New Roman" w:hAnsi="Times New Roman" w:cs="Times New Roman"/>
          <w:noProof/>
          <w:sz w:val="24"/>
          <w:szCs w:val="24"/>
        </w:rPr>
        <w:t>, 88–110. https://doi.org/10.1016/j.jimonfin.2015.02.010</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Mahdi, I. B. S., &amp; Abbes, M. B. (2018). Relationship between Capital, Risk and Liquidity : a Comparative Study between Islamic and Conventional Banks in MENA Region. </w:t>
      </w:r>
      <w:r w:rsidRPr="00E841A7">
        <w:rPr>
          <w:rFonts w:ascii="Times New Roman" w:hAnsi="Times New Roman" w:cs="Times New Roman"/>
          <w:i/>
          <w:iCs/>
          <w:noProof/>
          <w:sz w:val="24"/>
          <w:szCs w:val="24"/>
        </w:rPr>
        <w:t>Research in International Business and Finance</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45</w:t>
      </w:r>
      <w:r w:rsidRPr="00E841A7">
        <w:rPr>
          <w:rFonts w:ascii="Times New Roman" w:hAnsi="Times New Roman" w:cs="Times New Roman"/>
          <w:noProof/>
          <w:sz w:val="24"/>
          <w:szCs w:val="24"/>
        </w:rPr>
        <w:t>, 588–596. https://doi.org/10.1016/j.ribaf.2017.07.113</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Meslier, C., Risfandy, T., &amp; Tarazi, A. (2017). Dual market competition and deposit rate setting in Islamic and conventional banks. </w:t>
      </w:r>
      <w:r w:rsidRPr="00E841A7">
        <w:rPr>
          <w:rFonts w:ascii="Times New Roman" w:hAnsi="Times New Roman" w:cs="Times New Roman"/>
          <w:i/>
          <w:iCs/>
          <w:noProof/>
          <w:sz w:val="24"/>
          <w:szCs w:val="24"/>
        </w:rPr>
        <w:t>Economic Modelling</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63</w:t>
      </w:r>
      <w:r w:rsidRPr="00E841A7">
        <w:rPr>
          <w:rFonts w:ascii="Times New Roman" w:hAnsi="Times New Roman" w:cs="Times New Roman"/>
          <w:noProof/>
          <w:sz w:val="24"/>
          <w:szCs w:val="24"/>
        </w:rPr>
        <w:t>, 318–333. https://doi.org/10.1016/j.econmod.2017.02.013</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Miah, M. D., &amp; Uddin, H. (2017). Efficiency and Stability: A Comparative Study between Islamic and Conventional Banks in GCC Countries. </w:t>
      </w:r>
      <w:r w:rsidRPr="00E841A7">
        <w:rPr>
          <w:rFonts w:ascii="Times New Roman" w:hAnsi="Times New Roman" w:cs="Times New Roman"/>
          <w:i/>
          <w:iCs/>
          <w:noProof/>
          <w:sz w:val="24"/>
          <w:szCs w:val="24"/>
        </w:rPr>
        <w:t>Future Business Journal</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3</w:t>
      </w:r>
      <w:r w:rsidRPr="00E841A7">
        <w:rPr>
          <w:rFonts w:ascii="Times New Roman" w:hAnsi="Times New Roman" w:cs="Times New Roman"/>
          <w:noProof/>
          <w:sz w:val="24"/>
          <w:szCs w:val="24"/>
        </w:rPr>
        <w:t>(2), 172–185. https://doi.org/10.1016/j.fbj.2017.11.001</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Mushtaq, S., &amp; Siddiqui, D. A. (2017). Effect of Interest Rate on Bank Deposits : Evidences from Islamic and non-Islamic Economies. </w:t>
      </w:r>
      <w:r w:rsidRPr="00E841A7">
        <w:rPr>
          <w:rFonts w:ascii="Times New Roman" w:hAnsi="Times New Roman" w:cs="Times New Roman"/>
          <w:i/>
          <w:iCs/>
          <w:noProof/>
          <w:sz w:val="24"/>
          <w:szCs w:val="24"/>
        </w:rPr>
        <w:t>Future Business Journal</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3</w:t>
      </w:r>
      <w:r w:rsidRPr="00E841A7">
        <w:rPr>
          <w:rFonts w:ascii="Times New Roman" w:hAnsi="Times New Roman" w:cs="Times New Roman"/>
          <w:noProof/>
          <w:sz w:val="24"/>
          <w:szCs w:val="24"/>
        </w:rPr>
        <w:t>(1), 1–8. https://doi.org/10.1016/j.fbj.2017.01.002</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Naqvi, B., Rizvi, S. K. A., Uqaili, H. A., &amp; Chaudhry, S. M. (2018). What Enables Islamic Banks to Contribute in Global Financial Reintermediation? </w:t>
      </w:r>
      <w:r w:rsidRPr="00E841A7">
        <w:rPr>
          <w:rFonts w:ascii="Times New Roman" w:hAnsi="Times New Roman" w:cs="Times New Roman"/>
          <w:i/>
          <w:iCs/>
          <w:noProof/>
          <w:sz w:val="24"/>
          <w:szCs w:val="24"/>
        </w:rPr>
        <w:t>Pacific Basin Finance Journal</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52</w:t>
      </w:r>
      <w:r w:rsidRPr="00E841A7">
        <w:rPr>
          <w:rFonts w:ascii="Times New Roman" w:hAnsi="Times New Roman" w:cs="Times New Roman"/>
          <w:noProof/>
          <w:sz w:val="24"/>
          <w:szCs w:val="24"/>
        </w:rPr>
        <w:t>, 5–25. https://doi.org/10.1016/j.pacfin.2017.12.001</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Ostadi, H., &amp; Sarlak, A. (2014). Effective Factors on the Absorption of Bank Deposits in Order to Increase the Relative Share of Isfahan Sepah Bank. </w:t>
      </w:r>
      <w:r w:rsidRPr="00E841A7">
        <w:rPr>
          <w:rFonts w:ascii="Times New Roman" w:hAnsi="Times New Roman" w:cs="Times New Roman"/>
          <w:i/>
          <w:iCs/>
          <w:noProof/>
          <w:sz w:val="24"/>
          <w:szCs w:val="24"/>
        </w:rPr>
        <w:t>International Journal of Academic Research in Economics and Management Sciences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3</w:t>
      </w:r>
      <w:r w:rsidRPr="00E841A7">
        <w:rPr>
          <w:rFonts w:ascii="Times New Roman" w:hAnsi="Times New Roman" w:cs="Times New Roman"/>
          <w:noProof/>
          <w:sz w:val="24"/>
          <w:szCs w:val="24"/>
        </w:rPr>
        <w:t>(4), 139–149. https://doi.org/10.6007/ijarems/v3-i4/1112</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Otoritas Jasa Keuangan. (2019). </w:t>
      </w:r>
      <w:r w:rsidRPr="00E841A7">
        <w:rPr>
          <w:rFonts w:ascii="Times New Roman" w:hAnsi="Times New Roman" w:cs="Times New Roman"/>
          <w:i/>
          <w:iCs/>
          <w:noProof/>
          <w:sz w:val="24"/>
          <w:szCs w:val="24"/>
        </w:rPr>
        <w:t>Statistik Perbankan Syariah</w:t>
      </w:r>
      <w:r w:rsidRPr="00E841A7">
        <w:rPr>
          <w:rFonts w:ascii="Times New Roman" w:hAnsi="Times New Roman" w:cs="Times New Roman"/>
          <w:noProof/>
          <w:sz w:val="24"/>
          <w:szCs w:val="24"/>
        </w:rPr>
        <w:t>. https://doi.org/10.1017/CBO9781107415324.004</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Paltrinieri, A., Dreassi, A., Rossi, S., &amp; Khan, A. (2019). Risk-adjusted Profitability and Stability of Islamic and Conventional Banks: Does Revenue Diversification </w:t>
      </w:r>
      <w:r w:rsidRPr="00E841A7">
        <w:rPr>
          <w:rFonts w:ascii="Times New Roman" w:hAnsi="Times New Roman" w:cs="Times New Roman"/>
          <w:noProof/>
          <w:sz w:val="24"/>
          <w:szCs w:val="24"/>
        </w:rPr>
        <w:lastRenderedPageBreak/>
        <w:t xml:space="preserve">Matter? </w:t>
      </w:r>
      <w:r w:rsidRPr="00E841A7">
        <w:rPr>
          <w:rFonts w:ascii="Times New Roman" w:hAnsi="Times New Roman" w:cs="Times New Roman"/>
          <w:i/>
          <w:iCs/>
          <w:noProof/>
          <w:sz w:val="24"/>
          <w:szCs w:val="24"/>
        </w:rPr>
        <w:t>Global Finance Journal</w:t>
      </w:r>
      <w:r w:rsidRPr="00E841A7">
        <w:rPr>
          <w:rFonts w:ascii="Times New Roman" w:hAnsi="Times New Roman" w:cs="Times New Roman"/>
          <w:noProof/>
          <w:sz w:val="24"/>
          <w:szCs w:val="24"/>
        </w:rPr>
        <w:t>, 1–42. https://doi.org/10.1016/j.molliq.2019.111474</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Rashid, A., &amp; Jabeen, S. (2016). Analyzing Performance Determinants : Conventional versus Islamic Banks in Pakistan. </w:t>
      </w:r>
      <w:r w:rsidRPr="00E841A7">
        <w:rPr>
          <w:rFonts w:ascii="Times New Roman" w:hAnsi="Times New Roman" w:cs="Times New Roman"/>
          <w:i/>
          <w:iCs/>
          <w:noProof/>
          <w:sz w:val="24"/>
          <w:szCs w:val="24"/>
        </w:rPr>
        <w:t>Borsa Istanbul Review</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16</w:t>
      </w:r>
      <w:r w:rsidRPr="00E841A7">
        <w:rPr>
          <w:rFonts w:ascii="Times New Roman" w:hAnsi="Times New Roman" w:cs="Times New Roman"/>
          <w:noProof/>
          <w:sz w:val="24"/>
          <w:szCs w:val="24"/>
        </w:rPr>
        <w:t>(2), 92–107. https://doi.org/10.1016/j.bir.2016.03.002</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Rifai, S. A., Susanti, H., &amp; Setyaningrum, A. (2017). Analisis Pengaruh Kurs Rupiah, Laju Inﬂasi, Jumlah Uang Beredar dan Pertumbuhan Ekspor terhadap Total Pembiayaan Perbankan Syariah dengan Dana Pihak Ketiga sebagai Variabel Moderating. </w:t>
      </w:r>
      <w:r w:rsidRPr="00E841A7">
        <w:rPr>
          <w:rFonts w:ascii="Times New Roman" w:hAnsi="Times New Roman" w:cs="Times New Roman"/>
          <w:i/>
          <w:iCs/>
          <w:noProof/>
          <w:sz w:val="24"/>
          <w:szCs w:val="24"/>
        </w:rPr>
        <w:t>MUQTASID Jurnal Ekonomi Dan Perbankan Syariah</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8</w:t>
      </w:r>
      <w:r w:rsidRPr="00E841A7">
        <w:rPr>
          <w:rFonts w:ascii="Times New Roman" w:hAnsi="Times New Roman" w:cs="Times New Roman"/>
          <w:noProof/>
          <w:sz w:val="24"/>
          <w:szCs w:val="24"/>
        </w:rPr>
        <w:t>(1), 18. https://doi.org/10.18326/muqtasid.v8i1.18-39</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Sakti, M. R. P., &amp; Harun, Y. (2013). Relationship Between Islamic Stock Prices and Macroeconomic Variables : Evidence from Jakarta Stock Exchange Islamic Index. </w:t>
      </w:r>
      <w:r w:rsidRPr="00E841A7">
        <w:rPr>
          <w:rFonts w:ascii="Times New Roman" w:hAnsi="Times New Roman" w:cs="Times New Roman"/>
          <w:i/>
          <w:iCs/>
          <w:noProof/>
          <w:sz w:val="24"/>
          <w:szCs w:val="24"/>
        </w:rPr>
        <w:t>Global Review of Islamic Economics and Business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1</w:t>
      </w:r>
      <w:r w:rsidRPr="00E841A7">
        <w:rPr>
          <w:rFonts w:ascii="Times New Roman" w:hAnsi="Times New Roman" w:cs="Times New Roman"/>
          <w:noProof/>
          <w:sz w:val="24"/>
          <w:szCs w:val="24"/>
        </w:rPr>
        <w:t>(1), 71–84.</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Shibani, O., &amp; De Fuentes, C. (2017). Differences and Similaritites between Corporate Governance Principles in Islamic Banks and Conventional Banks. </w:t>
      </w:r>
      <w:r w:rsidRPr="00E841A7">
        <w:rPr>
          <w:rFonts w:ascii="Times New Roman" w:hAnsi="Times New Roman" w:cs="Times New Roman"/>
          <w:i/>
          <w:iCs/>
          <w:noProof/>
          <w:sz w:val="24"/>
          <w:szCs w:val="24"/>
        </w:rPr>
        <w:t>Research in International Business and Finance</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42</w:t>
      </w:r>
      <w:r w:rsidRPr="00E841A7">
        <w:rPr>
          <w:rFonts w:ascii="Times New Roman" w:hAnsi="Times New Roman" w:cs="Times New Roman"/>
          <w:noProof/>
          <w:sz w:val="24"/>
          <w:szCs w:val="24"/>
        </w:rPr>
        <w:t>, 1005–1010. https://doi.org/10.1016/j.ribaf.2017.07.036</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Sukmana, R., &amp; Ibrahim, M. H. (2017). How Islamic are Islamic Banks? A Non-linear Assessment of Islamic Rate – Conventional Rate Relations. </w:t>
      </w:r>
      <w:r w:rsidRPr="00E841A7">
        <w:rPr>
          <w:rFonts w:ascii="Times New Roman" w:hAnsi="Times New Roman" w:cs="Times New Roman"/>
          <w:i/>
          <w:iCs/>
          <w:noProof/>
          <w:sz w:val="24"/>
          <w:szCs w:val="24"/>
        </w:rPr>
        <w:t>Economic Modelling</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64</w:t>
      </w:r>
      <w:r w:rsidRPr="00E841A7">
        <w:rPr>
          <w:rFonts w:ascii="Times New Roman" w:hAnsi="Times New Roman" w:cs="Times New Roman"/>
          <w:noProof/>
          <w:sz w:val="24"/>
          <w:szCs w:val="24"/>
        </w:rPr>
        <w:t>, 443–448. https://doi.org/10.1016/j.econmod.2017.02.025</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szCs w:val="24"/>
        </w:rPr>
      </w:pPr>
      <w:r w:rsidRPr="00E841A7">
        <w:rPr>
          <w:rFonts w:ascii="Times New Roman" w:hAnsi="Times New Roman" w:cs="Times New Roman"/>
          <w:noProof/>
          <w:sz w:val="24"/>
          <w:szCs w:val="24"/>
        </w:rPr>
        <w:t xml:space="preserve">Trad, N., Trabelsi, M. A., &amp; Goux, J. F. (2017). Risk and Profitability of Islamic Banks: A Religious Deception or an Alternative Solution? </w:t>
      </w:r>
      <w:r w:rsidRPr="00E841A7">
        <w:rPr>
          <w:rFonts w:ascii="Times New Roman" w:hAnsi="Times New Roman" w:cs="Times New Roman"/>
          <w:i/>
          <w:iCs/>
          <w:noProof/>
          <w:sz w:val="24"/>
          <w:szCs w:val="24"/>
        </w:rPr>
        <w:t>European Research on Management and Business Economics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23</w:t>
      </w:r>
      <w:r w:rsidRPr="00E841A7">
        <w:rPr>
          <w:rFonts w:ascii="Times New Roman" w:hAnsi="Times New Roman" w:cs="Times New Roman"/>
          <w:noProof/>
          <w:sz w:val="24"/>
          <w:szCs w:val="24"/>
        </w:rPr>
        <w:t>(1), 40–45. https://doi.org/10.1016/j.iedeen.2016.09.001</w:t>
      </w:r>
    </w:p>
    <w:p w:rsidR="00E841A7" w:rsidRPr="00E841A7" w:rsidRDefault="00E841A7" w:rsidP="00E841A7">
      <w:pPr>
        <w:widowControl w:val="0"/>
        <w:autoSpaceDE w:val="0"/>
        <w:autoSpaceDN w:val="0"/>
        <w:adjustRightInd w:val="0"/>
        <w:spacing w:after="0" w:line="240" w:lineRule="auto"/>
        <w:ind w:left="851" w:hanging="851"/>
        <w:jc w:val="both"/>
        <w:rPr>
          <w:rFonts w:ascii="Times New Roman" w:hAnsi="Times New Roman" w:cs="Times New Roman"/>
          <w:noProof/>
          <w:sz w:val="24"/>
        </w:rPr>
      </w:pPr>
      <w:r w:rsidRPr="00E841A7">
        <w:rPr>
          <w:rFonts w:ascii="Times New Roman" w:hAnsi="Times New Roman" w:cs="Times New Roman"/>
          <w:noProof/>
          <w:sz w:val="24"/>
          <w:szCs w:val="24"/>
        </w:rPr>
        <w:t xml:space="preserve">Zeev, N. Ben. (2019). Global Credit Supply Shocks and Exchange Rate Regimes. </w:t>
      </w:r>
      <w:r w:rsidRPr="00E841A7">
        <w:rPr>
          <w:rFonts w:ascii="Times New Roman" w:hAnsi="Times New Roman" w:cs="Times New Roman"/>
          <w:i/>
          <w:iCs/>
          <w:noProof/>
          <w:sz w:val="24"/>
          <w:szCs w:val="24"/>
        </w:rPr>
        <w:t>Journal of International Economics</w:t>
      </w:r>
      <w:r w:rsidRPr="00E841A7">
        <w:rPr>
          <w:rFonts w:ascii="Times New Roman" w:hAnsi="Times New Roman" w:cs="Times New Roman"/>
          <w:noProof/>
          <w:sz w:val="24"/>
          <w:szCs w:val="24"/>
        </w:rPr>
        <w:t xml:space="preserve">, </w:t>
      </w:r>
      <w:r w:rsidRPr="00E841A7">
        <w:rPr>
          <w:rFonts w:ascii="Times New Roman" w:hAnsi="Times New Roman" w:cs="Times New Roman"/>
          <w:i/>
          <w:iCs/>
          <w:noProof/>
          <w:sz w:val="24"/>
          <w:szCs w:val="24"/>
        </w:rPr>
        <w:t>116</w:t>
      </w:r>
      <w:r w:rsidRPr="00E841A7">
        <w:rPr>
          <w:rFonts w:ascii="Times New Roman" w:hAnsi="Times New Roman" w:cs="Times New Roman"/>
          <w:noProof/>
          <w:sz w:val="24"/>
          <w:szCs w:val="24"/>
        </w:rPr>
        <w:t>, 1–32. https://doi.org/10.1016/j.jinteco.2018.10.002</w:t>
      </w:r>
    </w:p>
    <w:p w:rsidR="00F05159" w:rsidRDefault="00E841A7" w:rsidP="00E841A7">
      <w:pPr>
        <w:spacing w:after="0" w:line="30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F05159" w:rsidSect="00B63E8C">
      <w:type w:val="continuous"/>
      <w:pgSz w:w="11907" w:h="16839"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C2F" w:rsidRDefault="00DF4C2F" w:rsidP="008956B0">
      <w:pPr>
        <w:spacing w:after="0" w:line="240" w:lineRule="auto"/>
      </w:pPr>
      <w:r>
        <w:separator/>
      </w:r>
    </w:p>
  </w:endnote>
  <w:endnote w:type="continuationSeparator" w:id="1">
    <w:p w:rsidR="00DF4C2F" w:rsidRDefault="00DF4C2F" w:rsidP="00895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C2F" w:rsidRDefault="00DF4C2F" w:rsidP="008956B0">
      <w:pPr>
        <w:spacing w:after="0" w:line="240" w:lineRule="auto"/>
      </w:pPr>
      <w:r>
        <w:separator/>
      </w:r>
    </w:p>
  </w:footnote>
  <w:footnote w:type="continuationSeparator" w:id="1">
    <w:p w:rsidR="00DF4C2F" w:rsidRDefault="00DF4C2F" w:rsidP="00895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83ACD"/>
    <w:multiLevelType w:val="hybridMultilevel"/>
    <w:tmpl w:val="6AFCB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741B0"/>
    <w:multiLevelType w:val="hybridMultilevel"/>
    <w:tmpl w:val="07884F94"/>
    <w:lvl w:ilvl="0" w:tplc="603A1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D40A8"/>
    <w:multiLevelType w:val="multilevel"/>
    <w:tmpl w:val="11766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F9D18E3"/>
    <w:multiLevelType w:val="hybridMultilevel"/>
    <w:tmpl w:val="DA80F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ED4301"/>
    <w:rsid w:val="00024133"/>
    <w:rsid w:val="00042907"/>
    <w:rsid w:val="00054F45"/>
    <w:rsid w:val="000747EA"/>
    <w:rsid w:val="000947AB"/>
    <w:rsid w:val="000C1754"/>
    <w:rsid w:val="000D60EE"/>
    <w:rsid w:val="00185726"/>
    <w:rsid w:val="001A69CF"/>
    <w:rsid w:val="001B39DB"/>
    <w:rsid w:val="001C4177"/>
    <w:rsid w:val="001F2916"/>
    <w:rsid w:val="00211FD2"/>
    <w:rsid w:val="00221167"/>
    <w:rsid w:val="00232AB0"/>
    <w:rsid w:val="00237AD2"/>
    <w:rsid w:val="00242B5F"/>
    <w:rsid w:val="002558FF"/>
    <w:rsid w:val="002A1C6D"/>
    <w:rsid w:val="002B4232"/>
    <w:rsid w:val="00302912"/>
    <w:rsid w:val="003042BB"/>
    <w:rsid w:val="00315185"/>
    <w:rsid w:val="00324598"/>
    <w:rsid w:val="003535BB"/>
    <w:rsid w:val="0035726C"/>
    <w:rsid w:val="004009DC"/>
    <w:rsid w:val="00487341"/>
    <w:rsid w:val="0049621D"/>
    <w:rsid w:val="005578A2"/>
    <w:rsid w:val="005A78BB"/>
    <w:rsid w:val="005C4EAD"/>
    <w:rsid w:val="00626C63"/>
    <w:rsid w:val="00650DAD"/>
    <w:rsid w:val="00717B43"/>
    <w:rsid w:val="007544B0"/>
    <w:rsid w:val="0075779D"/>
    <w:rsid w:val="007D2402"/>
    <w:rsid w:val="007F036F"/>
    <w:rsid w:val="00824B11"/>
    <w:rsid w:val="00830062"/>
    <w:rsid w:val="008370A2"/>
    <w:rsid w:val="00845FCC"/>
    <w:rsid w:val="00863BC9"/>
    <w:rsid w:val="008956B0"/>
    <w:rsid w:val="008E4575"/>
    <w:rsid w:val="008F78DF"/>
    <w:rsid w:val="009101B2"/>
    <w:rsid w:val="00912D3B"/>
    <w:rsid w:val="00946569"/>
    <w:rsid w:val="00991C14"/>
    <w:rsid w:val="009A51E9"/>
    <w:rsid w:val="009B1288"/>
    <w:rsid w:val="009D2033"/>
    <w:rsid w:val="009E4BE0"/>
    <w:rsid w:val="009F3F78"/>
    <w:rsid w:val="00A25FBB"/>
    <w:rsid w:val="00A40D2A"/>
    <w:rsid w:val="00A9699F"/>
    <w:rsid w:val="00AA6826"/>
    <w:rsid w:val="00AB79CD"/>
    <w:rsid w:val="00B45842"/>
    <w:rsid w:val="00B47E23"/>
    <w:rsid w:val="00B63E8C"/>
    <w:rsid w:val="00B90858"/>
    <w:rsid w:val="00BB75D2"/>
    <w:rsid w:val="00BD62A3"/>
    <w:rsid w:val="00C21133"/>
    <w:rsid w:val="00C34498"/>
    <w:rsid w:val="00C47F22"/>
    <w:rsid w:val="00CA73DE"/>
    <w:rsid w:val="00CC02F5"/>
    <w:rsid w:val="00CD04DD"/>
    <w:rsid w:val="00CE1D7D"/>
    <w:rsid w:val="00D562C3"/>
    <w:rsid w:val="00D821D3"/>
    <w:rsid w:val="00DB7AAE"/>
    <w:rsid w:val="00DF4C2F"/>
    <w:rsid w:val="00E172D8"/>
    <w:rsid w:val="00E80B77"/>
    <w:rsid w:val="00E841A7"/>
    <w:rsid w:val="00EC4571"/>
    <w:rsid w:val="00ED4301"/>
    <w:rsid w:val="00EF216D"/>
    <w:rsid w:val="00EF7630"/>
    <w:rsid w:val="00F01064"/>
    <w:rsid w:val="00F05159"/>
    <w:rsid w:val="00F42F62"/>
    <w:rsid w:val="00F73457"/>
    <w:rsid w:val="00F81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01"/>
    <w:rPr>
      <w:rFonts w:ascii="Tahoma" w:hAnsi="Tahoma" w:cs="Tahoma"/>
      <w:sz w:val="16"/>
      <w:szCs w:val="16"/>
    </w:rPr>
  </w:style>
  <w:style w:type="table" w:styleId="TableGrid">
    <w:name w:val="Table Grid"/>
    <w:basedOn w:val="TableNormal"/>
    <w:uiPriority w:val="59"/>
    <w:rsid w:val="00ED4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301"/>
    <w:pPr>
      <w:ind w:left="720"/>
      <w:contextualSpacing/>
    </w:pPr>
  </w:style>
  <w:style w:type="character" w:styleId="PlaceholderText">
    <w:name w:val="Placeholder Text"/>
    <w:basedOn w:val="DefaultParagraphFont"/>
    <w:uiPriority w:val="99"/>
    <w:semiHidden/>
    <w:rsid w:val="00ED4301"/>
    <w:rPr>
      <w:color w:val="808080"/>
    </w:rPr>
  </w:style>
  <w:style w:type="paragraph" w:styleId="Header">
    <w:name w:val="header"/>
    <w:basedOn w:val="Normal"/>
    <w:link w:val="HeaderChar"/>
    <w:uiPriority w:val="99"/>
    <w:semiHidden/>
    <w:unhideWhenUsed/>
    <w:rsid w:val="00ED43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301"/>
  </w:style>
  <w:style w:type="paragraph" w:styleId="Footer">
    <w:name w:val="footer"/>
    <w:basedOn w:val="Normal"/>
    <w:link w:val="FooterChar"/>
    <w:uiPriority w:val="99"/>
    <w:unhideWhenUsed/>
    <w:rsid w:val="00ED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01"/>
  </w:style>
  <w:style w:type="character" w:styleId="Hyperlink">
    <w:name w:val="Hyperlink"/>
    <w:basedOn w:val="DefaultParagraphFont"/>
    <w:uiPriority w:val="99"/>
    <w:unhideWhenUsed/>
    <w:rsid w:val="002558FF"/>
    <w:rPr>
      <w:color w:val="0000FF" w:themeColor="hyperlink"/>
      <w:u w:val="single"/>
    </w:rPr>
  </w:style>
  <w:style w:type="paragraph" w:styleId="FootnoteText">
    <w:name w:val="footnote text"/>
    <w:basedOn w:val="Normal"/>
    <w:link w:val="FootnoteTextChar"/>
    <w:uiPriority w:val="99"/>
    <w:semiHidden/>
    <w:unhideWhenUsed/>
    <w:rsid w:val="00895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6B0"/>
    <w:rPr>
      <w:sz w:val="20"/>
      <w:szCs w:val="20"/>
    </w:rPr>
  </w:style>
  <w:style w:type="character" w:styleId="FootnoteReference">
    <w:name w:val="footnote reference"/>
    <w:basedOn w:val="DefaultParagraphFont"/>
    <w:uiPriority w:val="99"/>
    <w:semiHidden/>
    <w:unhideWhenUsed/>
    <w:rsid w:val="008956B0"/>
    <w:rPr>
      <w:vertAlign w:val="superscript"/>
    </w:rPr>
  </w:style>
</w:styles>
</file>

<file path=word/webSettings.xml><?xml version="1.0" encoding="utf-8"?>
<w:webSettings xmlns:r="http://schemas.openxmlformats.org/officeDocument/2006/relationships" xmlns:w="http://schemas.openxmlformats.org/wordprocessingml/2006/main">
  <w:divs>
    <w:div w:id="1851333666">
      <w:bodyDiv w:val="1"/>
      <w:marLeft w:val="0"/>
      <w:marRight w:val="0"/>
      <w:marTop w:val="0"/>
      <w:marBottom w:val="0"/>
      <w:divBdr>
        <w:top w:val="none" w:sz="0" w:space="0" w:color="auto"/>
        <w:left w:val="none" w:sz="0" w:space="0" w:color="auto"/>
        <w:bottom w:val="none" w:sz="0" w:space="0" w:color="auto"/>
        <w:right w:val="none" w:sz="0" w:space="0" w:color="auto"/>
      </w:divBdr>
      <w:divsChild>
        <w:div w:id="210607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fayz\2019\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Sheet1!$D$4</c:f>
              <c:strCache>
                <c:ptCount val="1"/>
                <c:pt idx="0">
                  <c:v>MUS</c:v>
                </c:pt>
              </c:strCache>
            </c:strRef>
          </c:tx>
          <c:cat>
            <c:numRef>
              <c:f>Sheet1!$B$6:$B$35</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Sheet1!$D$6:$D$35</c:f>
              <c:numCache>
                <c:formatCode>General</c:formatCode>
                <c:ptCount val="30"/>
                <c:pt idx="0">
                  <c:v>100</c:v>
                </c:pt>
                <c:pt idx="1">
                  <c:v>99.742059999999995</c:v>
                </c:pt>
                <c:pt idx="2">
                  <c:v>99.692529999999991</c:v>
                </c:pt>
                <c:pt idx="3">
                  <c:v>99.491290000000149</c:v>
                </c:pt>
                <c:pt idx="4">
                  <c:v>99.14846</c:v>
                </c:pt>
                <c:pt idx="5">
                  <c:v>98.744910000000161</c:v>
                </c:pt>
                <c:pt idx="6">
                  <c:v>98.340500000000006</c:v>
                </c:pt>
                <c:pt idx="7">
                  <c:v>97.965500000000006</c:v>
                </c:pt>
                <c:pt idx="8">
                  <c:v>97.630719999999982</c:v>
                </c:pt>
                <c:pt idx="9">
                  <c:v>97.336950000000002</c:v>
                </c:pt>
                <c:pt idx="10">
                  <c:v>97.080749999999981</c:v>
                </c:pt>
                <c:pt idx="11">
                  <c:v>96.857320000000001</c:v>
                </c:pt>
                <c:pt idx="12">
                  <c:v>96.661820000000006</c:v>
                </c:pt>
                <c:pt idx="13">
                  <c:v>96.489920000000026</c:v>
                </c:pt>
                <c:pt idx="14">
                  <c:v>96.337919999999997</c:v>
                </c:pt>
                <c:pt idx="15">
                  <c:v>96.202739999999949</c:v>
                </c:pt>
                <c:pt idx="16">
                  <c:v>96.08184</c:v>
                </c:pt>
                <c:pt idx="17">
                  <c:v>95.973119999999994</c:v>
                </c:pt>
                <c:pt idx="18">
                  <c:v>95.874869999999987</c:v>
                </c:pt>
                <c:pt idx="19">
                  <c:v>95.785650000000004</c:v>
                </c:pt>
                <c:pt idx="20">
                  <c:v>95.704300000000003</c:v>
                </c:pt>
                <c:pt idx="21">
                  <c:v>95.629809999999978</c:v>
                </c:pt>
                <c:pt idx="22">
                  <c:v>95.561359999999993</c:v>
                </c:pt>
                <c:pt idx="23">
                  <c:v>95.498239999999996</c:v>
                </c:pt>
                <c:pt idx="24">
                  <c:v>95.439859999999996</c:v>
                </c:pt>
                <c:pt idx="25">
                  <c:v>95.385699999999986</c:v>
                </c:pt>
                <c:pt idx="26">
                  <c:v>95.335319999999982</c:v>
                </c:pt>
                <c:pt idx="27">
                  <c:v>95.288329999999988</c:v>
                </c:pt>
                <c:pt idx="28">
                  <c:v>95.244420000000176</c:v>
                </c:pt>
                <c:pt idx="29">
                  <c:v>95.203270000000003</c:v>
                </c:pt>
              </c:numCache>
            </c:numRef>
          </c:val>
        </c:ser>
        <c:ser>
          <c:idx val="1"/>
          <c:order val="1"/>
          <c:tx>
            <c:strRef>
              <c:f>Sheet1!$E$4</c:f>
              <c:strCache>
                <c:ptCount val="1"/>
                <c:pt idx="0">
                  <c:v>EXC</c:v>
                </c:pt>
              </c:strCache>
            </c:strRef>
          </c:tx>
          <c:val>
            <c:numRef>
              <c:f>Sheet1!$E$6:$E$35</c:f>
              <c:numCache>
                <c:formatCode>General</c:formatCode>
                <c:ptCount val="30"/>
                <c:pt idx="0">
                  <c:v>0</c:v>
                </c:pt>
                <c:pt idx="1">
                  <c:v>1.5817000000000001E-2</c:v>
                </c:pt>
                <c:pt idx="2">
                  <c:v>6.459000000000012E-2</c:v>
                </c:pt>
                <c:pt idx="3">
                  <c:v>0.13400500000000001</c:v>
                </c:pt>
                <c:pt idx="4">
                  <c:v>0.20929400000000031</c:v>
                </c:pt>
                <c:pt idx="5">
                  <c:v>0.28131000000000056</c:v>
                </c:pt>
                <c:pt idx="6">
                  <c:v>0.346057</c:v>
                </c:pt>
                <c:pt idx="7">
                  <c:v>0.402559</c:v>
                </c:pt>
                <c:pt idx="8">
                  <c:v>0.45125600000000005</c:v>
                </c:pt>
                <c:pt idx="9">
                  <c:v>0.49310100000000001</c:v>
                </c:pt>
                <c:pt idx="10">
                  <c:v>0.52914000000000005</c:v>
                </c:pt>
                <c:pt idx="11">
                  <c:v>0.56033299999999886</c:v>
                </c:pt>
                <c:pt idx="12">
                  <c:v>0.58749999999999958</c:v>
                </c:pt>
                <c:pt idx="13">
                  <c:v>0.61132200000000003</c:v>
                </c:pt>
                <c:pt idx="14">
                  <c:v>0.63235000000000063</c:v>
                </c:pt>
                <c:pt idx="15">
                  <c:v>0.65103200000000061</c:v>
                </c:pt>
                <c:pt idx="16">
                  <c:v>0.66773100000000163</c:v>
                </c:pt>
                <c:pt idx="17">
                  <c:v>0.68274100000000126</c:v>
                </c:pt>
                <c:pt idx="18">
                  <c:v>0.69630400000000003</c:v>
                </c:pt>
                <c:pt idx="19">
                  <c:v>0.70861700000000005</c:v>
                </c:pt>
                <c:pt idx="20">
                  <c:v>0.71984400000000126</c:v>
                </c:pt>
                <c:pt idx="21">
                  <c:v>0.73012400000000099</c:v>
                </c:pt>
                <c:pt idx="22">
                  <c:v>0.73956999999999951</c:v>
                </c:pt>
                <c:pt idx="23">
                  <c:v>0.74827900000000125</c:v>
                </c:pt>
                <c:pt idx="24">
                  <c:v>0.75633600000000001</c:v>
                </c:pt>
                <c:pt idx="25">
                  <c:v>0.76381000000000099</c:v>
                </c:pt>
                <c:pt idx="26">
                  <c:v>0.77076199999999995</c:v>
                </c:pt>
                <c:pt idx="27">
                  <c:v>0.77724500000000163</c:v>
                </c:pt>
                <c:pt idx="28">
                  <c:v>0.78330500000000003</c:v>
                </c:pt>
                <c:pt idx="29">
                  <c:v>0.78898299999999899</c:v>
                </c:pt>
              </c:numCache>
            </c:numRef>
          </c:val>
        </c:ser>
        <c:ser>
          <c:idx val="2"/>
          <c:order val="2"/>
          <c:tx>
            <c:strRef>
              <c:f>Sheet1!$F$4</c:f>
              <c:strCache>
                <c:ptCount val="1"/>
                <c:pt idx="0">
                  <c:v>CPI</c:v>
                </c:pt>
              </c:strCache>
            </c:strRef>
          </c:tx>
          <c:val>
            <c:numRef>
              <c:f>Sheet1!$F$6:$F$35</c:f>
              <c:numCache>
                <c:formatCode>General</c:formatCode>
                <c:ptCount val="30"/>
                <c:pt idx="0">
                  <c:v>0</c:v>
                </c:pt>
                <c:pt idx="1">
                  <c:v>0.23694500000000043</c:v>
                </c:pt>
                <c:pt idx="2">
                  <c:v>0.18908900000000031</c:v>
                </c:pt>
                <c:pt idx="3">
                  <c:v>0.16475200000000001</c:v>
                </c:pt>
                <c:pt idx="4">
                  <c:v>0.20891500000000043</c:v>
                </c:pt>
                <c:pt idx="5">
                  <c:v>0.29759000000000002</c:v>
                </c:pt>
                <c:pt idx="6">
                  <c:v>0.4036050000000001</c:v>
                </c:pt>
                <c:pt idx="7">
                  <c:v>0.51027100000000003</c:v>
                </c:pt>
                <c:pt idx="8">
                  <c:v>0.60968199999999995</c:v>
                </c:pt>
                <c:pt idx="9">
                  <c:v>0.69904299999999997</c:v>
                </c:pt>
                <c:pt idx="10">
                  <c:v>0.77808000000000099</c:v>
                </c:pt>
                <c:pt idx="11">
                  <c:v>0.84758500000000003</c:v>
                </c:pt>
                <c:pt idx="12">
                  <c:v>0.90870399999999996</c:v>
                </c:pt>
                <c:pt idx="13">
                  <c:v>0.96260699999999999</c:v>
                </c:pt>
                <c:pt idx="14">
                  <c:v>1.0103549999999999</c:v>
                </c:pt>
                <c:pt idx="15">
                  <c:v>1.0528659999999999</c:v>
                </c:pt>
                <c:pt idx="16">
                  <c:v>1.0909120000000001</c:v>
                </c:pt>
                <c:pt idx="17">
                  <c:v>1.1251370000000001</c:v>
                </c:pt>
                <c:pt idx="18">
                  <c:v>1.1560760000000001</c:v>
                </c:pt>
                <c:pt idx="19">
                  <c:v>1.1841720000000022</c:v>
                </c:pt>
                <c:pt idx="20">
                  <c:v>1.2097949999999962</c:v>
                </c:pt>
                <c:pt idx="21">
                  <c:v>1.2332559999999999</c:v>
                </c:pt>
                <c:pt idx="22">
                  <c:v>1.2548170000000001</c:v>
                </c:pt>
                <c:pt idx="23">
                  <c:v>1.2746979999999999</c:v>
                </c:pt>
                <c:pt idx="24">
                  <c:v>1.293088</c:v>
                </c:pt>
                <c:pt idx="25">
                  <c:v>1.3101480000000001</c:v>
                </c:pt>
                <c:pt idx="26">
                  <c:v>1.3260180000000001</c:v>
                </c:pt>
                <c:pt idx="27">
                  <c:v>1.3408169999999999</c:v>
                </c:pt>
                <c:pt idx="28">
                  <c:v>1.354651</c:v>
                </c:pt>
                <c:pt idx="29">
                  <c:v>1.3676109999999999</c:v>
                </c:pt>
              </c:numCache>
            </c:numRef>
          </c:val>
        </c:ser>
        <c:ser>
          <c:idx val="3"/>
          <c:order val="3"/>
          <c:tx>
            <c:strRef>
              <c:f>Sheet1!$G$4</c:f>
              <c:strCache>
                <c:ptCount val="1"/>
                <c:pt idx="0">
                  <c:v>BIR</c:v>
                </c:pt>
              </c:strCache>
            </c:strRef>
          </c:tx>
          <c:val>
            <c:numRef>
              <c:f>Sheet1!$G$6:$G$35</c:f>
              <c:numCache>
                <c:formatCode>General</c:formatCode>
                <c:ptCount val="30"/>
                <c:pt idx="0">
                  <c:v>0</c:v>
                </c:pt>
                <c:pt idx="1">
                  <c:v>5.1749999999999999E-3</c:v>
                </c:pt>
                <c:pt idx="2">
                  <c:v>5.3795000000000023E-2</c:v>
                </c:pt>
                <c:pt idx="3">
                  <c:v>0.20994800000000047</c:v>
                </c:pt>
                <c:pt idx="4">
                  <c:v>0.43333200000000038</c:v>
                </c:pt>
                <c:pt idx="5">
                  <c:v>0.67619000000000162</c:v>
                </c:pt>
                <c:pt idx="6">
                  <c:v>0.90983599999999998</c:v>
                </c:pt>
                <c:pt idx="7">
                  <c:v>1.1216659999999998</c:v>
                </c:pt>
                <c:pt idx="8">
                  <c:v>1.3083469999999999</c:v>
                </c:pt>
                <c:pt idx="9">
                  <c:v>1.4709049999999977</c:v>
                </c:pt>
                <c:pt idx="10">
                  <c:v>1.612028</c:v>
                </c:pt>
                <c:pt idx="11">
                  <c:v>1.7347649999999977</c:v>
                </c:pt>
                <c:pt idx="12">
                  <c:v>1.8419789999999998</c:v>
                </c:pt>
                <c:pt idx="13">
                  <c:v>1.9361550000000027</c:v>
                </c:pt>
                <c:pt idx="14">
                  <c:v>2.019377</c:v>
                </c:pt>
                <c:pt idx="15">
                  <c:v>2.0933630000000001</c:v>
                </c:pt>
                <c:pt idx="16">
                  <c:v>2.1595200000000001</c:v>
                </c:pt>
                <c:pt idx="17">
                  <c:v>2.2190019999999997</c:v>
                </c:pt>
                <c:pt idx="18">
                  <c:v>2.2727539999999977</c:v>
                </c:pt>
                <c:pt idx="19">
                  <c:v>2.3215589999999962</c:v>
                </c:pt>
                <c:pt idx="20">
                  <c:v>2.3660629999999956</c:v>
                </c:pt>
                <c:pt idx="21">
                  <c:v>2.4068099999999957</c:v>
                </c:pt>
                <c:pt idx="22">
                  <c:v>2.4442539999999977</c:v>
                </c:pt>
                <c:pt idx="23">
                  <c:v>2.47878</c:v>
                </c:pt>
                <c:pt idx="24">
                  <c:v>2.5107159999999977</c:v>
                </c:pt>
                <c:pt idx="25">
                  <c:v>2.540343</c:v>
                </c:pt>
                <c:pt idx="26">
                  <c:v>2.5679020000000001</c:v>
                </c:pt>
                <c:pt idx="27">
                  <c:v>2.5936029999999977</c:v>
                </c:pt>
                <c:pt idx="28">
                  <c:v>2.6176270000000001</c:v>
                </c:pt>
                <c:pt idx="29">
                  <c:v>2.6401330000000045</c:v>
                </c:pt>
              </c:numCache>
            </c:numRef>
          </c:val>
        </c:ser>
        <c:overlap val="100"/>
        <c:axId val="106467328"/>
        <c:axId val="106469248"/>
      </c:barChart>
      <c:catAx>
        <c:axId val="106467328"/>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06469248"/>
        <c:crosses val="autoZero"/>
        <c:auto val="1"/>
        <c:lblAlgn val="ctr"/>
        <c:lblOffset val="100"/>
      </c:catAx>
      <c:valAx>
        <c:axId val="106469248"/>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106467328"/>
        <c:crosses val="autoZero"/>
        <c:crossBetween val="between"/>
      </c:valAx>
    </c:plotArea>
    <c:legend>
      <c:legendPos val="r"/>
      <c:txPr>
        <a:bodyPr/>
        <a:lstStyle/>
        <a:p>
          <a:pPr>
            <a:defRPr>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89147-9E55-4846-8348-02F10201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14362</Words>
  <Characters>81866</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Faizul Mubarok</dc:creator>
  <cp:lastModifiedBy>Faizul Mubarok</cp:lastModifiedBy>
  <cp:revision>7</cp:revision>
  <dcterms:created xsi:type="dcterms:W3CDTF">2020-03-14T05:22:00Z</dcterms:created>
  <dcterms:modified xsi:type="dcterms:W3CDTF">2020-03-14T06:08:00Z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http://www.zotero.org/styles/harvard-anglia-ruskin-university</vt:lpwstr>
  </property>
  <property fmtid="{D5CDD505-2E9C-101B-9397-08002B2CF9AE}" pid="5" name="Mendeley Recent Style Name 1_1">
    <vt:lpwstr>Anglia Ruskin University - Harvard</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2122ee13-bbea-380c-8a65-35e0e5ab80b9</vt:lpwstr>
  </property>
  <property fmtid="{D5CDD505-2E9C-101B-9397-08002B2CF9AE}" pid="24" name="Mendeley Citation Style_1">
    <vt:lpwstr>http://www.zotero.org/styles/apa</vt:lpwstr>
  </property>
</Properties>
</file>