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48DD6" w14:textId="028E76DE" w:rsidR="00573C2B" w:rsidRPr="00D42F11" w:rsidRDefault="000D0306" w:rsidP="00C25803">
      <w:pPr>
        <w:pBdr>
          <w:top w:val="nil"/>
          <w:left w:val="nil"/>
          <w:bottom w:val="nil"/>
          <w:right w:val="nil"/>
          <w:between w:val="nil"/>
        </w:pBdr>
        <w:spacing w:line="276" w:lineRule="auto"/>
        <w:rPr>
          <w:b/>
          <w:bCs/>
          <w:iCs/>
          <w:color w:val="000000"/>
          <w:sz w:val="28"/>
          <w:szCs w:val="28"/>
        </w:rPr>
      </w:pPr>
      <w:r w:rsidRPr="00D42F11">
        <w:rPr>
          <w:b/>
          <w:bCs/>
          <w:iCs/>
          <w:color w:val="000000"/>
          <w:sz w:val="28"/>
          <w:szCs w:val="28"/>
        </w:rPr>
        <w:t>Idiosyncratic Tail Risk</w:t>
      </w:r>
      <w:r w:rsidR="0084087D" w:rsidRPr="00D42F11">
        <w:rPr>
          <w:b/>
          <w:bCs/>
          <w:iCs/>
          <w:color w:val="000000"/>
          <w:sz w:val="28"/>
          <w:szCs w:val="28"/>
        </w:rPr>
        <w:t xml:space="preserve"> and</w:t>
      </w:r>
      <w:r w:rsidR="001256C9" w:rsidRPr="00D42F11">
        <w:rPr>
          <w:b/>
          <w:bCs/>
          <w:iCs/>
          <w:color w:val="000000"/>
          <w:sz w:val="28"/>
          <w:szCs w:val="28"/>
        </w:rPr>
        <w:t xml:space="preserve"> </w:t>
      </w:r>
      <w:r w:rsidR="0084087D" w:rsidRPr="00D42F11">
        <w:rPr>
          <w:b/>
          <w:bCs/>
          <w:iCs/>
          <w:color w:val="000000"/>
          <w:sz w:val="28"/>
          <w:szCs w:val="28"/>
        </w:rPr>
        <w:t xml:space="preserve">Stock </w:t>
      </w:r>
      <w:r w:rsidR="001256C9" w:rsidRPr="00D42F11">
        <w:rPr>
          <w:b/>
          <w:bCs/>
          <w:iCs/>
          <w:color w:val="000000"/>
          <w:sz w:val="28"/>
          <w:szCs w:val="28"/>
        </w:rPr>
        <w:t>Return in Indonesia</w:t>
      </w:r>
    </w:p>
    <w:p w14:paraId="45520782" w14:textId="77777777" w:rsidR="00573C2B" w:rsidRDefault="00573C2B" w:rsidP="00C25803">
      <w:pPr>
        <w:pBdr>
          <w:top w:val="nil"/>
          <w:left w:val="nil"/>
          <w:bottom w:val="nil"/>
          <w:right w:val="nil"/>
          <w:between w:val="nil"/>
        </w:pBdr>
        <w:jc w:val="both"/>
        <w:rPr>
          <w:color w:val="000000"/>
          <w:sz w:val="16"/>
          <w:szCs w:val="16"/>
        </w:rPr>
        <w:sectPr w:rsidR="00573C2B" w:rsidSect="00D42F11">
          <w:pgSz w:w="11906" w:h="16838"/>
          <w:pgMar w:top="567" w:right="890" w:bottom="1440" w:left="890" w:header="720" w:footer="720" w:gutter="0"/>
          <w:pgNumType w:start="1"/>
          <w:cols w:space="720"/>
          <w:titlePg/>
        </w:sectPr>
      </w:pPr>
    </w:p>
    <w:p w14:paraId="69476161" w14:textId="77777777" w:rsidR="00C25803" w:rsidRDefault="00C25803" w:rsidP="00C25803">
      <w:pPr>
        <w:pBdr>
          <w:top w:val="nil"/>
          <w:left w:val="nil"/>
          <w:bottom w:val="nil"/>
          <w:right w:val="nil"/>
          <w:between w:val="nil"/>
        </w:pBdr>
        <w:rPr>
          <w:b/>
          <w:bCs/>
          <w:color w:val="000000"/>
          <w:sz w:val="22"/>
          <w:szCs w:val="22"/>
        </w:rPr>
      </w:pPr>
      <w:bookmarkStart w:id="0" w:name="_GoBack"/>
      <w:bookmarkEnd w:id="0"/>
    </w:p>
    <w:p w14:paraId="69D3E63B" w14:textId="79D130BB" w:rsidR="00D42F11" w:rsidRPr="00D42F11" w:rsidRDefault="00647BDE" w:rsidP="00C25803">
      <w:pPr>
        <w:pBdr>
          <w:top w:val="nil"/>
          <w:left w:val="nil"/>
          <w:bottom w:val="nil"/>
          <w:right w:val="nil"/>
          <w:between w:val="nil"/>
        </w:pBdr>
        <w:rPr>
          <w:b/>
          <w:bCs/>
          <w:color w:val="000000"/>
          <w:sz w:val="22"/>
          <w:szCs w:val="22"/>
        </w:rPr>
      </w:pPr>
      <w:r w:rsidRPr="00D42F11">
        <w:rPr>
          <w:b/>
          <w:bCs/>
          <w:color w:val="000000"/>
          <w:sz w:val="22"/>
          <w:szCs w:val="22"/>
        </w:rPr>
        <w:t>Abstract</w:t>
      </w:r>
    </w:p>
    <w:p w14:paraId="525B7639" w14:textId="6A72180A" w:rsidR="00647BDE" w:rsidRPr="00204A1C" w:rsidRDefault="00647BDE" w:rsidP="00C25803">
      <w:pPr>
        <w:pBdr>
          <w:top w:val="nil"/>
          <w:left w:val="nil"/>
          <w:bottom w:val="nil"/>
          <w:right w:val="nil"/>
          <w:between w:val="nil"/>
        </w:pBdr>
        <w:jc w:val="both"/>
        <w:rPr>
          <w:color w:val="000000"/>
          <w:sz w:val="24"/>
          <w:szCs w:val="24"/>
        </w:rPr>
      </w:pPr>
      <w:r w:rsidRPr="00204A1C">
        <w:rPr>
          <w:color w:val="000000"/>
          <w:sz w:val="24"/>
          <w:szCs w:val="24"/>
        </w:rPr>
        <w:t xml:space="preserve">Idiosyncratic tail risk explains about the financial crisis which happened due to idiosyncratic risk. It could also be used as a factor for asset pricing, making it necessary to be further studied since it could help protect investors from extreme incidents that could bring loss. </w:t>
      </w:r>
      <w:r w:rsidR="00014AF3" w:rsidRPr="00204A1C">
        <w:rPr>
          <w:color w:val="000000"/>
          <w:sz w:val="24"/>
          <w:szCs w:val="24"/>
        </w:rPr>
        <w:t xml:space="preserve">We </w:t>
      </w:r>
      <w:r w:rsidR="007E6880" w:rsidRPr="00204A1C">
        <w:rPr>
          <w:color w:val="000000"/>
          <w:sz w:val="24"/>
          <w:szCs w:val="24"/>
        </w:rPr>
        <w:t>investigate</w:t>
      </w:r>
      <w:r w:rsidRPr="00204A1C">
        <w:rPr>
          <w:color w:val="000000"/>
          <w:sz w:val="24"/>
          <w:szCs w:val="24"/>
        </w:rPr>
        <w:t xml:space="preserve"> the effect of idiosyncratic tail risk to the</w:t>
      </w:r>
      <w:r w:rsidR="00014AF3" w:rsidRPr="00204A1C">
        <w:rPr>
          <w:color w:val="000000"/>
          <w:sz w:val="24"/>
          <w:szCs w:val="24"/>
        </w:rPr>
        <w:t xml:space="preserve"> stock</w:t>
      </w:r>
      <w:r w:rsidRPr="00204A1C">
        <w:rPr>
          <w:color w:val="000000"/>
          <w:sz w:val="24"/>
          <w:szCs w:val="24"/>
        </w:rPr>
        <w:t xml:space="preserve"> return in Indonesia. </w:t>
      </w:r>
      <w:r w:rsidR="00014AF3" w:rsidRPr="00204A1C">
        <w:rPr>
          <w:color w:val="000000"/>
          <w:sz w:val="24"/>
          <w:szCs w:val="24"/>
        </w:rPr>
        <w:t>T</w:t>
      </w:r>
      <w:r w:rsidRPr="00204A1C">
        <w:rPr>
          <w:color w:val="000000"/>
          <w:sz w:val="24"/>
          <w:szCs w:val="24"/>
        </w:rPr>
        <w:t>he data of daily stock price of 662 public companies in Indonesia that was registered in Indonesia stock exchange</w:t>
      </w:r>
      <w:r w:rsidR="00B45D48" w:rsidRPr="00204A1C">
        <w:rPr>
          <w:color w:val="000000"/>
          <w:sz w:val="24"/>
          <w:szCs w:val="24"/>
        </w:rPr>
        <w:t xml:space="preserve"> </w:t>
      </w:r>
      <w:r w:rsidR="00014AF3" w:rsidRPr="00204A1C">
        <w:rPr>
          <w:color w:val="000000"/>
          <w:sz w:val="24"/>
          <w:szCs w:val="24"/>
        </w:rPr>
        <w:t>(IDX) are used during the period of</w:t>
      </w:r>
      <w:r w:rsidRPr="00204A1C">
        <w:rPr>
          <w:color w:val="000000"/>
          <w:sz w:val="24"/>
          <w:szCs w:val="24"/>
        </w:rPr>
        <w:t xml:space="preserve"> 2006-2018. </w:t>
      </w:r>
      <w:r w:rsidR="00014AF3" w:rsidRPr="00204A1C">
        <w:rPr>
          <w:color w:val="000000"/>
          <w:sz w:val="24"/>
          <w:szCs w:val="24"/>
        </w:rPr>
        <w:t>The results show that</w:t>
      </w:r>
      <w:r w:rsidRPr="00204A1C">
        <w:rPr>
          <w:color w:val="000000"/>
          <w:sz w:val="24"/>
          <w:szCs w:val="24"/>
        </w:rPr>
        <w:t xml:space="preserve"> idiosyncratic tail risk </w:t>
      </w:r>
      <w:r w:rsidR="001256C9" w:rsidRPr="00204A1C">
        <w:rPr>
          <w:color w:val="000000"/>
          <w:sz w:val="24"/>
          <w:szCs w:val="24"/>
        </w:rPr>
        <w:t xml:space="preserve">has </w:t>
      </w:r>
      <w:r w:rsidRPr="00204A1C">
        <w:rPr>
          <w:color w:val="000000"/>
          <w:sz w:val="24"/>
          <w:szCs w:val="24"/>
        </w:rPr>
        <w:t>negative effect</w:t>
      </w:r>
      <w:r w:rsidR="00014AF3" w:rsidRPr="00204A1C">
        <w:rPr>
          <w:color w:val="000000"/>
          <w:sz w:val="24"/>
          <w:szCs w:val="24"/>
        </w:rPr>
        <w:t>s</w:t>
      </w:r>
      <w:r w:rsidRPr="00204A1C">
        <w:rPr>
          <w:color w:val="000000"/>
          <w:sz w:val="24"/>
          <w:szCs w:val="24"/>
        </w:rPr>
        <w:t xml:space="preserve"> on the </w:t>
      </w:r>
      <w:r w:rsidR="00014AF3" w:rsidRPr="00204A1C">
        <w:rPr>
          <w:color w:val="000000"/>
          <w:sz w:val="24"/>
          <w:szCs w:val="24"/>
        </w:rPr>
        <w:t xml:space="preserve">stock </w:t>
      </w:r>
      <w:r w:rsidRPr="00204A1C">
        <w:rPr>
          <w:color w:val="000000"/>
          <w:sz w:val="24"/>
          <w:szCs w:val="24"/>
        </w:rPr>
        <w:t xml:space="preserve">return in </w:t>
      </w:r>
      <w:r w:rsidR="00014AF3" w:rsidRPr="00204A1C">
        <w:rPr>
          <w:color w:val="000000"/>
          <w:sz w:val="24"/>
          <w:szCs w:val="24"/>
        </w:rPr>
        <w:t>portfolio level, but not in individual level</w:t>
      </w:r>
      <w:r w:rsidRPr="00204A1C">
        <w:rPr>
          <w:color w:val="000000"/>
          <w:sz w:val="24"/>
          <w:szCs w:val="24"/>
        </w:rPr>
        <w:t>.</w:t>
      </w:r>
    </w:p>
    <w:p w14:paraId="044CEFA6" w14:textId="77777777" w:rsidR="00C25803" w:rsidRPr="00204A1C" w:rsidRDefault="00C25803" w:rsidP="00C25803">
      <w:pPr>
        <w:pBdr>
          <w:top w:val="nil"/>
          <w:left w:val="nil"/>
          <w:bottom w:val="nil"/>
          <w:right w:val="nil"/>
          <w:between w:val="nil"/>
        </w:pBdr>
        <w:jc w:val="both"/>
        <w:rPr>
          <w:color w:val="000000"/>
          <w:sz w:val="24"/>
          <w:szCs w:val="24"/>
        </w:rPr>
      </w:pPr>
    </w:p>
    <w:p w14:paraId="19D33D01" w14:textId="1FF13A0E" w:rsidR="00647BDE" w:rsidRPr="00204A1C" w:rsidRDefault="00647BDE" w:rsidP="00C25803">
      <w:pPr>
        <w:pBdr>
          <w:top w:val="nil"/>
          <w:left w:val="nil"/>
          <w:bottom w:val="nil"/>
          <w:right w:val="nil"/>
          <w:between w:val="nil"/>
        </w:pBdr>
        <w:jc w:val="both"/>
        <w:rPr>
          <w:color w:val="000000"/>
          <w:sz w:val="24"/>
          <w:szCs w:val="24"/>
        </w:rPr>
      </w:pPr>
      <w:proofErr w:type="gramStart"/>
      <w:r w:rsidRPr="00204A1C">
        <w:rPr>
          <w:b/>
          <w:bCs/>
          <w:color w:val="000000"/>
          <w:sz w:val="24"/>
          <w:szCs w:val="24"/>
        </w:rPr>
        <w:t>Keywords</w:t>
      </w:r>
      <w:r w:rsidR="00D42F11" w:rsidRPr="00204A1C">
        <w:rPr>
          <w:color w:val="000000"/>
          <w:sz w:val="24"/>
          <w:szCs w:val="24"/>
        </w:rPr>
        <w:t xml:space="preserve"> :</w:t>
      </w:r>
      <w:proofErr w:type="gramEnd"/>
      <w:r w:rsidRPr="00204A1C">
        <w:rPr>
          <w:color w:val="000000"/>
          <w:sz w:val="24"/>
          <w:szCs w:val="24"/>
        </w:rPr>
        <w:t xml:space="preserve"> </w:t>
      </w:r>
      <w:r w:rsidR="00D42F11" w:rsidRPr="00204A1C">
        <w:rPr>
          <w:color w:val="000000"/>
          <w:sz w:val="24"/>
          <w:szCs w:val="24"/>
        </w:rPr>
        <w:t xml:space="preserve">Asset Pricing, </w:t>
      </w:r>
      <w:r w:rsidRPr="00204A1C">
        <w:rPr>
          <w:color w:val="000000"/>
          <w:sz w:val="24"/>
          <w:szCs w:val="24"/>
        </w:rPr>
        <w:t>Generalized Extreme Value Distribution, Idiosyncratic tail risk</w:t>
      </w:r>
      <w:r w:rsidR="00D42F11" w:rsidRPr="00204A1C">
        <w:rPr>
          <w:color w:val="000000"/>
          <w:sz w:val="24"/>
          <w:szCs w:val="24"/>
        </w:rPr>
        <w:t>.</w:t>
      </w:r>
    </w:p>
    <w:p w14:paraId="39996230" w14:textId="55588422" w:rsidR="00D42F11" w:rsidRPr="00204A1C" w:rsidRDefault="00D42F11" w:rsidP="00C25803">
      <w:pPr>
        <w:pBdr>
          <w:top w:val="nil"/>
          <w:left w:val="nil"/>
          <w:bottom w:val="nil"/>
          <w:right w:val="nil"/>
          <w:between w:val="nil"/>
        </w:pBdr>
        <w:jc w:val="both"/>
        <w:rPr>
          <w:color w:val="000000"/>
          <w:sz w:val="24"/>
          <w:szCs w:val="24"/>
        </w:rPr>
      </w:pPr>
      <w:r w:rsidRPr="00204A1C">
        <w:rPr>
          <w:b/>
          <w:bCs/>
          <w:color w:val="000000"/>
          <w:sz w:val="24"/>
          <w:szCs w:val="24"/>
        </w:rPr>
        <w:t>JEL</w:t>
      </w:r>
      <w:r w:rsidR="00C25803" w:rsidRPr="00204A1C">
        <w:rPr>
          <w:b/>
          <w:bCs/>
          <w:color w:val="000000"/>
          <w:sz w:val="24"/>
          <w:szCs w:val="24"/>
        </w:rPr>
        <w:t xml:space="preserve"> Classification</w:t>
      </w:r>
      <w:r w:rsidRPr="00204A1C">
        <w:rPr>
          <w:color w:val="000000"/>
          <w:sz w:val="24"/>
          <w:szCs w:val="24"/>
        </w:rPr>
        <w:t>: G120</w:t>
      </w:r>
    </w:p>
    <w:p w14:paraId="5CE86D08" w14:textId="77777777" w:rsidR="006B1388" w:rsidRDefault="006B1388" w:rsidP="00C25803">
      <w:pPr>
        <w:pBdr>
          <w:top w:val="nil"/>
          <w:left w:val="nil"/>
          <w:bottom w:val="nil"/>
          <w:right w:val="nil"/>
          <w:between w:val="nil"/>
        </w:pBdr>
        <w:jc w:val="both"/>
        <w:rPr>
          <w:color w:val="000000"/>
          <w:sz w:val="22"/>
          <w:szCs w:val="22"/>
        </w:rPr>
      </w:pPr>
    </w:p>
    <w:p w14:paraId="57D8101A" w14:textId="694C30D0" w:rsidR="00573C2B" w:rsidRPr="00204A1C" w:rsidRDefault="00D42F11" w:rsidP="00C25803">
      <w:pPr>
        <w:pStyle w:val="ListParagraph"/>
        <w:numPr>
          <w:ilvl w:val="0"/>
          <w:numId w:val="9"/>
        </w:numPr>
        <w:pBdr>
          <w:top w:val="nil"/>
          <w:left w:val="nil"/>
          <w:bottom w:val="nil"/>
          <w:right w:val="nil"/>
          <w:between w:val="nil"/>
        </w:pBdr>
        <w:tabs>
          <w:tab w:val="left" w:pos="630"/>
        </w:tabs>
        <w:ind w:left="360"/>
        <w:jc w:val="both"/>
        <w:rPr>
          <w:color w:val="000000"/>
          <w:sz w:val="24"/>
          <w:szCs w:val="24"/>
        </w:rPr>
      </w:pPr>
      <w:r w:rsidRPr="00204A1C">
        <w:rPr>
          <w:b/>
          <w:bCs/>
          <w:sz w:val="24"/>
          <w:szCs w:val="24"/>
        </w:rPr>
        <w:t>I</w:t>
      </w:r>
      <w:r w:rsidR="0080687B" w:rsidRPr="00204A1C">
        <w:rPr>
          <w:b/>
          <w:bCs/>
          <w:sz w:val="24"/>
          <w:szCs w:val="24"/>
        </w:rPr>
        <w:t>ntroduction</w:t>
      </w:r>
    </w:p>
    <w:p w14:paraId="6334BFD6" w14:textId="148C8A14" w:rsidR="00287AE9" w:rsidRPr="00204A1C" w:rsidRDefault="002A53C6" w:rsidP="00C25803">
      <w:pPr>
        <w:pBdr>
          <w:top w:val="nil"/>
          <w:left w:val="nil"/>
          <w:bottom w:val="nil"/>
          <w:right w:val="nil"/>
          <w:between w:val="nil"/>
        </w:pBdr>
        <w:ind w:firstLine="284"/>
        <w:jc w:val="both"/>
        <w:rPr>
          <w:sz w:val="24"/>
          <w:szCs w:val="24"/>
        </w:rPr>
      </w:pPr>
      <w:r w:rsidRPr="00204A1C">
        <w:rPr>
          <w:sz w:val="24"/>
          <w:szCs w:val="24"/>
        </w:rPr>
        <w:t>After</w:t>
      </w:r>
      <w:r w:rsidR="000D0306" w:rsidRPr="00204A1C">
        <w:rPr>
          <w:sz w:val="24"/>
          <w:szCs w:val="24"/>
        </w:rPr>
        <w:t xml:space="preserve"> </w:t>
      </w:r>
      <w:r w:rsidR="00CD1760" w:rsidRPr="00204A1C">
        <w:rPr>
          <w:sz w:val="24"/>
          <w:szCs w:val="24"/>
        </w:rPr>
        <w:t>Ang et al., (2006; 2009)</w:t>
      </w:r>
      <w:r w:rsidRPr="00204A1C">
        <w:rPr>
          <w:sz w:val="24"/>
          <w:szCs w:val="24"/>
        </w:rPr>
        <w:t xml:space="preserve"> showed negative effects of idiosyncratic risk to the stock return, so many evidences of effects of idiosyncratic risk and returns was found.</w:t>
      </w:r>
      <w:r w:rsidR="00287AE9" w:rsidRPr="00204A1C">
        <w:rPr>
          <w:sz w:val="24"/>
          <w:szCs w:val="24"/>
        </w:rPr>
        <w:t xml:space="preserve"> Ang et al., (2006) showed that this idiosyncratic volatility strong negative effects on the stock return after controlling momentum, </w:t>
      </w:r>
      <w:r w:rsidR="002A4A09" w:rsidRPr="00204A1C">
        <w:rPr>
          <w:sz w:val="24"/>
          <w:szCs w:val="24"/>
        </w:rPr>
        <w:t xml:space="preserve">size, liquidity, </w:t>
      </w:r>
      <w:r w:rsidR="00287AE9" w:rsidRPr="00204A1C">
        <w:rPr>
          <w:sz w:val="24"/>
          <w:szCs w:val="24"/>
        </w:rPr>
        <w:t xml:space="preserve">short term reversal etc. </w:t>
      </w:r>
      <w:r w:rsidRPr="00204A1C">
        <w:rPr>
          <w:sz w:val="24"/>
          <w:szCs w:val="24"/>
        </w:rPr>
        <w:t xml:space="preserve"> Furthermore, </w:t>
      </w:r>
      <w:r w:rsidR="00287AE9" w:rsidRPr="00204A1C">
        <w:rPr>
          <w:sz w:val="24"/>
          <w:szCs w:val="24"/>
        </w:rPr>
        <w:t>as</w:t>
      </w:r>
      <w:r w:rsidRPr="00204A1C">
        <w:rPr>
          <w:sz w:val="24"/>
          <w:szCs w:val="24"/>
        </w:rPr>
        <w:t xml:space="preserve"> Hou and </w:t>
      </w:r>
      <w:proofErr w:type="spellStart"/>
      <w:r w:rsidRPr="00204A1C">
        <w:rPr>
          <w:sz w:val="24"/>
          <w:szCs w:val="24"/>
        </w:rPr>
        <w:t>Loh</w:t>
      </w:r>
      <w:proofErr w:type="spellEnd"/>
      <w:r w:rsidRPr="00204A1C">
        <w:rPr>
          <w:sz w:val="24"/>
          <w:szCs w:val="24"/>
        </w:rPr>
        <w:t xml:space="preserve"> (2016)</w:t>
      </w:r>
      <w:r w:rsidR="00287AE9" w:rsidRPr="00204A1C">
        <w:rPr>
          <w:sz w:val="24"/>
          <w:szCs w:val="24"/>
        </w:rPr>
        <w:t xml:space="preserve"> showed that all most all the research results support the idiosyncratic volatility puzzles and tried to explain the</w:t>
      </w:r>
      <w:r w:rsidRPr="00204A1C">
        <w:rPr>
          <w:sz w:val="24"/>
          <w:szCs w:val="24"/>
        </w:rPr>
        <w:t xml:space="preserve"> idiosyncratic volatility</w:t>
      </w:r>
      <w:r w:rsidR="00287AE9" w:rsidRPr="00204A1C">
        <w:rPr>
          <w:sz w:val="24"/>
          <w:szCs w:val="24"/>
        </w:rPr>
        <w:t xml:space="preserve"> with various types of firm specific and behavioral related factors</w:t>
      </w:r>
      <w:r w:rsidRPr="00204A1C">
        <w:rPr>
          <w:sz w:val="24"/>
          <w:szCs w:val="24"/>
        </w:rPr>
        <w:t xml:space="preserve">. </w:t>
      </w:r>
    </w:p>
    <w:p w14:paraId="374315D4" w14:textId="30A799DD" w:rsidR="002A53C6" w:rsidRPr="00204A1C" w:rsidRDefault="00287AE9" w:rsidP="00C25803">
      <w:pPr>
        <w:pBdr>
          <w:top w:val="nil"/>
          <w:left w:val="nil"/>
          <w:bottom w:val="nil"/>
          <w:right w:val="nil"/>
          <w:between w:val="nil"/>
        </w:pBdr>
        <w:ind w:firstLine="284"/>
        <w:jc w:val="both"/>
        <w:rPr>
          <w:sz w:val="24"/>
          <w:szCs w:val="24"/>
        </w:rPr>
      </w:pPr>
      <w:r w:rsidRPr="00204A1C">
        <w:rPr>
          <w:sz w:val="24"/>
          <w:szCs w:val="24"/>
        </w:rPr>
        <w:t xml:space="preserve">Simultaneously, some researchers, such as </w:t>
      </w:r>
      <w:r w:rsidR="002A53C6" w:rsidRPr="00204A1C">
        <w:rPr>
          <w:sz w:val="24"/>
          <w:szCs w:val="24"/>
        </w:rPr>
        <w:t>Bali et al., (201</w:t>
      </w:r>
      <w:r w:rsidR="00CD233B" w:rsidRPr="00204A1C">
        <w:rPr>
          <w:sz w:val="24"/>
          <w:szCs w:val="24"/>
        </w:rPr>
        <w:t>1</w:t>
      </w:r>
      <w:r w:rsidR="002A53C6" w:rsidRPr="00204A1C">
        <w:rPr>
          <w:sz w:val="24"/>
          <w:szCs w:val="24"/>
        </w:rPr>
        <w:t>)</w:t>
      </w:r>
      <w:r w:rsidRPr="00204A1C">
        <w:rPr>
          <w:sz w:val="24"/>
          <w:szCs w:val="24"/>
        </w:rPr>
        <w:t>, try to find</w:t>
      </w:r>
      <w:r w:rsidR="00171172" w:rsidRPr="00204A1C">
        <w:rPr>
          <w:sz w:val="24"/>
          <w:szCs w:val="24"/>
        </w:rPr>
        <w:t xml:space="preserve"> a </w:t>
      </w:r>
      <w:r w:rsidRPr="00204A1C">
        <w:rPr>
          <w:sz w:val="24"/>
          <w:szCs w:val="24"/>
        </w:rPr>
        <w:t>proxy of idiosyncratic volatility</w:t>
      </w:r>
      <w:r w:rsidR="002A4A09" w:rsidRPr="00204A1C">
        <w:rPr>
          <w:sz w:val="24"/>
          <w:szCs w:val="24"/>
        </w:rPr>
        <w:t xml:space="preserve"> that can show the main components of idiosyncratic volatility.  Bali et al., (2011) proposed </w:t>
      </w:r>
      <w:r w:rsidR="002A53C6" w:rsidRPr="00204A1C">
        <w:rPr>
          <w:sz w:val="24"/>
          <w:szCs w:val="24"/>
        </w:rPr>
        <w:t>highest daily return in one month</w:t>
      </w:r>
      <w:r w:rsidR="002A4A09" w:rsidRPr="00204A1C">
        <w:rPr>
          <w:sz w:val="24"/>
          <w:szCs w:val="24"/>
        </w:rPr>
        <w:t xml:space="preserve"> (MAX)</w:t>
      </w:r>
      <w:r w:rsidR="002A53C6" w:rsidRPr="00204A1C">
        <w:rPr>
          <w:sz w:val="24"/>
          <w:szCs w:val="24"/>
        </w:rPr>
        <w:t xml:space="preserve"> as the proxy for the idiosyncratic volatility.</w:t>
      </w:r>
      <w:r w:rsidR="00171172" w:rsidRPr="00204A1C">
        <w:rPr>
          <w:sz w:val="24"/>
          <w:szCs w:val="24"/>
        </w:rPr>
        <w:t xml:space="preserve"> They showed that the MAX could </w:t>
      </w:r>
      <w:r w:rsidR="0000270E" w:rsidRPr="00204A1C">
        <w:rPr>
          <w:sz w:val="24"/>
          <w:szCs w:val="24"/>
        </w:rPr>
        <w:t xml:space="preserve">be </w:t>
      </w:r>
      <w:r w:rsidR="00171172" w:rsidRPr="00204A1C">
        <w:rPr>
          <w:sz w:val="24"/>
          <w:szCs w:val="24"/>
        </w:rPr>
        <w:t xml:space="preserve">reduced the negative effects </w:t>
      </w:r>
      <w:r w:rsidR="0000270E" w:rsidRPr="00204A1C">
        <w:rPr>
          <w:sz w:val="24"/>
          <w:szCs w:val="24"/>
        </w:rPr>
        <w:t xml:space="preserve">of idiosyncratic volatility </w:t>
      </w:r>
      <w:r w:rsidR="00171172" w:rsidRPr="00204A1C">
        <w:rPr>
          <w:sz w:val="24"/>
          <w:szCs w:val="24"/>
        </w:rPr>
        <w:t>to the stock return.</w:t>
      </w:r>
    </w:p>
    <w:p w14:paraId="0915069E" w14:textId="77777777" w:rsidR="0036109E" w:rsidRPr="00204A1C" w:rsidRDefault="00171172" w:rsidP="00171172">
      <w:pPr>
        <w:pBdr>
          <w:top w:val="nil"/>
          <w:left w:val="nil"/>
          <w:bottom w:val="nil"/>
          <w:right w:val="nil"/>
          <w:between w:val="nil"/>
        </w:pBdr>
        <w:ind w:firstLine="284"/>
        <w:jc w:val="both"/>
        <w:rPr>
          <w:sz w:val="24"/>
          <w:szCs w:val="24"/>
        </w:rPr>
      </w:pPr>
      <w:r w:rsidRPr="00204A1C">
        <w:rPr>
          <w:sz w:val="24"/>
          <w:szCs w:val="24"/>
        </w:rPr>
        <w:t>On the other hand</w:t>
      </w:r>
      <w:r w:rsidR="002A53C6" w:rsidRPr="00204A1C">
        <w:rPr>
          <w:sz w:val="24"/>
          <w:szCs w:val="24"/>
        </w:rPr>
        <w:t xml:space="preserve">, even if Ang et al., (2009) showed </w:t>
      </w:r>
      <w:r w:rsidRPr="00204A1C">
        <w:rPr>
          <w:sz w:val="24"/>
          <w:szCs w:val="24"/>
        </w:rPr>
        <w:t xml:space="preserve">the strong evidences that </w:t>
      </w:r>
      <w:r w:rsidR="002A53C6" w:rsidRPr="00204A1C">
        <w:rPr>
          <w:sz w:val="24"/>
          <w:szCs w:val="24"/>
        </w:rPr>
        <w:t>the positive effects of idiosyncratic volatility to the stock return using international market, contradictive results</w:t>
      </w:r>
      <w:r w:rsidR="0000270E" w:rsidRPr="00204A1C">
        <w:rPr>
          <w:sz w:val="24"/>
          <w:szCs w:val="24"/>
        </w:rPr>
        <w:t>, Idiosyncratic volatility (IV) has positive effects to stock return,</w:t>
      </w:r>
      <w:r w:rsidR="002A53C6" w:rsidRPr="00204A1C">
        <w:rPr>
          <w:sz w:val="24"/>
          <w:szCs w:val="24"/>
        </w:rPr>
        <w:t xml:space="preserve"> have been found.</w:t>
      </w:r>
      <w:r w:rsidRPr="00204A1C">
        <w:rPr>
          <w:sz w:val="24"/>
          <w:szCs w:val="24"/>
        </w:rPr>
        <w:t xml:space="preserve"> Fu (2009) estimated idiosyncratic volatility using Exponential Generalized Autoregressive Conditional Heteroskedasticity (EGARCH) showed that stock</w:t>
      </w:r>
      <w:r w:rsidR="0000270E" w:rsidRPr="00204A1C">
        <w:rPr>
          <w:sz w:val="24"/>
          <w:szCs w:val="24"/>
        </w:rPr>
        <w:t>s</w:t>
      </w:r>
      <w:r w:rsidRPr="00204A1C">
        <w:rPr>
          <w:sz w:val="24"/>
          <w:szCs w:val="24"/>
        </w:rPr>
        <w:t xml:space="preserve"> with higher idiosyncratic risk </w:t>
      </w:r>
      <w:r w:rsidR="0000270E" w:rsidRPr="00204A1C">
        <w:rPr>
          <w:sz w:val="24"/>
          <w:szCs w:val="24"/>
        </w:rPr>
        <w:t>have positive effects on</w:t>
      </w:r>
      <w:r w:rsidRPr="00204A1C">
        <w:rPr>
          <w:sz w:val="24"/>
          <w:szCs w:val="24"/>
        </w:rPr>
        <w:t xml:space="preserve"> expected return</w:t>
      </w:r>
      <w:r w:rsidR="00E85FBE" w:rsidRPr="00204A1C">
        <w:rPr>
          <w:sz w:val="24"/>
          <w:szCs w:val="24"/>
        </w:rPr>
        <w:t xml:space="preserve"> in Spanish stock market</w:t>
      </w:r>
      <w:r w:rsidR="0000270E" w:rsidRPr="00204A1C">
        <w:rPr>
          <w:sz w:val="24"/>
          <w:szCs w:val="24"/>
        </w:rPr>
        <w:t xml:space="preserve">. Higher IV stocks compensate for </w:t>
      </w:r>
      <w:r w:rsidRPr="00204A1C">
        <w:rPr>
          <w:sz w:val="24"/>
          <w:szCs w:val="24"/>
        </w:rPr>
        <w:t xml:space="preserve">1% </w:t>
      </w:r>
      <w:r w:rsidR="00E85FBE" w:rsidRPr="00204A1C">
        <w:rPr>
          <w:sz w:val="24"/>
          <w:szCs w:val="24"/>
        </w:rPr>
        <w:t xml:space="preserve">greater return </w:t>
      </w:r>
      <w:r w:rsidRPr="00204A1C">
        <w:rPr>
          <w:sz w:val="24"/>
          <w:szCs w:val="24"/>
        </w:rPr>
        <w:t xml:space="preserve">in a month. </w:t>
      </w:r>
    </w:p>
    <w:p w14:paraId="159F4DC0" w14:textId="77777777" w:rsidR="0036109E" w:rsidRPr="00204A1C" w:rsidRDefault="00E85FBE" w:rsidP="00171172">
      <w:pPr>
        <w:pBdr>
          <w:top w:val="nil"/>
          <w:left w:val="nil"/>
          <w:bottom w:val="nil"/>
          <w:right w:val="nil"/>
          <w:between w:val="nil"/>
        </w:pBdr>
        <w:ind w:firstLine="284"/>
        <w:jc w:val="both"/>
        <w:rPr>
          <w:sz w:val="24"/>
          <w:szCs w:val="24"/>
        </w:rPr>
      </w:pPr>
      <w:proofErr w:type="spellStart"/>
      <w:r w:rsidRPr="00204A1C">
        <w:rPr>
          <w:sz w:val="24"/>
          <w:szCs w:val="24"/>
        </w:rPr>
        <w:t>Miralles</w:t>
      </w:r>
      <w:proofErr w:type="spellEnd"/>
      <w:r w:rsidRPr="00204A1C">
        <w:rPr>
          <w:sz w:val="24"/>
          <w:szCs w:val="24"/>
        </w:rPr>
        <w:t>-Marcelo et al., (2012) also showed positive effects of IV to the stock return.  They mentioned their controversary results were produced because they apply different asset pricing model to estimate idiosyncratic volatility with Ang et al (2006; 2009).</w:t>
      </w:r>
      <w:r w:rsidR="005D413A" w:rsidRPr="00204A1C">
        <w:rPr>
          <w:sz w:val="24"/>
          <w:szCs w:val="24"/>
        </w:rPr>
        <w:t xml:space="preserve"> </w:t>
      </w:r>
      <w:r w:rsidR="0036109E" w:rsidRPr="00204A1C">
        <w:rPr>
          <w:sz w:val="24"/>
          <w:szCs w:val="24"/>
        </w:rPr>
        <w:t xml:space="preserve">Fu (2009) and </w:t>
      </w:r>
      <w:proofErr w:type="spellStart"/>
      <w:r w:rsidR="0036109E" w:rsidRPr="00204A1C">
        <w:rPr>
          <w:sz w:val="24"/>
          <w:szCs w:val="24"/>
        </w:rPr>
        <w:t>Miralles</w:t>
      </w:r>
      <w:proofErr w:type="spellEnd"/>
      <w:r w:rsidR="0036109E" w:rsidRPr="00204A1C">
        <w:rPr>
          <w:sz w:val="24"/>
          <w:szCs w:val="24"/>
        </w:rPr>
        <w:t xml:space="preserve">-Marcelo et al., (2012) showed that if we change the method to estimate idiosyncratic risk, relation between idiosyncratic risk and stock return can be change. </w:t>
      </w:r>
    </w:p>
    <w:p w14:paraId="4B74D5AD" w14:textId="022C34D3" w:rsidR="005D413A" w:rsidRPr="00204A1C" w:rsidRDefault="005D413A" w:rsidP="00171172">
      <w:pPr>
        <w:pBdr>
          <w:top w:val="nil"/>
          <w:left w:val="nil"/>
          <w:bottom w:val="nil"/>
          <w:right w:val="nil"/>
          <w:between w:val="nil"/>
        </w:pBdr>
        <w:ind w:firstLine="284"/>
        <w:jc w:val="both"/>
        <w:rPr>
          <w:sz w:val="24"/>
          <w:szCs w:val="24"/>
        </w:rPr>
      </w:pPr>
      <w:r w:rsidRPr="00204A1C">
        <w:rPr>
          <w:sz w:val="24"/>
          <w:szCs w:val="24"/>
        </w:rPr>
        <w:t xml:space="preserve">Furthermore, </w:t>
      </w:r>
      <w:proofErr w:type="gramStart"/>
      <w:r w:rsidRPr="00204A1C">
        <w:rPr>
          <w:sz w:val="24"/>
          <w:szCs w:val="24"/>
        </w:rPr>
        <w:t>Long</w:t>
      </w:r>
      <w:proofErr w:type="gramEnd"/>
      <w:r w:rsidRPr="00204A1C">
        <w:rPr>
          <w:sz w:val="24"/>
          <w:szCs w:val="24"/>
        </w:rPr>
        <w:t xml:space="preserve"> et al., (2018) proposed idiosyncratic tail risk (ITR) as a alternative measure of idiosyncratic risk. They showed that </w:t>
      </w:r>
      <w:r w:rsidR="0036109E" w:rsidRPr="00204A1C">
        <w:rPr>
          <w:sz w:val="24"/>
          <w:szCs w:val="24"/>
        </w:rPr>
        <w:t xml:space="preserve">ITR had negative effects on stock return. However, ITR can not weaken the negative relationship between IV and stock return in Chinese stock market. Instead, the negative effects of the ITR are weakened in the </w:t>
      </w:r>
      <w:proofErr w:type="spellStart"/>
      <w:r w:rsidR="0036109E" w:rsidRPr="00204A1C">
        <w:rPr>
          <w:sz w:val="24"/>
          <w:szCs w:val="24"/>
        </w:rPr>
        <w:t>Fama-MacBeth</w:t>
      </w:r>
      <w:proofErr w:type="spellEnd"/>
      <w:r w:rsidR="0036109E" w:rsidRPr="00204A1C">
        <w:rPr>
          <w:sz w:val="24"/>
          <w:szCs w:val="24"/>
        </w:rPr>
        <w:t xml:space="preserve"> regression when they included IV as one of the control variables.</w:t>
      </w:r>
    </w:p>
    <w:p w14:paraId="74F32125" w14:textId="15528024" w:rsidR="0036109E" w:rsidRPr="00204A1C" w:rsidRDefault="00852D71" w:rsidP="00171172">
      <w:pPr>
        <w:pBdr>
          <w:top w:val="nil"/>
          <w:left w:val="nil"/>
          <w:bottom w:val="nil"/>
          <w:right w:val="nil"/>
          <w:between w:val="nil"/>
        </w:pBdr>
        <w:ind w:firstLine="284"/>
        <w:jc w:val="both"/>
        <w:rPr>
          <w:sz w:val="24"/>
          <w:szCs w:val="24"/>
        </w:rPr>
      </w:pPr>
      <w:r w:rsidRPr="00204A1C">
        <w:rPr>
          <w:sz w:val="24"/>
          <w:szCs w:val="24"/>
        </w:rPr>
        <w:t xml:space="preserve">On the other hand, some emerging markets did not show idiosyncratic volatility puzzle. </w:t>
      </w:r>
      <w:proofErr w:type="spellStart"/>
      <w:r w:rsidRPr="00204A1C">
        <w:rPr>
          <w:sz w:val="24"/>
          <w:szCs w:val="24"/>
        </w:rPr>
        <w:t>Nart</w:t>
      </w:r>
      <w:r w:rsidR="0099059E" w:rsidRPr="00204A1C">
        <w:rPr>
          <w:sz w:val="24"/>
          <w:szCs w:val="24"/>
        </w:rPr>
        <w:t>e</w:t>
      </w:r>
      <w:r w:rsidRPr="00204A1C">
        <w:rPr>
          <w:sz w:val="24"/>
          <w:szCs w:val="24"/>
        </w:rPr>
        <w:t>a</w:t>
      </w:r>
      <w:proofErr w:type="spellEnd"/>
      <w:r w:rsidRPr="00204A1C">
        <w:rPr>
          <w:sz w:val="24"/>
          <w:szCs w:val="24"/>
        </w:rPr>
        <w:t xml:space="preserve"> et al., (2011) found that IV had positive effects on stock return in Malaysia, Singapore, Thailand, and Indonesia stock market. </w:t>
      </w:r>
      <w:proofErr w:type="spellStart"/>
      <w:r w:rsidR="0011551D" w:rsidRPr="00204A1C">
        <w:rPr>
          <w:sz w:val="24"/>
          <w:szCs w:val="24"/>
        </w:rPr>
        <w:t>Pudjianto</w:t>
      </w:r>
      <w:proofErr w:type="spellEnd"/>
      <w:r w:rsidR="0011551D" w:rsidRPr="00204A1C">
        <w:rPr>
          <w:sz w:val="24"/>
          <w:szCs w:val="24"/>
        </w:rPr>
        <w:t xml:space="preserve"> &amp;Wibo</w:t>
      </w:r>
      <w:r w:rsidRPr="00204A1C">
        <w:rPr>
          <w:sz w:val="24"/>
          <w:szCs w:val="24"/>
        </w:rPr>
        <w:t>wo (2019) also found the same result in Indonesia stock market. Even if the</w:t>
      </w:r>
      <w:r w:rsidR="009C228B" w:rsidRPr="00204A1C">
        <w:rPr>
          <w:sz w:val="24"/>
          <w:szCs w:val="24"/>
        </w:rPr>
        <w:t>ir findings could be</w:t>
      </w:r>
      <w:r w:rsidRPr="00204A1C">
        <w:rPr>
          <w:sz w:val="24"/>
          <w:szCs w:val="24"/>
        </w:rPr>
        <w:t xml:space="preserve"> explained the results based on risk-return trade-off</w:t>
      </w:r>
      <w:r w:rsidR="009C228B" w:rsidRPr="00204A1C">
        <w:rPr>
          <w:sz w:val="24"/>
          <w:szCs w:val="24"/>
        </w:rPr>
        <w:t xml:space="preserve"> based on under-diversification (Levy, 1978; Merton, 1987;</w:t>
      </w:r>
      <w:r w:rsidRPr="00204A1C">
        <w:rPr>
          <w:sz w:val="24"/>
          <w:szCs w:val="24"/>
        </w:rPr>
        <w:t xml:space="preserve"> </w:t>
      </w:r>
      <w:r w:rsidR="009C228B" w:rsidRPr="00204A1C">
        <w:rPr>
          <w:sz w:val="24"/>
          <w:szCs w:val="24"/>
        </w:rPr>
        <w:t>and</w:t>
      </w:r>
      <w:r w:rsidR="008B70C2" w:rsidRPr="00204A1C">
        <w:rPr>
          <w:sz w:val="24"/>
          <w:szCs w:val="24"/>
        </w:rPr>
        <w:t xml:space="preserve"> </w:t>
      </w:r>
      <w:r w:rsidR="00E601F9" w:rsidRPr="00204A1C">
        <w:rPr>
          <w:sz w:val="24"/>
          <w:szCs w:val="24"/>
        </w:rPr>
        <w:t xml:space="preserve">Xu and </w:t>
      </w:r>
      <w:proofErr w:type="spellStart"/>
      <w:r w:rsidR="00E601F9" w:rsidRPr="00204A1C">
        <w:rPr>
          <w:sz w:val="24"/>
          <w:szCs w:val="24"/>
        </w:rPr>
        <w:t>Malkiel</w:t>
      </w:r>
      <w:proofErr w:type="spellEnd"/>
      <w:r w:rsidR="008B70C2" w:rsidRPr="00204A1C">
        <w:rPr>
          <w:sz w:val="24"/>
          <w:szCs w:val="24"/>
        </w:rPr>
        <w:t xml:space="preserve">, 2002), they did not show reasons why investors always under-diversify their portfolio than other markets. </w:t>
      </w:r>
    </w:p>
    <w:p w14:paraId="6614A46D" w14:textId="1F8AD897" w:rsidR="00B12DB6" w:rsidRPr="00204A1C" w:rsidRDefault="008B70C2" w:rsidP="00B12DB6">
      <w:pPr>
        <w:pBdr>
          <w:top w:val="nil"/>
          <w:left w:val="nil"/>
          <w:bottom w:val="nil"/>
          <w:right w:val="nil"/>
          <w:between w:val="nil"/>
        </w:pBdr>
        <w:ind w:firstLine="284"/>
        <w:jc w:val="both"/>
        <w:rPr>
          <w:sz w:val="24"/>
          <w:szCs w:val="24"/>
        </w:rPr>
      </w:pPr>
      <w:r w:rsidRPr="00204A1C">
        <w:rPr>
          <w:sz w:val="24"/>
          <w:szCs w:val="24"/>
        </w:rPr>
        <w:t>The developments of different methodology to estimate idiosyncratic risks gives opportunities to review the effects of idiosyncratic risk to the stock return, especially for the market that did not show idiosyncratic volatility puzzle. Then, we try to apply different method that used by Long et al., (2018) using ITR to re-exam effects of the idiosyncratic risk to the stock return in Indonesia stock market</w:t>
      </w:r>
      <w:r w:rsidR="0065244D" w:rsidRPr="00204A1C">
        <w:rPr>
          <w:sz w:val="24"/>
          <w:szCs w:val="24"/>
        </w:rPr>
        <w:t>.</w:t>
      </w:r>
      <w:r w:rsidR="00B12DB6" w:rsidRPr="00204A1C">
        <w:rPr>
          <w:sz w:val="24"/>
          <w:szCs w:val="24"/>
        </w:rPr>
        <w:t xml:space="preserve"> It is more interesting just because Indonesia stock market fail to show ‘idiosyncratic volatility puzzle </w:t>
      </w:r>
      <w:r w:rsidR="00B12DB6" w:rsidRPr="00204A1C">
        <w:rPr>
          <w:sz w:val="24"/>
          <w:szCs w:val="24"/>
        </w:rPr>
        <w:lastRenderedPageBreak/>
        <w:t>(</w:t>
      </w:r>
      <w:proofErr w:type="spellStart"/>
      <w:r w:rsidR="00B12DB6" w:rsidRPr="00204A1C">
        <w:rPr>
          <w:sz w:val="24"/>
          <w:szCs w:val="24"/>
        </w:rPr>
        <w:t>Nart</w:t>
      </w:r>
      <w:r w:rsidR="0099059E" w:rsidRPr="00204A1C">
        <w:rPr>
          <w:sz w:val="24"/>
          <w:szCs w:val="24"/>
        </w:rPr>
        <w:t>e</w:t>
      </w:r>
      <w:r w:rsidR="00B12DB6" w:rsidRPr="00204A1C">
        <w:rPr>
          <w:sz w:val="24"/>
          <w:szCs w:val="24"/>
        </w:rPr>
        <w:t>a</w:t>
      </w:r>
      <w:proofErr w:type="spellEnd"/>
      <w:r w:rsidR="00B12DB6" w:rsidRPr="00204A1C">
        <w:rPr>
          <w:sz w:val="24"/>
          <w:szCs w:val="24"/>
        </w:rPr>
        <w:t xml:space="preserve"> et al., 2011, </w:t>
      </w:r>
      <w:proofErr w:type="spellStart"/>
      <w:r w:rsidR="0011551D" w:rsidRPr="00204A1C">
        <w:rPr>
          <w:sz w:val="24"/>
          <w:szCs w:val="24"/>
        </w:rPr>
        <w:t>Pudjianto</w:t>
      </w:r>
      <w:proofErr w:type="spellEnd"/>
      <w:r w:rsidR="0011551D" w:rsidRPr="00204A1C">
        <w:rPr>
          <w:sz w:val="24"/>
          <w:szCs w:val="24"/>
        </w:rPr>
        <w:t xml:space="preserve"> &amp; </w:t>
      </w:r>
      <w:r w:rsidR="00B12DB6" w:rsidRPr="00204A1C">
        <w:rPr>
          <w:sz w:val="24"/>
          <w:szCs w:val="24"/>
        </w:rPr>
        <w:t xml:space="preserve">Wibowo, 2019), ITR may show the relative effects of ITR as alternative measurement of idiosyncratic risks to the stock return. </w:t>
      </w:r>
    </w:p>
    <w:p w14:paraId="2BB1D1A4" w14:textId="514D9644" w:rsidR="0065244D" w:rsidRPr="00204A1C" w:rsidRDefault="0065244D" w:rsidP="0065244D">
      <w:pPr>
        <w:pBdr>
          <w:top w:val="nil"/>
          <w:left w:val="nil"/>
          <w:bottom w:val="nil"/>
          <w:right w:val="nil"/>
          <w:between w:val="nil"/>
        </w:pBdr>
        <w:ind w:firstLine="284"/>
        <w:jc w:val="both"/>
        <w:rPr>
          <w:sz w:val="24"/>
          <w:szCs w:val="24"/>
        </w:rPr>
      </w:pPr>
      <w:r w:rsidRPr="00204A1C">
        <w:rPr>
          <w:sz w:val="24"/>
          <w:szCs w:val="24"/>
        </w:rPr>
        <w:t xml:space="preserve">The main result shows that idiosyncratic risks which is estimated using ITR has negative effects on the stock return in portfolio level. On the other hand, the firm level regression results using </w:t>
      </w:r>
      <w:proofErr w:type="spellStart"/>
      <w:r w:rsidRPr="00204A1C">
        <w:rPr>
          <w:sz w:val="24"/>
          <w:szCs w:val="24"/>
        </w:rPr>
        <w:t>Fama-MacBeth</w:t>
      </w:r>
      <w:proofErr w:type="spellEnd"/>
      <w:r w:rsidRPr="00204A1C">
        <w:rPr>
          <w:sz w:val="24"/>
          <w:szCs w:val="24"/>
        </w:rPr>
        <w:t xml:space="preserve"> have negative coefficient but statistically insignificant. However, our research</w:t>
      </w:r>
      <w:r w:rsidR="00B12DB6" w:rsidRPr="00204A1C">
        <w:rPr>
          <w:sz w:val="24"/>
          <w:szCs w:val="24"/>
        </w:rPr>
        <w:t xml:space="preserve"> results</w:t>
      </w:r>
      <w:r w:rsidRPr="00204A1C">
        <w:rPr>
          <w:sz w:val="24"/>
          <w:szCs w:val="24"/>
        </w:rPr>
        <w:t xml:space="preserve"> clearly show that when we estimate idiosyncratic risk using different method, puzzle that was originally raised by Ang et al., (2006) can be found also in Indonesia. </w:t>
      </w:r>
    </w:p>
    <w:p w14:paraId="168FB2EF" w14:textId="63071A0A" w:rsidR="0065244D" w:rsidRPr="00204A1C" w:rsidRDefault="0065244D" w:rsidP="0065244D">
      <w:pPr>
        <w:pBdr>
          <w:top w:val="nil"/>
          <w:left w:val="nil"/>
          <w:bottom w:val="nil"/>
          <w:right w:val="nil"/>
          <w:between w:val="nil"/>
        </w:pBdr>
        <w:ind w:firstLine="284"/>
        <w:jc w:val="both"/>
        <w:rPr>
          <w:sz w:val="24"/>
          <w:szCs w:val="24"/>
        </w:rPr>
      </w:pPr>
      <w:r w:rsidRPr="00204A1C">
        <w:rPr>
          <w:sz w:val="24"/>
          <w:szCs w:val="24"/>
        </w:rPr>
        <w:t>The following part of the papers will be written as follows. We will develop the hypothesis based on the idiosyncratic risk which is estimated using ITR has negative effects on stock return. Then we explain the data and methodology. After that we show the empirical results based on time series and cross</w:t>
      </w:r>
      <w:r w:rsidR="00E601F9" w:rsidRPr="00204A1C">
        <w:rPr>
          <w:sz w:val="24"/>
          <w:szCs w:val="24"/>
        </w:rPr>
        <w:t>-</w:t>
      </w:r>
      <w:r w:rsidRPr="00204A1C">
        <w:rPr>
          <w:sz w:val="24"/>
          <w:szCs w:val="24"/>
        </w:rPr>
        <w:t>sectional regression.</w:t>
      </w:r>
    </w:p>
    <w:p w14:paraId="5E19E8C0" w14:textId="230308DC" w:rsidR="0065244D" w:rsidRPr="00204A1C" w:rsidRDefault="0065244D" w:rsidP="0065244D">
      <w:pPr>
        <w:pBdr>
          <w:top w:val="nil"/>
          <w:left w:val="nil"/>
          <w:bottom w:val="nil"/>
          <w:right w:val="nil"/>
          <w:between w:val="nil"/>
        </w:pBdr>
        <w:jc w:val="both"/>
        <w:rPr>
          <w:sz w:val="24"/>
          <w:szCs w:val="24"/>
        </w:rPr>
      </w:pPr>
    </w:p>
    <w:p w14:paraId="4677A41B" w14:textId="3F55153B" w:rsidR="0065244D" w:rsidRPr="00204A1C" w:rsidRDefault="0065244D" w:rsidP="0065244D">
      <w:pPr>
        <w:pStyle w:val="ListParagraph"/>
        <w:numPr>
          <w:ilvl w:val="0"/>
          <w:numId w:val="9"/>
        </w:numPr>
        <w:pBdr>
          <w:top w:val="nil"/>
          <w:left w:val="nil"/>
          <w:bottom w:val="nil"/>
          <w:right w:val="nil"/>
          <w:between w:val="nil"/>
        </w:pBdr>
        <w:ind w:left="360"/>
        <w:jc w:val="both"/>
        <w:rPr>
          <w:b/>
          <w:bCs/>
          <w:sz w:val="24"/>
          <w:szCs w:val="24"/>
        </w:rPr>
      </w:pPr>
      <w:r w:rsidRPr="00204A1C">
        <w:rPr>
          <w:b/>
          <w:bCs/>
          <w:sz w:val="24"/>
          <w:szCs w:val="24"/>
        </w:rPr>
        <w:t xml:space="preserve">Hypothesis Development: ITR and Stock Return </w:t>
      </w:r>
    </w:p>
    <w:p w14:paraId="5CFC3A42" w14:textId="0CCF9C6E" w:rsidR="00573C2B" w:rsidRPr="00204A1C" w:rsidRDefault="000D0306" w:rsidP="00C25803">
      <w:pPr>
        <w:pBdr>
          <w:top w:val="nil"/>
          <w:left w:val="nil"/>
          <w:bottom w:val="nil"/>
          <w:right w:val="nil"/>
          <w:between w:val="nil"/>
        </w:pBdr>
        <w:ind w:firstLine="284"/>
        <w:jc w:val="both"/>
        <w:rPr>
          <w:sz w:val="24"/>
          <w:szCs w:val="24"/>
        </w:rPr>
      </w:pPr>
      <w:r w:rsidRPr="00204A1C">
        <w:rPr>
          <w:sz w:val="24"/>
          <w:szCs w:val="24"/>
        </w:rPr>
        <w:t xml:space="preserve">Tail risk is defined as the risk of </w:t>
      </w:r>
      <w:r w:rsidR="00957188" w:rsidRPr="00204A1C">
        <w:rPr>
          <w:sz w:val="24"/>
          <w:szCs w:val="24"/>
        </w:rPr>
        <w:t xml:space="preserve">price of </w:t>
      </w:r>
      <w:r w:rsidRPr="00204A1C">
        <w:rPr>
          <w:sz w:val="24"/>
          <w:szCs w:val="24"/>
        </w:rPr>
        <w:t xml:space="preserve">an asset or portfolio </w:t>
      </w:r>
      <w:r w:rsidR="00957188" w:rsidRPr="00204A1C">
        <w:rPr>
          <w:sz w:val="24"/>
          <w:szCs w:val="24"/>
        </w:rPr>
        <w:t>can</w:t>
      </w:r>
      <w:r w:rsidRPr="00204A1C">
        <w:rPr>
          <w:sz w:val="24"/>
          <w:szCs w:val="24"/>
        </w:rPr>
        <w:t xml:space="preserve"> fluctuates more than three times the standard deviation. Conceptually, tail risk shows in events with very small possibility since it is located at the right or left end of the distribution. </w:t>
      </w:r>
      <w:r w:rsidR="00957188" w:rsidRPr="00204A1C">
        <w:rPr>
          <w:sz w:val="24"/>
          <w:szCs w:val="24"/>
        </w:rPr>
        <w:t>Tail risk is d</w:t>
      </w:r>
      <w:r w:rsidRPr="00204A1C">
        <w:rPr>
          <w:sz w:val="24"/>
          <w:szCs w:val="24"/>
        </w:rPr>
        <w:t xml:space="preserve">ifferent from </w:t>
      </w:r>
      <w:r w:rsidR="00957188" w:rsidRPr="00204A1C">
        <w:rPr>
          <w:sz w:val="24"/>
          <w:szCs w:val="24"/>
        </w:rPr>
        <w:t xml:space="preserve">common </w:t>
      </w:r>
      <w:r w:rsidRPr="00204A1C">
        <w:rPr>
          <w:sz w:val="24"/>
          <w:szCs w:val="24"/>
        </w:rPr>
        <w:t xml:space="preserve">volatility </w:t>
      </w:r>
      <w:r w:rsidR="00957188" w:rsidRPr="00204A1C">
        <w:rPr>
          <w:sz w:val="24"/>
          <w:szCs w:val="24"/>
        </w:rPr>
        <w:t>which is</w:t>
      </w:r>
      <w:r w:rsidRPr="00204A1C">
        <w:rPr>
          <w:sz w:val="24"/>
          <w:szCs w:val="24"/>
        </w:rPr>
        <w:t xml:space="preserve"> focuses on </w:t>
      </w:r>
      <w:r w:rsidR="00957188" w:rsidRPr="00204A1C">
        <w:rPr>
          <w:sz w:val="24"/>
          <w:szCs w:val="24"/>
        </w:rPr>
        <w:t xml:space="preserve">total risk and focuses extreme changes that appears higher moments. Then </w:t>
      </w:r>
      <w:r w:rsidRPr="00204A1C">
        <w:rPr>
          <w:sz w:val="24"/>
          <w:szCs w:val="24"/>
        </w:rPr>
        <w:t xml:space="preserve">tail risk could avoid the potential of incompatibility </w:t>
      </w:r>
      <w:r w:rsidR="00957188" w:rsidRPr="00204A1C">
        <w:rPr>
          <w:sz w:val="24"/>
          <w:szCs w:val="24"/>
        </w:rPr>
        <w:t xml:space="preserve">of normal distribution that did not give attention to </w:t>
      </w:r>
      <w:r w:rsidRPr="00204A1C">
        <w:rPr>
          <w:sz w:val="24"/>
          <w:szCs w:val="24"/>
        </w:rPr>
        <w:t>higher-order-moments. Due to this, tail risk is considered as the proper way to calculate risk in times when investors want to avoid a crisis</w:t>
      </w:r>
      <w:r w:rsidR="00957188" w:rsidRPr="00204A1C">
        <w:rPr>
          <w:sz w:val="24"/>
          <w:szCs w:val="24"/>
        </w:rPr>
        <w:t xml:space="preserve"> or extreme events.</w:t>
      </w:r>
      <w:r w:rsidRPr="00204A1C">
        <w:rPr>
          <w:sz w:val="24"/>
          <w:szCs w:val="24"/>
        </w:rPr>
        <w:t xml:space="preserve"> Thus, idiosyncratic tail risk implies </w:t>
      </w:r>
      <w:r w:rsidR="00957188" w:rsidRPr="00204A1C">
        <w:rPr>
          <w:sz w:val="24"/>
          <w:szCs w:val="24"/>
        </w:rPr>
        <w:t>huge fluctuations as a part of</w:t>
      </w:r>
      <w:r w:rsidRPr="00204A1C">
        <w:rPr>
          <w:sz w:val="24"/>
          <w:szCs w:val="24"/>
        </w:rPr>
        <w:t xml:space="preserve"> idiosyncratic risk.</w:t>
      </w:r>
      <w:r w:rsidR="00466AD4" w:rsidRPr="00204A1C">
        <w:rPr>
          <w:sz w:val="24"/>
          <w:szCs w:val="24"/>
        </w:rPr>
        <w:t xml:space="preserve"> Bali et al., (2014)</w:t>
      </w:r>
      <w:r w:rsidRPr="00204A1C">
        <w:rPr>
          <w:sz w:val="24"/>
          <w:szCs w:val="24"/>
        </w:rPr>
        <w:t xml:space="preserve"> show</w:t>
      </w:r>
      <w:r w:rsidR="00466AD4" w:rsidRPr="00204A1C">
        <w:rPr>
          <w:sz w:val="24"/>
          <w:szCs w:val="24"/>
        </w:rPr>
        <w:t>ed an</w:t>
      </w:r>
      <w:r w:rsidRPr="00204A1C">
        <w:rPr>
          <w:sz w:val="24"/>
          <w:szCs w:val="24"/>
        </w:rPr>
        <w:t xml:space="preserve"> interest in knowing the effect of tail risk toward expected return</w:t>
      </w:r>
      <w:r w:rsidR="00466AD4" w:rsidRPr="00204A1C">
        <w:rPr>
          <w:sz w:val="24"/>
          <w:szCs w:val="24"/>
        </w:rPr>
        <w:t xml:space="preserve">. </w:t>
      </w:r>
      <w:r w:rsidRPr="00204A1C">
        <w:rPr>
          <w:sz w:val="24"/>
          <w:szCs w:val="24"/>
        </w:rPr>
        <w:t xml:space="preserve">Huang </w:t>
      </w:r>
      <w:r w:rsidRPr="00204A1C">
        <w:rPr>
          <w:iCs/>
          <w:sz w:val="24"/>
          <w:szCs w:val="24"/>
        </w:rPr>
        <w:t>et al.</w:t>
      </w:r>
      <w:r w:rsidR="00466AD4" w:rsidRPr="00204A1C">
        <w:rPr>
          <w:iCs/>
          <w:sz w:val="24"/>
          <w:szCs w:val="24"/>
        </w:rPr>
        <w:t>,</w:t>
      </w:r>
      <w:r w:rsidRPr="00204A1C">
        <w:rPr>
          <w:iCs/>
          <w:sz w:val="24"/>
          <w:szCs w:val="24"/>
        </w:rPr>
        <w:t xml:space="preserve"> (</w:t>
      </w:r>
      <w:r w:rsidRPr="00204A1C">
        <w:rPr>
          <w:sz w:val="24"/>
          <w:szCs w:val="24"/>
        </w:rPr>
        <w:t>2012) show</w:t>
      </w:r>
      <w:r w:rsidR="00466AD4" w:rsidRPr="00204A1C">
        <w:rPr>
          <w:sz w:val="24"/>
          <w:szCs w:val="24"/>
        </w:rPr>
        <w:t xml:space="preserve">ed </w:t>
      </w:r>
      <w:r w:rsidRPr="00204A1C">
        <w:rPr>
          <w:sz w:val="24"/>
          <w:szCs w:val="24"/>
        </w:rPr>
        <w:t xml:space="preserve">that </w:t>
      </w:r>
      <w:r w:rsidR="00466AD4" w:rsidRPr="00204A1C">
        <w:rPr>
          <w:sz w:val="24"/>
          <w:szCs w:val="24"/>
        </w:rPr>
        <w:t>f</w:t>
      </w:r>
      <w:r w:rsidRPr="00204A1C">
        <w:rPr>
          <w:sz w:val="24"/>
          <w:szCs w:val="24"/>
        </w:rPr>
        <w:t>irm-specific extreme downside risk</w:t>
      </w:r>
      <w:r w:rsidR="00466AD4" w:rsidRPr="00204A1C">
        <w:rPr>
          <w:sz w:val="24"/>
          <w:szCs w:val="24"/>
        </w:rPr>
        <w:t xml:space="preserve"> or left tail risk had </w:t>
      </w:r>
      <w:r w:rsidRPr="00204A1C">
        <w:rPr>
          <w:sz w:val="24"/>
          <w:szCs w:val="24"/>
        </w:rPr>
        <w:t xml:space="preserve">positive effect </w:t>
      </w:r>
      <w:r w:rsidR="00466AD4" w:rsidRPr="00204A1C">
        <w:rPr>
          <w:sz w:val="24"/>
          <w:szCs w:val="24"/>
        </w:rPr>
        <w:t>to</w:t>
      </w:r>
      <w:r w:rsidRPr="00204A1C">
        <w:rPr>
          <w:sz w:val="24"/>
          <w:szCs w:val="24"/>
        </w:rPr>
        <w:t xml:space="preserve"> expected return. Th</w:t>
      </w:r>
      <w:r w:rsidR="00466AD4" w:rsidRPr="00204A1C">
        <w:rPr>
          <w:sz w:val="24"/>
          <w:szCs w:val="24"/>
        </w:rPr>
        <w:t xml:space="preserve">ese results </w:t>
      </w:r>
      <w:proofErr w:type="gramStart"/>
      <w:r w:rsidR="00466AD4" w:rsidRPr="00204A1C">
        <w:rPr>
          <w:sz w:val="24"/>
          <w:szCs w:val="24"/>
        </w:rPr>
        <w:t>was</w:t>
      </w:r>
      <w:proofErr w:type="gramEnd"/>
      <w:r w:rsidRPr="00204A1C">
        <w:rPr>
          <w:sz w:val="24"/>
          <w:szCs w:val="24"/>
        </w:rPr>
        <w:t xml:space="preserve"> further supported by </w:t>
      </w:r>
      <w:r w:rsidR="00466AD4" w:rsidRPr="00204A1C">
        <w:rPr>
          <w:sz w:val="24"/>
          <w:szCs w:val="24"/>
        </w:rPr>
        <w:t>empirical results</w:t>
      </w:r>
      <w:r w:rsidRPr="00204A1C">
        <w:rPr>
          <w:sz w:val="24"/>
          <w:szCs w:val="24"/>
        </w:rPr>
        <w:t xml:space="preserve"> by Kelly and Jiang (2014).</w:t>
      </w:r>
    </w:p>
    <w:p w14:paraId="34090689" w14:textId="32B6D361" w:rsidR="00466AD4" w:rsidRPr="00204A1C" w:rsidRDefault="000D0306" w:rsidP="00C25803">
      <w:pPr>
        <w:pBdr>
          <w:top w:val="nil"/>
          <w:left w:val="nil"/>
          <w:bottom w:val="nil"/>
          <w:right w:val="nil"/>
          <w:between w:val="nil"/>
        </w:pBdr>
        <w:ind w:firstLine="284"/>
        <w:jc w:val="both"/>
        <w:rPr>
          <w:sz w:val="24"/>
          <w:szCs w:val="24"/>
        </w:rPr>
      </w:pPr>
      <w:r w:rsidRPr="00204A1C">
        <w:rPr>
          <w:sz w:val="24"/>
          <w:szCs w:val="24"/>
        </w:rPr>
        <w:t xml:space="preserve">However, </w:t>
      </w:r>
      <w:proofErr w:type="gramStart"/>
      <w:r w:rsidRPr="00204A1C">
        <w:rPr>
          <w:sz w:val="24"/>
          <w:szCs w:val="24"/>
        </w:rPr>
        <w:t>Long</w:t>
      </w:r>
      <w:proofErr w:type="gramEnd"/>
      <w:r w:rsidRPr="00204A1C">
        <w:rPr>
          <w:sz w:val="24"/>
          <w:szCs w:val="24"/>
        </w:rPr>
        <w:t xml:space="preserve"> </w:t>
      </w:r>
      <w:r w:rsidRPr="00204A1C">
        <w:rPr>
          <w:iCs/>
          <w:sz w:val="24"/>
          <w:szCs w:val="24"/>
        </w:rPr>
        <w:t>et al.</w:t>
      </w:r>
      <w:r w:rsidR="00466AD4" w:rsidRPr="00204A1C">
        <w:rPr>
          <w:iCs/>
          <w:sz w:val="24"/>
          <w:szCs w:val="24"/>
        </w:rPr>
        <w:t>,</w:t>
      </w:r>
      <w:r w:rsidRPr="00204A1C">
        <w:rPr>
          <w:sz w:val="24"/>
          <w:szCs w:val="24"/>
        </w:rPr>
        <w:t xml:space="preserve"> (2018) </w:t>
      </w:r>
      <w:r w:rsidR="00466AD4" w:rsidRPr="00204A1C">
        <w:rPr>
          <w:sz w:val="24"/>
          <w:szCs w:val="24"/>
        </w:rPr>
        <w:t xml:space="preserve">showed </w:t>
      </w:r>
      <w:r w:rsidRPr="00204A1C">
        <w:rPr>
          <w:sz w:val="24"/>
          <w:szCs w:val="24"/>
        </w:rPr>
        <w:t xml:space="preserve">opposite results compared to </w:t>
      </w:r>
      <w:r w:rsidR="00466AD4" w:rsidRPr="00204A1C">
        <w:rPr>
          <w:sz w:val="24"/>
          <w:szCs w:val="24"/>
        </w:rPr>
        <w:t>those of Huang et al., (2012) and Kelly and Jiang (2014)</w:t>
      </w:r>
      <w:r w:rsidRPr="00204A1C">
        <w:rPr>
          <w:sz w:val="24"/>
          <w:szCs w:val="24"/>
        </w:rPr>
        <w:t xml:space="preserve">. </w:t>
      </w:r>
      <w:r w:rsidR="00466AD4" w:rsidRPr="00204A1C">
        <w:rPr>
          <w:sz w:val="24"/>
          <w:szCs w:val="24"/>
        </w:rPr>
        <w:t>They found that</w:t>
      </w:r>
      <w:r w:rsidRPr="00204A1C">
        <w:rPr>
          <w:sz w:val="24"/>
          <w:szCs w:val="24"/>
        </w:rPr>
        <w:t xml:space="preserve"> idiosyncratic tail risk has negative effects on expected return which </w:t>
      </w:r>
      <w:r w:rsidR="00F654B8" w:rsidRPr="00204A1C">
        <w:rPr>
          <w:sz w:val="24"/>
          <w:szCs w:val="24"/>
        </w:rPr>
        <w:t xml:space="preserve">they </w:t>
      </w:r>
      <w:r w:rsidRPr="00204A1C">
        <w:rPr>
          <w:sz w:val="24"/>
          <w:szCs w:val="24"/>
        </w:rPr>
        <w:t>called as “idiosyncratic tail risk puzzle</w:t>
      </w:r>
      <w:r w:rsidR="00F654B8" w:rsidRPr="00204A1C">
        <w:rPr>
          <w:sz w:val="24"/>
          <w:szCs w:val="24"/>
        </w:rPr>
        <w:t>.</w:t>
      </w:r>
      <w:r w:rsidRPr="00204A1C">
        <w:rPr>
          <w:sz w:val="24"/>
          <w:szCs w:val="24"/>
        </w:rPr>
        <w:t>”</w:t>
      </w:r>
      <w:r w:rsidR="00F654B8" w:rsidRPr="00204A1C">
        <w:rPr>
          <w:sz w:val="24"/>
          <w:szCs w:val="24"/>
        </w:rPr>
        <w:t xml:space="preserve">  </w:t>
      </w:r>
      <w:r w:rsidR="00CE3732" w:rsidRPr="00204A1C">
        <w:rPr>
          <w:sz w:val="24"/>
          <w:szCs w:val="24"/>
        </w:rPr>
        <w:t xml:space="preserve">Estimating method from Long et al., (2018) can show negative effects on stock returns because ITR capture well the factors that have negative relation between IV and stock return. This ITR may be related with maximum daily return (MAX, Bali et al., 2011), and/or other firm specific factors such as low-book-to market ratio (Barinov, 2013). If ITR is the better measurement of idiosyncratic risk in </w:t>
      </w:r>
      <w:r w:rsidR="00B12DB6" w:rsidRPr="00204A1C">
        <w:rPr>
          <w:sz w:val="24"/>
          <w:szCs w:val="24"/>
        </w:rPr>
        <w:t>certain market, ITR can have negative effects to stock returns. Even if Indonesia stock market fail to show ‘idiosyncratic volatility puzzle (</w:t>
      </w:r>
      <w:proofErr w:type="spellStart"/>
      <w:r w:rsidR="00B12DB6" w:rsidRPr="00204A1C">
        <w:rPr>
          <w:sz w:val="24"/>
          <w:szCs w:val="24"/>
        </w:rPr>
        <w:t>Nart</w:t>
      </w:r>
      <w:r w:rsidR="0099059E" w:rsidRPr="00204A1C">
        <w:rPr>
          <w:sz w:val="24"/>
          <w:szCs w:val="24"/>
        </w:rPr>
        <w:t>e</w:t>
      </w:r>
      <w:r w:rsidR="00B12DB6" w:rsidRPr="00204A1C">
        <w:rPr>
          <w:sz w:val="24"/>
          <w:szCs w:val="24"/>
        </w:rPr>
        <w:t>a</w:t>
      </w:r>
      <w:proofErr w:type="spellEnd"/>
      <w:r w:rsidR="00B12DB6" w:rsidRPr="00204A1C">
        <w:rPr>
          <w:sz w:val="24"/>
          <w:szCs w:val="24"/>
        </w:rPr>
        <w:t xml:space="preserve"> et al., 2011, </w:t>
      </w:r>
      <w:proofErr w:type="spellStart"/>
      <w:r w:rsidR="0011551D" w:rsidRPr="00204A1C">
        <w:rPr>
          <w:sz w:val="24"/>
          <w:szCs w:val="24"/>
        </w:rPr>
        <w:t>Pudjianto</w:t>
      </w:r>
      <w:proofErr w:type="spellEnd"/>
      <w:r w:rsidR="0011551D" w:rsidRPr="00204A1C">
        <w:rPr>
          <w:sz w:val="24"/>
          <w:szCs w:val="24"/>
        </w:rPr>
        <w:t xml:space="preserve"> &amp; </w:t>
      </w:r>
      <w:r w:rsidR="00B12DB6" w:rsidRPr="00204A1C">
        <w:rPr>
          <w:sz w:val="24"/>
          <w:szCs w:val="24"/>
        </w:rPr>
        <w:t xml:space="preserve">Wibowo, 2019), ITR may show the positive effects of ITR as alternative measurement of idiosyncratic risks to the stock return. </w:t>
      </w:r>
    </w:p>
    <w:p w14:paraId="670EDDC9" w14:textId="2E24F678" w:rsidR="00466AD4" w:rsidRPr="00204A1C" w:rsidRDefault="00466AD4" w:rsidP="00B12DB6">
      <w:pPr>
        <w:pBdr>
          <w:top w:val="nil"/>
          <w:left w:val="nil"/>
          <w:bottom w:val="nil"/>
          <w:right w:val="nil"/>
          <w:between w:val="nil"/>
        </w:pBdr>
        <w:jc w:val="both"/>
        <w:rPr>
          <w:sz w:val="24"/>
          <w:szCs w:val="24"/>
        </w:rPr>
      </w:pPr>
    </w:p>
    <w:p w14:paraId="5B101CE1" w14:textId="099C8CF3" w:rsidR="00B12DB6" w:rsidRPr="00204A1C" w:rsidRDefault="00B12DB6" w:rsidP="00B12DB6">
      <w:pPr>
        <w:pBdr>
          <w:top w:val="nil"/>
          <w:left w:val="nil"/>
          <w:bottom w:val="nil"/>
          <w:right w:val="nil"/>
          <w:between w:val="nil"/>
        </w:pBdr>
        <w:jc w:val="both"/>
        <w:rPr>
          <w:b/>
          <w:bCs/>
          <w:sz w:val="24"/>
          <w:szCs w:val="24"/>
        </w:rPr>
      </w:pPr>
      <w:r w:rsidRPr="00204A1C">
        <w:rPr>
          <w:b/>
          <w:bCs/>
          <w:sz w:val="24"/>
          <w:szCs w:val="24"/>
        </w:rPr>
        <w:t>H1: Idiosyncratic tail risk (ITR) has negative effects to the stock return.</w:t>
      </w:r>
    </w:p>
    <w:p w14:paraId="53E1F95E" w14:textId="40399A01" w:rsidR="00573C2B" w:rsidRPr="00204A1C" w:rsidRDefault="00CD1760" w:rsidP="00C25803">
      <w:pPr>
        <w:pBdr>
          <w:top w:val="nil"/>
          <w:left w:val="nil"/>
          <w:bottom w:val="nil"/>
          <w:right w:val="nil"/>
          <w:between w:val="nil"/>
        </w:pBdr>
        <w:ind w:firstLine="284"/>
        <w:jc w:val="both"/>
        <w:rPr>
          <w:sz w:val="24"/>
          <w:szCs w:val="24"/>
        </w:rPr>
      </w:pPr>
      <w:r w:rsidRPr="00204A1C">
        <w:rPr>
          <w:sz w:val="24"/>
          <w:szCs w:val="24"/>
        </w:rPr>
        <w:t xml:space="preserve">. </w:t>
      </w:r>
    </w:p>
    <w:p w14:paraId="3AF4E29A" w14:textId="7C2BDE60" w:rsidR="00A00A6C" w:rsidRPr="00204A1C" w:rsidRDefault="00A00A6C" w:rsidP="00C25803">
      <w:pPr>
        <w:pStyle w:val="ListParagraph"/>
        <w:numPr>
          <w:ilvl w:val="0"/>
          <w:numId w:val="9"/>
        </w:numPr>
        <w:pBdr>
          <w:top w:val="nil"/>
          <w:left w:val="nil"/>
          <w:bottom w:val="nil"/>
          <w:right w:val="nil"/>
          <w:between w:val="nil"/>
        </w:pBdr>
        <w:tabs>
          <w:tab w:val="left" w:pos="288"/>
        </w:tabs>
        <w:ind w:left="360"/>
        <w:jc w:val="both"/>
        <w:rPr>
          <w:b/>
          <w:bCs/>
          <w:color w:val="000000"/>
          <w:sz w:val="24"/>
          <w:szCs w:val="24"/>
        </w:rPr>
      </w:pPr>
      <w:r w:rsidRPr="00204A1C">
        <w:rPr>
          <w:b/>
          <w:bCs/>
          <w:color w:val="000000"/>
          <w:sz w:val="24"/>
          <w:szCs w:val="24"/>
        </w:rPr>
        <w:t>Data and Methodology</w:t>
      </w:r>
    </w:p>
    <w:p w14:paraId="34FC30B9" w14:textId="72E04883" w:rsidR="00573C2B" w:rsidRPr="00204A1C" w:rsidRDefault="000D0306" w:rsidP="00646B84">
      <w:pPr>
        <w:pStyle w:val="Heading2"/>
        <w:numPr>
          <w:ilvl w:val="1"/>
          <w:numId w:val="14"/>
        </w:numPr>
        <w:spacing w:before="0" w:after="0"/>
        <w:rPr>
          <w:i w:val="0"/>
          <w:iCs/>
          <w:sz w:val="24"/>
          <w:szCs w:val="24"/>
        </w:rPr>
      </w:pPr>
      <w:r w:rsidRPr="00204A1C">
        <w:rPr>
          <w:i w:val="0"/>
          <w:iCs/>
          <w:sz w:val="24"/>
          <w:szCs w:val="24"/>
        </w:rPr>
        <w:t>Data</w:t>
      </w:r>
    </w:p>
    <w:p w14:paraId="49E5E66C" w14:textId="56CF3CB6" w:rsidR="00573C2B" w:rsidRPr="00204A1C" w:rsidRDefault="00801367" w:rsidP="00C25803">
      <w:pPr>
        <w:pBdr>
          <w:top w:val="nil"/>
          <w:left w:val="nil"/>
          <w:bottom w:val="nil"/>
          <w:right w:val="nil"/>
          <w:between w:val="nil"/>
        </w:pBdr>
        <w:tabs>
          <w:tab w:val="left" w:pos="288"/>
        </w:tabs>
        <w:ind w:firstLine="288"/>
        <w:jc w:val="both"/>
        <w:rPr>
          <w:sz w:val="24"/>
          <w:szCs w:val="24"/>
        </w:rPr>
      </w:pPr>
      <w:r w:rsidRPr="00204A1C">
        <w:rPr>
          <w:sz w:val="24"/>
          <w:szCs w:val="24"/>
        </w:rPr>
        <w:t>The d</w:t>
      </w:r>
      <w:r w:rsidR="000D0306" w:rsidRPr="00204A1C">
        <w:rPr>
          <w:sz w:val="24"/>
          <w:szCs w:val="24"/>
        </w:rPr>
        <w:t xml:space="preserve">ata used in this research is the data of daily stock price of public companies registered on the Indonesia Stock Exchange from 2006 to 2018. In addition to the daily stock price, in the calculation of idiosyncratic tail risk, risk-free rate data, MKT factor, SMB, and daily and monthly HML were also needed. In order to calculate the control variable, monthly trading volume data, market capitalization, and the </w:t>
      </w:r>
      <w:proofErr w:type="gramStart"/>
      <w:r w:rsidR="000D0306" w:rsidRPr="00204A1C">
        <w:rPr>
          <w:sz w:val="24"/>
          <w:szCs w:val="24"/>
        </w:rPr>
        <w:t>amount</w:t>
      </w:r>
      <w:proofErr w:type="gramEnd"/>
      <w:r w:rsidR="000D0306" w:rsidRPr="00204A1C">
        <w:rPr>
          <w:sz w:val="24"/>
          <w:szCs w:val="24"/>
        </w:rPr>
        <w:t xml:space="preserve"> of outstanding shares were needed. Data that was obtained was data from 662 different companies in Indonesia within a period of 156 months which fulfills the criteria of having at least 10 days of trading day in a month.</w:t>
      </w:r>
      <w:r w:rsidR="00B12DB6" w:rsidRPr="00204A1C">
        <w:rPr>
          <w:sz w:val="24"/>
          <w:szCs w:val="24"/>
        </w:rPr>
        <w:t xml:space="preserve"> All the data got from S&amp;P Capital Intelligence.</w:t>
      </w:r>
    </w:p>
    <w:p w14:paraId="6758FE76" w14:textId="77777777" w:rsidR="00B12DB6" w:rsidRPr="00204A1C" w:rsidRDefault="00B12DB6" w:rsidP="00C25803">
      <w:pPr>
        <w:pBdr>
          <w:top w:val="nil"/>
          <w:left w:val="nil"/>
          <w:bottom w:val="nil"/>
          <w:right w:val="nil"/>
          <w:between w:val="nil"/>
        </w:pBdr>
        <w:tabs>
          <w:tab w:val="left" w:pos="288"/>
        </w:tabs>
        <w:ind w:firstLine="288"/>
        <w:jc w:val="both"/>
        <w:rPr>
          <w:sz w:val="24"/>
          <w:szCs w:val="24"/>
        </w:rPr>
      </w:pPr>
    </w:p>
    <w:p w14:paraId="13C5A670" w14:textId="2E0F5B12" w:rsidR="00573C2B" w:rsidRPr="00204A1C" w:rsidRDefault="00646B84" w:rsidP="00C25803">
      <w:pPr>
        <w:pStyle w:val="Heading2"/>
        <w:spacing w:before="0" w:after="0"/>
        <w:rPr>
          <w:i w:val="0"/>
          <w:iCs/>
          <w:sz w:val="24"/>
          <w:szCs w:val="24"/>
        </w:rPr>
      </w:pPr>
      <w:r w:rsidRPr="00204A1C">
        <w:rPr>
          <w:i w:val="0"/>
          <w:iCs/>
          <w:sz w:val="24"/>
          <w:szCs w:val="24"/>
        </w:rPr>
        <w:t>3</w:t>
      </w:r>
      <w:r w:rsidR="00D42F11" w:rsidRPr="00204A1C">
        <w:rPr>
          <w:i w:val="0"/>
          <w:iCs/>
          <w:sz w:val="24"/>
          <w:szCs w:val="24"/>
        </w:rPr>
        <w:t xml:space="preserve">.2 </w:t>
      </w:r>
      <w:r w:rsidR="000D0306" w:rsidRPr="00204A1C">
        <w:rPr>
          <w:i w:val="0"/>
          <w:iCs/>
          <w:sz w:val="24"/>
          <w:szCs w:val="24"/>
        </w:rPr>
        <w:t>Estimation of Idiosyncratic Tail Risk (ITR)</w:t>
      </w:r>
      <w:r w:rsidRPr="00204A1C">
        <w:rPr>
          <w:i w:val="0"/>
          <w:iCs/>
          <w:sz w:val="24"/>
          <w:szCs w:val="24"/>
        </w:rPr>
        <w:t xml:space="preserve"> </w:t>
      </w:r>
    </w:p>
    <w:p w14:paraId="208ECB11" w14:textId="77777777" w:rsidR="00573C2B" w:rsidRPr="00204A1C" w:rsidRDefault="000D0306" w:rsidP="00C25803">
      <w:pPr>
        <w:ind w:firstLine="284"/>
        <w:jc w:val="both"/>
        <w:rPr>
          <w:sz w:val="24"/>
          <w:szCs w:val="24"/>
        </w:rPr>
      </w:pPr>
      <w:r w:rsidRPr="00204A1C">
        <w:rPr>
          <w:sz w:val="24"/>
          <w:szCs w:val="24"/>
        </w:rPr>
        <w:t xml:space="preserve">Estimation of idiosyncratic tail risk was done based on the studies done by Huang </w:t>
      </w:r>
      <w:r w:rsidRPr="00204A1C">
        <w:rPr>
          <w:i/>
          <w:sz w:val="24"/>
          <w:szCs w:val="24"/>
        </w:rPr>
        <w:t xml:space="preserve">et al. </w:t>
      </w:r>
      <w:r w:rsidRPr="00204A1C">
        <w:rPr>
          <w:sz w:val="24"/>
          <w:szCs w:val="24"/>
        </w:rPr>
        <w:t>(2012)</w:t>
      </w:r>
      <w:r w:rsidR="009157BA" w:rsidRPr="00204A1C">
        <w:rPr>
          <w:sz w:val="24"/>
          <w:szCs w:val="24"/>
        </w:rPr>
        <w:t xml:space="preserve"> and </w:t>
      </w:r>
      <w:r w:rsidR="00801367" w:rsidRPr="00204A1C">
        <w:rPr>
          <w:sz w:val="24"/>
          <w:szCs w:val="24"/>
        </w:rPr>
        <w:t xml:space="preserve">Long </w:t>
      </w:r>
      <w:r w:rsidR="00801367" w:rsidRPr="00204A1C">
        <w:rPr>
          <w:i/>
          <w:iCs/>
          <w:sz w:val="24"/>
          <w:szCs w:val="24"/>
        </w:rPr>
        <w:t xml:space="preserve">et al. </w:t>
      </w:r>
      <w:r w:rsidR="00801367" w:rsidRPr="00204A1C">
        <w:rPr>
          <w:sz w:val="24"/>
          <w:szCs w:val="24"/>
        </w:rPr>
        <w:t>(2018)</w:t>
      </w:r>
      <w:r w:rsidRPr="00204A1C">
        <w:rPr>
          <w:sz w:val="24"/>
          <w:szCs w:val="24"/>
        </w:rPr>
        <w:t xml:space="preserve">, which was done by following these steps: </w:t>
      </w:r>
    </w:p>
    <w:p w14:paraId="2110FD61" w14:textId="24C39B28" w:rsidR="00573C2B" w:rsidRDefault="00B12DB6" w:rsidP="00B12DB6">
      <w:pPr>
        <w:pStyle w:val="Heading3"/>
        <w:rPr>
          <w:i w:val="0"/>
          <w:sz w:val="24"/>
          <w:szCs w:val="24"/>
        </w:rPr>
      </w:pPr>
      <w:proofErr w:type="gramStart"/>
      <w:r w:rsidRPr="00204A1C">
        <w:rPr>
          <w:i w:val="0"/>
          <w:sz w:val="24"/>
          <w:szCs w:val="24"/>
        </w:rPr>
        <w:lastRenderedPageBreak/>
        <w:t>First of all</w:t>
      </w:r>
      <w:proofErr w:type="gramEnd"/>
      <w:r w:rsidRPr="00204A1C">
        <w:rPr>
          <w:i w:val="0"/>
          <w:sz w:val="24"/>
          <w:szCs w:val="24"/>
        </w:rPr>
        <w:t>, f</w:t>
      </w:r>
      <w:r w:rsidR="000D0306" w:rsidRPr="00204A1C">
        <w:rPr>
          <w:i w:val="0"/>
          <w:sz w:val="24"/>
          <w:szCs w:val="24"/>
        </w:rPr>
        <w:t xml:space="preserve">or every stock </w:t>
      </w:r>
      <w:proofErr w:type="spellStart"/>
      <w:r w:rsidR="000D0306" w:rsidRPr="00204A1C">
        <w:rPr>
          <w:iCs/>
          <w:sz w:val="24"/>
          <w:szCs w:val="24"/>
        </w:rPr>
        <w:t>i</w:t>
      </w:r>
      <w:proofErr w:type="spellEnd"/>
      <w:r w:rsidR="000D0306" w:rsidRPr="00204A1C">
        <w:rPr>
          <w:i w:val="0"/>
          <w:sz w:val="24"/>
          <w:szCs w:val="24"/>
        </w:rPr>
        <w:t xml:space="preserve"> on every month</w:t>
      </w:r>
      <w:r w:rsidR="00FC7813" w:rsidRPr="00204A1C">
        <w:rPr>
          <w:i w:val="0"/>
          <w:sz w:val="24"/>
          <w:szCs w:val="24"/>
        </w:rPr>
        <w:t xml:space="preserve">, run the regression using </w:t>
      </w:r>
      <w:r w:rsidR="000D0306" w:rsidRPr="00204A1C">
        <w:rPr>
          <w:i w:val="0"/>
          <w:sz w:val="24"/>
          <w:szCs w:val="24"/>
        </w:rPr>
        <w:t xml:space="preserve">the </w:t>
      </w:r>
      <w:proofErr w:type="spellStart"/>
      <w:r w:rsidR="000D0306" w:rsidRPr="00204A1C">
        <w:rPr>
          <w:i w:val="0"/>
          <w:sz w:val="24"/>
          <w:szCs w:val="24"/>
        </w:rPr>
        <w:t>Fama</w:t>
      </w:r>
      <w:proofErr w:type="spellEnd"/>
      <w:r w:rsidR="000D0306" w:rsidRPr="00204A1C">
        <w:rPr>
          <w:i w:val="0"/>
          <w:sz w:val="24"/>
          <w:szCs w:val="24"/>
        </w:rPr>
        <w:t xml:space="preserve">-French </w:t>
      </w:r>
      <w:r w:rsidR="00FC7813" w:rsidRPr="00204A1C">
        <w:rPr>
          <w:i w:val="0"/>
          <w:sz w:val="24"/>
          <w:szCs w:val="24"/>
        </w:rPr>
        <w:t>t</w:t>
      </w:r>
      <w:r w:rsidR="000D0306" w:rsidRPr="00204A1C">
        <w:rPr>
          <w:i w:val="0"/>
          <w:sz w:val="24"/>
          <w:szCs w:val="24"/>
        </w:rPr>
        <w:t>hree factor model</w:t>
      </w:r>
      <w:r w:rsidR="00204A1C">
        <w:rPr>
          <w:i w:val="0"/>
          <w:sz w:val="24"/>
          <w:szCs w:val="24"/>
        </w:rPr>
        <w:t xml:space="preserve"> </w:t>
      </w:r>
      <w:r w:rsidR="00FC7813" w:rsidRPr="00204A1C">
        <w:rPr>
          <w:i w:val="0"/>
          <w:sz w:val="24"/>
          <w:szCs w:val="24"/>
        </w:rPr>
        <w:t>(</w:t>
      </w:r>
      <w:proofErr w:type="spellStart"/>
      <w:r w:rsidR="000D0306" w:rsidRPr="00204A1C">
        <w:rPr>
          <w:i w:val="0"/>
          <w:sz w:val="24"/>
          <w:szCs w:val="24"/>
        </w:rPr>
        <w:t>Fama</w:t>
      </w:r>
      <w:proofErr w:type="spellEnd"/>
      <w:r w:rsidR="000D0306" w:rsidRPr="00204A1C">
        <w:rPr>
          <w:i w:val="0"/>
          <w:sz w:val="24"/>
          <w:szCs w:val="24"/>
        </w:rPr>
        <w:t xml:space="preserve"> and French</w:t>
      </w:r>
      <w:r w:rsidR="00FC7813" w:rsidRPr="00204A1C">
        <w:rPr>
          <w:i w:val="0"/>
          <w:sz w:val="24"/>
          <w:szCs w:val="24"/>
        </w:rPr>
        <w:t>,</w:t>
      </w:r>
      <w:r w:rsidR="000D0306" w:rsidRPr="00204A1C">
        <w:rPr>
          <w:i w:val="0"/>
          <w:sz w:val="24"/>
          <w:szCs w:val="24"/>
        </w:rPr>
        <w:t>199</w:t>
      </w:r>
      <w:r w:rsidR="00FC7813" w:rsidRPr="00204A1C">
        <w:rPr>
          <w:i w:val="0"/>
          <w:sz w:val="24"/>
          <w:szCs w:val="24"/>
        </w:rPr>
        <w:t>3</w:t>
      </w:r>
      <w:r w:rsidR="000D0306" w:rsidRPr="00204A1C">
        <w:rPr>
          <w:i w:val="0"/>
          <w:sz w:val="24"/>
          <w:szCs w:val="24"/>
        </w:rPr>
        <w:t>).</w:t>
      </w:r>
    </w:p>
    <w:p w14:paraId="5E76286D" w14:textId="77777777" w:rsidR="00204A1C" w:rsidRPr="00204A1C" w:rsidRDefault="00204A1C" w:rsidP="00204A1C"/>
    <w:p w14:paraId="23D5408A" w14:textId="77777777" w:rsidR="00573C2B" w:rsidRDefault="009F239A" w:rsidP="00C25803">
      <w:pPr>
        <w:ind w:left="630"/>
        <w:rPr>
          <w:rFonts w:ascii="Cambria Math" w:eastAsia="Cambria Math" w:hAnsi="Cambria Math" w:cs="Cambria Math"/>
          <w:sz w:val="22"/>
          <w:szCs w:val="22"/>
          <w:highlight w:val="white"/>
        </w:rPr>
      </w:pPr>
      <m:oMathPara>
        <m:oMath>
          <m:sSub>
            <m:sSubPr>
              <m:ctrlPr>
                <w:rPr>
                  <w:rFonts w:ascii="Cambria Math" w:eastAsia="Cambria Math" w:hAnsi="Cambria Math" w:cs="Cambria Math"/>
                  <w:sz w:val="22"/>
                  <w:szCs w:val="22"/>
                  <w:highlight w:val="white"/>
                  <w:vertAlign w:val="subscript"/>
                </w:rPr>
              </m:ctrlPr>
            </m:sSubPr>
            <m:e>
              <m:r>
                <w:rPr>
                  <w:rFonts w:ascii="Cambria Math" w:eastAsia="Cambria Math" w:hAnsi="Cambria Math" w:cs="Cambria Math"/>
                  <w:sz w:val="22"/>
                  <w:szCs w:val="22"/>
                  <w:highlight w:val="white"/>
                  <w:vertAlign w:val="subscript"/>
                </w:rPr>
                <m:t>R</m:t>
              </m:r>
            </m:e>
            <m:sub>
              <m:r>
                <w:rPr>
                  <w:rFonts w:ascii="Cambria Math" w:eastAsia="Cambria Math" w:hAnsi="Cambria Math" w:cs="Cambria Math"/>
                  <w:sz w:val="22"/>
                  <w:szCs w:val="22"/>
                  <w:highlight w:val="white"/>
                  <w:vertAlign w:val="subscript"/>
                </w:rPr>
                <m:t>i,t</m:t>
              </m:r>
            </m:sub>
          </m:sSub>
          <m:r>
            <w:rPr>
              <w:rFonts w:ascii="Cambria Math" w:eastAsia="Cambria Math" w:hAnsi="Cambria Math" w:cs="Cambria Math"/>
              <w:sz w:val="22"/>
              <w:szCs w:val="22"/>
              <w:highlight w:val="white"/>
              <w:vertAlign w:val="subscript"/>
            </w:rPr>
            <m:t xml:space="preserve"> </m:t>
          </m:r>
          <m:r>
            <w:rPr>
              <w:rFonts w:ascii="Cambria Math" w:eastAsia="Cambria Math" w:hAnsi="Cambria Math" w:cs="Cambria Math"/>
              <w:sz w:val="22"/>
              <w:szCs w:val="22"/>
              <w:highlight w:val="white"/>
            </w:rPr>
            <m:t xml:space="preserve">– </m:t>
          </m:r>
          <m:sSub>
            <m:sSubPr>
              <m:ctrlPr>
                <w:rPr>
                  <w:rFonts w:ascii="Cambria Math" w:eastAsia="Cambria Math" w:hAnsi="Cambria Math" w:cs="Cambria Math"/>
                  <w:sz w:val="22"/>
                  <w:szCs w:val="22"/>
                  <w:highlight w:val="white"/>
                </w:rPr>
              </m:ctrlPr>
            </m:sSubPr>
            <m:e>
              <m:r>
                <w:rPr>
                  <w:rFonts w:ascii="Cambria Math" w:eastAsia="Cambria Math" w:hAnsi="Cambria Math" w:cs="Cambria Math"/>
                  <w:sz w:val="22"/>
                  <w:szCs w:val="22"/>
                  <w:highlight w:val="white"/>
                </w:rPr>
                <m:t>r</m:t>
              </m:r>
            </m:e>
            <m:sub>
              <m:r>
                <w:rPr>
                  <w:rFonts w:ascii="Cambria Math" w:eastAsia="Cambria Math" w:hAnsi="Cambria Math" w:cs="Cambria Math"/>
                  <w:sz w:val="22"/>
                  <w:szCs w:val="22"/>
                  <w:highlight w:val="white"/>
                </w:rPr>
                <m:t>f,t</m:t>
              </m:r>
            </m:sub>
          </m:sSub>
          <m:r>
            <w:rPr>
              <w:rFonts w:ascii="Cambria Math" w:eastAsia="Cambria Math" w:hAnsi="Cambria Math" w:cs="Cambria Math"/>
              <w:sz w:val="22"/>
              <w:szCs w:val="22"/>
              <w:highlight w:val="white"/>
            </w:rPr>
            <m:t xml:space="preserve"> = </m:t>
          </m:r>
          <m:sSub>
            <m:sSubPr>
              <m:ctrlPr>
                <w:rPr>
                  <w:rFonts w:ascii="Cambria Math" w:eastAsia="Cambria Math" w:hAnsi="Cambria Math" w:cs="Cambria Math"/>
                  <w:sz w:val="22"/>
                  <w:szCs w:val="22"/>
                  <w:highlight w:val="white"/>
                </w:rPr>
              </m:ctrlPr>
            </m:sSubPr>
            <m:e>
              <m:r>
                <w:rPr>
                  <w:rFonts w:ascii="Cambria Math" w:eastAsia="Cambria Math" w:hAnsi="Cambria Math" w:cs="Cambria Math"/>
                  <w:sz w:val="22"/>
                  <w:szCs w:val="22"/>
                  <w:highlight w:val="white"/>
                </w:rPr>
                <m:t>α</m:t>
              </m:r>
            </m:e>
            <m:sub>
              <m:r>
                <w:rPr>
                  <w:rFonts w:ascii="Cambria Math" w:eastAsia="Cambria Math" w:hAnsi="Cambria Math" w:cs="Cambria Math"/>
                  <w:sz w:val="22"/>
                  <w:szCs w:val="22"/>
                  <w:highlight w:val="white"/>
                </w:rPr>
                <m:t>i</m:t>
              </m:r>
            </m:sub>
          </m:sSub>
          <m:r>
            <w:rPr>
              <w:rFonts w:ascii="Cambria Math" w:eastAsia="Cambria Math" w:hAnsi="Cambria Math" w:cs="Cambria Math"/>
              <w:sz w:val="22"/>
              <w:szCs w:val="22"/>
              <w:highlight w:val="white"/>
            </w:rPr>
            <m:t xml:space="preserve"> + </m:t>
          </m:r>
          <m:sSubSup>
            <m:sSubSupPr>
              <m:ctrlPr>
                <w:rPr>
                  <w:rFonts w:ascii="Cambria Math" w:eastAsia="Cambria Math" w:hAnsi="Cambria Math" w:cs="Cambria Math"/>
                  <w:sz w:val="22"/>
                  <w:szCs w:val="22"/>
                  <w:highlight w:val="white"/>
                </w:rPr>
              </m:ctrlPr>
            </m:sSubSupPr>
            <m:e>
              <m:r>
                <w:rPr>
                  <w:rFonts w:ascii="Cambria Math" w:eastAsia="Cambria Math" w:hAnsi="Cambria Math" w:cs="Cambria Math"/>
                  <w:sz w:val="22"/>
                  <w:szCs w:val="22"/>
                  <w:highlight w:val="white"/>
                </w:rPr>
                <m:t>β</m:t>
              </m:r>
            </m:e>
            <m:sub>
              <m:r>
                <w:rPr>
                  <w:rFonts w:ascii="Cambria Math" w:eastAsia="Cambria Math" w:hAnsi="Cambria Math" w:cs="Cambria Math"/>
                  <w:sz w:val="22"/>
                  <w:szCs w:val="22"/>
                  <w:highlight w:val="white"/>
                </w:rPr>
                <m:t>i</m:t>
              </m:r>
            </m:sub>
            <m:sup>
              <m:r>
                <w:rPr>
                  <w:rFonts w:ascii="Cambria Math" w:eastAsia="Cambria Math" w:hAnsi="Cambria Math" w:cs="Cambria Math"/>
                  <w:sz w:val="22"/>
                  <w:szCs w:val="22"/>
                  <w:highlight w:val="white"/>
                </w:rPr>
                <m:t>MKT</m:t>
              </m:r>
            </m:sup>
          </m:sSubSup>
          <m:d>
            <m:dPr>
              <m:ctrlPr>
                <w:rPr>
                  <w:rFonts w:ascii="Cambria Math" w:eastAsia="Cambria Math" w:hAnsi="Cambria Math" w:cs="Cambria Math"/>
                  <w:sz w:val="22"/>
                  <w:szCs w:val="22"/>
                  <w:highlight w:val="white"/>
                </w:rPr>
              </m:ctrlPr>
            </m:dPr>
            <m:e>
              <m:sSub>
                <m:sSubPr>
                  <m:ctrlPr>
                    <w:rPr>
                      <w:rFonts w:ascii="Cambria Math" w:eastAsia="Cambria Math" w:hAnsi="Cambria Math" w:cs="Cambria Math"/>
                      <w:sz w:val="22"/>
                      <w:szCs w:val="22"/>
                      <w:highlight w:val="white"/>
                    </w:rPr>
                  </m:ctrlPr>
                </m:sSubPr>
                <m:e>
                  <m:r>
                    <w:rPr>
                      <w:rFonts w:ascii="Cambria Math" w:eastAsia="Cambria Math" w:hAnsi="Cambria Math" w:cs="Cambria Math"/>
                      <w:sz w:val="22"/>
                      <w:szCs w:val="22"/>
                      <w:highlight w:val="white"/>
                    </w:rPr>
                    <m:t>MKT</m:t>
                  </m:r>
                </m:e>
                <m:sub>
                  <m:r>
                    <w:rPr>
                      <w:rFonts w:ascii="Cambria Math" w:eastAsia="Cambria Math" w:hAnsi="Cambria Math" w:cs="Cambria Math"/>
                      <w:sz w:val="22"/>
                      <w:szCs w:val="22"/>
                      <w:highlight w:val="white"/>
                    </w:rPr>
                    <m:t>t</m:t>
                  </m:r>
                </m:sub>
              </m:sSub>
              <m:r>
                <w:rPr>
                  <w:rFonts w:ascii="Cambria Math" w:eastAsia="Cambria Math" w:hAnsi="Cambria Math" w:cs="Cambria Math"/>
                  <w:sz w:val="22"/>
                  <w:szCs w:val="22"/>
                  <w:highlight w:val="white"/>
                </w:rPr>
                <m:t>-</m:t>
              </m:r>
              <m:sSub>
                <m:sSubPr>
                  <m:ctrlPr>
                    <w:rPr>
                      <w:rFonts w:ascii="Cambria Math" w:eastAsia="Cambria Math" w:hAnsi="Cambria Math" w:cs="Cambria Math"/>
                      <w:sz w:val="22"/>
                      <w:szCs w:val="22"/>
                      <w:highlight w:val="white"/>
                    </w:rPr>
                  </m:ctrlPr>
                </m:sSubPr>
                <m:e>
                  <m:r>
                    <w:rPr>
                      <w:rFonts w:ascii="Cambria Math" w:eastAsia="Cambria Math" w:hAnsi="Cambria Math" w:cs="Cambria Math"/>
                      <w:sz w:val="22"/>
                      <w:szCs w:val="22"/>
                      <w:highlight w:val="white"/>
                    </w:rPr>
                    <m:t>r</m:t>
                  </m:r>
                </m:e>
                <m:sub>
                  <m:r>
                    <w:rPr>
                      <w:rFonts w:ascii="Cambria Math" w:eastAsia="Cambria Math" w:hAnsi="Cambria Math" w:cs="Cambria Math"/>
                      <w:sz w:val="22"/>
                      <w:szCs w:val="22"/>
                      <w:highlight w:val="white"/>
                    </w:rPr>
                    <m:t>f,t</m:t>
                  </m:r>
                </m:sub>
              </m:sSub>
            </m:e>
          </m:d>
          <m:r>
            <w:rPr>
              <w:rFonts w:ascii="Cambria Math" w:eastAsia="Cambria Math" w:hAnsi="Cambria Math" w:cs="Cambria Math"/>
              <w:sz w:val="22"/>
              <w:szCs w:val="22"/>
              <w:highlight w:val="white"/>
            </w:rPr>
            <m:t>+</m:t>
          </m:r>
          <m:sSubSup>
            <m:sSubSupPr>
              <m:ctrlPr>
                <w:rPr>
                  <w:rFonts w:ascii="Cambria Math" w:eastAsia="Cambria Math" w:hAnsi="Cambria Math" w:cs="Cambria Math"/>
                  <w:sz w:val="22"/>
                  <w:szCs w:val="22"/>
                  <w:highlight w:val="white"/>
                </w:rPr>
              </m:ctrlPr>
            </m:sSubSupPr>
            <m:e>
              <m:r>
                <w:rPr>
                  <w:rFonts w:ascii="Cambria Math" w:eastAsia="Cambria Math" w:hAnsi="Cambria Math" w:cs="Cambria Math"/>
                  <w:sz w:val="22"/>
                  <w:szCs w:val="22"/>
                  <w:highlight w:val="white"/>
                </w:rPr>
                <m:t>β</m:t>
              </m:r>
            </m:e>
            <m:sub>
              <m:r>
                <w:rPr>
                  <w:rFonts w:ascii="Cambria Math" w:eastAsia="Cambria Math" w:hAnsi="Cambria Math" w:cs="Cambria Math"/>
                  <w:sz w:val="22"/>
                  <w:szCs w:val="22"/>
                  <w:highlight w:val="white"/>
                </w:rPr>
                <m:t>i</m:t>
              </m:r>
            </m:sub>
            <m:sup>
              <m:r>
                <w:rPr>
                  <w:rFonts w:ascii="Cambria Math" w:eastAsia="Cambria Math" w:hAnsi="Cambria Math" w:cs="Cambria Math"/>
                  <w:sz w:val="22"/>
                  <w:szCs w:val="22"/>
                  <w:highlight w:val="white"/>
                </w:rPr>
                <m:t>SMB</m:t>
              </m:r>
            </m:sup>
          </m:sSubSup>
          <m:sSub>
            <m:sSubPr>
              <m:ctrlPr>
                <w:rPr>
                  <w:rFonts w:ascii="Cambria Math" w:eastAsia="Cambria Math" w:hAnsi="Cambria Math" w:cs="Cambria Math"/>
                  <w:sz w:val="22"/>
                  <w:szCs w:val="22"/>
                  <w:highlight w:val="white"/>
                </w:rPr>
              </m:ctrlPr>
            </m:sSubPr>
            <m:e>
              <m:r>
                <w:rPr>
                  <w:rFonts w:ascii="Cambria Math" w:eastAsia="Cambria Math" w:hAnsi="Cambria Math" w:cs="Cambria Math"/>
                  <w:sz w:val="22"/>
                  <w:szCs w:val="22"/>
                  <w:highlight w:val="white"/>
                </w:rPr>
                <m:t>SMB</m:t>
              </m:r>
            </m:e>
            <m:sub>
              <m:r>
                <w:rPr>
                  <w:rFonts w:ascii="Cambria Math" w:eastAsia="Cambria Math" w:hAnsi="Cambria Math" w:cs="Cambria Math"/>
                  <w:sz w:val="22"/>
                  <w:szCs w:val="22"/>
                  <w:highlight w:val="white"/>
                </w:rPr>
                <m:t>t</m:t>
              </m:r>
            </m:sub>
          </m:sSub>
          <m:r>
            <w:rPr>
              <w:rFonts w:ascii="Cambria Math" w:eastAsia="Cambria Math" w:hAnsi="Cambria Math" w:cs="Cambria Math"/>
              <w:sz w:val="22"/>
              <w:szCs w:val="22"/>
              <w:highlight w:val="white"/>
            </w:rPr>
            <m:t>+</m:t>
          </m:r>
          <m:sSubSup>
            <m:sSubSupPr>
              <m:ctrlPr>
                <w:rPr>
                  <w:rFonts w:ascii="Cambria Math" w:eastAsia="Cambria Math" w:hAnsi="Cambria Math" w:cs="Cambria Math"/>
                  <w:sz w:val="22"/>
                  <w:szCs w:val="22"/>
                  <w:highlight w:val="white"/>
                </w:rPr>
              </m:ctrlPr>
            </m:sSubSupPr>
            <m:e>
              <m:r>
                <w:rPr>
                  <w:rFonts w:ascii="Cambria Math" w:eastAsia="Cambria Math" w:hAnsi="Cambria Math" w:cs="Cambria Math"/>
                  <w:sz w:val="22"/>
                  <w:szCs w:val="22"/>
                  <w:highlight w:val="white"/>
                </w:rPr>
                <m:t>β</m:t>
              </m:r>
            </m:e>
            <m:sub>
              <m:r>
                <w:rPr>
                  <w:rFonts w:ascii="Cambria Math" w:eastAsia="Cambria Math" w:hAnsi="Cambria Math" w:cs="Cambria Math"/>
                  <w:sz w:val="22"/>
                  <w:szCs w:val="22"/>
                  <w:highlight w:val="white"/>
                </w:rPr>
                <m:t>i</m:t>
              </m:r>
            </m:sub>
            <m:sup>
              <m:r>
                <w:rPr>
                  <w:rFonts w:ascii="Cambria Math" w:eastAsia="Cambria Math" w:hAnsi="Cambria Math" w:cs="Cambria Math"/>
                  <w:sz w:val="22"/>
                  <w:szCs w:val="22"/>
                  <w:highlight w:val="white"/>
                </w:rPr>
                <m:t>HML</m:t>
              </m:r>
            </m:sup>
          </m:sSubSup>
          <m:sSub>
            <m:sSubPr>
              <m:ctrlPr>
                <w:rPr>
                  <w:rFonts w:ascii="Cambria Math" w:eastAsia="Cambria Math" w:hAnsi="Cambria Math" w:cs="Cambria Math"/>
                  <w:sz w:val="22"/>
                  <w:szCs w:val="22"/>
                  <w:highlight w:val="white"/>
                </w:rPr>
              </m:ctrlPr>
            </m:sSubPr>
            <m:e>
              <m:r>
                <w:rPr>
                  <w:rFonts w:ascii="Cambria Math" w:eastAsia="Cambria Math" w:hAnsi="Cambria Math" w:cs="Cambria Math"/>
                  <w:sz w:val="22"/>
                  <w:szCs w:val="22"/>
                  <w:highlight w:val="white"/>
                </w:rPr>
                <m:t>HML</m:t>
              </m:r>
            </m:e>
            <m:sub>
              <m:r>
                <w:rPr>
                  <w:rFonts w:ascii="Cambria Math" w:eastAsia="Cambria Math" w:hAnsi="Cambria Math" w:cs="Cambria Math"/>
                  <w:sz w:val="22"/>
                  <w:szCs w:val="22"/>
                  <w:highlight w:val="white"/>
                </w:rPr>
                <m:t>t</m:t>
              </m:r>
            </m:sub>
          </m:sSub>
          <m:r>
            <w:rPr>
              <w:rFonts w:ascii="Cambria Math" w:eastAsia="Cambria Math" w:hAnsi="Cambria Math" w:cs="Cambria Math"/>
              <w:sz w:val="22"/>
              <w:szCs w:val="22"/>
              <w:highlight w:val="white"/>
            </w:rPr>
            <m:t>+</m:t>
          </m:r>
          <m:sSub>
            <m:sSubPr>
              <m:ctrlPr>
                <w:rPr>
                  <w:rFonts w:ascii="Cambria Math" w:eastAsia="Cambria Math" w:hAnsi="Cambria Math" w:cs="Cambria Math"/>
                  <w:sz w:val="22"/>
                  <w:szCs w:val="22"/>
                  <w:highlight w:val="white"/>
                </w:rPr>
              </m:ctrlPr>
            </m:sSubPr>
            <m:e>
              <m:r>
                <w:rPr>
                  <w:rFonts w:ascii="Cambria Math" w:eastAsia="Cambria Math" w:hAnsi="Cambria Math" w:cs="Cambria Math"/>
                  <w:sz w:val="22"/>
                  <w:szCs w:val="22"/>
                  <w:highlight w:val="white"/>
                </w:rPr>
                <m:t>ε</m:t>
              </m:r>
            </m:e>
            <m:sub>
              <m:r>
                <w:rPr>
                  <w:rFonts w:ascii="Cambria Math" w:eastAsia="Cambria Math" w:hAnsi="Cambria Math" w:cs="Cambria Math"/>
                  <w:sz w:val="22"/>
                  <w:szCs w:val="22"/>
                  <w:highlight w:val="white"/>
                </w:rPr>
                <m:t>i,t</m:t>
              </m:r>
            </m:sub>
          </m:sSub>
        </m:oMath>
      </m:oMathPara>
    </w:p>
    <w:p w14:paraId="0846F221" w14:textId="77777777" w:rsidR="00204A1C" w:rsidRDefault="00204A1C" w:rsidP="00C25803">
      <w:pPr>
        <w:ind w:left="630"/>
        <w:jc w:val="both"/>
        <w:rPr>
          <w:sz w:val="24"/>
          <w:szCs w:val="24"/>
          <w:highlight w:val="white"/>
        </w:rPr>
      </w:pPr>
      <w:bookmarkStart w:id="1" w:name="_heading=h.30j0zll" w:colFirst="0" w:colLast="0"/>
      <w:bookmarkEnd w:id="1"/>
    </w:p>
    <w:p w14:paraId="4719C0DB" w14:textId="75F9B94F" w:rsidR="00BA5E59" w:rsidRDefault="009157BA" w:rsidP="00C25803">
      <w:pPr>
        <w:ind w:left="630"/>
        <w:jc w:val="both"/>
        <w:rPr>
          <w:sz w:val="24"/>
          <w:szCs w:val="24"/>
        </w:rPr>
      </w:pPr>
      <w:r w:rsidRPr="00204A1C">
        <w:rPr>
          <w:sz w:val="24"/>
          <w:szCs w:val="24"/>
          <w:highlight w:val="white"/>
        </w:rPr>
        <w:t>w</w:t>
      </w:r>
      <w:r w:rsidR="000D0306" w:rsidRPr="00204A1C">
        <w:rPr>
          <w:sz w:val="24"/>
          <w:szCs w:val="24"/>
          <w:highlight w:val="white"/>
        </w:rPr>
        <w:t xml:space="preserve">here </w:t>
      </w:r>
      <m:oMath>
        <m:sSub>
          <m:sSubPr>
            <m:ctrlPr>
              <w:rPr>
                <w:rFonts w:ascii="Cambria Math" w:eastAsia="Cambria Math" w:hAnsi="Cambria Math" w:cs="Cambria Math"/>
                <w:bCs/>
                <w:sz w:val="24"/>
                <w:szCs w:val="24"/>
                <w:highlight w:val="white"/>
              </w:rPr>
            </m:ctrlPr>
          </m:sSubPr>
          <m:e>
            <m:r>
              <w:rPr>
                <w:rFonts w:ascii="Cambria Math" w:eastAsia="Cambria Math" w:hAnsi="Cambria Math" w:cs="Cambria Math"/>
                <w:sz w:val="24"/>
                <w:szCs w:val="24"/>
                <w:highlight w:val="white"/>
              </w:rPr>
              <m:t>R</m:t>
            </m:r>
          </m:e>
          <m:sub>
            <m:r>
              <w:rPr>
                <w:rFonts w:ascii="Cambria Math" w:eastAsia="Cambria Math" w:hAnsi="Cambria Math" w:cs="Cambria Math"/>
                <w:sz w:val="24"/>
                <w:szCs w:val="24"/>
                <w:highlight w:val="white"/>
              </w:rPr>
              <m:t>i,t</m:t>
            </m:r>
          </m:sub>
        </m:sSub>
      </m:oMath>
      <w:r w:rsidR="000D0306" w:rsidRPr="00204A1C">
        <w:rPr>
          <w:sz w:val="24"/>
          <w:szCs w:val="24"/>
          <w:highlight w:val="white"/>
        </w:rPr>
        <w:t xml:space="preserve"> is </w:t>
      </w:r>
      <w:r w:rsidR="007E6880" w:rsidRPr="00204A1C">
        <w:rPr>
          <w:sz w:val="24"/>
          <w:szCs w:val="24"/>
          <w:highlight w:val="white"/>
        </w:rPr>
        <w:t xml:space="preserve">daily </w:t>
      </w:r>
      <w:r w:rsidR="000D0306" w:rsidRPr="00204A1C">
        <w:rPr>
          <w:sz w:val="24"/>
          <w:szCs w:val="24"/>
          <w:highlight w:val="white"/>
        </w:rPr>
        <w:t xml:space="preserve">stock return </w:t>
      </w:r>
      <w:proofErr w:type="spellStart"/>
      <w:r w:rsidR="000D0306" w:rsidRPr="00204A1C">
        <w:rPr>
          <w:i/>
          <w:sz w:val="24"/>
          <w:szCs w:val="24"/>
          <w:highlight w:val="white"/>
        </w:rPr>
        <w:t>i</w:t>
      </w:r>
      <w:proofErr w:type="spellEnd"/>
      <w:r w:rsidR="000D0306" w:rsidRPr="00204A1C">
        <w:rPr>
          <w:i/>
          <w:sz w:val="24"/>
          <w:szCs w:val="24"/>
          <w:highlight w:val="white"/>
        </w:rPr>
        <w:t xml:space="preserve"> </w:t>
      </w:r>
      <w:r w:rsidR="000D0306" w:rsidRPr="00204A1C">
        <w:rPr>
          <w:sz w:val="24"/>
          <w:szCs w:val="24"/>
          <w:highlight w:val="white"/>
        </w:rPr>
        <w:t xml:space="preserve">on day </w:t>
      </w:r>
      <w:r w:rsidR="000D0306" w:rsidRPr="00204A1C">
        <w:rPr>
          <w:i/>
          <w:sz w:val="24"/>
          <w:szCs w:val="24"/>
          <w:highlight w:val="white"/>
        </w:rPr>
        <w:t>t</w:t>
      </w:r>
      <w:r w:rsidR="000D0306" w:rsidRPr="00204A1C">
        <w:rPr>
          <w:sz w:val="24"/>
          <w:szCs w:val="24"/>
          <w:highlight w:val="white"/>
        </w:rPr>
        <w:t>,</w:t>
      </w:r>
      <w:r w:rsidR="000D0306" w:rsidRPr="00204A1C">
        <w:rPr>
          <w:bCs/>
          <w:sz w:val="24"/>
          <w:szCs w:val="24"/>
          <w:highlight w:val="white"/>
        </w:rPr>
        <w:t xml:space="preserve"> </w:t>
      </w:r>
      <m:oMath>
        <m:sSub>
          <m:sSubPr>
            <m:ctrlPr>
              <w:rPr>
                <w:rFonts w:ascii="Cambria Math" w:eastAsia="Cambria Math" w:hAnsi="Cambria Math" w:cs="Cambria Math"/>
                <w:bCs/>
                <w:sz w:val="24"/>
                <w:szCs w:val="24"/>
                <w:highlight w:val="white"/>
              </w:rPr>
            </m:ctrlPr>
          </m:sSubPr>
          <m:e>
            <m:r>
              <w:rPr>
                <w:rFonts w:ascii="Cambria Math" w:eastAsia="Cambria Math" w:hAnsi="Cambria Math" w:cs="Cambria Math"/>
                <w:sz w:val="24"/>
                <w:szCs w:val="24"/>
                <w:highlight w:val="white"/>
              </w:rPr>
              <m:t>r</m:t>
            </m:r>
          </m:e>
          <m:sub>
            <m:r>
              <w:rPr>
                <w:rFonts w:ascii="Cambria Math" w:eastAsia="Cambria Math" w:hAnsi="Cambria Math" w:cs="Cambria Math"/>
                <w:sz w:val="24"/>
                <w:szCs w:val="24"/>
                <w:highlight w:val="white"/>
              </w:rPr>
              <m:t>f,t</m:t>
            </m:r>
          </m:sub>
        </m:sSub>
      </m:oMath>
      <w:r w:rsidR="000D0306" w:rsidRPr="00204A1C">
        <w:rPr>
          <w:sz w:val="24"/>
          <w:szCs w:val="24"/>
          <w:highlight w:val="white"/>
        </w:rPr>
        <w:t xml:space="preserve"> is</w:t>
      </w:r>
      <w:r w:rsidR="007E6880" w:rsidRPr="00204A1C">
        <w:rPr>
          <w:sz w:val="24"/>
          <w:szCs w:val="24"/>
          <w:highlight w:val="white"/>
        </w:rPr>
        <w:t xml:space="preserve"> daily</w:t>
      </w:r>
      <w:r w:rsidR="000D0306" w:rsidRPr="00204A1C">
        <w:rPr>
          <w:sz w:val="24"/>
          <w:szCs w:val="24"/>
          <w:highlight w:val="white"/>
        </w:rPr>
        <w:t xml:space="preserve"> risk-free rate</w:t>
      </w:r>
      <w:r w:rsidR="000D0306" w:rsidRPr="00204A1C">
        <w:rPr>
          <w:i/>
          <w:sz w:val="24"/>
          <w:szCs w:val="24"/>
          <w:highlight w:val="white"/>
        </w:rPr>
        <w:t xml:space="preserve"> </w:t>
      </w:r>
      <w:r w:rsidR="000D0306" w:rsidRPr="00204A1C">
        <w:rPr>
          <w:sz w:val="24"/>
          <w:szCs w:val="24"/>
          <w:highlight w:val="white"/>
        </w:rPr>
        <w:t xml:space="preserve">on day </w:t>
      </w:r>
      <w:r w:rsidR="000D0306" w:rsidRPr="00204A1C">
        <w:rPr>
          <w:i/>
          <w:sz w:val="24"/>
          <w:szCs w:val="24"/>
          <w:highlight w:val="white"/>
        </w:rPr>
        <w:t>t</w:t>
      </w:r>
      <w:r w:rsidR="000D0306" w:rsidRPr="00204A1C">
        <w:rPr>
          <w:sz w:val="24"/>
          <w:szCs w:val="24"/>
          <w:highlight w:val="white"/>
        </w:rPr>
        <w:t xml:space="preserve">, </w:t>
      </w:r>
      <m:oMath>
        <m:sSub>
          <m:sSubPr>
            <m:ctrlPr>
              <w:rPr>
                <w:rFonts w:ascii="Cambria Math" w:eastAsia="Cambria Math" w:hAnsi="Cambria Math" w:cs="Cambria Math"/>
                <w:bCs/>
                <w:sz w:val="24"/>
                <w:szCs w:val="24"/>
                <w:highlight w:val="white"/>
              </w:rPr>
            </m:ctrlPr>
          </m:sSubPr>
          <m:e>
            <m:r>
              <w:rPr>
                <w:rFonts w:ascii="Cambria Math" w:eastAsia="Cambria Math" w:hAnsi="Cambria Math" w:cs="Cambria Math"/>
                <w:sz w:val="24"/>
                <w:szCs w:val="24"/>
                <w:highlight w:val="white"/>
              </w:rPr>
              <m:t>MKT</m:t>
            </m:r>
          </m:e>
          <m:sub>
            <m:r>
              <w:rPr>
                <w:rFonts w:ascii="Cambria Math" w:eastAsia="Cambria Math" w:hAnsi="Cambria Math" w:cs="Cambria Math"/>
                <w:sz w:val="24"/>
                <w:szCs w:val="24"/>
                <w:highlight w:val="white"/>
              </w:rPr>
              <m:t>t</m:t>
            </m:r>
          </m:sub>
        </m:sSub>
      </m:oMath>
      <w:r w:rsidR="000D0306" w:rsidRPr="00204A1C">
        <w:rPr>
          <w:sz w:val="24"/>
          <w:szCs w:val="24"/>
          <w:highlight w:val="white"/>
        </w:rPr>
        <w:t xml:space="preserve"> is </w:t>
      </w:r>
      <w:r w:rsidR="007E6880" w:rsidRPr="00204A1C">
        <w:rPr>
          <w:sz w:val="24"/>
          <w:szCs w:val="24"/>
          <w:highlight w:val="white"/>
        </w:rPr>
        <w:t xml:space="preserve">daily </w:t>
      </w:r>
      <w:r w:rsidR="000D0306" w:rsidRPr="00204A1C">
        <w:rPr>
          <w:sz w:val="24"/>
          <w:szCs w:val="24"/>
          <w:highlight w:val="white"/>
        </w:rPr>
        <w:t xml:space="preserve">market return on day </w:t>
      </w:r>
      <w:r w:rsidR="000D0306" w:rsidRPr="00204A1C">
        <w:rPr>
          <w:i/>
          <w:sz w:val="24"/>
          <w:szCs w:val="24"/>
          <w:highlight w:val="white"/>
        </w:rPr>
        <w:t>t</w:t>
      </w:r>
      <w:r w:rsidR="000D0306" w:rsidRPr="00204A1C">
        <w:rPr>
          <w:sz w:val="24"/>
          <w:szCs w:val="24"/>
          <w:highlight w:val="white"/>
        </w:rPr>
        <w:t xml:space="preserve">, </w:t>
      </w:r>
      <m:oMath>
        <m:sSub>
          <m:sSubPr>
            <m:ctrlPr>
              <w:rPr>
                <w:rFonts w:ascii="Cambria Math" w:eastAsia="Cambria Math" w:hAnsi="Cambria Math" w:cs="Cambria Math"/>
                <w:bCs/>
                <w:sz w:val="24"/>
                <w:szCs w:val="24"/>
                <w:highlight w:val="white"/>
              </w:rPr>
            </m:ctrlPr>
          </m:sSubPr>
          <m:e>
            <m:r>
              <w:rPr>
                <w:rFonts w:ascii="Cambria Math" w:eastAsia="Cambria Math" w:hAnsi="Cambria Math" w:cs="Cambria Math"/>
                <w:sz w:val="24"/>
                <w:szCs w:val="24"/>
                <w:highlight w:val="white"/>
              </w:rPr>
              <m:t>SMB</m:t>
            </m:r>
          </m:e>
          <m:sub>
            <m:r>
              <w:rPr>
                <w:rFonts w:ascii="Cambria Math" w:eastAsia="Cambria Math" w:hAnsi="Cambria Math" w:cs="Cambria Math"/>
                <w:sz w:val="24"/>
                <w:szCs w:val="24"/>
                <w:highlight w:val="white"/>
              </w:rPr>
              <m:t>t</m:t>
            </m:r>
          </m:sub>
        </m:sSub>
      </m:oMath>
      <w:r w:rsidR="000D0306" w:rsidRPr="00204A1C">
        <w:rPr>
          <w:sz w:val="24"/>
          <w:szCs w:val="24"/>
          <w:highlight w:val="white"/>
        </w:rPr>
        <w:t xml:space="preserve"> is risk factor </w:t>
      </w:r>
      <w:r w:rsidR="007E6880" w:rsidRPr="00204A1C">
        <w:rPr>
          <w:sz w:val="24"/>
          <w:szCs w:val="24"/>
          <w:highlight w:val="white"/>
        </w:rPr>
        <w:t>based</w:t>
      </w:r>
      <w:r w:rsidR="000D0306" w:rsidRPr="00204A1C">
        <w:rPr>
          <w:sz w:val="24"/>
          <w:szCs w:val="24"/>
          <w:highlight w:val="white"/>
        </w:rPr>
        <w:t xml:space="preserve"> size on day </w:t>
      </w:r>
      <w:r w:rsidR="000D0306" w:rsidRPr="00204A1C">
        <w:rPr>
          <w:i/>
          <w:sz w:val="24"/>
          <w:szCs w:val="24"/>
          <w:highlight w:val="white"/>
        </w:rPr>
        <w:t>t</w:t>
      </w:r>
      <w:r w:rsidR="000D0306" w:rsidRPr="00204A1C">
        <w:rPr>
          <w:sz w:val="24"/>
          <w:szCs w:val="24"/>
          <w:highlight w:val="white"/>
        </w:rPr>
        <w:t xml:space="preserve"> and </w:t>
      </w:r>
      <m:oMath>
        <m:sSub>
          <m:sSubPr>
            <m:ctrlPr>
              <w:rPr>
                <w:rFonts w:ascii="Cambria Math" w:eastAsia="Cambria Math" w:hAnsi="Cambria Math" w:cs="Cambria Math"/>
                <w:bCs/>
                <w:sz w:val="24"/>
                <w:szCs w:val="24"/>
                <w:highlight w:val="white"/>
              </w:rPr>
            </m:ctrlPr>
          </m:sSubPr>
          <m:e>
            <m:r>
              <w:rPr>
                <w:rFonts w:ascii="Cambria Math" w:eastAsia="Cambria Math" w:hAnsi="Cambria Math" w:cs="Cambria Math"/>
                <w:sz w:val="24"/>
                <w:szCs w:val="24"/>
                <w:highlight w:val="white"/>
              </w:rPr>
              <m:t>HML</m:t>
            </m:r>
          </m:e>
          <m:sub>
            <m:r>
              <w:rPr>
                <w:rFonts w:ascii="Cambria Math" w:eastAsia="Cambria Math" w:hAnsi="Cambria Math" w:cs="Cambria Math"/>
                <w:sz w:val="24"/>
                <w:szCs w:val="24"/>
                <w:highlight w:val="white"/>
              </w:rPr>
              <m:t>t</m:t>
            </m:r>
          </m:sub>
        </m:sSub>
      </m:oMath>
      <w:r w:rsidR="000D0306" w:rsidRPr="00204A1C">
        <w:rPr>
          <w:sz w:val="24"/>
          <w:szCs w:val="24"/>
          <w:highlight w:val="white"/>
        </w:rPr>
        <w:t xml:space="preserve"> is risk factor </w:t>
      </w:r>
      <w:r w:rsidR="007E6880" w:rsidRPr="00204A1C">
        <w:rPr>
          <w:sz w:val="24"/>
          <w:szCs w:val="24"/>
          <w:highlight w:val="white"/>
        </w:rPr>
        <w:t>based on</w:t>
      </w:r>
      <w:r w:rsidR="000D0306" w:rsidRPr="00204A1C">
        <w:rPr>
          <w:sz w:val="24"/>
          <w:szCs w:val="24"/>
          <w:highlight w:val="white"/>
        </w:rPr>
        <w:t xml:space="preserve"> book-to-market ratio on day </w:t>
      </w:r>
      <w:r w:rsidR="000D0306" w:rsidRPr="00204A1C">
        <w:rPr>
          <w:i/>
          <w:sz w:val="24"/>
          <w:szCs w:val="24"/>
          <w:highlight w:val="white"/>
        </w:rPr>
        <w:t>t</w:t>
      </w:r>
      <w:r w:rsidR="000D0306" w:rsidRPr="00204A1C">
        <w:rPr>
          <w:sz w:val="24"/>
          <w:szCs w:val="24"/>
          <w:highlight w:val="white"/>
        </w:rPr>
        <w:t xml:space="preserve">. </w:t>
      </w:r>
      <w:r w:rsidR="007E6880" w:rsidRPr="00204A1C">
        <w:rPr>
          <w:sz w:val="24"/>
          <w:szCs w:val="24"/>
          <w:highlight w:val="white"/>
        </w:rPr>
        <w:t>Residuals of regression,</w:t>
      </w:r>
      <w:r w:rsidR="000D0306" w:rsidRPr="00204A1C">
        <w:rPr>
          <w:sz w:val="24"/>
          <w:szCs w:val="24"/>
          <w:highlight w:val="white"/>
        </w:rPr>
        <w:t xml:space="preserve"> </w:t>
      </w:r>
      <m:oMath>
        <m:sSub>
          <m:sSubPr>
            <m:ctrlPr>
              <w:rPr>
                <w:rFonts w:ascii="Cambria Math" w:eastAsia="Cambria Math" w:hAnsi="Cambria Math" w:cs="Cambria Math"/>
                <w:b/>
                <w:sz w:val="24"/>
                <w:szCs w:val="24"/>
                <w:highlight w:val="white"/>
              </w:rPr>
            </m:ctrlPr>
          </m:sSubPr>
          <m:e>
            <m:r>
              <w:rPr>
                <w:rFonts w:ascii="Cambria Math" w:hAnsi="Cambria Math"/>
                <w:sz w:val="24"/>
                <w:szCs w:val="24"/>
              </w:rPr>
              <m:t>ε</m:t>
            </m:r>
          </m:e>
          <m:sub>
            <m:r>
              <m:rPr>
                <m:sty m:val="bi"/>
              </m:rPr>
              <w:rPr>
                <w:rFonts w:ascii="Cambria Math" w:eastAsia="Cambria Math" w:hAnsi="Cambria Math" w:cs="Cambria Math"/>
                <w:sz w:val="24"/>
                <w:szCs w:val="24"/>
                <w:highlight w:val="white"/>
              </w:rPr>
              <m:t>i,t</m:t>
            </m:r>
          </m:sub>
        </m:sSub>
      </m:oMath>
      <w:r w:rsidR="007E6880" w:rsidRPr="00204A1C">
        <w:rPr>
          <w:b/>
          <w:sz w:val="24"/>
          <w:szCs w:val="24"/>
          <w:highlight w:val="white"/>
        </w:rPr>
        <w:t>,</w:t>
      </w:r>
      <w:r w:rsidR="000D0306" w:rsidRPr="00204A1C">
        <w:rPr>
          <w:sz w:val="24"/>
          <w:szCs w:val="24"/>
          <w:highlight w:val="white"/>
        </w:rPr>
        <w:t xml:space="preserve"> </w:t>
      </w:r>
      <w:r w:rsidR="007E6880" w:rsidRPr="00204A1C">
        <w:rPr>
          <w:sz w:val="24"/>
          <w:szCs w:val="24"/>
          <w:highlight w:val="white"/>
        </w:rPr>
        <w:t xml:space="preserve">are used </w:t>
      </w:r>
      <w:r w:rsidR="000D0306" w:rsidRPr="00204A1C">
        <w:rPr>
          <w:sz w:val="24"/>
          <w:szCs w:val="24"/>
          <w:highlight w:val="white"/>
        </w:rPr>
        <w:t>as the idiosyncratic return</w:t>
      </w:r>
      <w:r w:rsidR="000D0306" w:rsidRPr="00204A1C">
        <w:rPr>
          <w:i/>
          <w:sz w:val="24"/>
          <w:szCs w:val="24"/>
          <w:highlight w:val="white"/>
        </w:rPr>
        <w:t xml:space="preserve"> </w:t>
      </w:r>
      <w:r w:rsidR="000D0306" w:rsidRPr="00204A1C">
        <w:rPr>
          <w:sz w:val="24"/>
          <w:szCs w:val="24"/>
          <w:highlight w:val="white"/>
        </w:rPr>
        <w:t xml:space="preserve">for stock </w:t>
      </w:r>
      <w:proofErr w:type="spellStart"/>
      <w:r w:rsidR="000D0306" w:rsidRPr="00204A1C">
        <w:rPr>
          <w:i/>
          <w:sz w:val="24"/>
          <w:szCs w:val="24"/>
          <w:highlight w:val="white"/>
        </w:rPr>
        <w:t>i</w:t>
      </w:r>
      <w:proofErr w:type="spellEnd"/>
      <w:r w:rsidR="000D0306" w:rsidRPr="00204A1C">
        <w:rPr>
          <w:sz w:val="24"/>
          <w:szCs w:val="24"/>
          <w:highlight w:val="white"/>
        </w:rPr>
        <w:t xml:space="preserve"> on day </w:t>
      </w:r>
      <w:r w:rsidR="000D0306" w:rsidRPr="00204A1C">
        <w:rPr>
          <w:i/>
          <w:sz w:val="24"/>
          <w:szCs w:val="24"/>
          <w:highlight w:val="white"/>
        </w:rPr>
        <w:t>t</w:t>
      </w:r>
      <w:r w:rsidR="000D0306" w:rsidRPr="00204A1C">
        <w:rPr>
          <w:sz w:val="24"/>
          <w:szCs w:val="24"/>
          <w:highlight w:val="white"/>
        </w:rPr>
        <w:t>.</w:t>
      </w:r>
    </w:p>
    <w:p w14:paraId="638BB2B9" w14:textId="77777777" w:rsidR="00204A1C" w:rsidRPr="00204A1C" w:rsidRDefault="00204A1C" w:rsidP="00C25803">
      <w:pPr>
        <w:ind w:left="630"/>
        <w:jc w:val="both"/>
        <w:rPr>
          <w:sz w:val="24"/>
          <w:szCs w:val="24"/>
        </w:rPr>
      </w:pPr>
    </w:p>
    <w:p w14:paraId="4208596A" w14:textId="10A6E860" w:rsidR="00573C2B" w:rsidRPr="00204A1C" w:rsidRDefault="00FC7813" w:rsidP="00FC7813">
      <w:pPr>
        <w:pStyle w:val="Heading3"/>
        <w:rPr>
          <w:sz w:val="24"/>
          <w:szCs w:val="24"/>
        </w:rPr>
      </w:pPr>
      <w:r w:rsidRPr="00204A1C">
        <w:rPr>
          <w:i w:val="0"/>
          <w:iCs/>
          <w:sz w:val="24"/>
          <w:szCs w:val="24"/>
        </w:rPr>
        <w:t>Then, f</w:t>
      </w:r>
      <w:r w:rsidR="00BA5E59" w:rsidRPr="00204A1C">
        <w:rPr>
          <w:i w:val="0"/>
          <w:iCs/>
          <w:sz w:val="24"/>
          <w:szCs w:val="24"/>
        </w:rPr>
        <w:t xml:space="preserve">or each stock </w:t>
      </w:r>
      <w:proofErr w:type="spellStart"/>
      <w:r w:rsidR="00BA5E59" w:rsidRPr="00204A1C">
        <w:rPr>
          <w:sz w:val="24"/>
          <w:szCs w:val="24"/>
        </w:rPr>
        <w:t>i</w:t>
      </w:r>
      <w:proofErr w:type="spellEnd"/>
      <w:r w:rsidR="00BA5E59" w:rsidRPr="00204A1C">
        <w:rPr>
          <w:i w:val="0"/>
          <w:iCs/>
          <w:sz w:val="24"/>
          <w:szCs w:val="24"/>
        </w:rPr>
        <w:t xml:space="preserve"> for every month</w:t>
      </w:r>
      <w:r w:rsidR="006B550B" w:rsidRPr="00204A1C">
        <w:rPr>
          <w:i w:val="0"/>
          <w:iCs/>
          <w:sz w:val="24"/>
          <w:szCs w:val="24"/>
        </w:rPr>
        <w:t xml:space="preserve"> t</w:t>
      </w:r>
      <w:r w:rsidR="00BA5E59" w:rsidRPr="00204A1C">
        <w:rPr>
          <w:i w:val="0"/>
          <w:iCs/>
          <w:sz w:val="24"/>
          <w:szCs w:val="24"/>
        </w:rPr>
        <w:t xml:space="preserve">, </w:t>
      </w:r>
      <w:r w:rsidR="006B550B" w:rsidRPr="00204A1C">
        <w:rPr>
          <w:i w:val="0"/>
          <w:iCs/>
          <w:sz w:val="24"/>
          <w:szCs w:val="24"/>
        </w:rPr>
        <w:t>idiosyncratic tail risk is estimated from</w:t>
      </w:r>
      <w:r w:rsidR="009157BA" w:rsidRPr="00204A1C">
        <w:rPr>
          <w:i w:val="0"/>
          <w:iCs/>
          <w:sz w:val="24"/>
          <w:szCs w:val="24"/>
        </w:rPr>
        <w:t xml:space="preserve"> idiosyncratic return for 3 years</w:t>
      </w:r>
      <w:r w:rsidR="006B550B" w:rsidRPr="00204A1C">
        <w:rPr>
          <w:i w:val="0"/>
          <w:iCs/>
          <w:sz w:val="24"/>
          <w:szCs w:val="24"/>
        </w:rPr>
        <w:t xml:space="preserve"> until t-1 month</w:t>
      </w:r>
      <w:r w:rsidR="009157BA" w:rsidRPr="00204A1C">
        <w:rPr>
          <w:i w:val="0"/>
          <w:iCs/>
          <w:sz w:val="24"/>
          <w:szCs w:val="24"/>
        </w:rPr>
        <w:t xml:space="preserve">. </w:t>
      </w:r>
      <w:r w:rsidRPr="00204A1C">
        <w:rPr>
          <w:i w:val="0"/>
          <w:iCs/>
          <w:sz w:val="24"/>
          <w:szCs w:val="24"/>
        </w:rPr>
        <w:t xml:space="preserve">After that, we apply </w:t>
      </w:r>
      <w:r w:rsidR="009157BA" w:rsidRPr="00204A1C">
        <w:rPr>
          <w:i w:val="0"/>
          <w:iCs/>
          <w:sz w:val="24"/>
          <w:szCs w:val="24"/>
        </w:rPr>
        <w:t>block minima method</w:t>
      </w:r>
      <w:r w:rsidRPr="00204A1C">
        <w:rPr>
          <w:i w:val="0"/>
          <w:iCs/>
          <w:sz w:val="24"/>
          <w:szCs w:val="24"/>
        </w:rPr>
        <w:t xml:space="preserve"> to get 20</w:t>
      </w:r>
      <w:r w:rsidR="00801367" w:rsidRPr="00204A1C">
        <w:rPr>
          <w:i w:val="0"/>
          <w:iCs/>
          <w:sz w:val="24"/>
          <w:szCs w:val="24"/>
          <w:lang w:val="en-ID"/>
        </w:rPr>
        <w:t xml:space="preserve"> minimum idiosyncratic </w:t>
      </w:r>
      <w:r w:rsidRPr="00204A1C">
        <w:rPr>
          <w:i w:val="0"/>
          <w:iCs/>
          <w:sz w:val="24"/>
          <w:szCs w:val="24"/>
          <w:lang w:val="en-ID"/>
        </w:rPr>
        <w:t xml:space="preserve">return </w:t>
      </w:r>
      <w:r w:rsidR="006B550B" w:rsidRPr="00204A1C">
        <w:rPr>
          <w:i w:val="0"/>
          <w:iCs/>
          <w:sz w:val="24"/>
          <w:szCs w:val="24"/>
          <w:lang w:val="en-ID"/>
        </w:rPr>
        <w:t xml:space="preserve">for each stock and </w:t>
      </w:r>
      <w:r w:rsidRPr="00204A1C">
        <w:rPr>
          <w:i w:val="0"/>
          <w:iCs/>
          <w:sz w:val="24"/>
          <w:szCs w:val="24"/>
          <w:lang w:val="en-ID"/>
        </w:rPr>
        <w:t xml:space="preserve">for each </w:t>
      </w:r>
      <w:r w:rsidR="006B550B" w:rsidRPr="00204A1C">
        <w:rPr>
          <w:i w:val="0"/>
          <w:iCs/>
          <w:sz w:val="24"/>
          <w:szCs w:val="24"/>
          <w:lang w:val="en-ID"/>
        </w:rPr>
        <w:t>month</w:t>
      </w:r>
      <w:r w:rsidRPr="00204A1C">
        <w:rPr>
          <w:i w:val="0"/>
          <w:iCs/>
          <w:sz w:val="24"/>
          <w:szCs w:val="24"/>
          <w:lang w:val="en-ID"/>
        </w:rPr>
        <w:t xml:space="preserve">. </w:t>
      </w:r>
      <w:r w:rsidRPr="00204A1C">
        <w:rPr>
          <w:i w:val="0"/>
          <w:iCs/>
          <w:sz w:val="24"/>
          <w:szCs w:val="24"/>
          <w:lang w:val="en-ID" w:eastAsia="ko-KR"/>
        </w:rPr>
        <w:t>The chosen observations are donated</w:t>
      </w:r>
      <w:r w:rsidR="00801367" w:rsidRPr="00204A1C">
        <w:rPr>
          <w:i w:val="0"/>
          <w:iCs/>
          <w:sz w:val="24"/>
          <w:szCs w:val="24"/>
          <w:lang w:val="en-ID"/>
        </w:rPr>
        <w:t xml:space="preserve"> as</w:t>
      </w:r>
      <w:r w:rsidR="00801367" w:rsidRPr="00204A1C">
        <w:rPr>
          <w:sz w:val="24"/>
          <w:szCs w:val="24"/>
        </w:rPr>
        <w:t xml:space="preserv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1</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2</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n</m:t>
            </m:r>
          </m:sub>
        </m:sSub>
      </m:oMath>
      <w:r w:rsidR="000D0306" w:rsidRPr="00204A1C">
        <w:rPr>
          <w:i w:val="0"/>
          <w:sz w:val="24"/>
          <w:szCs w:val="24"/>
        </w:rPr>
        <w:t xml:space="preserve">. </w:t>
      </w:r>
      <w:r w:rsidR="00801367" w:rsidRPr="00204A1C">
        <w:rPr>
          <w:i w:val="0"/>
          <w:sz w:val="24"/>
          <w:szCs w:val="24"/>
        </w:rPr>
        <w:t xml:space="preserve">These </w:t>
      </w:r>
      <w:r w:rsidR="006B550B" w:rsidRPr="00204A1C">
        <w:rPr>
          <w:i w:val="0"/>
          <w:sz w:val="24"/>
          <w:szCs w:val="24"/>
        </w:rPr>
        <w:t xml:space="preserve">chosen </w:t>
      </w:r>
      <w:r w:rsidR="00801367" w:rsidRPr="00204A1C">
        <w:rPr>
          <w:i w:val="0"/>
          <w:sz w:val="24"/>
          <w:szCs w:val="24"/>
          <w:lang w:val="en-ID"/>
        </w:rPr>
        <w:t xml:space="preserve">minimum </w:t>
      </w:r>
      <w:r w:rsidRPr="00204A1C">
        <w:rPr>
          <w:i w:val="0"/>
          <w:sz w:val="24"/>
          <w:szCs w:val="24"/>
          <w:lang w:val="en-ID"/>
        </w:rPr>
        <w:t xml:space="preserve">idiosyncratic </w:t>
      </w:r>
      <w:proofErr w:type="spellStart"/>
      <w:r w:rsidRPr="00204A1C">
        <w:rPr>
          <w:i w:val="0"/>
          <w:sz w:val="24"/>
          <w:szCs w:val="24"/>
          <w:lang w:val="en-ID"/>
        </w:rPr>
        <w:t>retruns</w:t>
      </w:r>
      <w:proofErr w:type="spellEnd"/>
      <w:r w:rsidR="00801367" w:rsidRPr="00204A1C">
        <w:rPr>
          <w:i w:val="0"/>
          <w:sz w:val="24"/>
          <w:szCs w:val="24"/>
          <w:lang w:val="en-ID"/>
        </w:rPr>
        <w:t xml:space="preserve"> </w:t>
      </w:r>
      <w:r w:rsidR="006B550B" w:rsidRPr="00204A1C">
        <w:rPr>
          <w:i w:val="0"/>
          <w:sz w:val="24"/>
          <w:szCs w:val="24"/>
          <w:lang w:val="en-ID"/>
        </w:rPr>
        <w:t>are composed of our</w:t>
      </w:r>
      <w:r w:rsidR="00801367" w:rsidRPr="00204A1C">
        <w:rPr>
          <w:i w:val="0"/>
          <w:sz w:val="24"/>
          <w:szCs w:val="24"/>
          <w:lang w:val="en-ID"/>
        </w:rPr>
        <w:t xml:space="preserve"> extreme sample</w:t>
      </w:r>
      <w:r w:rsidR="000D0306" w:rsidRPr="00204A1C">
        <w:rPr>
          <w:i w:val="0"/>
          <w:sz w:val="24"/>
          <w:szCs w:val="24"/>
        </w:rPr>
        <w:t>.</w:t>
      </w:r>
    </w:p>
    <w:p w14:paraId="555B18C4" w14:textId="5140B56E" w:rsidR="00573C2B" w:rsidRPr="00204A1C" w:rsidRDefault="00896084" w:rsidP="00FC7813">
      <w:pPr>
        <w:pStyle w:val="Heading3"/>
        <w:rPr>
          <w:sz w:val="24"/>
          <w:szCs w:val="24"/>
        </w:rPr>
      </w:pPr>
      <w:r w:rsidRPr="00204A1C">
        <w:rPr>
          <w:i w:val="0"/>
          <w:sz w:val="24"/>
          <w:szCs w:val="24"/>
        </w:rPr>
        <w:t xml:space="preserve">Based on each chosen extreme idiosyncratic stock returns </w:t>
      </w:r>
      <w:r w:rsidR="00BA5E59" w:rsidRPr="00204A1C">
        <w:rPr>
          <w:i w:val="0"/>
          <w:sz w:val="24"/>
          <w:szCs w:val="24"/>
        </w:rPr>
        <w:t>for every month</w:t>
      </w:r>
      <w:r w:rsidR="000D0306" w:rsidRPr="00204A1C">
        <w:rPr>
          <w:i w:val="0"/>
          <w:sz w:val="24"/>
          <w:szCs w:val="24"/>
        </w:rPr>
        <w:t xml:space="preserve">, maximum likelihood </w:t>
      </w:r>
      <w:r w:rsidRPr="00204A1C">
        <w:rPr>
          <w:i w:val="0"/>
          <w:sz w:val="24"/>
          <w:szCs w:val="24"/>
        </w:rPr>
        <w:t>method</w:t>
      </w:r>
      <w:r w:rsidR="000D0306" w:rsidRPr="00204A1C">
        <w:rPr>
          <w:i w:val="0"/>
          <w:sz w:val="24"/>
          <w:szCs w:val="24"/>
        </w:rPr>
        <w:t xml:space="preserve"> is </w:t>
      </w:r>
      <w:r w:rsidRPr="00204A1C">
        <w:rPr>
          <w:i w:val="0"/>
          <w:sz w:val="24"/>
          <w:szCs w:val="24"/>
        </w:rPr>
        <w:t>applied</w:t>
      </w:r>
      <w:r w:rsidR="000D0306" w:rsidRPr="00204A1C">
        <w:rPr>
          <w:i w:val="0"/>
          <w:sz w:val="24"/>
          <w:szCs w:val="24"/>
        </w:rPr>
        <w:t xml:space="preserve"> to </w:t>
      </w:r>
      <w:r w:rsidRPr="00204A1C">
        <w:rPr>
          <w:i w:val="0"/>
          <w:sz w:val="24"/>
          <w:szCs w:val="24"/>
        </w:rPr>
        <w:t>estimate</w:t>
      </w:r>
      <w:r w:rsidR="000D0306" w:rsidRPr="00204A1C">
        <w:rPr>
          <w:i w:val="0"/>
          <w:sz w:val="24"/>
          <w:szCs w:val="24"/>
        </w:rPr>
        <w:t xml:space="preserve"> the tail index or the tail on the Generalized Extreme Value Distribution.</w:t>
      </w:r>
    </w:p>
    <w:p w14:paraId="22D1E834" w14:textId="7E71AA4D" w:rsidR="00573C2B" w:rsidRPr="00340630" w:rsidRDefault="00340630" w:rsidP="00C25803">
      <w:pPr>
        <w:ind w:left="630"/>
        <w:rPr>
          <w:rFonts w:ascii="Cambria Math" w:eastAsia="Cambria Math" w:hAnsi="Cambria Math" w:cs="Cambria Math"/>
          <w:bCs/>
          <w:sz w:val="22"/>
          <w:szCs w:val="22"/>
          <w:highlight w:val="white"/>
        </w:rPr>
      </w:pPr>
      <m:oMathPara>
        <m:oMath>
          <m:r>
            <w:rPr>
              <w:rFonts w:ascii="Cambria Math" w:eastAsia="Cambria Math" w:hAnsi="Cambria Math" w:cs="Cambria Math"/>
              <w:sz w:val="22"/>
              <w:szCs w:val="22"/>
              <w:highlight w:val="white"/>
            </w:rPr>
            <m:t>I</m:t>
          </m:r>
          <m:d>
            <m:dPr>
              <m:ctrlPr>
                <w:rPr>
                  <w:rFonts w:ascii="Cambria Math" w:eastAsia="Cambria Math" w:hAnsi="Cambria Math" w:cs="Cambria Math"/>
                  <w:bCs/>
                  <w:sz w:val="22"/>
                  <w:szCs w:val="22"/>
                  <w:highlight w:val="white"/>
                </w:rPr>
              </m:ctrlPr>
            </m:dPr>
            <m:e>
              <m:r>
                <w:rPr>
                  <w:rFonts w:ascii="Cambria Math" w:eastAsia="Cambria Math" w:hAnsi="Cambria Math" w:cs="Cambria Math"/>
                  <w:sz w:val="22"/>
                  <w:szCs w:val="22"/>
                  <w:highlight w:val="white"/>
                </w:rPr>
                <m:t>μ,σ,ξ</m:t>
              </m:r>
            </m:e>
          </m:d>
          <m:r>
            <w:rPr>
              <w:rFonts w:ascii="Cambria Math" w:eastAsia="Cambria Math" w:hAnsi="Cambria Math" w:cs="Cambria Math"/>
              <w:sz w:val="22"/>
              <w:szCs w:val="22"/>
              <w:highlight w:val="white"/>
            </w:rPr>
            <m:t>=-n logσ-</m:t>
          </m:r>
          <m:d>
            <m:dPr>
              <m:ctrlPr>
                <w:rPr>
                  <w:rFonts w:ascii="Cambria Math" w:eastAsia="Cambria Math" w:hAnsi="Cambria Math" w:cs="Cambria Math"/>
                  <w:bCs/>
                  <w:sz w:val="22"/>
                  <w:szCs w:val="22"/>
                  <w:highlight w:val="white"/>
                </w:rPr>
              </m:ctrlPr>
            </m:dPr>
            <m:e>
              <m:f>
                <m:fPr>
                  <m:ctrlPr>
                    <w:rPr>
                      <w:rFonts w:ascii="Cambria Math" w:eastAsia="Cambria Math" w:hAnsi="Cambria Math" w:cs="Cambria Math"/>
                      <w:bCs/>
                      <w:sz w:val="22"/>
                      <w:szCs w:val="22"/>
                      <w:highlight w:val="white"/>
                    </w:rPr>
                  </m:ctrlPr>
                </m:fPr>
                <m:num>
                  <m:r>
                    <w:rPr>
                      <w:rFonts w:ascii="Cambria Math" w:eastAsia="Cambria Math" w:hAnsi="Cambria Math" w:cs="Cambria Math"/>
                      <w:sz w:val="22"/>
                      <w:szCs w:val="22"/>
                      <w:highlight w:val="white"/>
                    </w:rPr>
                    <m:t>1</m:t>
                  </m:r>
                </m:num>
                <m:den>
                  <m:r>
                    <w:rPr>
                      <w:rFonts w:ascii="Cambria Math" w:eastAsia="Cambria Math" w:hAnsi="Cambria Math" w:cs="Cambria Math"/>
                      <w:sz w:val="22"/>
                      <w:szCs w:val="22"/>
                      <w:highlight w:val="white"/>
                    </w:rPr>
                    <m:t>ξ</m:t>
                  </m:r>
                </m:den>
              </m:f>
              <m:r>
                <w:rPr>
                  <w:rFonts w:ascii="Cambria Math" w:eastAsia="Cambria Math" w:hAnsi="Cambria Math" w:cs="Cambria Math"/>
                  <w:sz w:val="22"/>
                  <w:szCs w:val="22"/>
                  <w:highlight w:val="white"/>
                </w:rPr>
                <m:t>+1</m:t>
              </m:r>
            </m:e>
          </m:d>
          <m:nary>
            <m:naryPr>
              <m:chr m:val="∑"/>
              <m:limLoc m:val="undOvr"/>
              <m:ctrlPr>
                <w:rPr>
                  <w:rFonts w:ascii="Cambria Math" w:eastAsia="Cambria Math" w:hAnsi="Cambria Math" w:cs="Cambria Math"/>
                  <w:bCs/>
                  <w:sz w:val="22"/>
                  <w:szCs w:val="22"/>
                </w:rPr>
              </m:ctrlPr>
            </m:naryPr>
            <m:sub>
              <m:r>
                <w:rPr>
                  <w:rFonts w:ascii="Cambria Math" w:eastAsia="Cambria Math" w:hAnsi="Cambria Math" w:cs="Cambria Math"/>
                  <w:sz w:val="22"/>
                  <w:szCs w:val="22"/>
                  <w:highlight w:val="white"/>
                </w:rPr>
                <m:t>i=1</m:t>
              </m:r>
            </m:sub>
            <m:sup>
              <m:r>
                <w:rPr>
                  <w:rFonts w:ascii="Cambria Math" w:eastAsia="Cambria Math" w:hAnsi="Cambria Math" w:cs="Cambria Math"/>
                  <w:sz w:val="22"/>
                  <w:szCs w:val="22"/>
                  <w:highlight w:val="white"/>
                </w:rPr>
                <m:t>n</m:t>
              </m:r>
            </m:sup>
            <m:e>
              <m:r>
                <w:rPr>
                  <w:rFonts w:ascii="Cambria Math" w:eastAsia="Cambria Math" w:hAnsi="Cambria Math" w:cs="Cambria Math"/>
                  <w:sz w:val="22"/>
                  <w:szCs w:val="22"/>
                  <w:highlight w:val="white"/>
                </w:rPr>
                <m:t>log</m:t>
              </m:r>
            </m:e>
          </m:nary>
          <m:d>
            <m:dPr>
              <m:ctrlPr>
                <w:rPr>
                  <w:rFonts w:ascii="Cambria Math" w:eastAsia="Cambria Math" w:hAnsi="Cambria Math" w:cs="Cambria Math"/>
                  <w:bCs/>
                  <w:sz w:val="22"/>
                  <w:szCs w:val="22"/>
                  <w:highlight w:val="white"/>
                </w:rPr>
              </m:ctrlPr>
            </m:dPr>
            <m:e>
              <m:r>
                <w:rPr>
                  <w:rFonts w:ascii="Cambria Math" w:eastAsia="Cambria Math" w:hAnsi="Cambria Math" w:cs="Cambria Math"/>
                  <w:sz w:val="22"/>
                  <w:szCs w:val="22"/>
                  <w:highlight w:val="white"/>
                </w:rPr>
                <m:t>1+ξ</m:t>
              </m:r>
              <m:f>
                <m:fPr>
                  <m:ctrlPr>
                    <w:rPr>
                      <w:rFonts w:ascii="Cambria Math" w:eastAsia="Cambria Math" w:hAnsi="Cambria Math" w:cs="Cambria Math"/>
                      <w:bCs/>
                      <w:sz w:val="22"/>
                      <w:szCs w:val="22"/>
                      <w:highlight w:val="white"/>
                    </w:rPr>
                  </m:ctrlPr>
                </m:fPr>
                <m:num>
                  <m:sSub>
                    <m:sSubPr>
                      <m:ctrlPr>
                        <w:rPr>
                          <w:rFonts w:ascii="Cambria Math" w:eastAsia="Cambria Math" w:hAnsi="Cambria Math" w:cs="Cambria Math"/>
                          <w:bCs/>
                          <w:sz w:val="22"/>
                          <w:szCs w:val="22"/>
                          <w:highlight w:val="white"/>
                        </w:rPr>
                      </m:ctrlPr>
                    </m:sSubPr>
                    <m:e>
                      <m:r>
                        <w:rPr>
                          <w:rFonts w:ascii="Cambria Math" w:eastAsia="Cambria Math" w:hAnsi="Cambria Math" w:cs="Cambria Math"/>
                          <w:sz w:val="22"/>
                          <w:szCs w:val="22"/>
                          <w:highlight w:val="white"/>
                        </w:rPr>
                        <m:t>X</m:t>
                      </m:r>
                    </m:e>
                    <m:sub>
                      <m:r>
                        <w:rPr>
                          <w:rFonts w:ascii="Cambria Math" w:eastAsia="Cambria Math" w:hAnsi="Cambria Math" w:cs="Cambria Math"/>
                          <w:sz w:val="22"/>
                          <w:szCs w:val="22"/>
                          <w:highlight w:val="white"/>
                        </w:rPr>
                        <m:t>i</m:t>
                      </m:r>
                    </m:sub>
                  </m:sSub>
                  <m:r>
                    <w:rPr>
                      <w:rFonts w:ascii="Cambria Math" w:eastAsia="Cambria Math" w:hAnsi="Cambria Math" w:cs="Cambria Math"/>
                      <w:sz w:val="22"/>
                      <w:szCs w:val="22"/>
                      <w:highlight w:val="white"/>
                    </w:rPr>
                    <m:t>-μ</m:t>
                  </m:r>
                </m:num>
                <m:den>
                  <m:r>
                    <w:rPr>
                      <w:rFonts w:ascii="Cambria Math" w:eastAsia="Cambria Math" w:hAnsi="Cambria Math" w:cs="Cambria Math"/>
                      <w:sz w:val="22"/>
                      <w:szCs w:val="22"/>
                      <w:highlight w:val="white"/>
                    </w:rPr>
                    <m:t>σ</m:t>
                  </m:r>
                </m:den>
              </m:f>
            </m:e>
          </m:d>
          <m:r>
            <w:rPr>
              <w:rFonts w:ascii="Cambria Math" w:eastAsia="Cambria Math" w:hAnsi="Cambria Math" w:cs="Cambria Math"/>
              <w:sz w:val="22"/>
              <w:szCs w:val="22"/>
              <w:highlight w:val="white"/>
            </w:rPr>
            <m:t>-</m:t>
          </m:r>
          <m:nary>
            <m:naryPr>
              <m:chr m:val="∑"/>
              <m:limLoc m:val="undOvr"/>
              <m:ctrlPr>
                <w:rPr>
                  <w:rFonts w:ascii="Cambria Math" w:eastAsia="Cambria Math" w:hAnsi="Cambria Math" w:cs="Cambria Math"/>
                  <w:bCs/>
                  <w:sz w:val="22"/>
                  <w:szCs w:val="22"/>
                </w:rPr>
              </m:ctrlPr>
            </m:naryPr>
            <m:sub>
              <m:r>
                <w:rPr>
                  <w:rFonts w:ascii="Cambria Math" w:eastAsia="Cambria Math" w:hAnsi="Cambria Math" w:cs="Cambria Math"/>
                  <w:sz w:val="22"/>
                  <w:szCs w:val="22"/>
                  <w:highlight w:val="white"/>
                </w:rPr>
                <m:t>i=1</m:t>
              </m:r>
            </m:sub>
            <m:sup>
              <m:r>
                <w:rPr>
                  <w:rFonts w:ascii="Cambria Math" w:eastAsia="Cambria Math" w:hAnsi="Cambria Math" w:cs="Cambria Math"/>
                  <w:sz w:val="22"/>
                  <w:szCs w:val="22"/>
                  <w:highlight w:val="white"/>
                </w:rPr>
                <m:t>n</m:t>
              </m:r>
            </m:sup>
            <m:e>
              <m:sSup>
                <m:sSupPr>
                  <m:ctrlPr>
                    <w:rPr>
                      <w:rFonts w:ascii="Cambria Math" w:eastAsia="Cambria Math" w:hAnsi="Cambria Math" w:cs="Cambria Math"/>
                      <w:bCs/>
                      <w:sz w:val="22"/>
                      <w:szCs w:val="22"/>
                      <w:highlight w:val="white"/>
                    </w:rPr>
                  </m:ctrlPr>
                </m:sSupPr>
                <m:e>
                  <m:d>
                    <m:dPr>
                      <m:ctrlPr>
                        <w:rPr>
                          <w:rFonts w:ascii="Cambria Math" w:eastAsia="Cambria Math" w:hAnsi="Cambria Math" w:cs="Cambria Math"/>
                          <w:bCs/>
                          <w:sz w:val="22"/>
                          <w:szCs w:val="22"/>
                          <w:highlight w:val="white"/>
                        </w:rPr>
                      </m:ctrlPr>
                    </m:dPr>
                    <m:e>
                      <m:r>
                        <w:rPr>
                          <w:rFonts w:ascii="Cambria Math" w:eastAsia="Cambria Math" w:hAnsi="Cambria Math" w:cs="Cambria Math"/>
                          <w:sz w:val="22"/>
                          <w:szCs w:val="22"/>
                          <w:highlight w:val="white"/>
                        </w:rPr>
                        <m:t>1+ξ</m:t>
                      </m:r>
                      <m:f>
                        <m:fPr>
                          <m:ctrlPr>
                            <w:rPr>
                              <w:rFonts w:ascii="Cambria Math" w:eastAsia="Cambria Math" w:hAnsi="Cambria Math" w:cs="Cambria Math"/>
                              <w:bCs/>
                              <w:sz w:val="22"/>
                              <w:szCs w:val="22"/>
                              <w:highlight w:val="white"/>
                            </w:rPr>
                          </m:ctrlPr>
                        </m:fPr>
                        <m:num>
                          <m:sSub>
                            <m:sSubPr>
                              <m:ctrlPr>
                                <w:rPr>
                                  <w:rFonts w:ascii="Cambria Math" w:eastAsia="Cambria Math" w:hAnsi="Cambria Math" w:cs="Cambria Math"/>
                                  <w:bCs/>
                                  <w:sz w:val="22"/>
                                  <w:szCs w:val="22"/>
                                  <w:highlight w:val="white"/>
                                </w:rPr>
                              </m:ctrlPr>
                            </m:sSubPr>
                            <m:e>
                              <m:r>
                                <w:rPr>
                                  <w:rFonts w:ascii="Cambria Math" w:eastAsia="Cambria Math" w:hAnsi="Cambria Math" w:cs="Cambria Math"/>
                                  <w:sz w:val="22"/>
                                  <w:szCs w:val="22"/>
                                  <w:highlight w:val="white"/>
                                </w:rPr>
                                <m:t>X</m:t>
                              </m:r>
                            </m:e>
                            <m:sub>
                              <m:r>
                                <w:rPr>
                                  <w:rFonts w:ascii="Cambria Math" w:eastAsia="Cambria Math" w:hAnsi="Cambria Math" w:cs="Cambria Math"/>
                                  <w:sz w:val="22"/>
                                  <w:szCs w:val="22"/>
                                  <w:highlight w:val="white"/>
                                </w:rPr>
                                <m:t>i</m:t>
                              </m:r>
                            </m:sub>
                          </m:sSub>
                          <m:r>
                            <w:rPr>
                              <w:rFonts w:ascii="Cambria Math" w:eastAsia="Cambria Math" w:hAnsi="Cambria Math" w:cs="Cambria Math"/>
                              <w:sz w:val="22"/>
                              <w:szCs w:val="22"/>
                              <w:highlight w:val="white"/>
                            </w:rPr>
                            <m:t>-μ</m:t>
                          </m:r>
                        </m:num>
                        <m:den>
                          <m:r>
                            <w:rPr>
                              <w:rFonts w:ascii="Cambria Math" w:eastAsia="Cambria Math" w:hAnsi="Cambria Math" w:cs="Cambria Math"/>
                              <w:sz w:val="22"/>
                              <w:szCs w:val="22"/>
                              <w:highlight w:val="white"/>
                            </w:rPr>
                            <m:t>ξ</m:t>
                          </m:r>
                        </m:den>
                      </m:f>
                    </m:e>
                  </m:d>
                </m:e>
                <m:sup>
                  <m:r>
                    <w:rPr>
                      <w:rFonts w:ascii="Cambria Math" w:eastAsia="Cambria Math" w:hAnsi="Cambria Math" w:cs="Cambria Math"/>
                      <w:sz w:val="22"/>
                      <w:szCs w:val="22"/>
                      <w:highlight w:val="white"/>
                    </w:rPr>
                    <m:t>-</m:t>
                  </m:r>
                  <m:f>
                    <m:fPr>
                      <m:ctrlPr>
                        <w:rPr>
                          <w:rFonts w:ascii="Cambria Math" w:eastAsia="Cambria Math" w:hAnsi="Cambria Math" w:cs="Cambria Math"/>
                          <w:bCs/>
                          <w:sz w:val="22"/>
                          <w:szCs w:val="22"/>
                          <w:highlight w:val="white"/>
                        </w:rPr>
                      </m:ctrlPr>
                    </m:fPr>
                    <m:num>
                      <m:r>
                        <w:rPr>
                          <w:rFonts w:ascii="Cambria Math" w:eastAsia="Cambria Math" w:hAnsi="Cambria Math" w:cs="Cambria Math"/>
                          <w:sz w:val="22"/>
                          <w:szCs w:val="22"/>
                          <w:highlight w:val="white"/>
                        </w:rPr>
                        <m:t>1</m:t>
                      </m:r>
                    </m:num>
                    <m:den>
                      <m:r>
                        <w:rPr>
                          <w:rFonts w:ascii="Cambria Math" w:eastAsia="Cambria Math" w:hAnsi="Cambria Math" w:cs="Cambria Math"/>
                          <w:sz w:val="22"/>
                          <w:szCs w:val="22"/>
                          <w:highlight w:val="white"/>
                        </w:rPr>
                        <m:t>ξ</m:t>
                      </m:r>
                    </m:den>
                  </m:f>
                </m:sup>
              </m:sSup>
            </m:e>
          </m:nary>
        </m:oMath>
      </m:oMathPara>
    </w:p>
    <w:p w14:paraId="69C5D3ED" w14:textId="77777777" w:rsidR="00573C2B" w:rsidRPr="00204A1C" w:rsidRDefault="000D0306" w:rsidP="00C25803">
      <w:pPr>
        <w:ind w:left="630"/>
        <w:jc w:val="both"/>
        <w:rPr>
          <w:sz w:val="24"/>
          <w:szCs w:val="24"/>
        </w:rPr>
      </w:pPr>
      <w:r w:rsidRPr="00204A1C">
        <w:rPr>
          <w:sz w:val="24"/>
          <w:szCs w:val="24"/>
        </w:rPr>
        <w:t xml:space="preserve">where </w:t>
      </w:r>
      <m:oMath>
        <m:r>
          <w:rPr>
            <w:rFonts w:ascii="Cambria Math" w:eastAsia="Cambria Math" w:hAnsi="Cambria Math" w:cs="Cambria Math"/>
            <w:sz w:val="24"/>
            <w:szCs w:val="24"/>
          </w:rPr>
          <m:t>1+ξ</m:t>
        </m:r>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i</m:t>
                </m:r>
              </m:sub>
            </m:sSub>
            <m:r>
              <w:rPr>
                <w:rFonts w:ascii="Cambria Math" w:eastAsia="Cambria Math" w:hAnsi="Cambria Math" w:cs="Cambria Math"/>
                <w:sz w:val="24"/>
                <w:szCs w:val="24"/>
              </w:rPr>
              <m:t>-μ</m:t>
            </m:r>
          </m:num>
          <m:den>
            <m:r>
              <w:rPr>
                <w:rFonts w:ascii="Cambria Math" w:eastAsia="Cambria Math" w:hAnsi="Cambria Math" w:cs="Cambria Math"/>
                <w:sz w:val="24"/>
                <w:szCs w:val="24"/>
              </w:rPr>
              <m:t>σ</m:t>
            </m:r>
          </m:den>
        </m:f>
        <m:r>
          <w:rPr>
            <w:rFonts w:ascii="Cambria Math" w:eastAsia="Cambria Math" w:hAnsi="Cambria Math" w:cs="Cambria Math"/>
            <w:sz w:val="24"/>
            <w:szCs w:val="24"/>
          </w:rPr>
          <m:t xml:space="preserve"> &gt;0</m:t>
        </m:r>
      </m:oMath>
      <w:r w:rsidRPr="00204A1C">
        <w:rPr>
          <w:sz w:val="24"/>
          <w:szCs w:val="24"/>
        </w:rPr>
        <w:t>. The result of this estimation is idiosyncratic tail risk</w:t>
      </w:r>
      <w:r w:rsidRPr="00204A1C">
        <w:rPr>
          <w:i/>
          <w:sz w:val="24"/>
          <w:szCs w:val="24"/>
        </w:rPr>
        <w:t xml:space="preserve"> </w:t>
      </w:r>
      <w:r w:rsidRPr="00204A1C">
        <w:rPr>
          <w:sz w:val="24"/>
          <w:szCs w:val="24"/>
        </w:rPr>
        <w:t xml:space="preserve">for stock </w:t>
      </w:r>
      <w:proofErr w:type="spellStart"/>
      <w:r w:rsidRPr="00204A1C">
        <w:rPr>
          <w:i/>
          <w:sz w:val="24"/>
          <w:szCs w:val="24"/>
        </w:rPr>
        <w:t>i</w:t>
      </w:r>
      <w:proofErr w:type="spellEnd"/>
      <w:r w:rsidRPr="00204A1C">
        <w:rPr>
          <w:i/>
          <w:sz w:val="24"/>
          <w:szCs w:val="24"/>
        </w:rPr>
        <w:t xml:space="preserve"> </w:t>
      </w:r>
      <w:r w:rsidRPr="00204A1C">
        <w:rPr>
          <w:sz w:val="24"/>
          <w:szCs w:val="24"/>
        </w:rPr>
        <w:t xml:space="preserve">every month </w:t>
      </w:r>
      <w:r w:rsidRPr="00204A1C">
        <w:rPr>
          <w:i/>
          <w:sz w:val="24"/>
          <w:szCs w:val="24"/>
        </w:rPr>
        <w:t>t</w:t>
      </w:r>
      <w:r w:rsidRPr="00204A1C">
        <w:rPr>
          <w:sz w:val="24"/>
          <w:szCs w:val="24"/>
        </w:rPr>
        <w:t xml:space="preserve"> notated as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ITR</m:t>
            </m:r>
          </m:e>
          <m:sub>
            <m:r>
              <w:rPr>
                <w:rFonts w:ascii="Cambria Math" w:eastAsia="Cambria Math" w:hAnsi="Cambria Math" w:cs="Cambria Math"/>
                <w:sz w:val="24"/>
                <w:szCs w:val="24"/>
              </w:rPr>
              <m:t>it</m:t>
            </m:r>
          </m:sub>
        </m:sSub>
        <m:r>
          <w:rPr>
            <w:rFonts w:ascii="Cambria Math" w:eastAsia="Cambria Math" w:hAnsi="Cambria Math" w:cs="Cambria Math"/>
            <w:sz w:val="24"/>
            <w:szCs w:val="24"/>
          </w:rPr>
          <m:t>=</m:t>
        </m:r>
        <m:acc>
          <m:accPr>
            <m:ctrlPr>
              <w:rPr>
                <w:rFonts w:ascii="Cambria Math" w:eastAsia="Cambria Math" w:hAnsi="Cambria Math" w:cs="Cambria Math"/>
                <w:sz w:val="24"/>
                <w:szCs w:val="24"/>
              </w:rPr>
            </m:ctrlPr>
          </m:accPr>
          <m:e>
            <m:r>
              <w:rPr>
                <w:rFonts w:ascii="Cambria Math" w:eastAsia="Cambria Math" w:hAnsi="Cambria Math" w:cs="Cambria Math"/>
                <w:sz w:val="24"/>
                <w:szCs w:val="24"/>
              </w:rPr>
              <m:t>ξ</m:t>
            </m:r>
          </m:e>
        </m:acc>
      </m:oMath>
      <w:r w:rsidRPr="00204A1C">
        <w:rPr>
          <w:sz w:val="24"/>
          <w:szCs w:val="24"/>
        </w:rPr>
        <w:t>.</w:t>
      </w:r>
    </w:p>
    <w:p w14:paraId="6CA1E87E" w14:textId="77777777" w:rsidR="00A00A6C" w:rsidRPr="00204A1C" w:rsidRDefault="00A00A6C" w:rsidP="00C25803">
      <w:pPr>
        <w:pStyle w:val="Heading2"/>
        <w:spacing w:before="0" w:after="0"/>
        <w:rPr>
          <w:sz w:val="24"/>
          <w:szCs w:val="24"/>
        </w:rPr>
      </w:pPr>
    </w:p>
    <w:p w14:paraId="65601E69" w14:textId="4266E091" w:rsidR="00573C2B" w:rsidRPr="00204A1C" w:rsidRDefault="00A00A6C" w:rsidP="00646B84">
      <w:pPr>
        <w:pStyle w:val="Heading2"/>
        <w:numPr>
          <w:ilvl w:val="1"/>
          <w:numId w:val="15"/>
        </w:numPr>
        <w:spacing w:before="0" w:after="0"/>
        <w:rPr>
          <w:i w:val="0"/>
          <w:iCs/>
          <w:sz w:val="22"/>
          <w:szCs w:val="22"/>
        </w:rPr>
      </w:pPr>
      <w:r w:rsidRPr="00204A1C">
        <w:rPr>
          <w:i w:val="0"/>
          <w:iCs/>
          <w:sz w:val="24"/>
          <w:szCs w:val="24"/>
        </w:rPr>
        <w:t>Operationalization of</w:t>
      </w:r>
      <w:r w:rsidR="000D0306" w:rsidRPr="00204A1C">
        <w:rPr>
          <w:i w:val="0"/>
          <w:iCs/>
          <w:sz w:val="24"/>
          <w:szCs w:val="24"/>
        </w:rPr>
        <w:t xml:space="preserve"> Control </w:t>
      </w:r>
      <w:sdt>
        <w:sdtPr>
          <w:rPr>
            <w:i w:val="0"/>
            <w:iCs/>
            <w:sz w:val="22"/>
            <w:szCs w:val="22"/>
          </w:rPr>
          <w:tag w:val="goog_rdk_1"/>
          <w:id w:val="-700713818"/>
        </w:sdtPr>
        <w:sdtEndPr/>
        <w:sdtContent/>
      </w:sdt>
      <w:r w:rsidR="000D0306" w:rsidRPr="00204A1C">
        <w:rPr>
          <w:i w:val="0"/>
          <w:iCs/>
          <w:sz w:val="24"/>
          <w:szCs w:val="24"/>
        </w:rPr>
        <w:t>Variable</w:t>
      </w:r>
      <w:r w:rsidR="00646B84" w:rsidRPr="00204A1C">
        <w:rPr>
          <w:i w:val="0"/>
          <w:iCs/>
          <w:sz w:val="24"/>
          <w:szCs w:val="24"/>
        </w:rPr>
        <w:t>s</w:t>
      </w:r>
    </w:p>
    <w:p w14:paraId="337B90E4" w14:textId="62134AC7" w:rsidR="00573C2B" w:rsidRPr="00204A1C" w:rsidRDefault="000D0306" w:rsidP="00C25803">
      <w:pPr>
        <w:ind w:firstLine="284"/>
        <w:jc w:val="both"/>
        <w:rPr>
          <w:sz w:val="24"/>
          <w:szCs w:val="24"/>
        </w:rPr>
      </w:pPr>
      <w:r w:rsidRPr="00204A1C">
        <w:rPr>
          <w:sz w:val="24"/>
          <w:szCs w:val="24"/>
        </w:rPr>
        <w:t xml:space="preserve">The control variables </w:t>
      </w:r>
      <w:r w:rsidR="00FC7813" w:rsidRPr="00204A1C">
        <w:rPr>
          <w:sz w:val="24"/>
          <w:szCs w:val="24"/>
        </w:rPr>
        <w:t>are</w:t>
      </w:r>
      <w:r w:rsidRPr="00204A1C">
        <w:rPr>
          <w:sz w:val="24"/>
          <w:szCs w:val="24"/>
        </w:rPr>
        <w:t xml:space="preserve"> used to control the effect of other risk factors which influence</w:t>
      </w:r>
      <w:r w:rsidR="00FC7813" w:rsidRPr="00204A1C">
        <w:rPr>
          <w:sz w:val="24"/>
          <w:szCs w:val="24"/>
        </w:rPr>
        <w:t xml:space="preserve"> on the stock returns</w:t>
      </w:r>
      <w:r w:rsidRPr="00204A1C">
        <w:rPr>
          <w:sz w:val="24"/>
          <w:szCs w:val="24"/>
        </w:rPr>
        <w:t xml:space="preserve">. All control variables </w:t>
      </w:r>
      <w:r w:rsidR="00FC7813" w:rsidRPr="00204A1C">
        <w:rPr>
          <w:sz w:val="24"/>
          <w:szCs w:val="24"/>
        </w:rPr>
        <w:t>are</w:t>
      </w:r>
      <w:r w:rsidRPr="00204A1C">
        <w:rPr>
          <w:sz w:val="24"/>
          <w:szCs w:val="24"/>
        </w:rPr>
        <w:t xml:space="preserve"> calculated monthly. These are the control variable being used</w:t>
      </w:r>
      <w:r w:rsidR="00FC7813" w:rsidRPr="00204A1C">
        <w:rPr>
          <w:sz w:val="24"/>
          <w:szCs w:val="24"/>
        </w:rPr>
        <w:t xml:space="preserve"> as Long et al., (2018)</w:t>
      </w:r>
      <w:r w:rsidRPr="00204A1C">
        <w:rPr>
          <w:sz w:val="24"/>
          <w:szCs w:val="24"/>
        </w:rPr>
        <w:t xml:space="preserve">: </w:t>
      </w:r>
    </w:p>
    <w:p w14:paraId="26724024" w14:textId="75E5FBF7" w:rsidR="00BA5E59" w:rsidRPr="00204A1C" w:rsidRDefault="00BA5E59" w:rsidP="00C25803">
      <w:pPr>
        <w:pStyle w:val="ListParagraph"/>
        <w:numPr>
          <w:ilvl w:val="0"/>
          <w:numId w:val="8"/>
        </w:numPr>
        <w:ind w:left="568" w:hanging="284"/>
        <w:contextualSpacing w:val="0"/>
        <w:jc w:val="both"/>
        <w:rPr>
          <w:sz w:val="24"/>
          <w:szCs w:val="24"/>
        </w:rPr>
      </w:pPr>
      <w:r w:rsidRPr="00204A1C">
        <w:rPr>
          <w:sz w:val="24"/>
          <w:szCs w:val="24"/>
          <w:lang w:val="en-ID"/>
        </w:rPr>
        <w:t>Market beta (BETA):</w:t>
      </w:r>
      <w:r w:rsidR="00896084" w:rsidRPr="00204A1C">
        <w:rPr>
          <w:sz w:val="24"/>
          <w:szCs w:val="24"/>
          <w:lang w:val="en-ID"/>
        </w:rPr>
        <w:t xml:space="preserve"> </w:t>
      </w:r>
      <w:r w:rsidR="00D47A3E" w:rsidRPr="00204A1C">
        <w:rPr>
          <w:sz w:val="24"/>
          <w:szCs w:val="24"/>
          <w:lang w:val="en-ID"/>
        </w:rPr>
        <w:t xml:space="preserve">Each stock’s </w:t>
      </w:r>
      <w:r w:rsidR="00896084" w:rsidRPr="00204A1C">
        <w:rPr>
          <w:sz w:val="24"/>
          <w:szCs w:val="24"/>
          <w:lang w:val="en-ID"/>
        </w:rPr>
        <w:t>s</w:t>
      </w:r>
      <w:r w:rsidRPr="00204A1C">
        <w:rPr>
          <w:sz w:val="24"/>
          <w:szCs w:val="24"/>
          <w:lang w:val="en-ID"/>
        </w:rPr>
        <w:t>ystematic risk</w:t>
      </w:r>
      <w:r w:rsidR="00896084" w:rsidRPr="00204A1C">
        <w:rPr>
          <w:sz w:val="24"/>
          <w:szCs w:val="24"/>
          <w:lang w:val="en-ID"/>
        </w:rPr>
        <w:t xml:space="preserve"> of the market is </w:t>
      </w:r>
      <w:r w:rsidR="0085337B" w:rsidRPr="00204A1C">
        <w:rPr>
          <w:sz w:val="24"/>
          <w:szCs w:val="24"/>
          <w:lang w:val="en-ID"/>
        </w:rPr>
        <w:t>defined as</w:t>
      </w:r>
      <w:r w:rsidR="00D47A3E" w:rsidRPr="00204A1C">
        <w:rPr>
          <w:sz w:val="24"/>
          <w:szCs w:val="24"/>
          <w:lang w:val="en-ID"/>
        </w:rPr>
        <w:t xml:space="preserve"> the beta in CAPM</w:t>
      </w:r>
      <w:r w:rsidR="00FC7813" w:rsidRPr="00204A1C">
        <w:rPr>
          <w:sz w:val="24"/>
          <w:szCs w:val="24"/>
          <w:lang w:val="en-ID"/>
        </w:rPr>
        <w:t xml:space="preserve"> at least three years monthly data</w:t>
      </w:r>
      <w:r w:rsidRPr="00204A1C">
        <w:rPr>
          <w:sz w:val="24"/>
          <w:szCs w:val="24"/>
          <w:lang w:val="en-ID"/>
        </w:rPr>
        <w:t>.</w:t>
      </w:r>
    </w:p>
    <w:p w14:paraId="0813593B" w14:textId="3FAB696F" w:rsidR="00BA5E59" w:rsidRPr="00204A1C" w:rsidRDefault="00BA5E59" w:rsidP="00C25803">
      <w:pPr>
        <w:pStyle w:val="ListParagraph"/>
        <w:numPr>
          <w:ilvl w:val="0"/>
          <w:numId w:val="8"/>
        </w:numPr>
        <w:ind w:left="568" w:hanging="284"/>
        <w:contextualSpacing w:val="0"/>
        <w:jc w:val="both"/>
        <w:rPr>
          <w:sz w:val="24"/>
          <w:szCs w:val="24"/>
        </w:rPr>
      </w:pPr>
      <w:r w:rsidRPr="00204A1C">
        <w:rPr>
          <w:sz w:val="24"/>
          <w:szCs w:val="24"/>
          <w:lang w:val="en-ID"/>
        </w:rPr>
        <w:t xml:space="preserve">Market capitalization (SIZE): </w:t>
      </w:r>
      <w:r w:rsidR="00D47A3E" w:rsidRPr="00204A1C">
        <w:rPr>
          <w:sz w:val="24"/>
          <w:szCs w:val="24"/>
          <w:lang w:val="en-ID"/>
        </w:rPr>
        <w:t>F</w:t>
      </w:r>
      <w:r w:rsidR="00896084" w:rsidRPr="00204A1C">
        <w:rPr>
          <w:sz w:val="24"/>
          <w:szCs w:val="24"/>
          <w:lang w:val="en-ID"/>
        </w:rPr>
        <w:t xml:space="preserve">irm size is </w:t>
      </w:r>
      <w:r w:rsidR="0085337B" w:rsidRPr="00204A1C">
        <w:rPr>
          <w:sz w:val="24"/>
          <w:szCs w:val="24"/>
          <w:lang w:val="en-ID"/>
        </w:rPr>
        <w:t>defined as</w:t>
      </w:r>
      <w:r w:rsidR="00896084" w:rsidRPr="00204A1C">
        <w:rPr>
          <w:sz w:val="24"/>
          <w:szCs w:val="24"/>
          <w:lang w:val="en-ID"/>
        </w:rPr>
        <w:t xml:space="preserve"> t</w:t>
      </w:r>
      <w:r w:rsidRPr="00204A1C">
        <w:rPr>
          <w:sz w:val="24"/>
          <w:szCs w:val="24"/>
          <w:lang w:val="en-ID"/>
        </w:rPr>
        <w:t xml:space="preserve">he </w:t>
      </w:r>
      <w:proofErr w:type="gramStart"/>
      <w:r w:rsidRPr="00204A1C">
        <w:rPr>
          <w:sz w:val="24"/>
          <w:szCs w:val="24"/>
          <w:lang w:val="en-ID"/>
        </w:rPr>
        <w:t>lo</w:t>
      </w:r>
      <w:r w:rsidR="004D4DE3" w:rsidRPr="00204A1C">
        <w:rPr>
          <w:sz w:val="24"/>
          <w:szCs w:val="24"/>
          <w:lang w:val="en-ID"/>
        </w:rPr>
        <w:t>g(</w:t>
      </w:r>
      <w:proofErr w:type="gramEnd"/>
      <w:r w:rsidRPr="00204A1C">
        <w:rPr>
          <w:sz w:val="24"/>
          <w:szCs w:val="24"/>
          <w:lang w:val="en-ID"/>
        </w:rPr>
        <w:t>market capitalization</w:t>
      </w:r>
      <w:r w:rsidR="004D4DE3" w:rsidRPr="00204A1C">
        <w:rPr>
          <w:sz w:val="24"/>
          <w:szCs w:val="24"/>
          <w:lang w:val="en-ID"/>
        </w:rPr>
        <w:t xml:space="preserve">). The market capitalization is calculated by </w:t>
      </w:r>
      <w:r w:rsidR="00896084" w:rsidRPr="00204A1C">
        <w:rPr>
          <w:sz w:val="24"/>
          <w:szCs w:val="24"/>
          <w:lang w:val="en-ID"/>
        </w:rPr>
        <w:t>stock price times number of outstanding shares</w:t>
      </w:r>
      <w:r w:rsidR="00E47641" w:rsidRPr="00204A1C">
        <w:rPr>
          <w:sz w:val="24"/>
          <w:szCs w:val="24"/>
          <w:lang w:val="en-ID"/>
        </w:rPr>
        <w:t xml:space="preserve"> at end of previous June</w:t>
      </w:r>
      <w:r w:rsidR="00896084" w:rsidRPr="00204A1C">
        <w:rPr>
          <w:sz w:val="24"/>
          <w:szCs w:val="24"/>
          <w:lang w:val="en-ID"/>
        </w:rPr>
        <w:t>.</w:t>
      </w:r>
    </w:p>
    <w:p w14:paraId="6952F017" w14:textId="7FCE8B73" w:rsidR="00BA5E59" w:rsidRPr="00204A1C" w:rsidRDefault="00BA5E59" w:rsidP="00C25803">
      <w:pPr>
        <w:pStyle w:val="ListParagraph"/>
        <w:numPr>
          <w:ilvl w:val="0"/>
          <w:numId w:val="8"/>
        </w:numPr>
        <w:ind w:left="568" w:hanging="284"/>
        <w:contextualSpacing w:val="0"/>
        <w:jc w:val="both"/>
        <w:rPr>
          <w:sz w:val="24"/>
          <w:szCs w:val="24"/>
        </w:rPr>
      </w:pPr>
      <w:r w:rsidRPr="00204A1C">
        <w:rPr>
          <w:sz w:val="24"/>
          <w:szCs w:val="24"/>
          <w:lang w:val="en-ID"/>
        </w:rPr>
        <w:t>Book-to-market</w:t>
      </w:r>
      <w:r w:rsidR="00D47A3E" w:rsidRPr="00204A1C">
        <w:rPr>
          <w:sz w:val="24"/>
          <w:szCs w:val="24"/>
          <w:lang w:val="en-ID"/>
        </w:rPr>
        <w:t xml:space="preserve"> </w:t>
      </w:r>
      <w:r w:rsidRPr="00204A1C">
        <w:rPr>
          <w:sz w:val="24"/>
          <w:szCs w:val="24"/>
          <w:lang w:val="en-ID"/>
        </w:rPr>
        <w:t xml:space="preserve">(BM): </w:t>
      </w:r>
      <w:r w:rsidR="00D47A3E" w:rsidRPr="00204A1C">
        <w:rPr>
          <w:sz w:val="24"/>
          <w:szCs w:val="24"/>
          <w:lang w:val="en-ID"/>
        </w:rPr>
        <w:t xml:space="preserve">Book-to-market is </w:t>
      </w:r>
      <w:r w:rsidR="0085337B" w:rsidRPr="00204A1C">
        <w:rPr>
          <w:sz w:val="24"/>
          <w:szCs w:val="24"/>
          <w:lang w:val="en-ID"/>
        </w:rPr>
        <w:t>defined</w:t>
      </w:r>
      <w:r w:rsidR="00E47641" w:rsidRPr="00204A1C">
        <w:rPr>
          <w:sz w:val="24"/>
          <w:szCs w:val="24"/>
          <w:lang w:val="en-ID"/>
        </w:rPr>
        <w:t xml:space="preserve"> </w:t>
      </w:r>
      <w:r w:rsidR="00FC7813" w:rsidRPr="00204A1C">
        <w:rPr>
          <w:sz w:val="24"/>
          <w:szCs w:val="24"/>
          <w:lang w:val="en-ID"/>
        </w:rPr>
        <w:t>as</w:t>
      </w:r>
      <w:r w:rsidR="00E47641" w:rsidRPr="00204A1C">
        <w:rPr>
          <w:sz w:val="24"/>
          <w:szCs w:val="24"/>
          <w:lang w:val="en-ID"/>
        </w:rPr>
        <w:t xml:space="preserve"> </w:t>
      </w:r>
      <w:r w:rsidRPr="00204A1C">
        <w:rPr>
          <w:sz w:val="24"/>
          <w:szCs w:val="24"/>
          <w:lang w:val="en-ID"/>
        </w:rPr>
        <w:t>the log</w:t>
      </w:r>
      <w:r w:rsidR="004D4DE3" w:rsidRPr="00204A1C">
        <w:rPr>
          <w:sz w:val="24"/>
          <w:szCs w:val="24"/>
          <w:lang w:val="en-ID"/>
        </w:rPr>
        <w:t>(</w:t>
      </w:r>
      <w:r w:rsidRPr="00204A1C">
        <w:rPr>
          <w:sz w:val="24"/>
          <w:szCs w:val="24"/>
          <w:lang w:val="en-ID"/>
        </w:rPr>
        <w:t>book-to-market</w:t>
      </w:r>
      <w:r w:rsidR="004D4DE3" w:rsidRPr="00204A1C">
        <w:rPr>
          <w:sz w:val="24"/>
          <w:szCs w:val="24"/>
          <w:lang w:val="en-ID"/>
        </w:rPr>
        <w:t>)</w:t>
      </w:r>
      <w:r w:rsidRPr="00204A1C">
        <w:rPr>
          <w:sz w:val="24"/>
          <w:szCs w:val="24"/>
          <w:lang w:val="en-ID"/>
        </w:rPr>
        <w:t xml:space="preserve"> at the end of the last year.</w:t>
      </w:r>
      <w:r w:rsidR="00D47A3E" w:rsidRPr="00204A1C">
        <w:rPr>
          <w:sz w:val="24"/>
          <w:szCs w:val="24"/>
          <w:lang w:val="en-ID"/>
        </w:rPr>
        <w:t xml:space="preserve"> </w:t>
      </w:r>
    </w:p>
    <w:p w14:paraId="2DD1A362" w14:textId="1F9D0B0F" w:rsidR="00BA5E59" w:rsidRPr="00204A1C" w:rsidRDefault="00BA5E59" w:rsidP="00C25803">
      <w:pPr>
        <w:pStyle w:val="ListParagraph"/>
        <w:numPr>
          <w:ilvl w:val="0"/>
          <w:numId w:val="8"/>
        </w:numPr>
        <w:ind w:left="568" w:hanging="284"/>
        <w:contextualSpacing w:val="0"/>
        <w:jc w:val="both"/>
        <w:rPr>
          <w:sz w:val="24"/>
          <w:szCs w:val="24"/>
        </w:rPr>
      </w:pPr>
      <w:r w:rsidRPr="00204A1C">
        <w:rPr>
          <w:sz w:val="24"/>
          <w:szCs w:val="24"/>
          <w:lang w:val="en-ID"/>
        </w:rPr>
        <w:t xml:space="preserve">Momentum (MOM): </w:t>
      </w:r>
      <w:r w:rsidR="00E47641" w:rsidRPr="00204A1C">
        <w:rPr>
          <w:sz w:val="24"/>
          <w:szCs w:val="24"/>
          <w:lang w:val="en-ID"/>
        </w:rPr>
        <w:t xml:space="preserve">Momentum is </w:t>
      </w:r>
      <w:r w:rsidR="0085337B" w:rsidRPr="00204A1C">
        <w:rPr>
          <w:sz w:val="24"/>
          <w:szCs w:val="24"/>
          <w:lang w:val="en-ID"/>
        </w:rPr>
        <w:t>defined</w:t>
      </w:r>
      <w:r w:rsidR="00E47641" w:rsidRPr="00204A1C">
        <w:rPr>
          <w:sz w:val="24"/>
          <w:szCs w:val="24"/>
          <w:lang w:val="en-ID"/>
        </w:rPr>
        <w:t xml:space="preserve"> as </w:t>
      </w:r>
      <w:r w:rsidRPr="00204A1C">
        <w:rPr>
          <w:sz w:val="24"/>
          <w:szCs w:val="24"/>
          <w:lang w:val="en-ID"/>
        </w:rPr>
        <w:t>stock return</w:t>
      </w:r>
      <w:r w:rsidR="00D47A3E" w:rsidRPr="00204A1C">
        <w:rPr>
          <w:sz w:val="24"/>
          <w:szCs w:val="24"/>
          <w:lang w:val="en-ID"/>
        </w:rPr>
        <w:t>s</w:t>
      </w:r>
      <w:r w:rsidRPr="00204A1C">
        <w:rPr>
          <w:sz w:val="24"/>
          <w:szCs w:val="24"/>
          <w:lang w:val="en-ID"/>
        </w:rPr>
        <w:t xml:space="preserve"> </w:t>
      </w:r>
      <w:r w:rsidR="00E47641" w:rsidRPr="00204A1C">
        <w:rPr>
          <w:sz w:val="24"/>
          <w:szCs w:val="24"/>
          <w:lang w:val="en-ID"/>
        </w:rPr>
        <w:t>during 11 months from t-12 to t-2</w:t>
      </w:r>
      <w:r w:rsidRPr="00204A1C">
        <w:rPr>
          <w:sz w:val="24"/>
          <w:szCs w:val="24"/>
          <w:lang w:val="en-ID"/>
        </w:rPr>
        <w:t>.</w:t>
      </w:r>
    </w:p>
    <w:p w14:paraId="5E75B832" w14:textId="4288472B" w:rsidR="00BA5E59" w:rsidRPr="00204A1C" w:rsidRDefault="00BA5E59" w:rsidP="00C25803">
      <w:pPr>
        <w:pStyle w:val="ListParagraph"/>
        <w:numPr>
          <w:ilvl w:val="0"/>
          <w:numId w:val="8"/>
        </w:numPr>
        <w:ind w:left="568" w:hanging="284"/>
        <w:contextualSpacing w:val="0"/>
        <w:jc w:val="both"/>
        <w:rPr>
          <w:sz w:val="24"/>
          <w:szCs w:val="24"/>
        </w:rPr>
      </w:pPr>
      <w:r w:rsidRPr="00204A1C">
        <w:rPr>
          <w:sz w:val="24"/>
          <w:szCs w:val="24"/>
          <w:lang w:val="en-ID"/>
        </w:rPr>
        <w:t xml:space="preserve">Short-term reversals (REV): </w:t>
      </w:r>
      <w:r w:rsidR="00E47641" w:rsidRPr="00204A1C">
        <w:rPr>
          <w:sz w:val="24"/>
          <w:szCs w:val="24"/>
          <w:lang w:val="en-ID"/>
        </w:rPr>
        <w:t xml:space="preserve">Short-term reversals </w:t>
      </w:r>
      <w:r w:rsidR="0085337B" w:rsidRPr="00204A1C">
        <w:rPr>
          <w:sz w:val="24"/>
          <w:szCs w:val="24"/>
          <w:lang w:val="en-ID"/>
        </w:rPr>
        <w:t xml:space="preserve">is defined as </w:t>
      </w:r>
      <w:r w:rsidR="00E47641" w:rsidRPr="00204A1C">
        <w:rPr>
          <w:sz w:val="24"/>
          <w:szCs w:val="24"/>
          <w:lang w:val="en-ID"/>
        </w:rPr>
        <w:t>one</w:t>
      </w:r>
      <w:r w:rsidR="00D47A3E" w:rsidRPr="00204A1C">
        <w:rPr>
          <w:sz w:val="24"/>
          <w:szCs w:val="24"/>
          <w:lang w:val="en-ID"/>
        </w:rPr>
        <w:t>-</w:t>
      </w:r>
      <w:r w:rsidR="00E47641" w:rsidRPr="00204A1C">
        <w:rPr>
          <w:sz w:val="24"/>
          <w:szCs w:val="24"/>
          <w:lang w:val="en-ID"/>
        </w:rPr>
        <w:t xml:space="preserve">month stock return t-1.  </w:t>
      </w:r>
    </w:p>
    <w:p w14:paraId="65284EF2" w14:textId="22AF3F41" w:rsidR="00BA5E59" w:rsidRPr="00204A1C" w:rsidRDefault="00BA5E59" w:rsidP="00C25803">
      <w:pPr>
        <w:pStyle w:val="ListParagraph"/>
        <w:numPr>
          <w:ilvl w:val="0"/>
          <w:numId w:val="8"/>
        </w:numPr>
        <w:ind w:left="568" w:hanging="284"/>
        <w:contextualSpacing w:val="0"/>
        <w:jc w:val="both"/>
        <w:rPr>
          <w:sz w:val="24"/>
          <w:szCs w:val="24"/>
        </w:rPr>
      </w:pPr>
      <w:r w:rsidRPr="00204A1C">
        <w:rPr>
          <w:sz w:val="24"/>
          <w:szCs w:val="24"/>
          <w:lang w:val="en-ID"/>
        </w:rPr>
        <w:t>Illiquidity (</w:t>
      </w:r>
      <w:proofErr w:type="spellStart"/>
      <w:r w:rsidRPr="00204A1C">
        <w:rPr>
          <w:sz w:val="24"/>
          <w:szCs w:val="24"/>
          <w:lang w:val="en-ID"/>
        </w:rPr>
        <w:t>Amihud</w:t>
      </w:r>
      <w:proofErr w:type="spellEnd"/>
      <w:r w:rsidRPr="00204A1C">
        <w:rPr>
          <w:sz w:val="24"/>
          <w:szCs w:val="24"/>
          <w:lang w:val="en-ID"/>
        </w:rPr>
        <w:t xml:space="preserve">): </w:t>
      </w:r>
      <w:r w:rsidR="00E47641" w:rsidRPr="00204A1C">
        <w:rPr>
          <w:sz w:val="24"/>
          <w:szCs w:val="24"/>
          <w:lang w:val="en-ID"/>
        </w:rPr>
        <w:t>Illiquidity is</w:t>
      </w:r>
      <w:r w:rsidR="004D4DE3" w:rsidRPr="00204A1C">
        <w:rPr>
          <w:sz w:val="24"/>
          <w:szCs w:val="24"/>
          <w:lang w:val="en-ID"/>
        </w:rPr>
        <w:t xml:space="preserve"> defined</w:t>
      </w:r>
      <w:r w:rsidR="00E47641" w:rsidRPr="00204A1C">
        <w:rPr>
          <w:sz w:val="24"/>
          <w:szCs w:val="24"/>
          <w:lang w:val="en-ID"/>
        </w:rPr>
        <w:t xml:space="preserve"> as </w:t>
      </w:r>
      <w:r w:rsidR="004D4DE3" w:rsidRPr="00204A1C">
        <w:rPr>
          <w:sz w:val="24"/>
          <w:szCs w:val="24"/>
          <w:lang w:val="en-ID"/>
        </w:rPr>
        <w:t xml:space="preserve">the ratio of </w:t>
      </w:r>
      <w:r w:rsidRPr="00204A1C">
        <w:rPr>
          <w:sz w:val="24"/>
          <w:szCs w:val="24"/>
          <w:lang w:val="en-ID"/>
        </w:rPr>
        <w:t xml:space="preserve">the absolute stock return </w:t>
      </w:r>
      <w:r w:rsidR="004D4DE3" w:rsidRPr="00204A1C">
        <w:rPr>
          <w:sz w:val="24"/>
          <w:szCs w:val="24"/>
          <w:lang w:val="en-ID"/>
        </w:rPr>
        <w:t>to</w:t>
      </w:r>
      <w:r w:rsidRPr="00204A1C">
        <w:rPr>
          <w:sz w:val="24"/>
          <w:szCs w:val="24"/>
          <w:lang w:val="en-ID"/>
        </w:rPr>
        <w:t xml:space="preserve"> trading </w:t>
      </w:r>
      <w:r w:rsidR="004D4DE3" w:rsidRPr="00204A1C">
        <w:rPr>
          <w:sz w:val="24"/>
          <w:szCs w:val="24"/>
          <w:lang w:val="en-ID"/>
        </w:rPr>
        <w:t xml:space="preserve">value in rupiah terms using monthly frequency and </w:t>
      </w:r>
      <w:r w:rsidR="00E47641" w:rsidRPr="00204A1C">
        <w:rPr>
          <w:sz w:val="24"/>
          <w:szCs w:val="24"/>
          <w:lang w:val="en-ID"/>
        </w:rPr>
        <w:t>multiply 10</w:t>
      </w:r>
      <w:r w:rsidR="00E47641" w:rsidRPr="00204A1C">
        <w:rPr>
          <w:sz w:val="24"/>
          <w:szCs w:val="24"/>
          <w:vertAlign w:val="superscript"/>
          <w:lang w:val="en-ID"/>
        </w:rPr>
        <w:t>10</w:t>
      </w:r>
      <w:r w:rsidRPr="00204A1C">
        <w:rPr>
          <w:sz w:val="24"/>
          <w:szCs w:val="24"/>
          <w:lang w:val="en-ID"/>
        </w:rPr>
        <w:t xml:space="preserve">. </w:t>
      </w:r>
    </w:p>
    <w:p w14:paraId="5669929F" w14:textId="024EB043" w:rsidR="00BA5E59" w:rsidRPr="00204A1C" w:rsidRDefault="00BA5E59" w:rsidP="00C25803">
      <w:pPr>
        <w:pStyle w:val="ListParagraph"/>
        <w:numPr>
          <w:ilvl w:val="0"/>
          <w:numId w:val="8"/>
        </w:numPr>
        <w:ind w:left="568" w:hanging="284"/>
        <w:contextualSpacing w:val="0"/>
        <w:jc w:val="both"/>
        <w:rPr>
          <w:sz w:val="24"/>
          <w:szCs w:val="24"/>
        </w:rPr>
      </w:pPr>
      <w:r w:rsidRPr="00204A1C">
        <w:rPr>
          <w:sz w:val="24"/>
          <w:szCs w:val="24"/>
          <w:lang w:val="en-ID"/>
        </w:rPr>
        <w:t>Co-skewness (</w:t>
      </w:r>
      <w:proofErr w:type="spellStart"/>
      <w:r w:rsidRPr="00204A1C">
        <w:rPr>
          <w:sz w:val="24"/>
          <w:szCs w:val="24"/>
          <w:lang w:val="en-ID"/>
        </w:rPr>
        <w:t>Coskew</w:t>
      </w:r>
      <w:proofErr w:type="spellEnd"/>
      <w:r w:rsidRPr="00204A1C">
        <w:rPr>
          <w:sz w:val="24"/>
          <w:szCs w:val="24"/>
          <w:lang w:val="en-ID"/>
        </w:rPr>
        <w:t xml:space="preserve">): </w:t>
      </w:r>
      <w:r w:rsidR="00E47641" w:rsidRPr="00204A1C">
        <w:rPr>
          <w:sz w:val="24"/>
          <w:szCs w:val="24"/>
          <w:lang w:val="en-ID"/>
        </w:rPr>
        <w:t xml:space="preserve">The Co-skewness is </w:t>
      </w:r>
      <w:r w:rsidR="0085337B" w:rsidRPr="00204A1C">
        <w:rPr>
          <w:sz w:val="24"/>
          <w:szCs w:val="24"/>
          <w:lang w:val="en-ID"/>
        </w:rPr>
        <w:t xml:space="preserve">defined as </w:t>
      </w:r>
      <w:r w:rsidRPr="00204A1C">
        <w:rPr>
          <w:sz w:val="24"/>
          <w:szCs w:val="24"/>
          <w:lang w:val="en-ID"/>
        </w:rPr>
        <w:t xml:space="preserve">the third standardized cross central moment </w:t>
      </w:r>
      <w:r w:rsidR="00ED7F26" w:rsidRPr="00204A1C">
        <w:rPr>
          <w:sz w:val="24"/>
          <w:szCs w:val="24"/>
          <w:lang w:val="en-ID"/>
        </w:rPr>
        <w:t>from</w:t>
      </w:r>
      <w:r w:rsidRPr="00204A1C">
        <w:rPr>
          <w:sz w:val="24"/>
          <w:szCs w:val="24"/>
          <w:lang w:val="en-ID"/>
        </w:rPr>
        <w:t xml:space="preserve"> the individual stock return and the market return. </w:t>
      </w:r>
    </w:p>
    <w:p w14:paraId="2B2ACF81" w14:textId="5C8B7CE0" w:rsidR="00BA5E59" w:rsidRPr="00204A1C" w:rsidRDefault="00BA5E59" w:rsidP="00C25803">
      <w:pPr>
        <w:pStyle w:val="ListParagraph"/>
        <w:numPr>
          <w:ilvl w:val="0"/>
          <w:numId w:val="8"/>
        </w:numPr>
        <w:ind w:left="568" w:hanging="284"/>
        <w:contextualSpacing w:val="0"/>
        <w:jc w:val="both"/>
        <w:rPr>
          <w:sz w:val="24"/>
          <w:szCs w:val="24"/>
        </w:rPr>
      </w:pPr>
      <w:r w:rsidRPr="00204A1C">
        <w:rPr>
          <w:sz w:val="24"/>
          <w:szCs w:val="24"/>
          <w:lang w:val="en-ID"/>
        </w:rPr>
        <w:t>Co-kurtosis (</w:t>
      </w:r>
      <w:proofErr w:type="spellStart"/>
      <w:r w:rsidRPr="00204A1C">
        <w:rPr>
          <w:sz w:val="24"/>
          <w:szCs w:val="24"/>
          <w:lang w:val="en-ID"/>
        </w:rPr>
        <w:t>Cokurt</w:t>
      </w:r>
      <w:proofErr w:type="spellEnd"/>
      <w:r w:rsidRPr="00204A1C">
        <w:rPr>
          <w:sz w:val="24"/>
          <w:szCs w:val="24"/>
          <w:lang w:val="en-ID"/>
        </w:rPr>
        <w:t xml:space="preserve">): </w:t>
      </w:r>
      <w:proofErr w:type="gramStart"/>
      <w:r w:rsidR="00E47641" w:rsidRPr="00204A1C">
        <w:rPr>
          <w:sz w:val="24"/>
          <w:szCs w:val="24"/>
          <w:lang w:val="en-ID"/>
        </w:rPr>
        <w:t>the</w:t>
      </w:r>
      <w:proofErr w:type="gramEnd"/>
      <w:r w:rsidR="00E47641" w:rsidRPr="00204A1C">
        <w:rPr>
          <w:sz w:val="24"/>
          <w:szCs w:val="24"/>
          <w:lang w:val="en-ID"/>
        </w:rPr>
        <w:t xml:space="preserve"> Co-Kurtosis is </w:t>
      </w:r>
      <w:r w:rsidR="0085337B" w:rsidRPr="00204A1C">
        <w:rPr>
          <w:sz w:val="24"/>
          <w:szCs w:val="24"/>
          <w:lang w:val="en-ID"/>
        </w:rPr>
        <w:t>defined as</w:t>
      </w:r>
      <w:r w:rsidR="00E47641" w:rsidRPr="00204A1C">
        <w:rPr>
          <w:sz w:val="24"/>
          <w:szCs w:val="24"/>
          <w:lang w:val="en-ID"/>
        </w:rPr>
        <w:t xml:space="preserve"> </w:t>
      </w:r>
      <w:r w:rsidRPr="00204A1C">
        <w:rPr>
          <w:sz w:val="24"/>
          <w:szCs w:val="24"/>
          <w:lang w:val="en-ID"/>
        </w:rPr>
        <w:t xml:space="preserve">the fourth standardized cross central moment </w:t>
      </w:r>
      <w:r w:rsidR="00ED7F26" w:rsidRPr="00204A1C">
        <w:rPr>
          <w:sz w:val="24"/>
          <w:szCs w:val="24"/>
          <w:lang w:val="en-ID"/>
        </w:rPr>
        <w:t xml:space="preserve">from </w:t>
      </w:r>
      <w:r w:rsidRPr="00204A1C">
        <w:rPr>
          <w:sz w:val="24"/>
          <w:szCs w:val="24"/>
          <w:lang w:val="en-ID"/>
        </w:rPr>
        <w:t>individual stock return and market return.</w:t>
      </w:r>
    </w:p>
    <w:p w14:paraId="2467575D" w14:textId="4B02FE52" w:rsidR="00BA5E59" w:rsidRPr="00204A1C" w:rsidRDefault="00BA5E59" w:rsidP="00C25803">
      <w:pPr>
        <w:pStyle w:val="ListParagraph"/>
        <w:numPr>
          <w:ilvl w:val="0"/>
          <w:numId w:val="8"/>
        </w:numPr>
        <w:ind w:left="568" w:hanging="284"/>
        <w:contextualSpacing w:val="0"/>
        <w:jc w:val="both"/>
        <w:rPr>
          <w:sz w:val="24"/>
          <w:szCs w:val="24"/>
        </w:rPr>
      </w:pPr>
      <w:r w:rsidRPr="00204A1C">
        <w:rPr>
          <w:sz w:val="24"/>
          <w:szCs w:val="24"/>
          <w:lang w:val="en-ID"/>
        </w:rPr>
        <w:t xml:space="preserve">Idiosyncratic volatility (IV): </w:t>
      </w:r>
      <w:r w:rsidR="00D47A3E" w:rsidRPr="00204A1C">
        <w:rPr>
          <w:sz w:val="24"/>
          <w:szCs w:val="24"/>
          <w:lang w:val="en-ID"/>
        </w:rPr>
        <w:t>Monthly i</w:t>
      </w:r>
      <w:r w:rsidR="00ED7F26" w:rsidRPr="00204A1C">
        <w:rPr>
          <w:sz w:val="24"/>
          <w:szCs w:val="24"/>
          <w:lang w:val="en-ID"/>
        </w:rPr>
        <w:t>diosync</w:t>
      </w:r>
      <w:r w:rsidR="00D47A3E" w:rsidRPr="00204A1C">
        <w:rPr>
          <w:sz w:val="24"/>
          <w:szCs w:val="24"/>
          <w:lang w:val="en-ID"/>
        </w:rPr>
        <w:t>r</w:t>
      </w:r>
      <w:r w:rsidR="00ED7F26" w:rsidRPr="00204A1C">
        <w:rPr>
          <w:sz w:val="24"/>
          <w:szCs w:val="24"/>
          <w:lang w:val="en-ID"/>
        </w:rPr>
        <w:t xml:space="preserve">atic volatility </w:t>
      </w:r>
      <w:r w:rsidR="00D47A3E" w:rsidRPr="00204A1C">
        <w:rPr>
          <w:sz w:val="24"/>
          <w:szCs w:val="24"/>
          <w:lang w:val="en-ID"/>
        </w:rPr>
        <w:t xml:space="preserve">of each stock </w:t>
      </w:r>
      <w:r w:rsidR="00ED7F26" w:rsidRPr="00204A1C">
        <w:rPr>
          <w:sz w:val="24"/>
          <w:szCs w:val="24"/>
          <w:lang w:val="en-ID"/>
        </w:rPr>
        <w:t xml:space="preserve">is </w:t>
      </w:r>
      <w:r w:rsidR="0085337B" w:rsidRPr="00204A1C">
        <w:rPr>
          <w:sz w:val="24"/>
          <w:szCs w:val="24"/>
          <w:lang w:val="en-ID"/>
        </w:rPr>
        <w:t>defined as</w:t>
      </w:r>
      <w:r w:rsidRPr="00204A1C">
        <w:rPr>
          <w:sz w:val="24"/>
          <w:szCs w:val="24"/>
          <w:lang w:val="en-ID"/>
        </w:rPr>
        <w:t xml:space="preserve"> </w:t>
      </w:r>
      <w:r w:rsidR="004D4DE3" w:rsidRPr="00204A1C">
        <w:rPr>
          <w:sz w:val="24"/>
          <w:szCs w:val="24"/>
          <w:lang w:val="en-ID"/>
        </w:rPr>
        <w:t>volatility</w:t>
      </w:r>
      <w:r w:rsidRPr="00204A1C">
        <w:rPr>
          <w:sz w:val="24"/>
          <w:szCs w:val="24"/>
          <w:lang w:val="en-ID"/>
        </w:rPr>
        <w:t xml:space="preserve"> of the </w:t>
      </w:r>
      <w:r w:rsidR="00D47A3E" w:rsidRPr="00204A1C">
        <w:rPr>
          <w:sz w:val="24"/>
          <w:szCs w:val="24"/>
          <w:lang w:val="en-ID"/>
        </w:rPr>
        <w:t xml:space="preserve">daily </w:t>
      </w:r>
      <w:r w:rsidRPr="00204A1C">
        <w:rPr>
          <w:sz w:val="24"/>
          <w:szCs w:val="24"/>
          <w:lang w:val="en-ID"/>
        </w:rPr>
        <w:t xml:space="preserve">residual returns </w:t>
      </w:r>
      <w:r w:rsidR="00D47A3E" w:rsidRPr="00204A1C">
        <w:rPr>
          <w:sz w:val="24"/>
          <w:szCs w:val="24"/>
          <w:lang w:val="en-ID"/>
        </w:rPr>
        <w:t xml:space="preserve">of </w:t>
      </w:r>
      <w:r w:rsidR="00FC7813" w:rsidRPr="00204A1C">
        <w:rPr>
          <w:sz w:val="24"/>
          <w:szCs w:val="24"/>
          <w:lang w:val="en-ID"/>
        </w:rPr>
        <w:t>each stock for each month</w:t>
      </w:r>
      <w:r w:rsidR="00D47A3E" w:rsidRPr="00204A1C">
        <w:rPr>
          <w:sz w:val="24"/>
          <w:szCs w:val="24"/>
          <w:lang w:val="en-ID"/>
        </w:rPr>
        <w:t xml:space="preserve"> </w:t>
      </w:r>
      <w:r w:rsidRPr="00204A1C">
        <w:rPr>
          <w:sz w:val="24"/>
          <w:szCs w:val="24"/>
          <w:lang w:val="en-ID"/>
        </w:rPr>
        <w:t xml:space="preserve">from the </w:t>
      </w:r>
      <w:proofErr w:type="spellStart"/>
      <w:r w:rsidRPr="00204A1C">
        <w:rPr>
          <w:sz w:val="24"/>
          <w:szCs w:val="24"/>
          <w:lang w:val="en-ID"/>
        </w:rPr>
        <w:t>Fama</w:t>
      </w:r>
      <w:proofErr w:type="spellEnd"/>
      <w:r w:rsidRPr="00204A1C">
        <w:rPr>
          <w:sz w:val="24"/>
          <w:szCs w:val="24"/>
          <w:lang w:val="en-ID"/>
        </w:rPr>
        <w:t xml:space="preserve">–French </w:t>
      </w:r>
      <w:r w:rsidR="00FC7813" w:rsidRPr="00204A1C">
        <w:rPr>
          <w:sz w:val="24"/>
          <w:szCs w:val="24"/>
          <w:lang w:val="en-ID"/>
        </w:rPr>
        <w:t xml:space="preserve">3 factors </w:t>
      </w:r>
      <w:r w:rsidRPr="00204A1C">
        <w:rPr>
          <w:sz w:val="24"/>
          <w:szCs w:val="24"/>
          <w:lang w:val="en-ID"/>
        </w:rPr>
        <w:t xml:space="preserve">model. </w:t>
      </w:r>
    </w:p>
    <w:p w14:paraId="2B8F59E9" w14:textId="62F76570" w:rsidR="00BA5E59" w:rsidRPr="00204A1C" w:rsidRDefault="00BA5E59" w:rsidP="00C25803">
      <w:pPr>
        <w:pStyle w:val="ListParagraph"/>
        <w:numPr>
          <w:ilvl w:val="0"/>
          <w:numId w:val="8"/>
        </w:numPr>
        <w:ind w:left="568" w:hanging="284"/>
        <w:contextualSpacing w:val="0"/>
        <w:jc w:val="both"/>
        <w:rPr>
          <w:sz w:val="24"/>
          <w:szCs w:val="24"/>
        </w:rPr>
      </w:pPr>
      <w:r w:rsidRPr="00204A1C">
        <w:rPr>
          <w:sz w:val="24"/>
          <w:szCs w:val="24"/>
          <w:lang w:val="en-ID"/>
        </w:rPr>
        <w:t>Idiosyncratic skewness (</w:t>
      </w:r>
      <w:proofErr w:type="spellStart"/>
      <w:r w:rsidRPr="00204A1C">
        <w:rPr>
          <w:sz w:val="24"/>
          <w:szCs w:val="24"/>
          <w:lang w:val="en-ID"/>
        </w:rPr>
        <w:t>Iskew</w:t>
      </w:r>
      <w:proofErr w:type="spellEnd"/>
      <w:r w:rsidRPr="00204A1C">
        <w:rPr>
          <w:sz w:val="24"/>
          <w:szCs w:val="24"/>
          <w:lang w:val="en-ID"/>
        </w:rPr>
        <w:t xml:space="preserve">): </w:t>
      </w:r>
      <w:r w:rsidR="00D47A3E" w:rsidRPr="00204A1C">
        <w:rPr>
          <w:sz w:val="24"/>
          <w:szCs w:val="24"/>
          <w:lang w:val="en-ID"/>
        </w:rPr>
        <w:t xml:space="preserve"> Idiosyncratic skewness of each stock for each month is </w:t>
      </w:r>
      <w:r w:rsidR="0085337B" w:rsidRPr="00204A1C">
        <w:rPr>
          <w:sz w:val="24"/>
          <w:szCs w:val="24"/>
          <w:lang w:val="en-ID"/>
        </w:rPr>
        <w:t>defined</w:t>
      </w:r>
      <w:r w:rsidR="00D47A3E" w:rsidRPr="00204A1C">
        <w:rPr>
          <w:sz w:val="24"/>
          <w:szCs w:val="24"/>
          <w:lang w:val="en-ID"/>
        </w:rPr>
        <w:t xml:space="preserve"> </w:t>
      </w:r>
      <w:r w:rsidR="0085337B" w:rsidRPr="00204A1C">
        <w:rPr>
          <w:sz w:val="24"/>
          <w:szCs w:val="24"/>
          <w:lang w:val="en-ID"/>
        </w:rPr>
        <w:t>as the skewness</w:t>
      </w:r>
      <w:r w:rsidR="00D47A3E" w:rsidRPr="00204A1C">
        <w:rPr>
          <w:sz w:val="24"/>
          <w:szCs w:val="24"/>
          <w:lang w:val="en-ID"/>
        </w:rPr>
        <w:t xml:space="preserve"> </w:t>
      </w:r>
      <w:r w:rsidRPr="00204A1C">
        <w:rPr>
          <w:sz w:val="24"/>
          <w:szCs w:val="24"/>
          <w:lang w:val="en-ID"/>
        </w:rPr>
        <w:t xml:space="preserve">of the </w:t>
      </w:r>
      <w:r w:rsidR="00D47A3E" w:rsidRPr="00204A1C">
        <w:rPr>
          <w:sz w:val="24"/>
          <w:szCs w:val="24"/>
          <w:lang w:val="en-ID"/>
        </w:rPr>
        <w:t xml:space="preserve">daily </w:t>
      </w:r>
      <w:r w:rsidRPr="00204A1C">
        <w:rPr>
          <w:sz w:val="24"/>
          <w:szCs w:val="24"/>
          <w:lang w:val="en-ID"/>
        </w:rPr>
        <w:t xml:space="preserve">residual returns </w:t>
      </w:r>
      <w:r w:rsidR="00D47A3E" w:rsidRPr="00204A1C">
        <w:rPr>
          <w:sz w:val="24"/>
          <w:szCs w:val="24"/>
          <w:lang w:val="en-ID"/>
        </w:rPr>
        <w:t xml:space="preserve">for each stock for each month </w:t>
      </w:r>
      <w:r w:rsidRPr="00204A1C">
        <w:rPr>
          <w:sz w:val="24"/>
          <w:szCs w:val="24"/>
          <w:lang w:val="en-ID"/>
        </w:rPr>
        <w:t xml:space="preserve">from the </w:t>
      </w:r>
      <w:proofErr w:type="spellStart"/>
      <w:r w:rsidRPr="00204A1C">
        <w:rPr>
          <w:sz w:val="24"/>
          <w:szCs w:val="24"/>
          <w:lang w:val="en-ID"/>
        </w:rPr>
        <w:t>Fama</w:t>
      </w:r>
      <w:proofErr w:type="spellEnd"/>
      <w:r w:rsidRPr="00204A1C">
        <w:rPr>
          <w:sz w:val="24"/>
          <w:szCs w:val="24"/>
          <w:lang w:val="en-ID"/>
        </w:rPr>
        <w:t xml:space="preserve">–French </w:t>
      </w:r>
      <w:r w:rsidR="0085337B" w:rsidRPr="00204A1C">
        <w:rPr>
          <w:sz w:val="24"/>
          <w:szCs w:val="24"/>
          <w:lang w:val="en-ID"/>
        </w:rPr>
        <w:t xml:space="preserve">three factors </w:t>
      </w:r>
      <w:r w:rsidRPr="00204A1C">
        <w:rPr>
          <w:sz w:val="24"/>
          <w:szCs w:val="24"/>
          <w:lang w:val="en-ID"/>
        </w:rPr>
        <w:t>model.</w:t>
      </w:r>
    </w:p>
    <w:p w14:paraId="3579124B" w14:textId="0B17339E" w:rsidR="00BA5E59" w:rsidRPr="00204A1C" w:rsidRDefault="00BA5E59" w:rsidP="00C25803">
      <w:pPr>
        <w:pStyle w:val="ListParagraph"/>
        <w:numPr>
          <w:ilvl w:val="0"/>
          <w:numId w:val="8"/>
        </w:numPr>
        <w:ind w:left="568" w:hanging="284"/>
        <w:contextualSpacing w:val="0"/>
        <w:jc w:val="both"/>
        <w:rPr>
          <w:sz w:val="24"/>
          <w:szCs w:val="24"/>
        </w:rPr>
      </w:pPr>
      <w:r w:rsidRPr="00204A1C">
        <w:rPr>
          <w:sz w:val="24"/>
          <w:szCs w:val="24"/>
          <w:lang w:val="en-ID"/>
        </w:rPr>
        <w:t>Idiosyncratic kurtosis (</w:t>
      </w:r>
      <w:proofErr w:type="spellStart"/>
      <w:r w:rsidRPr="00204A1C">
        <w:rPr>
          <w:sz w:val="24"/>
          <w:szCs w:val="24"/>
          <w:lang w:val="en-ID"/>
        </w:rPr>
        <w:t>Ikurt</w:t>
      </w:r>
      <w:proofErr w:type="spellEnd"/>
      <w:r w:rsidRPr="00204A1C">
        <w:rPr>
          <w:sz w:val="24"/>
          <w:szCs w:val="24"/>
          <w:lang w:val="en-ID"/>
        </w:rPr>
        <w:t xml:space="preserve">): </w:t>
      </w:r>
      <w:r w:rsidR="00D47A3E" w:rsidRPr="00204A1C">
        <w:rPr>
          <w:sz w:val="24"/>
          <w:szCs w:val="24"/>
          <w:lang w:val="en-ID"/>
        </w:rPr>
        <w:t xml:space="preserve">Idiosyncratic kurtosis of each stock for each month is </w:t>
      </w:r>
      <w:r w:rsidR="0085337B" w:rsidRPr="00204A1C">
        <w:rPr>
          <w:sz w:val="24"/>
          <w:szCs w:val="24"/>
          <w:lang w:val="en-ID"/>
        </w:rPr>
        <w:t>defined</w:t>
      </w:r>
      <w:r w:rsidR="00D47A3E" w:rsidRPr="00204A1C">
        <w:rPr>
          <w:sz w:val="24"/>
          <w:szCs w:val="24"/>
          <w:lang w:val="en-ID"/>
        </w:rPr>
        <w:t xml:space="preserve"> </w:t>
      </w:r>
      <w:r w:rsidR="0085337B" w:rsidRPr="00204A1C">
        <w:rPr>
          <w:sz w:val="24"/>
          <w:szCs w:val="24"/>
          <w:lang w:val="en-ID"/>
        </w:rPr>
        <w:t xml:space="preserve">as </w:t>
      </w:r>
      <w:r w:rsidR="00D47A3E" w:rsidRPr="00204A1C">
        <w:rPr>
          <w:sz w:val="24"/>
          <w:szCs w:val="24"/>
          <w:lang w:val="en-ID"/>
        </w:rPr>
        <w:t xml:space="preserve">the </w:t>
      </w:r>
      <w:r w:rsidR="0085337B" w:rsidRPr="00204A1C">
        <w:rPr>
          <w:sz w:val="24"/>
          <w:szCs w:val="24"/>
          <w:lang w:val="en-ID"/>
        </w:rPr>
        <w:t>kurtosis</w:t>
      </w:r>
      <w:r w:rsidR="00D47A3E" w:rsidRPr="00204A1C">
        <w:rPr>
          <w:sz w:val="24"/>
          <w:szCs w:val="24"/>
          <w:lang w:val="en-ID"/>
        </w:rPr>
        <w:t xml:space="preserve"> </w:t>
      </w:r>
      <w:r w:rsidRPr="00204A1C">
        <w:rPr>
          <w:sz w:val="24"/>
          <w:szCs w:val="24"/>
          <w:lang w:val="en-ID"/>
        </w:rPr>
        <w:t>of the</w:t>
      </w:r>
      <w:r w:rsidR="00D47A3E" w:rsidRPr="00204A1C">
        <w:rPr>
          <w:sz w:val="24"/>
          <w:szCs w:val="24"/>
          <w:lang w:val="en-ID"/>
        </w:rPr>
        <w:t xml:space="preserve"> daily</w:t>
      </w:r>
      <w:r w:rsidRPr="00204A1C">
        <w:rPr>
          <w:sz w:val="24"/>
          <w:szCs w:val="24"/>
          <w:lang w:val="en-ID"/>
        </w:rPr>
        <w:t xml:space="preserve"> residual returns</w:t>
      </w:r>
      <w:r w:rsidR="00D47A3E" w:rsidRPr="00204A1C">
        <w:rPr>
          <w:sz w:val="24"/>
          <w:szCs w:val="24"/>
          <w:lang w:val="en-ID"/>
        </w:rPr>
        <w:t xml:space="preserve"> of reach stock for each month</w:t>
      </w:r>
      <w:r w:rsidRPr="00204A1C">
        <w:rPr>
          <w:sz w:val="24"/>
          <w:szCs w:val="24"/>
          <w:lang w:val="en-ID"/>
        </w:rPr>
        <w:t xml:space="preserve"> from the </w:t>
      </w:r>
      <w:proofErr w:type="spellStart"/>
      <w:r w:rsidRPr="00204A1C">
        <w:rPr>
          <w:sz w:val="24"/>
          <w:szCs w:val="24"/>
          <w:lang w:val="en-ID"/>
        </w:rPr>
        <w:t>Fama</w:t>
      </w:r>
      <w:proofErr w:type="spellEnd"/>
      <w:r w:rsidRPr="00204A1C">
        <w:rPr>
          <w:sz w:val="24"/>
          <w:szCs w:val="24"/>
          <w:lang w:val="en-ID"/>
        </w:rPr>
        <w:t xml:space="preserve">–French </w:t>
      </w:r>
      <w:r w:rsidR="004D4DE3" w:rsidRPr="00204A1C">
        <w:rPr>
          <w:sz w:val="24"/>
          <w:szCs w:val="24"/>
          <w:lang w:val="en-ID"/>
        </w:rPr>
        <w:t xml:space="preserve">3 factors </w:t>
      </w:r>
      <w:r w:rsidRPr="00204A1C">
        <w:rPr>
          <w:sz w:val="24"/>
          <w:szCs w:val="24"/>
          <w:lang w:val="en-ID"/>
        </w:rPr>
        <w:t>model.</w:t>
      </w:r>
    </w:p>
    <w:p w14:paraId="00BF8823" w14:textId="50DE2679" w:rsidR="0080687B" w:rsidRPr="00204A1C" w:rsidRDefault="00BA5E59" w:rsidP="00C25803">
      <w:pPr>
        <w:pStyle w:val="ListParagraph"/>
        <w:numPr>
          <w:ilvl w:val="0"/>
          <w:numId w:val="8"/>
        </w:numPr>
        <w:ind w:left="568" w:hanging="284"/>
        <w:contextualSpacing w:val="0"/>
        <w:jc w:val="both"/>
        <w:rPr>
          <w:sz w:val="24"/>
          <w:szCs w:val="24"/>
        </w:rPr>
      </w:pPr>
      <w:r w:rsidRPr="00204A1C">
        <w:rPr>
          <w:sz w:val="24"/>
          <w:szCs w:val="24"/>
          <w:lang w:val="en-ID"/>
        </w:rPr>
        <w:lastRenderedPageBreak/>
        <w:t xml:space="preserve">Maximum daily return (MAX): </w:t>
      </w:r>
      <w:r w:rsidR="00D47A3E" w:rsidRPr="00204A1C">
        <w:rPr>
          <w:sz w:val="24"/>
          <w:szCs w:val="24"/>
          <w:lang w:val="en-ID"/>
        </w:rPr>
        <w:t xml:space="preserve">Maximum daily return is </w:t>
      </w:r>
      <w:r w:rsidR="0085337B" w:rsidRPr="00204A1C">
        <w:rPr>
          <w:sz w:val="24"/>
          <w:szCs w:val="24"/>
          <w:lang w:val="en-ID"/>
        </w:rPr>
        <w:t xml:space="preserve">defined as </w:t>
      </w:r>
      <w:r w:rsidRPr="00204A1C">
        <w:rPr>
          <w:sz w:val="24"/>
          <w:szCs w:val="24"/>
          <w:lang w:val="en-ID"/>
        </w:rPr>
        <w:t xml:space="preserve">the </w:t>
      </w:r>
      <w:r w:rsidR="004D4DE3" w:rsidRPr="00204A1C">
        <w:rPr>
          <w:sz w:val="24"/>
          <w:szCs w:val="24"/>
          <w:lang w:val="en-ID"/>
        </w:rPr>
        <w:t>highest</w:t>
      </w:r>
      <w:r w:rsidRPr="00204A1C">
        <w:rPr>
          <w:sz w:val="24"/>
          <w:szCs w:val="24"/>
          <w:lang w:val="en-ID"/>
        </w:rPr>
        <w:t xml:space="preserve"> daily return during the </w:t>
      </w:r>
      <w:r w:rsidR="0085337B" w:rsidRPr="00204A1C">
        <w:rPr>
          <w:sz w:val="24"/>
          <w:szCs w:val="24"/>
          <w:lang w:val="en-ID"/>
        </w:rPr>
        <w:t>previous</w:t>
      </w:r>
      <w:r w:rsidRPr="00204A1C">
        <w:rPr>
          <w:sz w:val="24"/>
          <w:szCs w:val="24"/>
          <w:lang w:val="en-ID"/>
        </w:rPr>
        <w:t xml:space="preserve"> month</w:t>
      </w:r>
      <w:r w:rsidR="00D47A3E" w:rsidRPr="00204A1C">
        <w:rPr>
          <w:sz w:val="24"/>
          <w:szCs w:val="24"/>
          <w:lang w:val="en-ID"/>
        </w:rPr>
        <w:t xml:space="preserve"> for each stock</w:t>
      </w:r>
      <w:r w:rsidRPr="00204A1C">
        <w:rPr>
          <w:sz w:val="24"/>
          <w:szCs w:val="24"/>
          <w:lang w:val="en-ID"/>
        </w:rPr>
        <w:t>.</w:t>
      </w:r>
    </w:p>
    <w:p w14:paraId="78622972" w14:textId="77777777" w:rsidR="0085337B" w:rsidRPr="00204A1C" w:rsidRDefault="0085337B" w:rsidP="0085337B">
      <w:pPr>
        <w:pStyle w:val="ListParagraph"/>
        <w:ind w:left="568"/>
        <w:contextualSpacing w:val="0"/>
        <w:jc w:val="both"/>
        <w:rPr>
          <w:sz w:val="24"/>
          <w:szCs w:val="24"/>
        </w:rPr>
      </w:pPr>
    </w:p>
    <w:p w14:paraId="4ED665BB" w14:textId="2DDE62C8" w:rsidR="00573C2B" w:rsidRPr="00204A1C" w:rsidRDefault="000D0306" w:rsidP="00646B84">
      <w:pPr>
        <w:pStyle w:val="Heading2"/>
        <w:numPr>
          <w:ilvl w:val="1"/>
          <w:numId w:val="15"/>
        </w:numPr>
        <w:spacing w:before="0" w:after="0"/>
        <w:rPr>
          <w:i w:val="0"/>
          <w:iCs/>
          <w:sz w:val="22"/>
          <w:szCs w:val="22"/>
        </w:rPr>
      </w:pPr>
      <w:r w:rsidRPr="00204A1C">
        <w:rPr>
          <w:i w:val="0"/>
          <w:iCs/>
          <w:sz w:val="24"/>
          <w:szCs w:val="24"/>
        </w:rPr>
        <w:t xml:space="preserve">Univariate </w:t>
      </w:r>
      <w:r w:rsidR="00D47A3E" w:rsidRPr="00204A1C">
        <w:rPr>
          <w:i w:val="0"/>
          <w:iCs/>
          <w:sz w:val="24"/>
          <w:szCs w:val="24"/>
        </w:rPr>
        <w:t>Time Series Analysis</w:t>
      </w:r>
    </w:p>
    <w:p w14:paraId="08779F23" w14:textId="1A36813F" w:rsidR="00573C2B" w:rsidRPr="00204A1C" w:rsidRDefault="000D0306" w:rsidP="00C25803">
      <w:pPr>
        <w:ind w:firstLine="284"/>
        <w:jc w:val="both"/>
        <w:rPr>
          <w:sz w:val="24"/>
          <w:szCs w:val="24"/>
        </w:rPr>
      </w:pPr>
      <w:r w:rsidRPr="00204A1C">
        <w:rPr>
          <w:sz w:val="24"/>
          <w:szCs w:val="24"/>
        </w:rPr>
        <w:t xml:space="preserve">Univariate </w:t>
      </w:r>
      <w:r w:rsidR="00D47A3E" w:rsidRPr="00204A1C">
        <w:rPr>
          <w:sz w:val="24"/>
          <w:szCs w:val="24"/>
        </w:rPr>
        <w:t>time series</w:t>
      </w:r>
      <w:r w:rsidRPr="00204A1C">
        <w:rPr>
          <w:sz w:val="24"/>
          <w:szCs w:val="24"/>
        </w:rPr>
        <w:t xml:space="preserve"> analysis was done using several steps:</w:t>
      </w:r>
      <w:r w:rsidR="00A00A6C" w:rsidRPr="00204A1C">
        <w:rPr>
          <w:sz w:val="24"/>
          <w:szCs w:val="24"/>
        </w:rPr>
        <w:t xml:space="preserve"> </w:t>
      </w:r>
      <w:r w:rsidRPr="00204A1C">
        <w:rPr>
          <w:sz w:val="24"/>
          <w:szCs w:val="24"/>
        </w:rPr>
        <w:t>All companies were sorted and divided into 5 portfolios (quintile portfolio) based on idiosyncratic tail risk</w:t>
      </w:r>
      <w:r w:rsidR="0085337B" w:rsidRPr="00204A1C">
        <w:rPr>
          <w:sz w:val="24"/>
          <w:szCs w:val="24"/>
        </w:rPr>
        <w:t xml:space="preserve"> (ITR)</w:t>
      </w:r>
      <w:r w:rsidRPr="00204A1C">
        <w:rPr>
          <w:sz w:val="24"/>
          <w:szCs w:val="24"/>
        </w:rPr>
        <w:t>,</w:t>
      </w:r>
      <w:r w:rsidR="00A00A6C" w:rsidRPr="00204A1C">
        <w:rPr>
          <w:sz w:val="24"/>
          <w:szCs w:val="24"/>
        </w:rPr>
        <w:t xml:space="preserve"> Then, </w:t>
      </w:r>
      <w:r w:rsidRPr="00204A1C">
        <w:rPr>
          <w:sz w:val="24"/>
          <w:szCs w:val="24"/>
        </w:rPr>
        <w:t>monthly equal-weighted return and value-weighted return portfolio was calculated and along with their average</w:t>
      </w:r>
      <w:r w:rsidR="00A00A6C" w:rsidRPr="00204A1C">
        <w:rPr>
          <w:sz w:val="24"/>
          <w:szCs w:val="24"/>
        </w:rPr>
        <w:t xml:space="preserve">. </w:t>
      </w:r>
      <w:r w:rsidR="0085337B" w:rsidRPr="00204A1C">
        <w:rPr>
          <w:sz w:val="24"/>
          <w:szCs w:val="24"/>
        </w:rPr>
        <w:t xml:space="preserve">This equal-weighted and value weighed stock return are used as dependent variables for each portfolio. </w:t>
      </w:r>
      <w:r w:rsidR="00A00A6C" w:rsidRPr="00204A1C">
        <w:rPr>
          <w:sz w:val="24"/>
          <w:szCs w:val="24"/>
        </w:rPr>
        <w:t xml:space="preserve">After that, </w:t>
      </w:r>
      <w:r w:rsidRPr="00204A1C">
        <w:rPr>
          <w:sz w:val="24"/>
          <w:szCs w:val="24"/>
        </w:rPr>
        <w:t>sixth portfolio was made which was the difference in return between the high and low idiosyncratic tail risk portfolio</w:t>
      </w:r>
      <w:r w:rsidR="00A00A6C" w:rsidRPr="00204A1C">
        <w:rPr>
          <w:sz w:val="24"/>
          <w:szCs w:val="24"/>
        </w:rPr>
        <w:t xml:space="preserve">. Later, </w:t>
      </w:r>
      <w:r w:rsidRPr="00204A1C">
        <w:rPr>
          <w:sz w:val="24"/>
          <w:szCs w:val="24"/>
        </w:rPr>
        <w:t xml:space="preserve">the alpha from CAPM and </w:t>
      </w:r>
      <w:proofErr w:type="spellStart"/>
      <w:r w:rsidRPr="00204A1C">
        <w:rPr>
          <w:sz w:val="24"/>
          <w:szCs w:val="24"/>
        </w:rPr>
        <w:t>Fama</w:t>
      </w:r>
      <w:proofErr w:type="spellEnd"/>
      <w:r w:rsidRPr="00204A1C">
        <w:rPr>
          <w:sz w:val="24"/>
          <w:szCs w:val="24"/>
        </w:rPr>
        <w:t>-French Three Factor Model (FF3) was calculated from the portfolio that had been divided.</w:t>
      </w:r>
    </w:p>
    <w:p w14:paraId="5C0C5FA8" w14:textId="3809045C" w:rsidR="0080687B" w:rsidRPr="00204A1C" w:rsidRDefault="0085337B" w:rsidP="0085337B">
      <w:pPr>
        <w:ind w:firstLine="284"/>
        <w:jc w:val="both"/>
        <w:rPr>
          <w:sz w:val="24"/>
          <w:szCs w:val="24"/>
        </w:rPr>
      </w:pPr>
      <w:r w:rsidRPr="00204A1C">
        <w:rPr>
          <w:sz w:val="24"/>
          <w:szCs w:val="24"/>
        </w:rPr>
        <w:t>Then, a</w:t>
      </w:r>
      <w:r w:rsidR="00A00A6C" w:rsidRPr="00204A1C">
        <w:rPr>
          <w:sz w:val="24"/>
          <w:szCs w:val="24"/>
        </w:rPr>
        <w:t xml:space="preserve">ll </w:t>
      </w:r>
      <w:r w:rsidR="0080687B" w:rsidRPr="00204A1C">
        <w:rPr>
          <w:sz w:val="24"/>
          <w:szCs w:val="24"/>
        </w:rPr>
        <w:t>companies were sorted and divided into 5 portfolios (quintile portfolio) based on idiosyncratic volatility</w:t>
      </w:r>
      <w:r w:rsidRPr="00204A1C">
        <w:rPr>
          <w:sz w:val="24"/>
          <w:szCs w:val="24"/>
        </w:rPr>
        <w:t xml:space="preserve"> (IV)</w:t>
      </w:r>
      <w:r w:rsidR="00A00A6C" w:rsidRPr="00204A1C">
        <w:rPr>
          <w:sz w:val="24"/>
          <w:szCs w:val="24"/>
        </w:rPr>
        <w:t xml:space="preserve">. Afterward, </w:t>
      </w:r>
      <w:r w:rsidR="0080687B" w:rsidRPr="00204A1C">
        <w:rPr>
          <w:sz w:val="24"/>
          <w:szCs w:val="24"/>
        </w:rPr>
        <w:t>monthly equal-weighted return and value-weighted return portfolio was calculated and along with their average</w:t>
      </w:r>
      <w:r w:rsidR="00A00A6C" w:rsidRPr="00204A1C">
        <w:rPr>
          <w:sz w:val="24"/>
          <w:szCs w:val="24"/>
        </w:rPr>
        <w:t xml:space="preserve">. Then, </w:t>
      </w:r>
      <w:r w:rsidR="0080687B" w:rsidRPr="00204A1C">
        <w:rPr>
          <w:sz w:val="24"/>
          <w:szCs w:val="24"/>
        </w:rPr>
        <w:t>sixth portfolio was made which was the difference in return between the high and low idiosyncratic tail risk portfolio</w:t>
      </w:r>
      <w:r w:rsidR="00A00A6C" w:rsidRPr="00204A1C">
        <w:rPr>
          <w:sz w:val="24"/>
          <w:szCs w:val="24"/>
        </w:rPr>
        <w:t xml:space="preserve">. After that, </w:t>
      </w:r>
      <w:r w:rsidR="0080687B" w:rsidRPr="00204A1C">
        <w:rPr>
          <w:sz w:val="24"/>
          <w:szCs w:val="24"/>
        </w:rPr>
        <w:t xml:space="preserve">the alpha from CAPM and </w:t>
      </w:r>
      <w:proofErr w:type="spellStart"/>
      <w:r w:rsidR="0080687B" w:rsidRPr="00204A1C">
        <w:rPr>
          <w:sz w:val="24"/>
          <w:szCs w:val="24"/>
        </w:rPr>
        <w:t>Fama</w:t>
      </w:r>
      <w:proofErr w:type="spellEnd"/>
      <w:r w:rsidR="0080687B" w:rsidRPr="00204A1C">
        <w:rPr>
          <w:sz w:val="24"/>
          <w:szCs w:val="24"/>
        </w:rPr>
        <w:t>-French Three Factor Model (FF3) was calculated from the portfolio that had been divided.</w:t>
      </w:r>
    </w:p>
    <w:p w14:paraId="4CF91949" w14:textId="77777777" w:rsidR="0085337B" w:rsidRPr="00204A1C" w:rsidRDefault="0085337B" w:rsidP="0085337B">
      <w:pPr>
        <w:ind w:firstLine="284"/>
        <w:jc w:val="both"/>
        <w:rPr>
          <w:sz w:val="24"/>
          <w:szCs w:val="24"/>
        </w:rPr>
      </w:pPr>
    </w:p>
    <w:p w14:paraId="61BE9DA6" w14:textId="09D523D6" w:rsidR="00573C2B" w:rsidRPr="00204A1C" w:rsidRDefault="000D0306" w:rsidP="00646B84">
      <w:pPr>
        <w:pStyle w:val="Heading2"/>
        <w:numPr>
          <w:ilvl w:val="1"/>
          <w:numId w:val="15"/>
        </w:numPr>
        <w:spacing w:before="0" w:after="0"/>
        <w:rPr>
          <w:i w:val="0"/>
          <w:iCs/>
          <w:sz w:val="22"/>
          <w:szCs w:val="22"/>
        </w:rPr>
      </w:pPr>
      <w:r w:rsidRPr="00204A1C">
        <w:rPr>
          <w:i w:val="0"/>
          <w:iCs/>
          <w:sz w:val="24"/>
          <w:szCs w:val="24"/>
        </w:rPr>
        <w:t xml:space="preserve">Firm-level </w:t>
      </w:r>
      <w:proofErr w:type="spellStart"/>
      <w:r w:rsidR="00A00A6C" w:rsidRPr="00204A1C">
        <w:rPr>
          <w:i w:val="0"/>
          <w:iCs/>
          <w:sz w:val="24"/>
          <w:szCs w:val="24"/>
        </w:rPr>
        <w:t>Fama-MacBeth</w:t>
      </w:r>
      <w:proofErr w:type="spellEnd"/>
      <w:r w:rsidR="00A00A6C" w:rsidRPr="00204A1C">
        <w:rPr>
          <w:i w:val="0"/>
          <w:iCs/>
          <w:sz w:val="24"/>
          <w:szCs w:val="24"/>
        </w:rPr>
        <w:t xml:space="preserve"> Regression</w:t>
      </w:r>
    </w:p>
    <w:p w14:paraId="68B2DF8A" w14:textId="0B4BD386" w:rsidR="00573C2B" w:rsidRPr="00204A1C" w:rsidRDefault="000D0306" w:rsidP="00C25803">
      <w:pPr>
        <w:ind w:firstLine="284"/>
        <w:jc w:val="both"/>
        <w:rPr>
          <w:sz w:val="24"/>
          <w:szCs w:val="24"/>
        </w:rPr>
      </w:pPr>
      <w:r w:rsidRPr="00204A1C">
        <w:rPr>
          <w:iCs/>
          <w:sz w:val="24"/>
          <w:szCs w:val="24"/>
          <w:highlight w:val="white"/>
        </w:rPr>
        <w:t xml:space="preserve">Firm-level cross-sectional regressions </w:t>
      </w:r>
      <w:r w:rsidR="00675D70" w:rsidRPr="00204A1C">
        <w:rPr>
          <w:iCs/>
          <w:sz w:val="24"/>
          <w:szCs w:val="24"/>
          <w:highlight w:val="white"/>
        </w:rPr>
        <w:t>were done</w:t>
      </w:r>
      <w:r w:rsidRPr="00204A1C">
        <w:rPr>
          <w:iCs/>
          <w:sz w:val="24"/>
          <w:szCs w:val="24"/>
          <w:highlight w:val="white"/>
        </w:rPr>
        <w:t xml:space="preserve"> by </w:t>
      </w:r>
      <w:r w:rsidR="00675D70" w:rsidRPr="00204A1C">
        <w:rPr>
          <w:iCs/>
          <w:sz w:val="24"/>
          <w:szCs w:val="24"/>
          <w:highlight w:val="white"/>
        </w:rPr>
        <w:t>following</w:t>
      </w:r>
      <w:r w:rsidRPr="00204A1C">
        <w:rPr>
          <w:iCs/>
          <w:sz w:val="24"/>
          <w:szCs w:val="24"/>
          <w:highlight w:val="white"/>
        </w:rPr>
        <w:t xml:space="preserve"> the </w:t>
      </w:r>
      <w:proofErr w:type="spellStart"/>
      <w:r w:rsidRPr="00204A1C">
        <w:rPr>
          <w:iCs/>
          <w:sz w:val="24"/>
          <w:szCs w:val="24"/>
          <w:highlight w:val="white"/>
        </w:rPr>
        <w:t>Fama</w:t>
      </w:r>
      <w:proofErr w:type="spellEnd"/>
      <w:r w:rsidRPr="00204A1C">
        <w:rPr>
          <w:iCs/>
          <w:sz w:val="24"/>
          <w:szCs w:val="24"/>
          <w:highlight w:val="white"/>
        </w:rPr>
        <w:t xml:space="preserve">-Macbeth regression model </w:t>
      </w:r>
      <w:r w:rsidRPr="00204A1C">
        <w:rPr>
          <w:sz w:val="24"/>
          <w:szCs w:val="24"/>
          <w:highlight w:val="white"/>
        </w:rPr>
        <w:t>(1973):</w:t>
      </w:r>
    </w:p>
    <w:p w14:paraId="76FE7286" w14:textId="77777777" w:rsidR="0085337B" w:rsidRDefault="0085337B" w:rsidP="00C25803">
      <w:pPr>
        <w:ind w:firstLine="284"/>
        <w:jc w:val="both"/>
        <w:rPr>
          <w:sz w:val="22"/>
          <w:szCs w:val="22"/>
        </w:rPr>
      </w:pPr>
    </w:p>
    <w:p w14:paraId="3136A31A" w14:textId="77777777" w:rsidR="00573C2B" w:rsidRDefault="009F239A" w:rsidP="00C25803">
      <w:pPr>
        <w:rPr>
          <w:rFonts w:ascii="Cambria Math" w:eastAsia="Cambria Math" w:hAnsi="Cambria Math" w:cs="Cambria Math"/>
          <w:color w:val="000000"/>
          <w:sz w:val="22"/>
          <w:szCs w:val="22"/>
        </w:rPr>
      </w:pPr>
      <m:oMathPara>
        <m:oMath>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R</m:t>
              </m:r>
            </m:e>
            <m:sub>
              <m:r>
                <w:rPr>
                  <w:rFonts w:ascii="Cambria Math" w:eastAsia="Cambria Math" w:hAnsi="Cambria Math" w:cs="Cambria Math"/>
                  <w:color w:val="000000"/>
                  <w:sz w:val="22"/>
                  <w:szCs w:val="22"/>
                </w:rPr>
                <m:t>i,t+1</m:t>
              </m:r>
            </m:sub>
          </m:sSub>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λ</m:t>
              </m:r>
            </m:e>
            <m:sub>
              <m:r>
                <w:rPr>
                  <w:rFonts w:ascii="Cambria Math" w:eastAsia="Cambria Math" w:hAnsi="Cambria Math" w:cs="Cambria Math"/>
                  <w:color w:val="000000"/>
                  <w:sz w:val="22"/>
                  <w:szCs w:val="22"/>
                </w:rPr>
                <m:t>0,t</m:t>
              </m:r>
            </m:sub>
          </m:sSub>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λ</m:t>
              </m:r>
            </m:e>
            <m:sub>
              <m:r>
                <w:rPr>
                  <w:rFonts w:ascii="Cambria Math" w:eastAsia="Cambria Math" w:hAnsi="Cambria Math" w:cs="Cambria Math"/>
                  <w:color w:val="000000"/>
                  <w:sz w:val="22"/>
                  <w:szCs w:val="22"/>
                </w:rPr>
                <m:t>1,t</m:t>
              </m:r>
            </m:sub>
          </m:sSub>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ITR</m:t>
              </m:r>
            </m:e>
            <m:sub>
              <m:r>
                <w:rPr>
                  <w:rFonts w:ascii="Cambria Math" w:eastAsia="Cambria Math" w:hAnsi="Cambria Math" w:cs="Cambria Math"/>
                  <w:color w:val="000000"/>
                  <w:sz w:val="22"/>
                  <w:szCs w:val="22"/>
                </w:rPr>
                <m:t>i,t</m:t>
              </m:r>
            </m:sub>
          </m:sSub>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λ</m:t>
              </m:r>
            </m:e>
            <m:sub>
              <m:r>
                <w:rPr>
                  <w:rFonts w:ascii="Cambria Math" w:eastAsia="Cambria Math" w:hAnsi="Cambria Math" w:cs="Cambria Math"/>
                  <w:color w:val="000000"/>
                  <w:sz w:val="22"/>
                  <w:szCs w:val="22"/>
                </w:rPr>
                <m:t>2,t</m:t>
              </m:r>
            </m:sub>
          </m:sSub>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BETA</m:t>
              </m:r>
            </m:e>
            <m:sub>
              <m:r>
                <w:rPr>
                  <w:rFonts w:ascii="Cambria Math" w:eastAsia="Cambria Math" w:hAnsi="Cambria Math" w:cs="Cambria Math"/>
                  <w:color w:val="000000"/>
                  <w:sz w:val="22"/>
                  <w:szCs w:val="22"/>
                </w:rPr>
                <m:t>i,t</m:t>
              </m:r>
            </m:sub>
          </m:sSub>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λ</m:t>
              </m:r>
            </m:e>
            <m:sub>
              <m:r>
                <w:rPr>
                  <w:rFonts w:ascii="Cambria Math" w:eastAsia="Cambria Math" w:hAnsi="Cambria Math" w:cs="Cambria Math"/>
                  <w:color w:val="000000"/>
                  <w:sz w:val="22"/>
                  <w:szCs w:val="22"/>
                </w:rPr>
                <m:t>3,t</m:t>
              </m:r>
            </m:sub>
          </m:sSub>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SIZE</m:t>
              </m:r>
            </m:e>
            <m:sub>
              <m:r>
                <w:rPr>
                  <w:rFonts w:ascii="Cambria Math" w:eastAsia="Cambria Math" w:hAnsi="Cambria Math" w:cs="Cambria Math"/>
                  <w:color w:val="000000"/>
                  <w:sz w:val="22"/>
                  <w:szCs w:val="22"/>
                </w:rPr>
                <m:t>i,t</m:t>
              </m:r>
            </m:sub>
          </m:sSub>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λ</m:t>
              </m:r>
            </m:e>
            <m:sub>
              <m:r>
                <w:rPr>
                  <w:rFonts w:ascii="Cambria Math" w:eastAsia="Cambria Math" w:hAnsi="Cambria Math" w:cs="Cambria Math"/>
                  <w:color w:val="000000"/>
                  <w:sz w:val="22"/>
                  <w:szCs w:val="22"/>
                </w:rPr>
                <m:t>4,t</m:t>
              </m:r>
            </m:sub>
          </m:sSub>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BM</m:t>
              </m:r>
            </m:e>
            <m:sub>
              <m:r>
                <w:rPr>
                  <w:rFonts w:ascii="Cambria Math" w:eastAsia="Cambria Math" w:hAnsi="Cambria Math" w:cs="Cambria Math"/>
                  <w:color w:val="000000"/>
                  <w:sz w:val="22"/>
                  <w:szCs w:val="22"/>
                </w:rPr>
                <m:t>i,t</m:t>
              </m:r>
            </m:sub>
          </m:sSub>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λ</m:t>
              </m:r>
            </m:e>
            <m:sub>
              <m:r>
                <w:rPr>
                  <w:rFonts w:ascii="Cambria Math" w:eastAsia="Cambria Math" w:hAnsi="Cambria Math" w:cs="Cambria Math"/>
                  <w:color w:val="000000"/>
                  <w:sz w:val="22"/>
                  <w:szCs w:val="22"/>
                </w:rPr>
                <m:t>k,t</m:t>
              </m:r>
            </m:sub>
          </m:sSub>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Other risk measures</m:t>
              </m:r>
            </m:e>
            <m:sub>
              <m:r>
                <w:rPr>
                  <w:rFonts w:ascii="Cambria Math" w:eastAsia="Cambria Math" w:hAnsi="Cambria Math" w:cs="Cambria Math"/>
                  <w:color w:val="000000"/>
                  <w:sz w:val="22"/>
                  <w:szCs w:val="22"/>
                </w:rPr>
                <m:t>k,t</m:t>
              </m:r>
            </m:sub>
          </m:sSub>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ε</m:t>
              </m:r>
            </m:e>
            <m:sub>
              <m:r>
                <w:rPr>
                  <w:rFonts w:ascii="Cambria Math" w:eastAsia="Cambria Math" w:hAnsi="Cambria Math" w:cs="Cambria Math"/>
                  <w:color w:val="000000"/>
                  <w:sz w:val="22"/>
                  <w:szCs w:val="22"/>
                </w:rPr>
                <m:t>i,t</m:t>
              </m:r>
            </m:sub>
          </m:sSub>
        </m:oMath>
      </m:oMathPara>
    </w:p>
    <w:p w14:paraId="34E2F870" w14:textId="77777777" w:rsidR="0085337B" w:rsidRDefault="0085337B" w:rsidP="00C25803">
      <w:pPr>
        <w:pBdr>
          <w:top w:val="nil"/>
          <w:left w:val="nil"/>
          <w:bottom w:val="nil"/>
          <w:right w:val="nil"/>
          <w:between w:val="nil"/>
        </w:pBdr>
        <w:jc w:val="both"/>
        <w:rPr>
          <w:sz w:val="22"/>
          <w:szCs w:val="22"/>
        </w:rPr>
      </w:pPr>
    </w:p>
    <w:p w14:paraId="76526BD9" w14:textId="28A5C197" w:rsidR="0085337B" w:rsidRPr="00204A1C" w:rsidRDefault="000D0306" w:rsidP="0085337B">
      <w:pPr>
        <w:pBdr>
          <w:top w:val="nil"/>
          <w:left w:val="nil"/>
          <w:bottom w:val="nil"/>
          <w:right w:val="nil"/>
          <w:between w:val="nil"/>
        </w:pBdr>
        <w:ind w:left="270"/>
        <w:jc w:val="both"/>
        <w:rPr>
          <w:color w:val="000000"/>
          <w:sz w:val="24"/>
          <w:szCs w:val="24"/>
        </w:rPr>
      </w:pPr>
      <w:r w:rsidRPr="00204A1C">
        <w:rPr>
          <w:sz w:val="24"/>
          <w:szCs w:val="24"/>
        </w:rPr>
        <w:t>where</w:t>
      </w:r>
      <w:r w:rsidRPr="00204A1C">
        <w:rPr>
          <w:color w:val="000000"/>
          <w:sz w:val="24"/>
          <w:szCs w:val="24"/>
        </w:rPr>
        <w:t xml:space="preserv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m:t>
            </m:r>
          </m:e>
          <m:sub>
            <m:r>
              <w:rPr>
                <w:rFonts w:ascii="Cambria Math" w:eastAsia="Cambria Math" w:hAnsi="Cambria Math" w:cs="Cambria Math"/>
                <w:color w:val="000000"/>
                <w:sz w:val="24"/>
                <w:szCs w:val="24"/>
              </w:rPr>
              <m:t>i,t+1</m:t>
            </m:r>
          </m:sub>
        </m:sSub>
      </m:oMath>
      <w:r w:rsidRPr="00204A1C">
        <w:rPr>
          <w:sz w:val="24"/>
          <w:szCs w:val="24"/>
        </w:rPr>
        <w:t>is return for</w:t>
      </w:r>
      <w:r w:rsidRPr="00204A1C">
        <w:rPr>
          <w:color w:val="000000"/>
          <w:sz w:val="24"/>
          <w:szCs w:val="24"/>
        </w:rPr>
        <w:t xml:space="preserve"> </w:t>
      </w:r>
      <w:proofErr w:type="spellStart"/>
      <w:r w:rsidRPr="00204A1C">
        <w:rPr>
          <w:color w:val="000000"/>
          <w:sz w:val="24"/>
          <w:szCs w:val="24"/>
        </w:rPr>
        <w:t>i</w:t>
      </w:r>
      <w:proofErr w:type="spellEnd"/>
      <w:r w:rsidRPr="00204A1C">
        <w:rPr>
          <w:color w:val="000000"/>
          <w:sz w:val="24"/>
          <w:szCs w:val="24"/>
        </w:rPr>
        <w:t xml:space="preserve"> </w:t>
      </w:r>
      <w:r w:rsidRPr="00204A1C">
        <w:rPr>
          <w:sz w:val="24"/>
          <w:szCs w:val="24"/>
        </w:rPr>
        <w:t>on the month</w:t>
      </w:r>
      <w:r w:rsidRPr="00204A1C">
        <w:rPr>
          <w:color w:val="000000"/>
          <w:sz w:val="24"/>
          <w:szCs w:val="24"/>
        </w:rPr>
        <w:t xml:space="preserve"> </w:t>
      </w:r>
      <w:r w:rsidRPr="00204A1C">
        <w:rPr>
          <w:i/>
          <w:color w:val="000000"/>
          <w:sz w:val="24"/>
          <w:szCs w:val="24"/>
        </w:rPr>
        <w:t>t</w:t>
      </w:r>
      <w:r w:rsidRPr="00204A1C">
        <w:rPr>
          <w:color w:val="000000"/>
          <w:sz w:val="24"/>
          <w:szCs w:val="24"/>
        </w:rPr>
        <w:t xml:space="preserve">+1 </w:t>
      </w:r>
      <w:r w:rsidRPr="00204A1C">
        <w:rPr>
          <w:sz w:val="24"/>
          <w:szCs w:val="24"/>
        </w:rPr>
        <w:t>and independent variable</w:t>
      </w:r>
      <w:r w:rsidRPr="00204A1C">
        <w:rPr>
          <w:color w:val="000000"/>
          <w:sz w:val="24"/>
          <w:szCs w:val="24"/>
        </w:rPr>
        <w:t xml:space="preserve"> </w:t>
      </w:r>
      <w:proofErr w:type="gramStart"/>
      <w:r w:rsidRPr="00204A1C">
        <w:rPr>
          <w:sz w:val="24"/>
          <w:szCs w:val="24"/>
        </w:rPr>
        <w:t xml:space="preserve">is </w:t>
      </w:r>
      <w:r w:rsidRPr="00204A1C">
        <w:rPr>
          <w:color w:val="000000"/>
          <w:sz w:val="24"/>
          <w:szCs w:val="24"/>
        </w:rPr>
        <w:t xml:space="preserve"> ITR</w:t>
      </w:r>
      <w:proofErr w:type="gramEnd"/>
      <w:r w:rsidRPr="00204A1C">
        <w:rPr>
          <w:color w:val="000000"/>
          <w:sz w:val="24"/>
          <w:szCs w:val="24"/>
        </w:rPr>
        <w:t xml:space="preserve">, BETA, SIZE, BM dan </w:t>
      </w:r>
      <w:r w:rsidRPr="00204A1C">
        <w:rPr>
          <w:sz w:val="24"/>
          <w:szCs w:val="24"/>
        </w:rPr>
        <w:t>other control variable</w:t>
      </w:r>
      <w:r w:rsidRPr="00204A1C">
        <w:rPr>
          <w:color w:val="000000"/>
          <w:sz w:val="24"/>
          <w:szCs w:val="24"/>
        </w:rPr>
        <w:t xml:space="preserve"> </w:t>
      </w:r>
      <w:r w:rsidRPr="00204A1C">
        <w:rPr>
          <w:sz w:val="24"/>
          <w:szCs w:val="24"/>
        </w:rPr>
        <w:t>on</w:t>
      </w:r>
      <w:r w:rsidRPr="00204A1C">
        <w:rPr>
          <w:color w:val="000000"/>
          <w:sz w:val="24"/>
          <w:szCs w:val="24"/>
        </w:rPr>
        <w:t xml:space="preserve"> </w:t>
      </w:r>
      <w:r w:rsidRPr="00204A1C">
        <w:rPr>
          <w:sz w:val="24"/>
          <w:szCs w:val="24"/>
        </w:rPr>
        <w:t>previous months</w:t>
      </w:r>
      <w:r w:rsidRPr="00204A1C">
        <w:rPr>
          <w:color w:val="000000"/>
          <w:sz w:val="24"/>
          <w:szCs w:val="24"/>
        </w:rPr>
        <w:t xml:space="preserve">. </w:t>
      </w:r>
    </w:p>
    <w:p w14:paraId="60034993" w14:textId="77777777" w:rsidR="0085337B" w:rsidRPr="00204A1C" w:rsidRDefault="0085337B" w:rsidP="0085337B">
      <w:pPr>
        <w:pBdr>
          <w:top w:val="nil"/>
          <w:left w:val="nil"/>
          <w:bottom w:val="nil"/>
          <w:right w:val="nil"/>
          <w:between w:val="nil"/>
        </w:pBdr>
        <w:ind w:left="270"/>
        <w:jc w:val="both"/>
        <w:rPr>
          <w:color w:val="000000"/>
          <w:sz w:val="24"/>
          <w:szCs w:val="24"/>
        </w:rPr>
      </w:pPr>
    </w:p>
    <w:p w14:paraId="52F8A36C" w14:textId="4B03E54C" w:rsidR="005E7CBC" w:rsidRPr="00204A1C" w:rsidRDefault="005E7CBC" w:rsidP="00C25803">
      <w:pPr>
        <w:pBdr>
          <w:top w:val="nil"/>
          <w:left w:val="nil"/>
          <w:bottom w:val="nil"/>
          <w:right w:val="nil"/>
          <w:between w:val="nil"/>
        </w:pBdr>
        <w:jc w:val="both"/>
        <w:rPr>
          <w:color w:val="000000"/>
          <w:sz w:val="24"/>
          <w:szCs w:val="24"/>
        </w:rPr>
      </w:pPr>
      <w:r w:rsidRPr="00204A1C">
        <w:rPr>
          <w:sz w:val="24"/>
          <w:szCs w:val="24"/>
        </w:rPr>
        <w:t>T</w:t>
      </w:r>
      <w:r w:rsidR="000D0306" w:rsidRPr="00204A1C">
        <w:rPr>
          <w:sz w:val="24"/>
          <w:szCs w:val="24"/>
        </w:rPr>
        <w:t xml:space="preserve">he regression was </w:t>
      </w:r>
      <w:r w:rsidRPr="00204A1C">
        <w:rPr>
          <w:sz w:val="24"/>
          <w:szCs w:val="24"/>
        </w:rPr>
        <w:t>run</w:t>
      </w:r>
      <w:r w:rsidR="000D0306" w:rsidRPr="00204A1C">
        <w:rPr>
          <w:sz w:val="24"/>
          <w:szCs w:val="24"/>
        </w:rPr>
        <w:t xml:space="preserve"> for every </w:t>
      </w:r>
      <w:r w:rsidRPr="00204A1C">
        <w:rPr>
          <w:sz w:val="24"/>
          <w:szCs w:val="24"/>
        </w:rPr>
        <w:t>month stock return on</w:t>
      </w:r>
      <w:r w:rsidR="000D0306" w:rsidRPr="00204A1C">
        <w:rPr>
          <w:color w:val="000000"/>
          <w:sz w:val="24"/>
          <w:szCs w:val="24"/>
        </w:rPr>
        <w:t xml:space="preserve"> ITR</w:t>
      </w:r>
      <w:r w:rsidRPr="00204A1C">
        <w:rPr>
          <w:color w:val="000000"/>
          <w:sz w:val="24"/>
          <w:szCs w:val="24"/>
        </w:rPr>
        <w:t xml:space="preserve"> without and with other control variables until 14 times. </w:t>
      </w:r>
      <w:r w:rsidR="000D0306" w:rsidRPr="00204A1C">
        <w:rPr>
          <w:color w:val="000000"/>
          <w:sz w:val="24"/>
          <w:szCs w:val="24"/>
        </w:rPr>
        <w:t xml:space="preserve"> </w:t>
      </w:r>
      <w:r w:rsidRPr="00204A1C">
        <w:rPr>
          <w:sz w:val="24"/>
          <w:szCs w:val="24"/>
        </w:rPr>
        <w:t xml:space="preserve">When we estimate the </w:t>
      </w:r>
      <w:r w:rsidR="000D0306" w:rsidRPr="00204A1C">
        <w:rPr>
          <w:sz w:val="24"/>
          <w:szCs w:val="24"/>
        </w:rPr>
        <w:t>value of</w:t>
      </w:r>
      <w:r w:rsidR="000D0306" w:rsidRPr="00204A1C">
        <w:rPr>
          <w:color w:val="000000"/>
          <w:sz w:val="24"/>
          <w:szCs w:val="24"/>
        </w:rPr>
        <w:t xml:space="preserve">  </w:t>
      </w:r>
      <m:oMath>
        <m:sSub>
          <m:sSubPr>
            <m:ctrlPr>
              <w:rPr>
                <w:rFonts w:ascii="Cambria Math" w:eastAsia="Cambria Math" w:hAnsi="Cambria Math" w:cs="Cambria Math"/>
                <w:color w:val="000000"/>
                <w:sz w:val="24"/>
                <w:szCs w:val="24"/>
              </w:rPr>
            </m:ctrlPr>
          </m:sSubPr>
          <m:e>
            <m:r>
              <w:rPr>
                <w:rFonts w:ascii="Cambria Math" w:hAnsi="Cambria Math"/>
                <w:sz w:val="24"/>
                <w:szCs w:val="24"/>
              </w:rPr>
              <m:t>λ</m:t>
            </m:r>
          </m:e>
          <m:sub>
            <m:r>
              <w:rPr>
                <w:rFonts w:ascii="Cambria Math" w:eastAsia="Cambria Math" w:hAnsi="Cambria Math" w:cs="Cambria Math"/>
                <w:color w:val="000000"/>
                <w:sz w:val="24"/>
                <w:szCs w:val="24"/>
              </w:rPr>
              <m:t>1</m:t>
            </m:r>
          </m:sub>
        </m:sSub>
      </m:oMath>
      <w:r w:rsidR="000D0306" w:rsidRPr="00204A1C">
        <w:rPr>
          <w:color w:val="000000"/>
          <w:sz w:val="24"/>
          <w:szCs w:val="24"/>
        </w:rPr>
        <w:t xml:space="preserve"> </w:t>
      </w:r>
      <w:r w:rsidRPr="00204A1C">
        <w:rPr>
          <w:color w:val="000000"/>
          <w:sz w:val="24"/>
          <w:szCs w:val="24"/>
        </w:rPr>
        <w:t xml:space="preserve">and other parameter to remove the violation of </w:t>
      </w:r>
      <w:proofErr w:type="spellStart"/>
      <w:r w:rsidRPr="00204A1C">
        <w:rPr>
          <w:color w:val="000000"/>
          <w:sz w:val="24"/>
          <w:szCs w:val="24"/>
        </w:rPr>
        <w:t>homoskedastic</w:t>
      </w:r>
      <w:proofErr w:type="spellEnd"/>
      <w:r w:rsidRPr="00204A1C">
        <w:rPr>
          <w:color w:val="000000"/>
          <w:sz w:val="24"/>
          <w:szCs w:val="24"/>
        </w:rPr>
        <w:t xml:space="preserve"> assumption, </w:t>
      </w:r>
      <w:r w:rsidRPr="00204A1C">
        <w:rPr>
          <w:sz w:val="24"/>
          <w:szCs w:val="24"/>
        </w:rPr>
        <w:t xml:space="preserve">we adjust standard deviation using White’s heteroskedastic robust method. We expect </w:t>
      </w:r>
      <m:oMath>
        <m:sSub>
          <m:sSubPr>
            <m:ctrlPr>
              <w:rPr>
                <w:rFonts w:ascii="Cambria Math" w:eastAsia="Cambria Math" w:hAnsi="Cambria Math" w:cs="Cambria Math"/>
                <w:color w:val="000000"/>
                <w:sz w:val="24"/>
                <w:szCs w:val="24"/>
              </w:rPr>
            </m:ctrlPr>
          </m:sSubPr>
          <m:e>
            <m:r>
              <w:rPr>
                <w:rFonts w:ascii="Cambria Math" w:hAnsi="Cambria Math"/>
                <w:sz w:val="24"/>
                <w:szCs w:val="24"/>
              </w:rPr>
              <m:t>λ</m:t>
            </m:r>
          </m:e>
          <m:sub>
            <m:r>
              <w:rPr>
                <w:rFonts w:ascii="Cambria Math" w:eastAsia="Cambria Math" w:hAnsi="Cambria Math" w:cs="Cambria Math"/>
                <w:color w:val="000000"/>
                <w:sz w:val="24"/>
                <w:szCs w:val="24"/>
              </w:rPr>
              <m:t>1</m:t>
            </m:r>
          </m:sub>
        </m:sSub>
      </m:oMath>
      <w:r w:rsidRPr="00204A1C">
        <w:rPr>
          <w:color w:val="000000"/>
          <w:sz w:val="24"/>
          <w:szCs w:val="24"/>
        </w:rPr>
        <w:t xml:space="preserve"> has negative effects to the stock return to prove our hypothesis. </w:t>
      </w:r>
    </w:p>
    <w:p w14:paraId="6F806AED" w14:textId="77777777" w:rsidR="005E7CBC" w:rsidRDefault="005E7CBC" w:rsidP="00C25803">
      <w:pPr>
        <w:pBdr>
          <w:top w:val="nil"/>
          <w:left w:val="nil"/>
          <w:bottom w:val="nil"/>
          <w:right w:val="nil"/>
          <w:between w:val="nil"/>
        </w:pBdr>
        <w:jc w:val="both"/>
        <w:rPr>
          <w:sz w:val="22"/>
          <w:szCs w:val="22"/>
        </w:rPr>
      </w:pPr>
    </w:p>
    <w:p w14:paraId="5C56B354" w14:textId="5D4A108E" w:rsidR="0079245E" w:rsidRPr="00204A1C" w:rsidRDefault="0079245E" w:rsidP="00C25803">
      <w:pPr>
        <w:pStyle w:val="ListParagraph"/>
        <w:numPr>
          <w:ilvl w:val="0"/>
          <w:numId w:val="9"/>
        </w:numPr>
        <w:pBdr>
          <w:top w:val="nil"/>
          <w:left w:val="nil"/>
          <w:bottom w:val="nil"/>
          <w:right w:val="nil"/>
          <w:between w:val="nil"/>
        </w:pBdr>
        <w:ind w:left="360"/>
        <w:jc w:val="left"/>
        <w:rPr>
          <w:b/>
          <w:bCs/>
          <w:color w:val="000000"/>
          <w:sz w:val="24"/>
          <w:szCs w:val="24"/>
        </w:rPr>
      </w:pPr>
      <w:r w:rsidRPr="00204A1C">
        <w:rPr>
          <w:b/>
          <w:bCs/>
          <w:color w:val="000000"/>
          <w:sz w:val="24"/>
          <w:szCs w:val="24"/>
        </w:rPr>
        <w:t xml:space="preserve">Empirical Results </w:t>
      </w:r>
    </w:p>
    <w:p w14:paraId="19841A41" w14:textId="69AD35EE" w:rsidR="00573C2B" w:rsidRPr="00204A1C" w:rsidRDefault="000D0306" w:rsidP="00646B84">
      <w:pPr>
        <w:pStyle w:val="Heading2"/>
        <w:numPr>
          <w:ilvl w:val="1"/>
          <w:numId w:val="12"/>
        </w:numPr>
        <w:spacing w:before="0" w:after="0"/>
        <w:ind w:left="360"/>
        <w:rPr>
          <w:i w:val="0"/>
          <w:iCs/>
          <w:sz w:val="24"/>
          <w:szCs w:val="24"/>
        </w:rPr>
      </w:pPr>
      <w:r w:rsidRPr="00204A1C">
        <w:rPr>
          <w:i w:val="0"/>
          <w:iCs/>
          <w:sz w:val="24"/>
          <w:szCs w:val="24"/>
        </w:rPr>
        <w:t>Descriptive and Correlation Statistics</w:t>
      </w:r>
    </w:p>
    <w:p w14:paraId="3AA6A0A8" w14:textId="7072E97C" w:rsidR="0079245E" w:rsidRPr="00204A1C" w:rsidRDefault="0079245E" w:rsidP="00C25803">
      <w:pPr>
        <w:jc w:val="both"/>
        <w:rPr>
          <w:sz w:val="24"/>
          <w:szCs w:val="24"/>
        </w:rPr>
      </w:pPr>
      <w:r w:rsidRPr="00204A1C">
        <w:rPr>
          <w:sz w:val="24"/>
          <w:szCs w:val="24"/>
        </w:rPr>
        <w:t xml:space="preserve">Table I shows the statistical descriptive analysis result done to the monthly value of stock return and the risk factors included were ITR, BETA, SIZE, BM, </w:t>
      </w:r>
      <w:proofErr w:type="spellStart"/>
      <w:r w:rsidRPr="00204A1C">
        <w:rPr>
          <w:sz w:val="24"/>
          <w:szCs w:val="24"/>
        </w:rPr>
        <w:t>Coskew</w:t>
      </w:r>
      <w:proofErr w:type="spellEnd"/>
      <w:r w:rsidRPr="00204A1C">
        <w:rPr>
          <w:sz w:val="24"/>
          <w:szCs w:val="24"/>
        </w:rPr>
        <w:t xml:space="preserve">, </w:t>
      </w:r>
      <w:proofErr w:type="spellStart"/>
      <w:r w:rsidRPr="00204A1C">
        <w:rPr>
          <w:sz w:val="24"/>
          <w:szCs w:val="24"/>
        </w:rPr>
        <w:t>Cokurt</w:t>
      </w:r>
      <w:proofErr w:type="spellEnd"/>
      <w:r w:rsidRPr="00204A1C">
        <w:rPr>
          <w:sz w:val="24"/>
          <w:szCs w:val="24"/>
        </w:rPr>
        <w:t xml:space="preserve">, IV, </w:t>
      </w:r>
      <w:proofErr w:type="spellStart"/>
      <w:r w:rsidRPr="00204A1C">
        <w:rPr>
          <w:sz w:val="24"/>
          <w:szCs w:val="24"/>
        </w:rPr>
        <w:t>Iskew</w:t>
      </w:r>
      <w:proofErr w:type="spellEnd"/>
      <w:r w:rsidRPr="00204A1C">
        <w:rPr>
          <w:sz w:val="24"/>
          <w:szCs w:val="24"/>
        </w:rPr>
        <w:t xml:space="preserve">, and </w:t>
      </w:r>
      <w:proofErr w:type="spellStart"/>
      <w:r w:rsidRPr="00204A1C">
        <w:rPr>
          <w:sz w:val="24"/>
          <w:szCs w:val="24"/>
        </w:rPr>
        <w:t>Ikurt</w:t>
      </w:r>
      <w:proofErr w:type="spellEnd"/>
      <w:r w:rsidRPr="00204A1C">
        <w:rPr>
          <w:sz w:val="24"/>
          <w:szCs w:val="24"/>
        </w:rPr>
        <w:t xml:space="preserve"> from 12,784 observation. It also </w:t>
      </w:r>
      <w:proofErr w:type="spellStart"/>
      <w:r w:rsidRPr="00204A1C">
        <w:rPr>
          <w:sz w:val="24"/>
          <w:szCs w:val="24"/>
        </w:rPr>
        <w:t>also</w:t>
      </w:r>
      <w:proofErr w:type="spellEnd"/>
      <w:r w:rsidRPr="00204A1C">
        <w:rPr>
          <w:sz w:val="24"/>
          <w:szCs w:val="24"/>
        </w:rPr>
        <w:t xml:space="preserve"> shows that the monthly stock return has more than 3 </w:t>
      </w:r>
      <w:proofErr w:type="spellStart"/>
      <w:r w:rsidRPr="00204A1C">
        <w:rPr>
          <w:sz w:val="24"/>
          <w:szCs w:val="24"/>
        </w:rPr>
        <w:t>curtosis</w:t>
      </w:r>
      <w:proofErr w:type="spellEnd"/>
      <w:r w:rsidRPr="00204A1C">
        <w:rPr>
          <w:sz w:val="24"/>
          <w:szCs w:val="24"/>
        </w:rPr>
        <w:t xml:space="preserve">. Normal distribution has the number of </w:t>
      </w:r>
      <w:proofErr w:type="spellStart"/>
      <w:r w:rsidRPr="00204A1C">
        <w:rPr>
          <w:sz w:val="24"/>
          <w:szCs w:val="24"/>
        </w:rPr>
        <w:t>curtosis</w:t>
      </w:r>
      <w:proofErr w:type="spellEnd"/>
      <w:r w:rsidRPr="00204A1C">
        <w:rPr>
          <w:sz w:val="24"/>
          <w:szCs w:val="24"/>
        </w:rPr>
        <w:t xml:space="preserve"> equal to 3. Thus, it could be concluded that the monthly stock return does not have normal distribution. In addition, it was found that the BETA value had the average value of 0.5844. The average value of BETA was supposedly to show the market BETA value which is 1.00. The difference in the BETA value was caused by using daily data of each company on this research to do the calculation. The use of daily data caused </w:t>
      </w:r>
      <w:proofErr w:type="gramStart"/>
      <w:r w:rsidRPr="00204A1C">
        <w:rPr>
          <w:sz w:val="24"/>
          <w:szCs w:val="24"/>
        </w:rPr>
        <w:t>underestimation  because</w:t>
      </w:r>
      <w:proofErr w:type="gramEnd"/>
      <w:r w:rsidRPr="00204A1C">
        <w:rPr>
          <w:sz w:val="24"/>
          <w:szCs w:val="24"/>
        </w:rPr>
        <w:t xml:space="preserve"> non-synchronous trading of the individual stock tends to reduce the covariance </w:t>
      </w:r>
      <w:r w:rsidR="00B97078" w:rsidRPr="00204A1C">
        <w:rPr>
          <w:sz w:val="24"/>
          <w:szCs w:val="24"/>
        </w:rPr>
        <w:t xml:space="preserve">between </w:t>
      </w:r>
      <w:proofErr w:type="spellStart"/>
      <w:r w:rsidR="00B97078" w:rsidRPr="00204A1C">
        <w:rPr>
          <w:sz w:val="24"/>
          <w:szCs w:val="24"/>
        </w:rPr>
        <w:t>a</w:t>
      </w:r>
      <w:proofErr w:type="spellEnd"/>
      <w:r w:rsidR="00B97078" w:rsidRPr="00204A1C">
        <w:rPr>
          <w:sz w:val="24"/>
          <w:szCs w:val="24"/>
        </w:rPr>
        <w:t xml:space="preserve"> individual stock and the market. Therefore, the BETA value obtained is less than the supposedly market BETA value which is 1.00.</w:t>
      </w:r>
      <w:r w:rsidRPr="00204A1C">
        <w:rPr>
          <w:sz w:val="24"/>
          <w:szCs w:val="24"/>
        </w:rPr>
        <w:t xml:space="preserve"> </w:t>
      </w:r>
    </w:p>
    <w:p w14:paraId="7B7A5551" w14:textId="77777777" w:rsidR="0079245E" w:rsidRPr="0079245E" w:rsidRDefault="0079245E" w:rsidP="00C25803">
      <w:pPr>
        <w:jc w:val="both"/>
      </w:pPr>
    </w:p>
    <w:p w14:paraId="7BEFF658" w14:textId="77777777" w:rsidR="00573C2B" w:rsidRDefault="000D0306" w:rsidP="00C25803">
      <w:pPr>
        <w:pBdr>
          <w:top w:val="nil"/>
          <w:left w:val="nil"/>
          <w:bottom w:val="nil"/>
          <w:right w:val="nil"/>
          <w:between w:val="nil"/>
        </w:pBdr>
        <w:rPr>
          <w:color w:val="000000"/>
          <w:sz w:val="22"/>
          <w:szCs w:val="22"/>
        </w:rPr>
      </w:pPr>
      <w:bookmarkStart w:id="2" w:name="_heading=h.1fob9te" w:colFirst="0" w:colLast="0"/>
      <w:bookmarkEnd w:id="2"/>
      <w:r>
        <w:rPr>
          <w:color w:val="000000"/>
          <w:sz w:val="22"/>
          <w:szCs w:val="22"/>
        </w:rPr>
        <w:t>Tab</w:t>
      </w:r>
      <w:r>
        <w:rPr>
          <w:sz w:val="22"/>
          <w:szCs w:val="22"/>
        </w:rPr>
        <w:t>le</w:t>
      </w:r>
      <w:r>
        <w:rPr>
          <w:color w:val="000000"/>
          <w:sz w:val="22"/>
          <w:szCs w:val="22"/>
        </w:rPr>
        <w:t xml:space="preserve"> I</w:t>
      </w:r>
    </w:p>
    <w:p w14:paraId="55AF22E8" w14:textId="1FCB34E1" w:rsidR="00573C2B" w:rsidRDefault="0079245E" w:rsidP="00C25803">
      <w:pPr>
        <w:rPr>
          <w:b/>
          <w:bCs/>
        </w:rPr>
      </w:pPr>
      <w:r w:rsidRPr="0079245E">
        <w:rPr>
          <w:b/>
          <w:bCs/>
        </w:rPr>
        <w:t>Descriptive Statistics</w:t>
      </w:r>
    </w:p>
    <w:p w14:paraId="51B86864" w14:textId="77777777" w:rsidR="0079245E" w:rsidRPr="0079245E" w:rsidRDefault="0079245E" w:rsidP="00C25803">
      <w:pPr>
        <w:rPr>
          <w:b/>
          <w:bCs/>
        </w:rPr>
      </w:pPr>
    </w:p>
    <w:p w14:paraId="3ADB0708" w14:textId="77777777" w:rsidR="000D0306" w:rsidRDefault="000D0306" w:rsidP="00C25803">
      <w:pPr>
        <w:rPr>
          <w:sz w:val="22"/>
          <w:szCs w:val="22"/>
        </w:rPr>
      </w:pPr>
      <w:r w:rsidRPr="00CA3AFF">
        <w:rPr>
          <w:noProof/>
          <w:sz w:val="2"/>
          <w:szCs w:val="2"/>
        </w:rPr>
        <w:lastRenderedPageBreak/>
        <w:drawing>
          <wp:inline distT="0" distB="0" distL="0" distR="0" wp14:anchorId="4E3D433B" wp14:editId="02B06857">
            <wp:extent cx="5207152" cy="2715568"/>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1968" cy="2759800"/>
                    </a:xfrm>
                    <a:prstGeom prst="rect">
                      <a:avLst/>
                    </a:prstGeom>
                    <a:noFill/>
                    <a:ln>
                      <a:noFill/>
                    </a:ln>
                  </pic:spPr>
                </pic:pic>
              </a:graphicData>
            </a:graphic>
          </wp:inline>
        </w:drawing>
      </w:r>
    </w:p>
    <w:p w14:paraId="37CE17FC" w14:textId="77777777" w:rsidR="00204A1C" w:rsidRDefault="00204A1C" w:rsidP="00C25803">
      <w:pPr>
        <w:jc w:val="both"/>
        <w:rPr>
          <w:sz w:val="24"/>
          <w:szCs w:val="24"/>
        </w:rPr>
      </w:pPr>
    </w:p>
    <w:p w14:paraId="22345346" w14:textId="27E92F73" w:rsidR="006B1388" w:rsidRPr="00204A1C" w:rsidRDefault="00204A1C" w:rsidP="00C25803">
      <w:pPr>
        <w:jc w:val="both"/>
        <w:rPr>
          <w:sz w:val="24"/>
          <w:szCs w:val="24"/>
        </w:rPr>
      </w:pPr>
      <w:r>
        <w:rPr>
          <w:sz w:val="24"/>
          <w:szCs w:val="24"/>
        </w:rPr>
        <w:t>I</w:t>
      </w:r>
      <w:r w:rsidR="006B1388" w:rsidRPr="00204A1C">
        <w:rPr>
          <w:sz w:val="24"/>
          <w:szCs w:val="24"/>
        </w:rPr>
        <w:t xml:space="preserve">t is also found </w:t>
      </w:r>
      <w:r>
        <w:rPr>
          <w:sz w:val="24"/>
          <w:szCs w:val="24"/>
        </w:rPr>
        <w:t xml:space="preserve">from Table I </w:t>
      </w:r>
      <w:r w:rsidR="006B1388" w:rsidRPr="00204A1C">
        <w:rPr>
          <w:sz w:val="24"/>
          <w:szCs w:val="24"/>
        </w:rPr>
        <w:t>that there are negative BM values. This is caused by using the logarithmic function in the calculation of the SIZE and BM variable from the market capitalization data and book-to-market ratio. The use of logarithmic function resulted in negative value if the market capitalization and book-to-market ratio is greater than 1. Calculation using logarithmic function was done to create the skewness and kurtosis variable of SIZE and BM to have reasonable values.</w:t>
      </w:r>
    </w:p>
    <w:p w14:paraId="238C583D" w14:textId="77777777" w:rsidR="001C0921" w:rsidRDefault="001C0921" w:rsidP="00C25803">
      <w:pPr>
        <w:jc w:val="both"/>
        <w:rPr>
          <w:sz w:val="22"/>
          <w:szCs w:val="22"/>
        </w:rPr>
      </w:pPr>
    </w:p>
    <w:p w14:paraId="142BA48F" w14:textId="449F7891" w:rsidR="00675D70" w:rsidRDefault="00675D70" w:rsidP="00C25803">
      <w:pPr>
        <w:pBdr>
          <w:top w:val="nil"/>
          <w:left w:val="nil"/>
          <w:bottom w:val="nil"/>
          <w:right w:val="nil"/>
          <w:between w:val="nil"/>
        </w:pBdr>
        <w:rPr>
          <w:color w:val="000000"/>
          <w:sz w:val="22"/>
          <w:szCs w:val="22"/>
        </w:rPr>
      </w:pPr>
      <w:r>
        <w:rPr>
          <w:color w:val="000000"/>
          <w:sz w:val="22"/>
          <w:szCs w:val="22"/>
        </w:rPr>
        <w:t>Table II</w:t>
      </w:r>
    </w:p>
    <w:p w14:paraId="34E13DE7" w14:textId="3A4EE3F1" w:rsidR="0079245E" w:rsidRDefault="0079245E" w:rsidP="00C25803">
      <w:pPr>
        <w:pBdr>
          <w:top w:val="nil"/>
          <w:left w:val="nil"/>
          <w:bottom w:val="nil"/>
          <w:right w:val="nil"/>
          <w:between w:val="nil"/>
        </w:pBdr>
        <w:rPr>
          <w:color w:val="000000"/>
          <w:sz w:val="22"/>
          <w:szCs w:val="22"/>
        </w:rPr>
      </w:pPr>
      <w:r>
        <w:rPr>
          <w:color w:val="000000"/>
          <w:sz w:val="22"/>
          <w:szCs w:val="22"/>
        </w:rPr>
        <w:t>Correlation between ITR and Other Risk Variables</w:t>
      </w:r>
    </w:p>
    <w:p w14:paraId="73DA7015" w14:textId="03B03C25" w:rsidR="00675D70" w:rsidRDefault="00432BEB" w:rsidP="00C25803">
      <w:pPr>
        <w:rPr>
          <w:sz w:val="22"/>
          <w:szCs w:val="22"/>
        </w:rPr>
      </w:pPr>
      <w:r w:rsidRPr="003753BF">
        <w:rPr>
          <w:noProof/>
          <w:sz w:val="2"/>
          <w:szCs w:val="2"/>
        </w:rPr>
        <w:drawing>
          <wp:inline distT="0" distB="0" distL="0" distR="0" wp14:anchorId="0DD90780" wp14:editId="082786C5">
            <wp:extent cx="2376345" cy="3349682"/>
            <wp:effectExtent l="0" t="0" r="508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5818" cy="3433515"/>
                    </a:xfrm>
                    <a:prstGeom prst="rect">
                      <a:avLst/>
                    </a:prstGeom>
                    <a:noFill/>
                    <a:ln>
                      <a:noFill/>
                    </a:ln>
                  </pic:spPr>
                </pic:pic>
              </a:graphicData>
            </a:graphic>
          </wp:inline>
        </w:drawing>
      </w:r>
    </w:p>
    <w:p w14:paraId="1E0AD203" w14:textId="6C033676" w:rsidR="00675D70" w:rsidRDefault="00675D70" w:rsidP="00C25803">
      <w:pPr>
        <w:ind w:firstLine="284"/>
        <w:jc w:val="both"/>
        <w:rPr>
          <w:color w:val="000000"/>
          <w:sz w:val="16"/>
          <w:szCs w:val="16"/>
        </w:rPr>
      </w:pPr>
      <w:r>
        <w:rPr>
          <w:sz w:val="16"/>
          <w:szCs w:val="16"/>
        </w:rPr>
        <w:t>Note</w:t>
      </w:r>
      <w:r>
        <w:rPr>
          <w:color w:val="000000"/>
          <w:sz w:val="16"/>
          <w:szCs w:val="16"/>
        </w:rPr>
        <w:t xml:space="preserve">: Numbers inside </w:t>
      </w:r>
      <w:r>
        <w:rPr>
          <w:sz w:val="16"/>
          <w:szCs w:val="16"/>
        </w:rPr>
        <w:t>brackets are</w:t>
      </w:r>
      <w:r>
        <w:rPr>
          <w:color w:val="000000"/>
          <w:sz w:val="16"/>
          <w:szCs w:val="16"/>
        </w:rPr>
        <w:t xml:space="preserve"> </w:t>
      </w:r>
      <w:r>
        <w:rPr>
          <w:i/>
          <w:color w:val="000000"/>
          <w:sz w:val="16"/>
          <w:szCs w:val="16"/>
        </w:rPr>
        <w:t>t</w:t>
      </w:r>
      <w:r>
        <w:rPr>
          <w:color w:val="000000"/>
          <w:sz w:val="16"/>
          <w:szCs w:val="16"/>
        </w:rPr>
        <w:t xml:space="preserve"> </w:t>
      </w:r>
      <w:r>
        <w:rPr>
          <w:sz w:val="16"/>
          <w:szCs w:val="16"/>
        </w:rPr>
        <w:t>statistical value</w:t>
      </w:r>
      <w:r>
        <w:rPr>
          <w:color w:val="000000"/>
          <w:sz w:val="16"/>
          <w:szCs w:val="16"/>
        </w:rPr>
        <w:t xml:space="preserve">. </w:t>
      </w:r>
      <w:r>
        <w:rPr>
          <w:sz w:val="16"/>
          <w:szCs w:val="16"/>
        </w:rPr>
        <w:t>Symbol</w:t>
      </w:r>
      <w:r>
        <w:rPr>
          <w:color w:val="000000"/>
          <w:sz w:val="16"/>
          <w:szCs w:val="16"/>
        </w:rPr>
        <w:t xml:space="preserve"> *, **, </w:t>
      </w:r>
      <w:r>
        <w:rPr>
          <w:sz w:val="16"/>
          <w:szCs w:val="16"/>
        </w:rPr>
        <w:t>a</w:t>
      </w:r>
      <w:r>
        <w:rPr>
          <w:color w:val="000000"/>
          <w:sz w:val="16"/>
          <w:szCs w:val="16"/>
        </w:rPr>
        <w:t xml:space="preserve">nd *** </w:t>
      </w:r>
      <w:r>
        <w:rPr>
          <w:sz w:val="16"/>
          <w:szCs w:val="16"/>
        </w:rPr>
        <w:t>shows the significance level of</w:t>
      </w:r>
      <w:r>
        <w:rPr>
          <w:color w:val="000000"/>
          <w:sz w:val="16"/>
          <w:szCs w:val="16"/>
        </w:rPr>
        <w:t xml:space="preserve"> 10%, 5% dan 1%, respectively.</w:t>
      </w:r>
    </w:p>
    <w:p w14:paraId="788D1490" w14:textId="2BC26230" w:rsidR="006B1388" w:rsidRPr="00204A1C" w:rsidRDefault="006B1388" w:rsidP="00C25803">
      <w:pPr>
        <w:ind w:firstLine="284"/>
        <w:jc w:val="both"/>
        <w:rPr>
          <w:sz w:val="24"/>
          <w:szCs w:val="24"/>
        </w:rPr>
      </w:pPr>
      <w:r w:rsidRPr="00204A1C">
        <w:rPr>
          <w:sz w:val="24"/>
          <w:szCs w:val="24"/>
        </w:rPr>
        <w:t xml:space="preserve">Table II shows the result of the correlation average in the cross-section between ITR and other risk factors. Correlation between ITR and SIZE, IV and Max is -0,1074, -0,1643 dan -0,1352, respectively. Correlation between ITR and those three factors are three highest correlation values even though they are not significant statistically. Absolute statistical value </w:t>
      </w:r>
      <w:r w:rsidRPr="00204A1C">
        <w:rPr>
          <w:i/>
          <w:sz w:val="24"/>
          <w:szCs w:val="24"/>
        </w:rPr>
        <w:t xml:space="preserve">t </w:t>
      </w:r>
      <w:r w:rsidRPr="00204A1C">
        <w:rPr>
          <w:sz w:val="24"/>
          <w:szCs w:val="24"/>
        </w:rPr>
        <w:t xml:space="preserve">which is the correlation result between ITR and IV is -1,8195. This value is close to 1,96 which is the statistical value of </w:t>
      </w:r>
      <w:r w:rsidRPr="00204A1C">
        <w:rPr>
          <w:i/>
          <w:sz w:val="24"/>
          <w:szCs w:val="24"/>
        </w:rPr>
        <w:t xml:space="preserve">t </w:t>
      </w:r>
      <w:r w:rsidRPr="00204A1C">
        <w:rPr>
          <w:sz w:val="24"/>
          <w:szCs w:val="24"/>
        </w:rPr>
        <w:t xml:space="preserve">if </w:t>
      </w:r>
      <w:r w:rsidRPr="00204A1C">
        <w:rPr>
          <w:i/>
          <w:sz w:val="24"/>
          <w:szCs w:val="24"/>
        </w:rPr>
        <w:t>α</w:t>
      </w:r>
      <w:r w:rsidRPr="00204A1C">
        <w:rPr>
          <w:sz w:val="24"/>
          <w:szCs w:val="24"/>
        </w:rPr>
        <w:t xml:space="preserve"> = 5%. ITR itself explains the information found on the distribution tail, where IV explain the information completely. </w:t>
      </w:r>
      <w:r w:rsidRPr="00204A1C">
        <w:rPr>
          <w:sz w:val="24"/>
          <w:szCs w:val="24"/>
        </w:rPr>
        <w:lastRenderedPageBreak/>
        <w:t xml:space="preserve">Therefore, it could be stated that ITR and IV have different information since no relation was found between the ITR and IV. The same conclusion applies between ITR and the other risk factors. </w:t>
      </w:r>
    </w:p>
    <w:p w14:paraId="5B3D9F22" w14:textId="77777777" w:rsidR="005E7CBC" w:rsidRPr="00204A1C" w:rsidRDefault="005E7CBC" w:rsidP="00C25803">
      <w:pPr>
        <w:ind w:firstLine="284"/>
        <w:jc w:val="both"/>
        <w:rPr>
          <w:sz w:val="24"/>
          <w:szCs w:val="24"/>
        </w:rPr>
      </w:pPr>
    </w:p>
    <w:p w14:paraId="271899B1" w14:textId="3BE81607" w:rsidR="00573C2B" w:rsidRPr="00204A1C" w:rsidRDefault="000D0306" w:rsidP="00B97078">
      <w:pPr>
        <w:pStyle w:val="Heading2"/>
        <w:numPr>
          <w:ilvl w:val="1"/>
          <w:numId w:val="12"/>
        </w:numPr>
        <w:spacing w:before="0" w:after="0"/>
        <w:ind w:left="360"/>
        <w:rPr>
          <w:i w:val="0"/>
          <w:iCs/>
          <w:sz w:val="24"/>
          <w:szCs w:val="24"/>
        </w:rPr>
      </w:pPr>
      <w:bookmarkStart w:id="3" w:name="_heading=h.3znysh7" w:colFirst="0" w:colLast="0"/>
      <w:bookmarkEnd w:id="3"/>
      <w:r w:rsidRPr="00204A1C">
        <w:rPr>
          <w:i w:val="0"/>
          <w:iCs/>
          <w:sz w:val="24"/>
          <w:szCs w:val="24"/>
        </w:rPr>
        <w:t xml:space="preserve">Univariate </w:t>
      </w:r>
      <w:proofErr w:type="spellStart"/>
      <w:r w:rsidR="003716FD" w:rsidRPr="00204A1C">
        <w:rPr>
          <w:i w:val="0"/>
          <w:iCs/>
          <w:sz w:val="24"/>
          <w:szCs w:val="24"/>
        </w:rPr>
        <w:t>Fama</w:t>
      </w:r>
      <w:proofErr w:type="spellEnd"/>
      <w:r w:rsidR="003716FD" w:rsidRPr="00204A1C">
        <w:rPr>
          <w:i w:val="0"/>
          <w:iCs/>
          <w:sz w:val="24"/>
          <w:szCs w:val="24"/>
        </w:rPr>
        <w:t>-French</w:t>
      </w:r>
      <w:r w:rsidRPr="00204A1C">
        <w:rPr>
          <w:i w:val="0"/>
          <w:iCs/>
          <w:sz w:val="24"/>
          <w:szCs w:val="24"/>
        </w:rPr>
        <w:t xml:space="preserve"> Analysis</w:t>
      </w:r>
    </w:p>
    <w:p w14:paraId="5EAF603E" w14:textId="1A4D252F" w:rsidR="0079245E" w:rsidRPr="00204A1C" w:rsidRDefault="0079245E" w:rsidP="005E7CBC">
      <w:pPr>
        <w:pBdr>
          <w:top w:val="nil"/>
          <w:left w:val="nil"/>
          <w:bottom w:val="nil"/>
          <w:right w:val="nil"/>
          <w:between w:val="nil"/>
        </w:pBdr>
        <w:ind w:firstLine="360"/>
        <w:jc w:val="both"/>
        <w:rPr>
          <w:sz w:val="24"/>
          <w:szCs w:val="24"/>
        </w:rPr>
      </w:pPr>
      <w:r w:rsidRPr="00204A1C">
        <w:rPr>
          <w:sz w:val="24"/>
          <w:szCs w:val="24"/>
        </w:rPr>
        <w:t xml:space="preserve">Table III shows that there are signs that indicate the presence of "idiosyncratic tail risk puzzle" on this research. </w:t>
      </w:r>
      <w:r w:rsidR="007559DB" w:rsidRPr="00204A1C">
        <w:rPr>
          <w:sz w:val="24"/>
          <w:szCs w:val="24"/>
        </w:rPr>
        <w:t>T</w:t>
      </w:r>
      <w:r w:rsidRPr="00204A1C">
        <w:rPr>
          <w:sz w:val="24"/>
          <w:szCs w:val="24"/>
        </w:rPr>
        <w:t xml:space="preserve">he last column for panel A </w:t>
      </w:r>
      <w:r w:rsidR="007559DB" w:rsidRPr="00204A1C">
        <w:rPr>
          <w:sz w:val="24"/>
          <w:szCs w:val="24"/>
        </w:rPr>
        <w:t xml:space="preserve">shows </w:t>
      </w:r>
      <w:r w:rsidRPr="00204A1C">
        <w:rPr>
          <w:sz w:val="24"/>
          <w:szCs w:val="24"/>
        </w:rPr>
        <w:t xml:space="preserve">the difference of </w:t>
      </w:r>
      <w:r w:rsidR="007559DB" w:rsidRPr="00204A1C">
        <w:rPr>
          <w:sz w:val="24"/>
          <w:szCs w:val="24"/>
        </w:rPr>
        <w:t xml:space="preserve">portfolio stock </w:t>
      </w:r>
      <w:r w:rsidRPr="00204A1C">
        <w:rPr>
          <w:sz w:val="24"/>
          <w:szCs w:val="24"/>
        </w:rPr>
        <w:t>return between the portfolios with high and low ITR ha</w:t>
      </w:r>
      <w:r w:rsidR="007559DB" w:rsidRPr="00204A1C">
        <w:rPr>
          <w:sz w:val="24"/>
          <w:szCs w:val="24"/>
        </w:rPr>
        <w:t>s</w:t>
      </w:r>
      <w:r w:rsidRPr="00204A1C">
        <w:rPr>
          <w:sz w:val="24"/>
          <w:szCs w:val="24"/>
        </w:rPr>
        <w:t xml:space="preserve"> negative values, but it is not significant. </w:t>
      </w:r>
      <w:r w:rsidR="007559DB" w:rsidRPr="00204A1C">
        <w:rPr>
          <w:sz w:val="24"/>
          <w:szCs w:val="24"/>
        </w:rPr>
        <w:t>The average of portfolio also tends to decrease with the increase of ITR. In addition</w:t>
      </w:r>
      <w:r w:rsidRPr="00204A1C">
        <w:rPr>
          <w:sz w:val="24"/>
          <w:szCs w:val="24"/>
        </w:rPr>
        <w:t xml:space="preserve">, CAPM alpha and FF3 alpha of panel A, </w:t>
      </w:r>
      <w:r w:rsidR="007559DB" w:rsidRPr="00204A1C">
        <w:rPr>
          <w:sz w:val="24"/>
          <w:szCs w:val="24"/>
        </w:rPr>
        <w:t xml:space="preserve">shows </w:t>
      </w:r>
      <w:r w:rsidRPr="00204A1C">
        <w:rPr>
          <w:sz w:val="24"/>
          <w:szCs w:val="24"/>
        </w:rPr>
        <w:t xml:space="preserve">a significant difference. The difference between High-Low ITR is 0,92% per month and significant in 5% with t-statistic -2.3.  </w:t>
      </w:r>
      <w:r w:rsidR="007559DB" w:rsidRPr="00204A1C">
        <w:rPr>
          <w:sz w:val="24"/>
          <w:szCs w:val="24"/>
        </w:rPr>
        <w:t xml:space="preserve">Abnormal return from low to high ITR from both CAPM and FF3 tends to decrease monotonically. </w:t>
      </w:r>
      <w:r w:rsidRPr="00204A1C">
        <w:rPr>
          <w:sz w:val="24"/>
          <w:szCs w:val="24"/>
        </w:rPr>
        <w:t xml:space="preserve">Thus, </w:t>
      </w:r>
      <w:proofErr w:type="gramStart"/>
      <w:r w:rsidR="007559DB" w:rsidRPr="00204A1C">
        <w:rPr>
          <w:sz w:val="24"/>
          <w:szCs w:val="24"/>
        </w:rPr>
        <w:t>We</w:t>
      </w:r>
      <w:proofErr w:type="gramEnd"/>
      <w:r w:rsidR="007559DB" w:rsidRPr="00204A1C">
        <w:rPr>
          <w:sz w:val="24"/>
          <w:szCs w:val="24"/>
        </w:rPr>
        <w:t xml:space="preserve"> can conclude that</w:t>
      </w:r>
      <w:r w:rsidRPr="00204A1C">
        <w:rPr>
          <w:sz w:val="24"/>
          <w:szCs w:val="24"/>
        </w:rPr>
        <w:t xml:space="preserve"> in the portfolio-level analysis, </w:t>
      </w:r>
      <w:r w:rsidR="007559DB" w:rsidRPr="00204A1C">
        <w:rPr>
          <w:sz w:val="24"/>
          <w:szCs w:val="24"/>
        </w:rPr>
        <w:t>we find</w:t>
      </w:r>
      <w:r w:rsidRPr="00204A1C">
        <w:rPr>
          <w:sz w:val="24"/>
          <w:szCs w:val="24"/>
        </w:rPr>
        <w:t xml:space="preserve"> "idiosyncratic tail risk puzzle" or negative effect from idiosyncratic tail risk toward return</w:t>
      </w:r>
      <w:r w:rsidR="007559DB" w:rsidRPr="00204A1C">
        <w:rPr>
          <w:sz w:val="24"/>
          <w:szCs w:val="24"/>
        </w:rPr>
        <w:t xml:space="preserve"> in Indonesia</w:t>
      </w:r>
      <w:r w:rsidRPr="00204A1C">
        <w:rPr>
          <w:sz w:val="24"/>
          <w:szCs w:val="24"/>
        </w:rPr>
        <w:t xml:space="preserve">.  </w:t>
      </w:r>
      <w:r w:rsidR="006B1388" w:rsidRPr="00204A1C">
        <w:rPr>
          <w:sz w:val="24"/>
          <w:szCs w:val="24"/>
        </w:rPr>
        <w:t>Our finding showed the same results with Long et al., (2018) who used the Chinese stock market data.</w:t>
      </w:r>
      <w:r w:rsidR="007559DB" w:rsidRPr="00204A1C">
        <w:rPr>
          <w:sz w:val="24"/>
          <w:szCs w:val="24"/>
        </w:rPr>
        <w:t xml:space="preserve"> This results also show possibility that in Indonesia stock market, ITR is more representative as a pr</w:t>
      </w:r>
      <w:r w:rsidR="00646B84" w:rsidRPr="00204A1C">
        <w:rPr>
          <w:sz w:val="24"/>
          <w:szCs w:val="24"/>
        </w:rPr>
        <w:t>oxy of idiosyncratic risk.</w:t>
      </w:r>
    </w:p>
    <w:p w14:paraId="6C889D9A" w14:textId="030E410E" w:rsidR="00B97078" w:rsidRPr="00204A1C" w:rsidRDefault="005E7CBC" w:rsidP="00B97078">
      <w:pPr>
        <w:pStyle w:val="Heading2"/>
        <w:spacing w:before="0" w:after="0"/>
        <w:ind w:left="0" w:firstLine="360"/>
        <w:jc w:val="both"/>
        <w:rPr>
          <w:i w:val="0"/>
          <w:iCs/>
          <w:sz w:val="24"/>
          <w:szCs w:val="24"/>
        </w:rPr>
      </w:pPr>
      <w:r w:rsidRPr="00204A1C">
        <w:rPr>
          <w:i w:val="0"/>
          <w:iCs/>
          <w:sz w:val="24"/>
          <w:szCs w:val="24"/>
        </w:rPr>
        <w:t xml:space="preserve">On the other hand, Panel B from Table II showed that there </w:t>
      </w:r>
      <w:proofErr w:type="gramStart"/>
      <w:r w:rsidRPr="00204A1C">
        <w:rPr>
          <w:i w:val="0"/>
          <w:iCs/>
          <w:sz w:val="24"/>
          <w:szCs w:val="24"/>
        </w:rPr>
        <w:t>is</w:t>
      </w:r>
      <w:proofErr w:type="gramEnd"/>
      <w:r w:rsidRPr="00204A1C">
        <w:rPr>
          <w:i w:val="0"/>
          <w:iCs/>
          <w:sz w:val="24"/>
          <w:szCs w:val="24"/>
        </w:rPr>
        <w:t xml:space="preserve"> no idiosyncratic volatility effects on the stock return </w:t>
      </w:r>
      <w:r w:rsidR="00646B84" w:rsidRPr="00204A1C">
        <w:rPr>
          <w:i w:val="0"/>
          <w:iCs/>
          <w:sz w:val="24"/>
          <w:szCs w:val="24"/>
        </w:rPr>
        <w:t>in Indonesia</w:t>
      </w:r>
      <w:r w:rsidRPr="00204A1C">
        <w:rPr>
          <w:i w:val="0"/>
          <w:iCs/>
          <w:sz w:val="24"/>
          <w:szCs w:val="24"/>
        </w:rPr>
        <w:t xml:space="preserve"> market. This resul</w:t>
      </w:r>
      <w:r w:rsidR="00716414" w:rsidRPr="00204A1C">
        <w:rPr>
          <w:i w:val="0"/>
          <w:iCs/>
          <w:sz w:val="24"/>
          <w:szCs w:val="24"/>
        </w:rPr>
        <w:t>t</w:t>
      </w:r>
      <w:r w:rsidRPr="00204A1C">
        <w:rPr>
          <w:i w:val="0"/>
          <w:iCs/>
          <w:sz w:val="24"/>
          <w:szCs w:val="24"/>
        </w:rPr>
        <w:t xml:space="preserve"> is contractive with Ang et al., (2006;2009), </w:t>
      </w:r>
      <w:r w:rsidR="00716414" w:rsidRPr="00204A1C">
        <w:rPr>
          <w:i w:val="0"/>
          <w:iCs/>
          <w:sz w:val="24"/>
          <w:szCs w:val="24"/>
        </w:rPr>
        <w:t xml:space="preserve">and </w:t>
      </w:r>
      <w:r w:rsidRPr="00204A1C">
        <w:rPr>
          <w:i w:val="0"/>
          <w:iCs/>
          <w:sz w:val="24"/>
          <w:szCs w:val="24"/>
        </w:rPr>
        <w:t>Bali et al, (</w:t>
      </w:r>
      <w:r w:rsidR="00716414" w:rsidRPr="00204A1C">
        <w:rPr>
          <w:i w:val="0"/>
          <w:iCs/>
          <w:sz w:val="24"/>
          <w:szCs w:val="24"/>
        </w:rPr>
        <w:t xml:space="preserve">2008; </w:t>
      </w:r>
      <w:r w:rsidRPr="00204A1C">
        <w:rPr>
          <w:i w:val="0"/>
          <w:iCs/>
          <w:sz w:val="24"/>
          <w:szCs w:val="24"/>
        </w:rPr>
        <w:t>201</w:t>
      </w:r>
      <w:r w:rsidR="00646B84" w:rsidRPr="00204A1C">
        <w:rPr>
          <w:i w:val="0"/>
          <w:iCs/>
          <w:sz w:val="24"/>
          <w:szCs w:val="24"/>
        </w:rPr>
        <w:t>1</w:t>
      </w:r>
      <w:r w:rsidRPr="00204A1C">
        <w:rPr>
          <w:i w:val="0"/>
          <w:iCs/>
          <w:sz w:val="24"/>
          <w:szCs w:val="24"/>
        </w:rPr>
        <w:t>). However, this result is consistent with</w:t>
      </w:r>
      <w:r w:rsidRPr="00204A1C">
        <w:rPr>
          <w:sz w:val="24"/>
          <w:szCs w:val="24"/>
        </w:rPr>
        <w:t xml:space="preserve"> </w:t>
      </w:r>
      <w:proofErr w:type="spellStart"/>
      <w:r w:rsidRPr="00204A1C">
        <w:rPr>
          <w:i w:val="0"/>
          <w:iCs/>
          <w:sz w:val="24"/>
          <w:szCs w:val="24"/>
        </w:rPr>
        <w:t>Miralles</w:t>
      </w:r>
      <w:proofErr w:type="spellEnd"/>
      <w:r w:rsidRPr="00204A1C">
        <w:rPr>
          <w:i w:val="0"/>
          <w:iCs/>
          <w:sz w:val="24"/>
          <w:szCs w:val="24"/>
        </w:rPr>
        <w:t>-Marcelo et al. (2012) in Spanish market</w:t>
      </w:r>
      <w:r w:rsidRPr="00204A1C">
        <w:rPr>
          <w:sz w:val="24"/>
          <w:szCs w:val="24"/>
        </w:rPr>
        <w:t xml:space="preserve"> </w:t>
      </w:r>
      <w:r w:rsidRPr="00204A1C">
        <w:rPr>
          <w:i w:val="0"/>
          <w:iCs/>
          <w:sz w:val="24"/>
          <w:szCs w:val="24"/>
        </w:rPr>
        <w:t xml:space="preserve">and </w:t>
      </w:r>
      <w:proofErr w:type="spellStart"/>
      <w:r w:rsidR="00646B84" w:rsidRPr="00204A1C">
        <w:rPr>
          <w:i w:val="0"/>
          <w:iCs/>
          <w:sz w:val="24"/>
          <w:szCs w:val="24"/>
        </w:rPr>
        <w:t>Nart</w:t>
      </w:r>
      <w:r w:rsidR="0099059E" w:rsidRPr="00204A1C">
        <w:rPr>
          <w:i w:val="0"/>
          <w:iCs/>
          <w:sz w:val="24"/>
          <w:szCs w:val="24"/>
        </w:rPr>
        <w:t>e</w:t>
      </w:r>
      <w:r w:rsidR="00646B84" w:rsidRPr="00204A1C">
        <w:rPr>
          <w:i w:val="0"/>
          <w:iCs/>
          <w:sz w:val="24"/>
          <w:szCs w:val="24"/>
        </w:rPr>
        <w:t>a</w:t>
      </w:r>
      <w:proofErr w:type="spellEnd"/>
      <w:r w:rsidR="00646B84" w:rsidRPr="00204A1C">
        <w:rPr>
          <w:i w:val="0"/>
          <w:iCs/>
          <w:sz w:val="24"/>
          <w:szCs w:val="24"/>
        </w:rPr>
        <w:t xml:space="preserve"> et al., (2011) dan </w:t>
      </w:r>
      <w:proofErr w:type="spellStart"/>
      <w:r w:rsidR="0011551D" w:rsidRPr="00204A1C">
        <w:rPr>
          <w:i w:val="0"/>
          <w:iCs/>
          <w:sz w:val="24"/>
          <w:szCs w:val="24"/>
        </w:rPr>
        <w:t>Pudjianto</w:t>
      </w:r>
      <w:proofErr w:type="spellEnd"/>
      <w:r w:rsidR="0011551D" w:rsidRPr="00204A1C">
        <w:rPr>
          <w:i w:val="0"/>
          <w:iCs/>
          <w:sz w:val="24"/>
          <w:szCs w:val="24"/>
        </w:rPr>
        <w:t xml:space="preserve"> &amp; </w:t>
      </w:r>
      <w:r w:rsidRPr="00204A1C">
        <w:rPr>
          <w:i w:val="0"/>
          <w:iCs/>
          <w:sz w:val="24"/>
          <w:szCs w:val="24"/>
        </w:rPr>
        <w:t>Wibowo (2019) in Indonesia stock market.</w:t>
      </w:r>
      <w:r w:rsidR="00646B84" w:rsidRPr="00204A1C">
        <w:rPr>
          <w:i w:val="0"/>
          <w:iCs/>
          <w:sz w:val="24"/>
          <w:szCs w:val="24"/>
        </w:rPr>
        <w:t xml:space="preserve"> Idiosyncratic risk estimated with IV have positive effects on stock return. Even if the difference of high-low portfolio is not significant statistically, coefficient from low to high IV portfolio tends to increase.</w:t>
      </w:r>
    </w:p>
    <w:p w14:paraId="6029D224" w14:textId="77777777" w:rsidR="00B97078" w:rsidRPr="00204A1C" w:rsidRDefault="00B97078" w:rsidP="00B97078">
      <w:pPr>
        <w:rPr>
          <w:sz w:val="22"/>
          <w:szCs w:val="22"/>
        </w:rPr>
      </w:pPr>
    </w:p>
    <w:p w14:paraId="5B1D4737" w14:textId="77777777" w:rsidR="00646B84" w:rsidRPr="00204A1C" w:rsidRDefault="00646B84" w:rsidP="00B97078">
      <w:pPr>
        <w:pStyle w:val="Heading2"/>
        <w:numPr>
          <w:ilvl w:val="1"/>
          <w:numId w:val="12"/>
        </w:numPr>
        <w:spacing w:before="0" w:after="0"/>
        <w:ind w:left="360"/>
        <w:rPr>
          <w:i w:val="0"/>
          <w:iCs/>
          <w:sz w:val="22"/>
          <w:szCs w:val="22"/>
        </w:rPr>
      </w:pPr>
      <w:r w:rsidRPr="00204A1C">
        <w:rPr>
          <w:i w:val="0"/>
          <w:iCs/>
          <w:sz w:val="24"/>
          <w:szCs w:val="24"/>
        </w:rPr>
        <w:t xml:space="preserve">Firm-level </w:t>
      </w:r>
      <w:proofErr w:type="spellStart"/>
      <w:r w:rsidRPr="00204A1C">
        <w:rPr>
          <w:i w:val="0"/>
          <w:iCs/>
          <w:sz w:val="24"/>
          <w:szCs w:val="24"/>
        </w:rPr>
        <w:t>Fama-MacBeth</w:t>
      </w:r>
      <w:proofErr w:type="spellEnd"/>
      <w:r w:rsidRPr="00204A1C">
        <w:rPr>
          <w:i w:val="0"/>
          <w:iCs/>
          <w:sz w:val="24"/>
          <w:szCs w:val="24"/>
        </w:rPr>
        <w:t xml:space="preserve"> Analysis</w:t>
      </w:r>
    </w:p>
    <w:p w14:paraId="0D41FC60" w14:textId="1BE92AD6" w:rsidR="00646B84" w:rsidRPr="00204A1C" w:rsidRDefault="00646B84" w:rsidP="00646B84">
      <w:pPr>
        <w:ind w:firstLine="284"/>
        <w:jc w:val="both"/>
        <w:rPr>
          <w:sz w:val="24"/>
          <w:szCs w:val="24"/>
        </w:rPr>
      </w:pPr>
      <w:bookmarkStart w:id="4" w:name="_heading=h.2et92p0" w:colFirst="0" w:colLast="0"/>
      <w:bookmarkEnd w:id="4"/>
      <w:r w:rsidRPr="00204A1C">
        <w:rPr>
          <w:sz w:val="24"/>
          <w:szCs w:val="24"/>
        </w:rPr>
        <w:t xml:space="preserve">This section was focused to see the effects of ITR on the stock return using </w:t>
      </w:r>
      <w:proofErr w:type="spellStart"/>
      <w:r w:rsidRPr="00204A1C">
        <w:rPr>
          <w:sz w:val="24"/>
          <w:szCs w:val="24"/>
        </w:rPr>
        <w:t>Fama</w:t>
      </w:r>
      <w:proofErr w:type="spellEnd"/>
      <w:r w:rsidRPr="00204A1C">
        <w:rPr>
          <w:sz w:val="24"/>
          <w:szCs w:val="24"/>
        </w:rPr>
        <w:t xml:space="preserve">-Macbeth regression. The calculation result on Table IV indicates that ITR has no significant role in </w:t>
      </w:r>
      <w:r w:rsidR="00B97078" w:rsidRPr="00204A1C">
        <w:rPr>
          <w:sz w:val="24"/>
          <w:szCs w:val="24"/>
        </w:rPr>
        <w:t xml:space="preserve">stock return. However, all the </w:t>
      </w:r>
    </w:p>
    <w:p w14:paraId="5B1D0F3C" w14:textId="77777777" w:rsidR="00B97078" w:rsidRPr="00204A1C" w:rsidRDefault="00B97078" w:rsidP="00646B84">
      <w:pPr>
        <w:ind w:firstLine="284"/>
        <w:jc w:val="both"/>
        <w:rPr>
          <w:sz w:val="24"/>
          <w:szCs w:val="24"/>
        </w:rPr>
      </w:pPr>
    </w:p>
    <w:p w14:paraId="75CCD66B" w14:textId="247C0524" w:rsidR="00573C2B" w:rsidRDefault="000D0306" w:rsidP="00C25803">
      <w:pPr>
        <w:pBdr>
          <w:top w:val="nil"/>
          <w:left w:val="nil"/>
          <w:bottom w:val="nil"/>
          <w:right w:val="nil"/>
          <w:between w:val="nil"/>
        </w:pBdr>
        <w:rPr>
          <w:color w:val="000000"/>
          <w:sz w:val="22"/>
          <w:szCs w:val="22"/>
        </w:rPr>
      </w:pPr>
      <w:r>
        <w:rPr>
          <w:color w:val="000000"/>
          <w:sz w:val="22"/>
          <w:szCs w:val="22"/>
        </w:rPr>
        <w:t>Table III</w:t>
      </w:r>
    </w:p>
    <w:p w14:paraId="44DDF432" w14:textId="0CFE5618" w:rsidR="00646B84" w:rsidRDefault="00646B84" w:rsidP="00C25803">
      <w:pPr>
        <w:pBdr>
          <w:top w:val="nil"/>
          <w:left w:val="nil"/>
          <w:bottom w:val="nil"/>
          <w:right w:val="nil"/>
          <w:between w:val="nil"/>
        </w:pBdr>
        <w:rPr>
          <w:color w:val="000000"/>
          <w:sz w:val="22"/>
          <w:szCs w:val="22"/>
        </w:rPr>
      </w:pPr>
      <w:r>
        <w:rPr>
          <w:color w:val="000000"/>
          <w:sz w:val="22"/>
          <w:szCs w:val="22"/>
        </w:rPr>
        <w:t>Effects of ITR (IV) to the Stock Return in Portfolio Level</w:t>
      </w:r>
    </w:p>
    <w:p w14:paraId="21D302F8" w14:textId="6BC46145" w:rsidR="00573C2B" w:rsidRDefault="00432BEB" w:rsidP="00C25803">
      <w:r w:rsidRPr="00D055B0">
        <w:rPr>
          <w:noProof/>
        </w:rPr>
        <w:lastRenderedPageBreak/>
        <w:drawing>
          <wp:inline distT="0" distB="0" distL="0" distR="0" wp14:anchorId="4489BC9B" wp14:editId="3351B8CF">
            <wp:extent cx="5524728" cy="5158002"/>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7431" cy="5225879"/>
                    </a:xfrm>
                    <a:prstGeom prst="rect">
                      <a:avLst/>
                    </a:prstGeom>
                    <a:noFill/>
                    <a:ln>
                      <a:noFill/>
                    </a:ln>
                  </pic:spPr>
                </pic:pic>
              </a:graphicData>
            </a:graphic>
          </wp:inline>
        </w:drawing>
      </w:r>
    </w:p>
    <w:p w14:paraId="3725B22B" w14:textId="77777777" w:rsidR="00573C2B" w:rsidRDefault="000D0306" w:rsidP="00C25803">
      <w:pPr>
        <w:pBdr>
          <w:top w:val="nil"/>
          <w:left w:val="nil"/>
          <w:bottom w:val="nil"/>
          <w:right w:val="nil"/>
          <w:between w:val="nil"/>
        </w:pBdr>
        <w:jc w:val="both"/>
        <w:rPr>
          <w:sz w:val="16"/>
          <w:szCs w:val="16"/>
        </w:rPr>
      </w:pPr>
      <w:r>
        <w:rPr>
          <w:sz w:val="16"/>
          <w:szCs w:val="16"/>
        </w:rPr>
        <w:t>Note: Numbers inside brackets are t statistic value. Symbol *, **, and *** shows the significance level of 10%, 5% dan 1%, respectively.</w:t>
      </w:r>
    </w:p>
    <w:p w14:paraId="3C30FFCD" w14:textId="77777777" w:rsidR="00573C2B" w:rsidRDefault="00573C2B" w:rsidP="00C25803">
      <w:pPr>
        <w:pBdr>
          <w:top w:val="nil"/>
          <w:left w:val="nil"/>
          <w:bottom w:val="nil"/>
          <w:right w:val="nil"/>
          <w:between w:val="nil"/>
        </w:pBdr>
        <w:jc w:val="both"/>
        <w:rPr>
          <w:color w:val="000000"/>
          <w:sz w:val="16"/>
          <w:szCs w:val="16"/>
        </w:rPr>
      </w:pPr>
    </w:p>
    <w:p w14:paraId="69C260D1" w14:textId="01AEAED5" w:rsidR="00B97078" w:rsidRPr="00204A1C" w:rsidRDefault="00B97078" w:rsidP="00B97078">
      <w:pPr>
        <w:jc w:val="both"/>
        <w:rPr>
          <w:sz w:val="24"/>
          <w:szCs w:val="24"/>
        </w:rPr>
      </w:pPr>
      <w:r w:rsidRPr="00204A1C">
        <w:rPr>
          <w:sz w:val="24"/>
          <w:szCs w:val="24"/>
        </w:rPr>
        <w:t>coefficient of the ITR has consistently negative sign.  It means that after controlling risk factors such as BETA, SIZE, and BM, the risk factors reduce</w:t>
      </w:r>
      <w:r w:rsidR="00125A7F" w:rsidRPr="00204A1C">
        <w:rPr>
          <w:sz w:val="24"/>
          <w:szCs w:val="24"/>
        </w:rPr>
        <w:t xml:space="preserve"> the effects of the ITR to the stock return. Simultaneously r</w:t>
      </w:r>
      <w:r w:rsidRPr="00204A1C">
        <w:rPr>
          <w:sz w:val="24"/>
          <w:szCs w:val="24"/>
        </w:rPr>
        <w:t>isk factors also do</w:t>
      </w:r>
      <w:r w:rsidR="00125A7F" w:rsidRPr="00204A1C">
        <w:rPr>
          <w:sz w:val="24"/>
          <w:szCs w:val="24"/>
        </w:rPr>
        <w:t xml:space="preserve"> not </w:t>
      </w:r>
      <w:r w:rsidRPr="00204A1C">
        <w:rPr>
          <w:sz w:val="24"/>
          <w:szCs w:val="24"/>
        </w:rPr>
        <w:t>affect</w:t>
      </w:r>
      <w:r w:rsidR="00125A7F" w:rsidRPr="00204A1C">
        <w:rPr>
          <w:sz w:val="24"/>
          <w:szCs w:val="24"/>
        </w:rPr>
        <w:t xml:space="preserve"> to</w:t>
      </w:r>
      <w:r w:rsidRPr="00204A1C">
        <w:rPr>
          <w:sz w:val="24"/>
          <w:szCs w:val="24"/>
        </w:rPr>
        <w:t xml:space="preserve"> the expected return. This could be shown from the t-statistic of all risk factors do not significant in 5% significant level. </w:t>
      </w:r>
    </w:p>
    <w:p w14:paraId="0616AA90" w14:textId="25F66101" w:rsidR="00B97078" w:rsidRPr="00204A1C" w:rsidRDefault="00B97078" w:rsidP="00B97078">
      <w:pPr>
        <w:ind w:firstLine="284"/>
        <w:jc w:val="both"/>
        <w:rPr>
          <w:sz w:val="24"/>
          <w:szCs w:val="24"/>
        </w:rPr>
      </w:pPr>
      <w:r w:rsidRPr="00204A1C">
        <w:rPr>
          <w:sz w:val="24"/>
          <w:szCs w:val="24"/>
        </w:rPr>
        <w:t xml:space="preserve">The calculation result on Panel B in Table IV shows that by doing </w:t>
      </w:r>
      <w:proofErr w:type="spellStart"/>
      <w:r w:rsidRPr="00204A1C">
        <w:rPr>
          <w:sz w:val="24"/>
          <w:szCs w:val="24"/>
        </w:rPr>
        <w:t>Fama</w:t>
      </w:r>
      <w:proofErr w:type="spellEnd"/>
      <w:r w:rsidRPr="00204A1C">
        <w:rPr>
          <w:sz w:val="24"/>
          <w:szCs w:val="24"/>
        </w:rPr>
        <w:t xml:space="preserve">-Macbeth cross-sectional regression on ITR, BETA, SIZE, BM, and risk factors of systematic risk, does not result in any factor that significantly affect the cross sectional expected return. The same result is also shown on Panel C in Table IV, which shows no factor that significantly affects the expected return. </w:t>
      </w:r>
    </w:p>
    <w:p w14:paraId="4F219A5D" w14:textId="0E5620EA" w:rsidR="00125A7F" w:rsidRDefault="00B97078" w:rsidP="00B97078">
      <w:pPr>
        <w:pBdr>
          <w:top w:val="nil"/>
          <w:left w:val="nil"/>
          <w:bottom w:val="nil"/>
          <w:right w:val="nil"/>
          <w:between w:val="nil"/>
        </w:pBdr>
        <w:ind w:firstLine="284"/>
        <w:jc w:val="both"/>
        <w:rPr>
          <w:sz w:val="22"/>
          <w:szCs w:val="22"/>
        </w:rPr>
      </w:pPr>
      <w:r w:rsidRPr="00204A1C">
        <w:rPr>
          <w:sz w:val="24"/>
          <w:szCs w:val="24"/>
        </w:rPr>
        <w:t xml:space="preserve">Based on the results from IV Table, </w:t>
      </w:r>
      <w:r w:rsidR="00125A7F" w:rsidRPr="00204A1C">
        <w:rPr>
          <w:sz w:val="24"/>
          <w:szCs w:val="24"/>
        </w:rPr>
        <w:t xml:space="preserve">it can be said </w:t>
      </w:r>
      <w:r w:rsidRPr="00204A1C">
        <w:rPr>
          <w:sz w:val="24"/>
          <w:szCs w:val="24"/>
        </w:rPr>
        <w:t xml:space="preserve">that </w:t>
      </w:r>
      <w:r w:rsidR="00125A7F" w:rsidRPr="00204A1C">
        <w:rPr>
          <w:sz w:val="24"/>
          <w:szCs w:val="24"/>
        </w:rPr>
        <w:t>even if ITR ha</w:t>
      </w:r>
      <w:r w:rsidR="00716414" w:rsidRPr="00204A1C">
        <w:rPr>
          <w:sz w:val="24"/>
          <w:szCs w:val="24"/>
        </w:rPr>
        <w:t>s the</w:t>
      </w:r>
      <w:r w:rsidR="00125A7F" w:rsidRPr="00204A1C">
        <w:rPr>
          <w:sz w:val="24"/>
          <w:szCs w:val="24"/>
        </w:rPr>
        <w:t xml:space="preserve"> negative coefficient f</w:t>
      </w:r>
      <w:r w:rsidR="00716414" w:rsidRPr="00204A1C">
        <w:rPr>
          <w:sz w:val="24"/>
          <w:szCs w:val="24"/>
        </w:rPr>
        <w:t>rom</w:t>
      </w:r>
      <w:r w:rsidR="00125A7F" w:rsidRPr="00204A1C">
        <w:rPr>
          <w:sz w:val="24"/>
          <w:szCs w:val="24"/>
        </w:rPr>
        <w:t xml:space="preserve"> all regression </w:t>
      </w:r>
      <w:proofErr w:type="gramStart"/>
      <w:r w:rsidR="00125A7F" w:rsidRPr="00204A1C">
        <w:rPr>
          <w:sz w:val="24"/>
          <w:szCs w:val="24"/>
        </w:rPr>
        <w:t>model</w:t>
      </w:r>
      <w:r w:rsidR="00716414" w:rsidRPr="00204A1C">
        <w:rPr>
          <w:sz w:val="24"/>
          <w:szCs w:val="24"/>
        </w:rPr>
        <w:t>s</w:t>
      </w:r>
      <w:proofErr w:type="gramEnd"/>
      <w:r w:rsidR="00716414" w:rsidRPr="00204A1C">
        <w:rPr>
          <w:sz w:val="24"/>
          <w:szCs w:val="24"/>
        </w:rPr>
        <w:t xml:space="preserve"> </w:t>
      </w:r>
      <w:r w:rsidR="00125A7F" w:rsidRPr="00204A1C">
        <w:rPr>
          <w:sz w:val="24"/>
          <w:szCs w:val="24"/>
        </w:rPr>
        <w:t xml:space="preserve">but that number is not significant statistically. </w:t>
      </w:r>
      <w:r w:rsidRPr="00204A1C">
        <w:rPr>
          <w:sz w:val="24"/>
          <w:szCs w:val="24"/>
        </w:rPr>
        <w:t xml:space="preserve"> This indicates that </w:t>
      </w:r>
      <w:r w:rsidR="00125A7F" w:rsidRPr="00204A1C">
        <w:rPr>
          <w:sz w:val="24"/>
          <w:szCs w:val="24"/>
        </w:rPr>
        <w:t xml:space="preserve">ITR in individual level cannot show idiosyncratic tail risk puzzle. </w:t>
      </w:r>
      <w:r w:rsidR="0057126E" w:rsidRPr="00204A1C">
        <w:rPr>
          <w:sz w:val="24"/>
          <w:szCs w:val="24"/>
        </w:rPr>
        <w:t xml:space="preserve">This result is consistent with Long et al., (2018). However, idiosyncratic volatility (IV) also does not have significant effects to the stock return. This result is contradictory to the evidence form </w:t>
      </w:r>
      <w:proofErr w:type="spellStart"/>
      <w:r w:rsidR="0011551D" w:rsidRPr="00204A1C">
        <w:rPr>
          <w:sz w:val="24"/>
          <w:szCs w:val="24"/>
        </w:rPr>
        <w:t>Pudjianto</w:t>
      </w:r>
      <w:proofErr w:type="spellEnd"/>
      <w:r w:rsidR="0011551D" w:rsidRPr="00204A1C">
        <w:rPr>
          <w:sz w:val="24"/>
          <w:szCs w:val="24"/>
        </w:rPr>
        <w:t xml:space="preserve"> &amp; </w:t>
      </w:r>
      <w:r w:rsidR="0057126E" w:rsidRPr="00204A1C">
        <w:rPr>
          <w:sz w:val="24"/>
          <w:szCs w:val="24"/>
        </w:rPr>
        <w:t xml:space="preserve">Wibowo (2019) and </w:t>
      </w:r>
      <w:proofErr w:type="spellStart"/>
      <w:r w:rsidR="0057126E" w:rsidRPr="00204A1C">
        <w:rPr>
          <w:sz w:val="24"/>
          <w:szCs w:val="24"/>
        </w:rPr>
        <w:t>Nart</w:t>
      </w:r>
      <w:r w:rsidR="0099059E" w:rsidRPr="00204A1C">
        <w:rPr>
          <w:sz w:val="24"/>
          <w:szCs w:val="24"/>
        </w:rPr>
        <w:t>e</w:t>
      </w:r>
      <w:r w:rsidR="0057126E" w:rsidRPr="00204A1C">
        <w:rPr>
          <w:sz w:val="24"/>
          <w:szCs w:val="24"/>
        </w:rPr>
        <w:t>a</w:t>
      </w:r>
      <w:proofErr w:type="spellEnd"/>
      <w:r w:rsidR="0057126E" w:rsidRPr="00204A1C">
        <w:rPr>
          <w:sz w:val="24"/>
          <w:szCs w:val="24"/>
        </w:rPr>
        <w:t xml:space="preserve"> et al., (2012). They showed that positive relationship between IV and stock return. Perhaps this contradictory result comes from different period of data. </w:t>
      </w:r>
    </w:p>
    <w:p w14:paraId="25AEDDBB" w14:textId="347BD98F" w:rsidR="00125A7F" w:rsidRPr="00204A1C" w:rsidRDefault="00125A7F" w:rsidP="00125A7F">
      <w:pPr>
        <w:pStyle w:val="Heading2"/>
        <w:numPr>
          <w:ilvl w:val="0"/>
          <w:numId w:val="9"/>
        </w:numPr>
        <w:spacing w:before="0" w:after="0"/>
        <w:ind w:left="360"/>
        <w:rPr>
          <w:b/>
          <w:bCs/>
          <w:i w:val="0"/>
          <w:iCs/>
          <w:sz w:val="24"/>
          <w:szCs w:val="24"/>
        </w:rPr>
      </w:pPr>
      <w:r w:rsidRPr="00204A1C">
        <w:rPr>
          <w:b/>
          <w:bCs/>
          <w:i w:val="0"/>
          <w:iCs/>
          <w:sz w:val="24"/>
          <w:szCs w:val="24"/>
        </w:rPr>
        <w:t xml:space="preserve">Conclusion </w:t>
      </w:r>
    </w:p>
    <w:p w14:paraId="407D093A" w14:textId="5B97A7CC" w:rsidR="00125A7F" w:rsidRPr="00204A1C" w:rsidRDefault="00125A7F" w:rsidP="00125A7F">
      <w:pPr>
        <w:ind w:firstLine="284"/>
        <w:jc w:val="both"/>
        <w:rPr>
          <w:iCs/>
          <w:color w:val="000000"/>
          <w:sz w:val="24"/>
          <w:szCs w:val="24"/>
        </w:rPr>
      </w:pPr>
      <w:r w:rsidRPr="00204A1C">
        <w:rPr>
          <w:sz w:val="24"/>
          <w:szCs w:val="24"/>
        </w:rPr>
        <w:t xml:space="preserve">In this research, there are two methods of analysis being done which are </w:t>
      </w:r>
      <w:r w:rsidRPr="00204A1C">
        <w:rPr>
          <w:iCs/>
          <w:sz w:val="24"/>
          <w:szCs w:val="24"/>
        </w:rPr>
        <w:t>u</w:t>
      </w:r>
      <w:r w:rsidRPr="00204A1C">
        <w:rPr>
          <w:sz w:val="24"/>
          <w:szCs w:val="24"/>
        </w:rPr>
        <w:t xml:space="preserve">nivariate </w:t>
      </w:r>
      <w:proofErr w:type="spellStart"/>
      <w:r w:rsidRPr="00204A1C">
        <w:rPr>
          <w:sz w:val="24"/>
          <w:szCs w:val="24"/>
        </w:rPr>
        <w:t>Fama</w:t>
      </w:r>
      <w:proofErr w:type="spellEnd"/>
      <w:r w:rsidRPr="00204A1C">
        <w:rPr>
          <w:sz w:val="24"/>
          <w:szCs w:val="24"/>
        </w:rPr>
        <w:t xml:space="preserve">-French analysis and firm-level </w:t>
      </w:r>
      <w:proofErr w:type="spellStart"/>
      <w:r w:rsidRPr="00204A1C">
        <w:rPr>
          <w:sz w:val="24"/>
          <w:szCs w:val="24"/>
        </w:rPr>
        <w:t>Fama-MacBeth</w:t>
      </w:r>
      <w:proofErr w:type="spellEnd"/>
      <w:r w:rsidRPr="00204A1C">
        <w:rPr>
          <w:sz w:val="24"/>
          <w:szCs w:val="24"/>
        </w:rPr>
        <w:t xml:space="preserve"> regression. The research focused on the influence of idiosyncratic tail risk </w:t>
      </w:r>
      <w:r w:rsidR="0057126E" w:rsidRPr="00204A1C">
        <w:rPr>
          <w:sz w:val="24"/>
          <w:szCs w:val="24"/>
        </w:rPr>
        <w:t>to</w:t>
      </w:r>
      <w:r w:rsidRPr="00204A1C">
        <w:rPr>
          <w:sz w:val="24"/>
          <w:szCs w:val="24"/>
        </w:rPr>
        <w:t xml:space="preserve"> </w:t>
      </w:r>
    </w:p>
    <w:p w14:paraId="5E45EC56" w14:textId="1992EC31" w:rsidR="000D0306" w:rsidRDefault="000D0306" w:rsidP="0057126E">
      <w:pPr>
        <w:pBdr>
          <w:top w:val="nil"/>
          <w:left w:val="nil"/>
          <w:bottom w:val="nil"/>
          <w:right w:val="nil"/>
          <w:between w:val="nil"/>
        </w:pBdr>
        <w:rPr>
          <w:color w:val="000000"/>
          <w:sz w:val="22"/>
          <w:szCs w:val="22"/>
        </w:rPr>
      </w:pPr>
      <w:r>
        <w:rPr>
          <w:color w:val="000000"/>
          <w:sz w:val="22"/>
          <w:szCs w:val="22"/>
        </w:rPr>
        <w:lastRenderedPageBreak/>
        <w:t xml:space="preserve">Table IV </w:t>
      </w:r>
    </w:p>
    <w:p w14:paraId="514A6628" w14:textId="6AEF0145" w:rsidR="00925C20" w:rsidRDefault="00C25803" w:rsidP="0057126E">
      <w:pPr>
        <w:pBdr>
          <w:top w:val="nil"/>
          <w:left w:val="nil"/>
          <w:bottom w:val="nil"/>
          <w:right w:val="nil"/>
          <w:between w:val="nil"/>
        </w:pBdr>
        <w:rPr>
          <w:color w:val="000000"/>
          <w:sz w:val="22"/>
          <w:szCs w:val="22"/>
        </w:rPr>
      </w:pPr>
      <w:r>
        <w:rPr>
          <w:color w:val="000000"/>
          <w:sz w:val="22"/>
          <w:szCs w:val="22"/>
        </w:rPr>
        <w:t xml:space="preserve">Panel A: </w:t>
      </w:r>
      <w:r w:rsidR="00925C20">
        <w:rPr>
          <w:color w:val="000000"/>
          <w:sz w:val="22"/>
          <w:szCs w:val="22"/>
        </w:rPr>
        <w:t>ITR Effects on Stock Return After Controlling Various Risk Factors</w:t>
      </w:r>
    </w:p>
    <w:p w14:paraId="3B887616" w14:textId="17091BB6" w:rsidR="000D0306" w:rsidRDefault="00432BEB" w:rsidP="00C25803">
      <w:pPr>
        <w:pStyle w:val="Heading5"/>
        <w:spacing w:before="0" w:after="0"/>
        <w:rPr>
          <w:sz w:val="22"/>
          <w:szCs w:val="22"/>
        </w:rPr>
      </w:pPr>
      <w:r w:rsidRPr="00121126">
        <w:rPr>
          <w:noProof/>
          <w:sz w:val="22"/>
          <w:szCs w:val="22"/>
        </w:rPr>
        <w:drawing>
          <wp:inline distT="0" distB="0" distL="0" distR="0" wp14:anchorId="08AFD9E7" wp14:editId="27E7EADD">
            <wp:extent cx="4995894" cy="4018548"/>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4113" cy="4057334"/>
                    </a:xfrm>
                    <a:prstGeom prst="rect">
                      <a:avLst/>
                    </a:prstGeom>
                    <a:noFill/>
                    <a:ln>
                      <a:noFill/>
                    </a:ln>
                  </pic:spPr>
                </pic:pic>
              </a:graphicData>
            </a:graphic>
          </wp:inline>
        </w:drawing>
      </w:r>
    </w:p>
    <w:p w14:paraId="0C08E21A" w14:textId="77777777" w:rsidR="00125A7F" w:rsidRDefault="00125A7F" w:rsidP="00C25803">
      <w:pPr>
        <w:pBdr>
          <w:top w:val="nil"/>
          <w:left w:val="nil"/>
          <w:bottom w:val="nil"/>
          <w:right w:val="nil"/>
          <w:between w:val="nil"/>
        </w:pBdr>
        <w:rPr>
          <w:color w:val="000000"/>
          <w:sz w:val="22"/>
          <w:szCs w:val="22"/>
        </w:rPr>
      </w:pPr>
    </w:p>
    <w:p w14:paraId="1A528FDF" w14:textId="1CE15865" w:rsidR="00C25803" w:rsidRDefault="00C25803" w:rsidP="00C25803">
      <w:pPr>
        <w:pBdr>
          <w:top w:val="nil"/>
          <w:left w:val="nil"/>
          <w:bottom w:val="nil"/>
          <w:right w:val="nil"/>
          <w:between w:val="nil"/>
        </w:pBdr>
        <w:rPr>
          <w:color w:val="000000"/>
          <w:sz w:val="22"/>
          <w:szCs w:val="22"/>
        </w:rPr>
      </w:pPr>
      <w:r>
        <w:rPr>
          <w:color w:val="000000"/>
          <w:sz w:val="22"/>
          <w:szCs w:val="22"/>
        </w:rPr>
        <w:t>Panel B: ITR Effects on Stock Return After Controlling Various Risk Factors</w:t>
      </w:r>
    </w:p>
    <w:p w14:paraId="3F77D4F4" w14:textId="1E5758C6" w:rsidR="00573C2B" w:rsidRDefault="00432BEB" w:rsidP="00C25803">
      <w:pPr>
        <w:pStyle w:val="Heading5"/>
        <w:spacing w:before="0" w:after="0"/>
        <w:rPr>
          <w:color w:val="000000"/>
          <w:sz w:val="22"/>
          <w:szCs w:val="22"/>
        </w:rPr>
      </w:pPr>
      <w:r w:rsidRPr="00121126">
        <w:rPr>
          <w:noProof/>
          <w:sz w:val="22"/>
          <w:szCs w:val="22"/>
        </w:rPr>
        <w:drawing>
          <wp:inline distT="0" distB="0" distL="0" distR="0" wp14:anchorId="5EDF6F00" wp14:editId="1AD4C836">
            <wp:extent cx="2870852" cy="3834063"/>
            <wp:effectExtent l="0" t="0" r="5715" b="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9683" cy="3952698"/>
                    </a:xfrm>
                    <a:prstGeom prst="rect">
                      <a:avLst/>
                    </a:prstGeom>
                    <a:noFill/>
                    <a:ln>
                      <a:noFill/>
                    </a:ln>
                  </pic:spPr>
                </pic:pic>
              </a:graphicData>
            </a:graphic>
          </wp:inline>
        </w:drawing>
      </w:r>
    </w:p>
    <w:p w14:paraId="4065BC4D" w14:textId="77777777" w:rsidR="00125A7F" w:rsidRDefault="00125A7F" w:rsidP="00C25803">
      <w:pPr>
        <w:pBdr>
          <w:top w:val="nil"/>
          <w:left w:val="nil"/>
          <w:bottom w:val="nil"/>
          <w:right w:val="nil"/>
          <w:between w:val="nil"/>
        </w:pBdr>
        <w:rPr>
          <w:color w:val="000000"/>
          <w:sz w:val="22"/>
          <w:szCs w:val="22"/>
        </w:rPr>
      </w:pPr>
    </w:p>
    <w:p w14:paraId="00FF14E5" w14:textId="77777777" w:rsidR="00125A7F" w:rsidRDefault="00125A7F" w:rsidP="00C25803">
      <w:pPr>
        <w:pBdr>
          <w:top w:val="nil"/>
          <w:left w:val="nil"/>
          <w:bottom w:val="nil"/>
          <w:right w:val="nil"/>
          <w:between w:val="nil"/>
        </w:pBdr>
        <w:rPr>
          <w:color w:val="000000"/>
          <w:sz w:val="22"/>
          <w:szCs w:val="22"/>
        </w:rPr>
      </w:pPr>
    </w:p>
    <w:p w14:paraId="3B39E576" w14:textId="6D2D8A72" w:rsidR="00C25803" w:rsidRDefault="00C25803" w:rsidP="00C25803">
      <w:pPr>
        <w:pBdr>
          <w:top w:val="nil"/>
          <w:left w:val="nil"/>
          <w:bottom w:val="nil"/>
          <w:right w:val="nil"/>
          <w:between w:val="nil"/>
        </w:pBdr>
        <w:rPr>
          <w:color w:val="000000"/>
          <w:sz w:val="22"/>
          <w:szCs w:val="22"/>
        </w:rPr>
      </w:pPr>
      <w:r>
        <w:rPr>
          <w:color w:val="000000"/>
          <w:sz w:val="22"/>
          <w:szCs w:val="22"/>
        </w:rPr>
        <w:lastRenderedPageBreak/>
        <w:t>Panel C:</w:t>
      </w:r>
      <w:r w:rsidRPr="00C25803">
        <w:rPr>
          <w:color w:val="000000"/>
          <w:sz w:val="22"/>
          <w:szCs w:val="22"/>
        </w:rPr>
        <w:t xml:space="preserve"> </w:t>
      </w:r>
      <w:r>
        <w:rPr>
          <w:color w:val="000000"/>
          <w:sz w:val="22"/>
          <w:szCs w:val="22"/>
        </w:rPr>
        <w:t>ITR Effects on Stock Return After Controlling Various Risk Factors</w:t>
      </w:r>
    </w:p>
    <w:p w14:paraId="223DBD5E" w14:textId="0F42E36B" w:rsidR="00573C2B" w:rsidRDefault="00432BEB" w:rsidP="00C25803">
      <w:pPr>
        <w:pStyle w:val="Heading5"/>
        <w:spacing w:before="0" w:after="0"/>
        <w:rPr>
          <w:color w:val="000000"/>
          <w:sz w:val="22"/>
          <w:szCs w:val="22"/>
        </w:rPr>
      </w:pPr>
      <w:r w:rsidRPr="00121126">
        <w:rPr>
          <w:noProof/>
          <w:sz w:val="22"/>
          <w:szCs w:val="22"/>
        </w:rPr>
        <w:drawing>
          <wp:inline distT="0" distB="0" distL="0" distR="0" wp14:anchorId="34334549" wp14:editId="27877170">
            <wp:extent cx="4223491" cy="4555958"/>
            <wp:effectExtent l="0" t="0" r="5715" b="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5854" cy="4590869"/>
                    </a:xfrm>
                    <a:prstGeom prst="rect">
                      <a:avLst/>
                    </a:prstGeom>
                    <a:noFill/>
                    <a:ln>
                      <a:noFill/>
                    </a:ln>
                  </pic:spPr>
                </pic:pic>
              </a:graphicData>
            </a:graphic>
          </wp:inline>
        </w:drawing>
      </w:r>
    </w:p>
    <w:p w14:paraId="35968CDA" w14:textId="77777777" w:rsidR="00573C2B" w:rsidRPr="000D0306" w:rsidRDefault="000D0306" w:rsidP="00C25803">
      <w:pPr>
        <w:jc w:val="both"/>
        <w:rPr>
          <w:sz w:val="16"/>
          <w:szCs w:val="16"/>
        </w:rPr>
      </w:pPr>
      <w:r>
        <w:rPr>
          <w:sz w:val="16"/>
          <w:szCs w:val="16"/>
        </w:rPr>
        <w:t>Note: Numbers inside brackets are t statistical value. Symbol *, **, and *** shows the significance level of 10%, 5% dan 1%, respectively.</w:t>
      </w:r>
    </w:p>
    <w:p w14:paraId="6C023F05" w14:textId="77777777" w:rsidR="00125A7F" w:rsidRPr="00204A1C" w:rsidRDefault="00125A7F" w:rsidP="00125A7F">
      <w:pPr>
        <w:ind w:firstLine="284"/>
        <w:jc w:val="both"/>
        <w:rPr>
          <w:sz w:val="24"/>
          <w:szCs w:val="24"/>
        </w:rPr>
      </w:pPr>
    </w:p>
    <w:p w14:paraId="347F254C" w14:textId="4CC92C79" w:rsidR="0057126E" w:rsidRPr="00204A1C" w:rsidRDefault="00125A7F" w:rsidP="00F65FA4">
      <w:pPr>
        <w:pBdr>
          <w:top w:val="nil"/>
          <w:left w:val="nil"/>
          <w:bottom w:val="nil"/>
          <w:right w:val="nil"/>
          <w:between w:val="nil"/>
        </w:pBdr>
        <w:jc w:val="both"/>
        <w:rPr>
          <w:sz w:val="24"/>
          <w:szCs w:val="24"/>
        </w:rPr>
      </w:pPr>
      <w:r w:rsidRPr="00204A1C">
        <w:rPr>
          <w:sz w:val="24"/>
          <w:szCs w:val="24"/>
        </w:rPr>
        <w:t xml:space="preserve">stock return in Indonesia in the period of 10 years with 662 companies involved could be concluded that </w:t>
      </w:r>
      <w:r w:rsidR="0057126E" w:rsidRPr="00204A1C">
        <w:rPr>
          <w:sz w:val="24"/>
          <w:szCs w:val="24"/>
        </w:rPr>
        <w:t>idiosyncratic tail risk has a</w:t>
      </w:r>
      <w:r w:rsidRPr="00204A1C">
        <w:rPr>
          <w:sz w:val="24"/>
          <w:szCs w:val="24"/>
        </w:rPr>
        <w:t xml:space="preserve"> significant negative effect </w:t>
      </w:r>
      <w:r w:rsidR="0057126E" w:rsidRPr="00204A1C">
        <w:rPr>
          <w:sz w:val="24"/>
          <w:szCs w:val="24"/>
        </w:rPr>
        <w:t>to the stock</w:t>
      </w:r>
      <w:r w:rsidRPr="00204A1C">
        <w:rPr>
          <w:sz w:val="24"/>
          <w:szCs w:val="24"/>
        </w:rPr>
        <w:t xml:space="preserve"> return in Indonesia</w:t>
      </w:r>
      <w:r w:rsidR="0057126E" w:rsidRPr="00204A1C">
        <w:rPr>
          <w:sz w:val="24"/>
          <w:szCs w:val="24"/>
        </w:rPr>
        <w:t xml:space="preserve"> in portfolio level</w:t>
      </w:r>
      <w:r w:rsidRPr="00204A1C">
        <w:rPr>
          <w:sz w:val="24"/>
          <w:szCs w:val="24"/>
        </w:rPr>
        <w:t xml:space="preserve">. </w:t>
      </w:r>
      <w:r w:rsidR="0057126E" w:rsidRPr="00204A1C">
        <w:rPr>
          <w:sz w:val="24"/>
          <w:szCs w:val="24"/>
        </w:rPr>
        <w:t>However, t</w:t>
      </w:r>
      <w:r w:rsidRPr="00204A1C">
        <w:rPr>
          <w:sz w:val="24"/>
          <w:szCs w:val="24"/>
        </w:rPr>
        <w:t>he result of</w:t>
      </w:r>
      <w:r w:rsidR="0057126E" w:rsidRPr="00204A1C">
        <w:rPr>
          <w:sz w:val="24"/>
          <w:szCs w:val="24"/>
        </w:rPr>
        <w:t xml:space="preserve"> firm level </w:t>
      </w:r>
      <w:proofErr w:type="spellStart"/>
      <w:r w:rsidR="0057126E" w:rsidRPr="00204A1C">
        <w:rPr>
          <w:sz w:val="24"/>
          <w:szCs w:val="24"/>
        </w:rPr>
        <w:t>Fama-MacBeth</w:t>
      </w:r>
      <w:proofErr w:type="spellEnd"/>
      <w:r w:rsidR="0057126E" w:rsidRPr="00204A1C">
        <w:rPr>
          <w:sz w:val="24"/>
          <w:szCs w:val="24"/>
        </w:rPr>
        <w:t xml:space="preserve"> </w:t>
      </w:r>
      <w:r w:rsidRPr="00204A1C">
        <w:rPr>
          <w:sz w:val="24"/>
          <w:szCs w:val="24"/>
        </w:rPr>
        <w:t xml:space="preserve">shows </w:t>
      </w:r>
      <w:r w:rsidR="0057126E" w:rsidRPr="00204A1C">
        <w:rPr>
          <w:sz w:val="24"/>
          <w:szCs w:val="24"/>
        </w:rPr>
        <w:t xml:space="preserve">idiosyncratic tail risk has </w:t>
      </w:r>
      <w:r w:rsidRPr="00204A1C">
        <w:rPr>
          <w:sz w:val="24"/>
          <w:szCs w:val="24"/>
        </w:rPr>
        <w:t xml:space="preserve">no effect </w:t>
      </w:r>
      <w:r w:rsidR="0057126E" w:rsidRPr="00204A1C">
        <w:rPr>
          <w:sz w:val="24"/>
          <w:szCs w:val="24"/>
        </w:rPr>
        <w:t xml:space="preserve">to </w:t>
      </w:r>
      <w:r w:rsidRPr="00204A1C">
        <w:rPr>
          <w:sz w:val="24"/>
          <w:szCs w:val="24"/>
        </w:rPr>
        <w:t xml:space="preserve">the </w:t>
      </w:r>
      <w:r w:rsidR="0057126E" w:rsidRPr="00204A1C">
        <w:rPr>
          <w:sz w:val="24"/>
          <w:szCs w:val="24"/>
        </w:rPr>
        <w:t xml:space="preserve">stock </w:t>
      </w:r>
      <w:r w:rsidRPr="00204A1C">
        <w:rPr>
          <w:sz w:val="24"/>
          <w:szCs w:val="24"/>
        </w:rPr>
        <w:t xml:space="preserve">return in Indonesia. </w:t>
      </w:r>
      <w:r w:rsidR="0057126E" w:rsidRPr="00204A1C">
        <w:rPr>
          <w:sz w:val="24"/>
          <w:szCs w:val="24"/>
        </w:rPr>
        <w:t xml:space="preserve">Then, </w:t>
      </w:r>
      <w:r w:rsidR="00F65FA4" w:rsidRPr="00204A1C">
        <w:rPr>
          <w:sz w:val="24"/>
          <w:szCs w:val="24"/>
        </w:rPr>
        <w:t xml:space="preserve">it can be said that </w:t>
      </w:r>
      <w:r w:rsidR="0057126E" w:rsidRPr="00204A1C">
        <w:rPr>
          <w:sz w:val="24"/>
          <w:szCs w:val="24"/>
        </w:rPr>
        <w:t>idiosyncratic tail risk factors contain information that are not present in other idiosyncratic risk factors</w:t>
      </w:r>
      <w:r w:rsidR="00F65FA4" w:rsidRPr="00204A1C">
        <w:rPr>
          <w:sz w:val="24"/>
          <w:szCs w:val="24"/>
        </w:rPr>
        <w:t xml:space="preserve"> at least portfolio level</w:t>
      </w:r>
      <w:r w:rsidR="0057126E" w:rsidRPr="00204A1C">
        <w:rPr>
          <w:sz w:val="24"/>
          <w:szCs w:val="24"/>
        </w:rPr>
        <w:t>.</w:t>
      </w:r>
    </w:p>
    <w:p w14:paraId="679414B2" w14:textId="3CC09633" w:rsidR="00125A7F" w:rsidRPr="00204A1C" w:rsidRDefault="00125A7F" w:rsidP="00F65FA4">
      <w:pPr>
        <w:ind w:firstLine="720"/>
        <w:jc w:val="both"/>
        <w:rPr>
          <w:iCs/>
          <w:color w:val="000000"/>
          <w:sz w:val="24"/>
          <w:szCs w:val="24"/>
        </w:rPr>
      </w:pPr>
      <w:r w:rsidRPr="00204A1C">
        <w:rPr>
          <w:sz w:val="24"/>
          <w:szCs w:val="24"/>
        </w:rPr>
        <w:t>Further analysis can be done by making portfolios based on other controlled variables</w:t>
      </w:r>
      <w:r w:rsidRPr="00204A1C">
        <w:rPr>
          <w:color w:val="000000"/>
          <w:sz w:val="24"/>
          <w:szCs w:val="24"/>
        </w:rPr>
        <w:t>, using bivariate</w:t>
      </w:r>
      <w:r w:rsidRPr="00204A1C">
        <w:rPr>
          <w:i/>
          <w:color w:val="000000"/>
          <w:sz w:val="24"/>
          <w:szCs w:val="24"/>
        </w:rPr>
        <w:t xml:space="preserve"> </w:t>
      </w:r>
      <w:r w:rsidRPr="00204A1C">
        <w:rPr>
          <w:iCs/>
          <w:color w:val="000000"/>
          <w:sz w:val="24"/>
          <w:szCs w:val="24"/>
        </w:rPr>
        <w:t xml:space="preserve">portfolio-level analysis.  </w:t>
      </w:r>
      <w:r w:rsidR="00F65FA4" w:rsidRPr="00204A1C">
        <w:rPr>
          <w:iCs/>
          <w:color w:val="000000"/>
          <w:sz w:val="24"/>
          <w:szCs w:val="24"/>
        </w:rPr>
        <w:t>It is needed to be investigated</w:t>
      </w:r>
      <w:r w:rsidRPr="00204A1C">
        <w:rPr>
          <w:iCs/>
          <w:color w:val="000000"/>
          <w:sz w:val="24"/>
          <w:szCs w:val="24"/>
        </w:rPr>
        <w:t xml:space="preserve"> </w:t>
      </w:r>
      <w:r w:rsidR="00F65FA4" w:rsidRPr="00204A1C">
        <w:rPr>
          <w:iCs/>
          <w:color w:val="000000"/>
          <w:sz w:val="24"/>
          <w:szCs w:val="24"/>
        </w:rPr>
        <w:t>that</w:t>
      </w:r>
      <w:r w:rsidRPr="00204A1C">
        <w:rPr>
          <w:iCs/>
          <w:color w:val="000000"/>
          <w:sz w:val="24"/>
          <w:szCs w:val="24"/>
        </w:rPr>
        <w:t xml:space="preserve"> the relation idiosyncratic tail risk with certain firm specific factors like investment and cash flows of the firm.</w:t>
      </w:r>
    </w:p>
    <w:p w14:paraId="26475E1E" w14:textId="77777777" w:rsidR="00EA082B" w:rsidRPr="00204A1C" w:rsidRDefault="00EA082B" w:rsidP="00C25803">
      <w:pPr>
        <w:pBdr>
          <w:top w:val="nil"/>
          <w:left w:val="nil"/>
          <w:bottom w:val="nil"/>
          <w:right w:val="nil"/>
          <w:between w:val="nil"/>
        </w:pBdr>
        <w:ind w:left="567"/>
        <w:jc w:val="both"/>
        <w:rPr>
          <w:color w:val="000000"/>
          <w:sz w:val="28"/>
          <w:szCs w:val="28"/>
        </w:rPr>
      </w:pPr>
    </w:p>
    <w:p w14:paraId="5CBDA6AA" w14:textId="4603FFB8" w:rsidR="00EA082B" w:rsidRPr="00204A1C" w:rsidRDefault="00EA082B" w:rsidP="00C25803">
      <w:pPr>
        <w:pBdr>
          <w:top w:val="nil"/>
          <w:left w:val="nil"/>
          <w:bottom w:val="nil"/>
          <w:right w:val="nil"/>
          <w:between w:val="nil"/>
        </w:pBdr>
        <w:jc w:val="both"/>
        <w:rPr>
          <w:b/>
          <w:bCs/>
          <w:color w:val="000000"/>
          <w:sz w:val="28"/>
          <w:szCs w:val="28"/>
        </w:rPr>
      </w:pPr>
      <w:r w:rsidRPr="00204A1C">
        <w:rPr>
          <w:b/>
          <w:bCs/>
          <w:color w:val="000000"/>
          <w:sz w:val="24"/>
          <w:szCs w:val="24"/>
        </w:rPr>
        <w:t>References</w:t>
      </w:r>
    </w:p>
    <w:p w14:paraId="1B63F9C0" w14:textId="73C1AF92" w:rsidR="00573C2B" w:rsidRPr="00204A1C" w:rsidRDefault="000D0306" w:rsidP="00C25803">
      <w:pPr>
        <w:ind w:left="284" w:hanging="284"/>
        <w:jc w:val="both"/>
        <w:rPr>
          <w:sz w:val="24"/>
          <w:szCs w:val="24"/>
        </w:rPr>
      </w:pPr>
      <w:r w:rsidRPr="00204A1C">
        <w:rPr>
          <w:color w:val="222222"/>
          <w:sz w:val="24"/>
          <w:szCs w:val="24"/>
          <w:highlight w:val="white"/>
        </w:rPr>
        <w:t xml:space="preserve">Ang, A., </w:t>
      </w:r>
      <w:proofErr w:type="spellStart"/>
      <w:r w:rsidRPr="00204A1C">
        <w:rPr>
          <w:color w:val="222222"/>
          <w:sz w:val="24"/>
          <w:szCs w:val="24"/>
          <w:highlight w:val="white"/>
        </w:rPr>
        <w:t>Hodrick</w:t>
      </w:r>
      <w:proofErr w:type="spellEnd"/>
      <w:r w:rsidRPr="00204A1C">
        <w:rPr>
          <w:color w:val="222222"/>
          <w:sz w:val="24"/>
          <w:szCs w:val="24"/>
          <w:highlight w:val="white"/>
        </w:rPr>
        <w:t xml:space="preserve">, R. J., Xing, Y., &amp; Zhang, X. (2006). The cross‐section of volatility and expected returns. </w:t>
      </w:r>
      <w:r w:rsidRPr="00204A1C">
        <w:rPr>
          <w:i/>
          <w:color w:val="222222"/>
          <w:sz w:val="24"/>
          <w:szCs w:val="24"/>
        </w:rPr>
        <w:t>The Journal of Finance</w:t>
      </w:r>
      <w:r w:rsidRPr="00204A1C">
        <w:rPr>
          <w:color w:val="222222"/>
          <w:sz w:val="24"/>
          <w:szCs w:val="24"/>
          <w:highlight w:val="white"/>
        </w:rPr>
        <w:t xml:space="preserve">, </w:t>
      </w:r>
      <w:r w:rsidRPr="00204A1C">
        <w:rPr>
          <w:i/>
          <w:color w:val="222222"/>
          <w:sz w:val="24"/>
          <w:szCs w:val="24"/>
        </w:rPr>
        <w:t>61</w:t>
      </w:r>
      <w:r w:rsidRPr="00204A1C">
        <w:rPr>
          <w:color w:val="222222"/>
          <w:sz w:val="24"/>
          <w:szCs w:val="24"/>
          <w:highlight w:val="white"/>
        </w:rPr>
        <w:t>(1), 259-299.</w:t>
      </w:r>
      <w:r w:rsidR="00F427C5" w:rsidRPr="00204A1C">
        <w:rPr>
          <w:color w:val="222222"/>
          <w:sz w:val="24"/>
          <w:szCs w:val="24"/>
        </w:rPr>
        <w:t xml:space="preserve"> </w:t>
      </w:r>
      <w:hyperlink r:id="rId15" w:history="1">
        <w:r w:rsidR="00F427C5" w:rsidRPr="00204A1C">
          <w:rPr>
            <w:rStyle w:val="Hyperlink"/>
            <w:sz w:val="24"/>
            <w:szCs w:val="24"/>
          </w:rPr>
          <w:t>https://doi.org/10.1111/j.1540-6261.2006.00836.x</w:t>
        </w:r>
      </w:hyperlink>
      <w:r w:rsidR="00F427C5" w:rsidRPr="00204A1C">
        <w:rPr>
          <w:color w:val="222222"/>
          <w:sz w:val="24"/>
          <w:szCs w:val="24"/>
        </w:rPr>
        <w:t xml:space="preserve"> </w:t>
      </w:r>
    </w:p>
    <w:p w14:paraId="65710BD2" w14:textId="170DA7AA" w:rsidR="00573C2B" w:rsidRPr="00204A1C" w:rsidRDefault="000D0306" w:rsidP="00C25803">
      <w:pPr>
        <w:ind w:left="284" w:hanging="284"/>
        <w:jc w:val="both"/>
        <w:rPr>
          <w:color w:val="222222"/>
          <w:sz w:val="24"/>
          <w:szCs w:val="24"/>
          <w:highlight w:val="white"/>
        </w:rPr>
      </w:pPr>
      <w:r w:rsidRPr="00204A1C">
        <w:rPr>
          <w:color w:val="222222"/>
          <w:sz w:val="24"/>
          <w:szCs w:val="24"/>
          <w:highlight w:val="white"/>
        </w:rPr>
        <w:t xml:space="preserve">Ang, A., </w:t>
      </w:r>
      <w:proofErr w:type="spellStart"/>
      <w:r w:rsidRPr="00204A1C">
        <w:rPr>
          <w:color w:val="222222"/>
          <w:sz w:val="24"/>
          <w:szCs w:val="24"/>
          <w:highlight w:val="white"/>
        </w:rPr>
        <w:t>Hodrick</w:t>
      </w:r>
      <w:proofErr w:type="spellEnd"/>
      <w:r w:rsidRPr="00204A1C">
        <w:rPr>
          <w:color w:val="222222"/>
          <w:sz w:val="24"/>
          <w:szCs w:val="24"/>
          <w:highlight w:val="white"/>
        </w:rPr>
        <w:t xml:space="preserve">, R. J., Xing, Y., &amp; Zhang, X. (2009). High idiosyncratic volatility and low returns: International and further US evidence. </w:t>
      </w:r>
      <w:r w:rsidRPr="00204A1C">
        <w:rPr>
          <w:i/>
          <w:color w:val="222222"/>
          <w:sz w:val="24"/>
          <w:szCs w:val="24"/>
        </w:rPr>
        <w:t>Journal of Financial Economics</w:t>
      </w:r>
      <w:r w:rsidRPr="00204A1C">
        <w:rPr>
          <w:color w:val="222222"/>
          <w:sz w:val="24"/>
          <w:szCs w:val="24"/>
          <w:highlight w:val="white"/>
        </w:rPr>
        <w:t xml:space="preserve">, </w:t>
      </w:r>
      <w:r w:rsidRPr="00204A1C">
        <w:rPr>
          <w:i/>
          <w:color w:val="222222"/>
          <w:sz w:val="24"/>
          <w:szCs w:val="24"/>
        </w:rPr>
        <w:t>91</w:t>
      </w:r>
      <w:r w:rsidRPr="00204A1C">
        <w:rPr>
          <w:color w:val="222222"/>
          <w:sz w:val="24"/>
          <w:szCs w:val="24"/>
          <w:highlight w:val="white"/>
        </w:rPr>
        <w:t>(1), 1-23.</w:t>
      </w:r>
      <w:r w:rsidR="00F427C5" w:rsidRPr="00204A1C">
        <w:rPr>
          <w:color w:val="222222"/>
          <w:sz w:val="24"/>
          <w:szCs w:val="24"/>
          <w:highlight w:val="white"/>
        </w:rPr>
        <w:t xml:space="preserve"> </w:t>
      </w:r>
      <w:hyperlink r:id="rId16" w:history="1">
        <w:r w:rsidR="00F427C5" w:rsidRPr="00204A1C">
          <w:rPr>
            <w:rStyle w:val="Hyperlink"/>
            <w:sz w:val="24"/>
            <w:szCs w:val="24"/>
          </w:rPr>
          <w:t>https://doi.org/10.1016/j.jfineco.2007.12.005</w:t>
        </w:r>
      </w:hyperlink>
      <w:r w:rsidR="00F427C5" w:rsidRPr="00204A1C">
        <w:rPr>
          <w:color w:val="222222"/>
          <w:sz w:val="24"/>
          <w:szCs w:val="24"/>
        </w:rPr>
        <w:t xml:space="preserve"> </w:t>
      </w:r>
    </w:p>
    <w:p w14:paraId="68894CFE" w14:textId="005D0E9F" w:rsidR="00716414" w:rsidRPr="00204A1C" w:rsidRDefault="00716414" w:rsidP="00C25803">
      <w:pPr>
        <w:ind w:left="284" w:hanging="284"/>
        <w:jc w:val="both"/>
        <w:rPr>
          <w:color w:val="222222"/>
          <w:sz w:val="24"/>
          <w:szCs w:val="24"/>
          <w:shd w:val="clear" w:color="auto" w:fill="FFFFFF"/>
        </w:rPr>
      </w:pPr>
      <w:r w:rsidRPr="00204A1C">
        <w:rPr>
          <w:color w:val="222222"/>
          <w:sz w:val="24"/>
          <w:szCs w:val="24"/>
          <w:shd w:val="clear" w:color="auto" w:fill="FFFFFF"/>
        </w:rPr>
        <w:t xml:space="preserve">Bali, T. G., &amp; </w:t>
      </w:r>
      <w:proofErr w:type="spellStart"/>
      <w:r w:rsidRPr="00204A1C">
        <w:rPr>
          <w:color w:val="222222"/>
          <w:sz w:val="24"/>
          <w:szCs w:val="24"/>
          <w:shd w:val="clear" w:color="auto" w:fill="FFFFFF"/>
        </w:rPr>
        <w:t>Cakici</w:t>
      </w:r>
      <w:proofErr w:type="spellEnd"/>
      <w:r w:rsidRPr="00204A1C">
        <w:rPr>
          <w:color w:val="222222"/>
          <w:sz w:val="24"/>
          <w:szCs w:val="24"/>
          <w:shd w:val="clear" w:color="auto" w:fill="FFFFFF"/>
        </w:rPr>
        <w:t>, N. (2008). Idiosyncratic volatility and the cross section of expected returns. </w:t>
      </w:r>
      <w:r w:rsidRPr="00204A1C">
        <w:rPr>
          <w:i/>
          <w:iCs/>
          <w:color w:val="222222"/>
          <w:sz w:val="24"/>
          <w:szCs w:val="24"/>
          <w:shd w:val="clear" w:color="auto" w:fill="FFFFFF"/>
        </w:rPr>
        <w:t>Journal of Financial and Quantitative Analysis</w:t>
      </w:r>
      <w:r w:rsidRPr="00204A1C">
        <w:rPr>
          <w:color w:val="222222"/>
          <w:sz w:val="24"/>
          <w:szCs w:val="24"/>
          <w:shd w:val="clear" w:color="auto" w:fill="FFFFFF"/>
        </w:rPr>
        <w:t>, </w:t>
      </w:r>
      <w:r w:rsidRPr="00204A1C">
        <w:rPr>
          <w:i/>
          <w:iCs/>
          <w:color w:val="222222"/>
          <w:sz w:val="24"/>
          <w:szCs w:val="24"/>
          <w:shd w:val="clear" w:color="auto" w:fill="FFFFFF"/>
        </w:rPr>
        <w:t>43</w:t>
      </w:r>
      <w:r w:rsidRPr="00204A1C">
        <w:rPr>
          <w:color w:val="222222"/>
          <w:sz w:val="24"/>
          <w:szCs w:val="24"/>
          <w:shd w:val="clear" w:color="auto" w:fill="FFFFFF"/>
        </w:rPr>
        <w:t xml:space="preserve">(1), 29-58. </w:t>
      </w:r>
      <w:hyperlink r:id="rId17" w:history="1">
        <w:r w:rsidR="00F427C5" w:rsidRPr="00204A1C">
          <w:rPr>
            <w:rStyle w:val="Hyperlink"/>
            <w:sz w:val="24"/>
            <w:szCs w:val="24"/>
            <w:shd w:val="clear" w:color="auto" w:fill="FFFFFF"/>
          </w:rPr>
          <w:t>https://doi.org/10.1017/S002210900000274X</w:t>
        </w:r>
      </w:hyperlink>
      <w:r w:rsidR="00F427C5" w:rsidRPr="00204A1C">
        <w:rPr>
          <w:color w:val="222222"/>
          <w:sz w:val="24"/>
          <w:szCs w:val="24"/>
          <w:shd w:val="clear" w:color="auto" w:fill="FFFFFF"/>
        </w:rPr>
        <w:t xml:space="preserve"> </w:t>
      </w:r>
    </w:p>
    <w:p w14:paraId="6D8D4D46" w14:textId="56EB5496" w:rsidR="005333D2" w:rsidRPr="00204A1C" w:rsidRDefault="00454AC1" w:rsidP="00C25803">
      <w:pPr>
        <w:ind w:left="284" w:hanging="284"/>
        <w:jc w:val="both"/>
        <w:rPr>
          <w:color w:val="222222"/>
          <w:sz w:val="24"/>
          <w:szCs w:val="24"/>
          <w:highlight w:val="white"/>
        </w:rPr>
      </w:pPr>
      <w:r w:rsidRPr="00204A1C">
        <w:rPr>
          <w:color w:val="222222"/>
          <w:sz w:val="24"/>
          <w:szCs w:val="24"/>
          <w:shd w:val="clear" w:color="auto" w:fill="FFFFFF"/>
        </w:rPr>
        <w:t xml:space="preserve">Bali, T. G., </w:t>
      </w:r>
      <w:proofErr w:type="spellStart"/>
      <w:r w:rsidRPr="00204A1C">
        <w:rPr>
          <w:color w:val="222222"/>
          <w:sz w:val="24"/>
          <w:szCs w:val="24"/>
          <w:shd w:val="clear" w:color="auto" w:fill="FFFFFF"/>
        </w:rPr>
        <w:t>Cakici</w:t>
      </w:r>
      <w:proofErr w:type="spellEnd"/>
      <w:r w:rsidRPr="00204A1C">
        <w:rPr>
          <w:color w:val="222222"/>
          <w:sz w:val="24"/>
          <w:szCs w:val="24"/>
          <w:shd w:val="clear" w:color="auto" w:fill="FFFFFF"/>
        </w:rPr>
        <w:t>, N., &amp; Whitelaw, R. F. (2011). Maxing out: Stocks as lotteries and the cross-section of expected returns. </w:t>
      </w:r>
      <w:r w:rsidRPr="00204A1C">
        <w:rPr>
          <w:i/>
          <w:iCs/>
          <w:color w:val="222222"/>
          <w:sz w:val="24"/>
          <w:szCs w:val="24"/>
          <w:shd w:val="clear" w:color="auto" w:fill="FFFFFF"/>
        </w:rPr>
        <w:t>Journal of Financial Economics</w:t>
      </w:r>
      <w:r w:rsidRPr="00204A1C">
        <w:rPr>
          <w:color w:val="222222"/>
          <w:sz w:val="24"/>
          <w:szCs w:val="24"/>
          <w:shd w:val="clear" w:color="auto" w:fill="FFFFFF"/>
        </w:rPr>
        <w:t>, </w:t>
      </w:r>
      <w:r w:rsidRPr="00204A1C">
        <w:rPr>
          <w:i/>
          <w:iCs/>
          <w:color w:val="222222"/>
          <w:sz w:val="24"/>
          <w:szCs w:val="24"/>
          <w:shd w:val="clear" w:color="auto" w:fill="FFFFFF"/>
        </w:rPr>
        <w:t>99</w:t>
      </w:r>
      <w:r w:rsidRPr="00204A1C">
        <w:rPr>
          <w:color w:val="222222"/>
          <w:sz w:val="24"/>
          <w:szCs w:val="24"/>
          <w:shd w:val="clear" w:color="auto" w:fill="FFFFFF"/>
        </w:rPr>
        <w:t>(2), 427-446.</w:t>
      </w:r>
      <w:r w:rsidR="00F427C5" w:rsidRPr="00204A1C">
        <w:rPr>
          <w:color w:val="222222"/>
          <w:sz w:val="24"/>
          <w:szCs w:val="24"/>
          <w:shd w:val="clear" w:color="auto" w:fill="FFFFFF"/>
        </w:rPr>
        <w:t xml:space="preserve"> </w:t>
      </w:r>
      <w:hyperlink r:id="rId18" w:history="1">
        <w:r w:rsidR="00F427C5" w:rsidRPr="00204A1C">
          <w:rPr>
            <w:rStyle w:val="Hyperlink"/>
            <w:sz w:val="24"/>
            <w:szCs w:val="24"/>
            <w:shd w:val="clear" w:color="auto" w:fill="FFFFFF"/>
          </w:rPr>
          <w:t>https://doi.org/10.1016/j.jfineco.2010.08.014</w:t>
        </w:r>
      </w:hyperlink>
      <w:r w:rsidR="00F427C5" w:rsidRPr="00204A1C">
        <w:rPr>
          <w:color w:val="222222"/>
          <w:sz w:val="24"/>
          <w:szCs w:val="24"/>
          <w:shd w:val="clear" w:color="auto" w:fill="FFFFFF"/>
        </w:rPr>
        <w:t xml:space="preserve"> </w:t>
      </w:r>
    </w:p>
    <w:p w14:paraId="340CF2D4" w14:textId="16DA3A2B" w:rsidR="00573C2B" w:rsidRPr="00204A1C" w:rsidRDefault="000D0306" w:rsidP="00C25803">
      <w:pPr>
        <w:ind w:left="284" w:hanging="284"/>
        <w:jc w:val="both"/>
        <w:rPr>
          <w:color w:val="222222"/>
          <w:sz w:val="24"/>
          <w:szCs w:val="24"/>
          <w:highlight w:val="white"/>
        </w:rPr>
      </w:pPr>
      <w:bookmarkStart w:id="5" w:name="_heading=h.1t3h5sf" w:colFirst="0" w:colLast="0"/>
      <w:bookmarkEnd w:id="5"/>
      <w:r w:rsidRPr="00204A1C">
        <w:rPr>
          <w:color w:val="222222"/>
          <w:sz w:val="24"/>
          <w:szCs w:val="24"/>
          <w:highlight w:val="white"/>
        </w:rPr>
        <w:lastRenderedPageBreak/>
        <w:t xml:space="preserve">Bali, T. G., </w:t>
      </w:r>
      <w:proofErr w:type="spellStart"/>
      <w:r w:rsidRPr="00204A1C">
        <w:rPr>
          <w:color w:val="222222"/>
          <w:sz w:val="24"/>
          <w:szCs w:val="24"/>
          <w:highlight w:val="white"/>
        </w:rPr>
        <w:t>Cakici</w:t>
      </w:r>
      <w:proofErr w:type="spellEnd"/>
      <w:r w:rsidRPr="00204A1C">
        <w:rPr>
          <w:color w:val="222222"/>
          <w:sz w:val="24"/>
          <w:szCs w:val="24"/>
          <w:highlight w:val="white"/>
        </w:rPr>
        <w:t xml:space="preserve">, N., &amp; Whitelaw, R. F. (2014). Hybrid tail risk and expected stock returns: When does the tail wag the </w:t>
      </w:r>
      <w:proofErr w:type="gramStart"/>
      <w:r w:rsidRPr="00204A1C">
        <w:rPr>
          <w:color w:val="222222"/>
          <w:sz w:val="24"/>
          <w:szCs w:val="24"/>
          <w:highlight w:val="white"/>
        </w:rPr>
        <w:t>dog?.</w:t>
      </w:r>
      <w:proofErr w:type="gramEnd"/>
      <w:r w:rsidRPr="00204A1C">
        <w:rPr>
          <w:color w:val="222222"/>
          <w:sz w:val="24"/>
          <w:szCs w:val="24"/>
          <w:highlight w:val="white"/>
        </w:rPr>
        <w:t> </w:t>
      </w:r>
      <w:r w:rsidRPr="00204A1C">
        <w:rPr>
          <w:i/>
          <w:color w:val="222222"/>
          <w:sz w:val="24"/>
          <w:szCs w:val="24"/>
          <w:highlight w:val="white"/>
        </w:rPr>
        <w:t>The Review of Asset Pricing Studies</w:t>
      </w:r>
      <w:r w:rsidRPr="00204A1C">
        <w:rPr>
          <w:color w:val="222222"/>
          <w:sz w:val="24"/>
          <w:szCs w:val="24"/>
          <w:highlight w:val="white"/>
        </w:rPr>
        <w:t>, </w:t>
      </w:r>
      <w:r w:rsidRPr="00204A1C">
        <w:rPr>
          <w:i/>
          <w:color w:val="222222"/>
          <w:sz w:val="24"/>
          <w:szCs w:val="24"/>
          <w:highlight w:val="white"/>
        </w:rPr>
        <w:t>4</w:t>
      </w:r>
      <w:r w:rsidRPr="00204A1C">
        <w:rPr>
          <w:color w:val="222222"/>
          <w:sz w:val="24"/>
          <w:szCs w:val="24"/>
          <w:highlight w:val="white"/>
        </w:rPr>
        <w:t>(2), 206-246.</w:t>
      </w:r>
      <w:r w:rsidR="00F427C5" w:rsidRPr="00204A1C">
        <w:rPr>
          <w:color w:val="222222"/>
          <w:sz w:val="24"/>
          <w:szCs w:val="24"/>
          <w:highlight w:val="white"/>
        </w:rPr>
        <w:t xml:space="preserve"> </w:t>
      </w:r>
      <w:hyperlink r:id="rId19" w:history="1">
        <w:r w:rsidR="00F427C5" w:rsidRPr="00204A1C">
          <w:rPr>
            <w:rStyle w:val="Hyperlink"/>
            <w:sz w:val="24"/>
            <w:szCs w:val="24"/>
          </w:rPr>
          <w:t>https://doi.org/10.1093/rapstu/rau006</w:t>
        </w:r>
      </w:hyperlink>
      <w:r w:rsidR="00F427C5" w:rsidRPr="00204A1C">
        <w:rPr>
          <w:color w:val="222222"/>
          <w:sz w:val="24"/>
          <w:szCs w:val="24"/>
        </w:rPr>
        <w:t xml:space="preserve"> </w:t>
      </w:r>
    </w:p>
    <w:p w14:paraId="77A697BA" w14:textId="25AEDF9C" w:rsidR="00E601F9" w:rsidRPr="00204A1C" w:rsidRDefault="00E601F9" w:rsidP="00C25803">
      <w:pPr>
        <w:ind w:left="284" w:hanging="284"/>
        <w:jc w:val="both"/>
        <w:rPr>
          <w:color w:val="222222"/>
          <w:sz w:val="24"/>
          <w:szCs w:val="24"/>
          <w:highlight w:val="white"/>
        </w:rPr>
      </w:pPr>
      <w:r w:rsidRPr="00204A1C">
        <w:rPr>
          <w:color w:val="222222"/>
          <w:sz w:val="24"/>
          <w:szCs w:val="24"/>
          <w:shd w:val="clear" w:color="auto" w:fill="FFFFFF"/>
        </w:rPr>
        <w:t>Barinov, A. (2011). Idiosyncratic volatility, growth options, and the cross-section of returns. </w:t>
      </w:r>
      <w:r w:rsidR="00F427C5" w:rsidRPr="00204A1C">
        <w:rPr>
          <w:color w:val="222222"/>
          <w:sz w:val="24"/>
          <w:szCs w:val="24"/>
          <w:shd w:val="clear" w:color="auto" w:fill="FFFFFF"/>
        </w:rPr>
        <w:t xml:space="preserve">Unpublished working paper, University of Georgia. </w:t>
      </w:r>
      <w:hyperlink r:id="rId20" w:history="1">
        <w:r w:rsidR="00F427C5" w:rsidRPr="00204A1C">
          <w:rPr>
            <w:rStyle w:val="Hyperlink"/>
            <w:sz w:val="24"/>
            <w:szCs w:val="24"/>
            <w:shd w:val="clear" w:color="auto" w:fill="FFFFFF"/>
          </w:rPr>
          <w:t>http://dx.doi.org/10.2139/ssrn.1028869</w:t>
        </w:r>
      </w:hyperlink>
      <w:r w:rsidR="00F427C5" w:rsidRPr="00204A1C">
        <w:rPr>
          <w:color w:val="222222"/>
          <w:sz w:val="24"/>
          <w:szCs w:val="24"/>
          <w:shd w:val="clear" w:color="auto" w:fill="FFFFFF"/>
        </w:rPr>
        <w:t xml:space="preserve"> </w:t>
      </w:r>
    </w:p>
    <w:p w14:paraId="471A1FB0" w14:textId="7A49D361" w:rsidR="00716414" w:rsidRPr="00204A1C" w:rsidRDefault="00716414" w:rsidP="00C25803">
      <w:pPr>
        <w:ind w:left="284" w:hanging="284"/>
        <w:jc w:val="both"/>
        <w:rPr>
          <w:color w:val="222222"/>
          <w:sz w:val="24"/>
          <w:szCs w:val="24"/>
          <w:highlight w:val="white"/>
        </w:rPr>
      </w:pPr>
      <w:proofErr w:type="spellStart"/>
      <w:r w:rsidRPr="00204A1C">
        <w:rPr>
          <w:color w:val="222222"/>
          <w:sz w:val="24"/>
          <w:szCs w:val="24"/>
          <w:shd w:val="clear" w:color="auto" w:fill="FFFFFF"/>
        </w:rPr>
        <w:t>Fama</w:t>
      </w:r>
      <w:proofErr w:type="spellEnd"/>
      <w:r w:rsidRPr="00204A1C">
        <w:rPr>
          <w:color w:val="222222"/>
          <w:sz w:val="24"/>
          <w:szCs w:val="24"/>
          <w:shd w:val="clear" w:color="auto" w:fill="FFFFFF"/>
        </w:rPr>
        <w:t xml:space="preserve">, E. F., &amp; French, K. R. (1993). </w:t>
      </w:r>
      <w:r w:rsidR="00F427C5" w:rsidRPr="00204A1C">
        <w:rPr>
          <w:color w:val="222222"/>
          <w:sz w:val="24"/>
          <w:szCs w:val="24"/>
          <w:shd w:val="clear" w:color="auto" w:fill="FFFFFF"/>
        </w:rPr>
        <w:t xml:space="preserve">Common risk factors in the returns on stocks and bonds. </w:t>
      </w:r>
      <w:r w:rsidR="00F427C5" w:rsidRPr="00204A1C">
        <w:rPr>
          <w:i/>
          <w:iCs/>
          <w:color w:val="222222"/>
          <w:sz w:val="24"/>
          <w:szCs w:val="24"/>
          <w:shd w:val="clear" w:color="auto" w:fill="FFFFFF"/>
        </w:rPr>
        <w:t>Journal of Financial Economics</w:t>
      </w:r>
      <w:r w:rsidR="00F427C5" w:rsidRPr="00204A1C">
        <w:rPr>
          <w:color w:val="222222"/>
          <w:sz w:val="24"/>
          <w:szCs w:val="24"/>
          <w:shd w:val="clear" w:color="auto" w:fill="FFFFFF"/>
        </w:rPr>
        <w:t xml:space="preserve"> 33, 3-56  </w:t>
      </w:r>
      <w:hyperlink r:id="rId21" w:history="1">
        <w:r w:rsidR="00F427C5" w:rsidRPr="00204A1C">
          <w:rPr>
            <w:rStyle w:val="Hyperlink"/>
            <w:sz w:val="24"/>
            <w:szCs w:val="24"/>
            <w:shd w:val="clear" w:color="auto" w:fill="FFFFFF"/>
          </w:rPr>
          <w:t>https://doi.org/10.1016/0304-405X(93)90023-5</w:t>
        </w:r>
      </w:hyperlink>
      <w:r w:rsidR="00F427C5" w:rsidRPr="00204A1C">
        <w:rPr>
          <w:color w:val="222222"/>
          <w:sz w:val="24"/>
          <w:szCs w:val="24"/>
          <w:shd w:val="clear" w:color="auto" w:fill="FFFFFF"/>
        </w:rPr>
        <w:t xml:space="preserve"> </w:t>
      </w:r>
    </w:p>
    <w:p w14:paraId="3DEA4EA9" w14:textId="531880DE" w:rsidR="00573C2B" w:rsidRPr="00204A1C" w:rsidRDefault="000D0306" w:rsidP="00C25803">
      <w:pPr>
        <w:ind w:left="284" w:hanging="284"/>
        <w:jc w:val="both"/>
        <w:rPr>
          <w:color w:val="222222"/>
          <w:sz w:val="24"/>
          <w:szCs w:val="24"/>
          <w:highlight w:val="white"/>
        </w:rPr>
      </w:pPr>
      <w:proofErr w:type="spellStart"/>
      <w:r w:rsidRPr="00204A1C">
        <w:rPr>
          <w:color w:val="222222"/>
          <w:sz w:val="24"/>
          <w:szCs w:val="24"/>
          <w:highlight w:val="white"/>
        </w:rPr>
        <w:t>Fama</w:t>
      </w:r>
      <w:proofErr w:type="spellEnd"/>
      <w:r w:rsidRPr="00204A1C">
        <w:rPr>
          <w:color w:val="222222"/>
          <w:sz w:val="24"/>
          <w:szCs w:val="24"/>
          <w:highlight w:val="white"/>
        </w:rPr>
        <w:t xml:space="preserve">, E. F., &amp; </w:t>
      </w:r>
      <w:proofErr w:type="spellStart"/>
      <w:r w:rsidRPr="00204A1C">
        <w:rPr>
          <w:color w:val="222222"/>
          <w:sz w:val="24"/>
          <w:szCs w:val="24"/>
          <w:highlight w:val="white"/>
        </w:rPr>
        <w:t>MacBeth</w:t>
      </w:r>
      <w:proofErr w:type="spellEnd"/>
      <w:r w:rsidRPr="00204A1C">
        <w:rPr>
          <w:color w:val="222222"/>
          <w:sz w:val="24"/>
          <w:szCs w:val="24"/>
          <w:highlight w:val="white"/>
        </w:rPr>
        <w:t xml:space="preserve">, J. D. (1973). Risk, return, and equilibrium: Empirical tests. </w:t>
      </w:r>
      <w:r w:rsidRPr="00204A1C">
        <w:rPr>
          <w:i/>
          <w:color w:val="222222"/>
          <w:sz w:val="24"/>
          <w:szCs w:val="24"/>
        </w:rPr>
        <w:t>Journal of political economy</w:t>
      </w:r>
      <w:r w:rsidRPr="00204A1C">
        <w:rPr>
          <w:color w:val="222222"/>
          <w:sz w:val="24"/>
          <w:szCs w:val="24"/>
          <w:highlight w:val="white"/>
        </w:rPr>
        <w:t xml:space="preserve">, </w:t>
      </w:r>
      <w:r w:rsidRPr="00204A1C">
        <w:rPr>
          <w:i/>
          <w:color w:val="222222"/>
          <w:sz w:val="24"/>
          <w:szCs w:val="24"/>
        </w:rPr>
        <w:t>81</w:t>
      </w:r>
      <w:r w:rsidRPr="00204A1C">
        <w:rPr>
          <w:color w:val="222222"/>
          <w:sz w:val="24"/>
          <w:szCs w:val="24"/>
          <w:highlight w:val="white"/>
        </w:rPr>
        <w:t>(3), 607-636.</w:t>
      </w:r>
      <w:r w:rsidR="00F427C5" w:rsidRPr="00204A1C">
        <w:rPr>
          <w:color w:val="222222"/>
          <w:sz w:val="24"/>
          <w:szCs w:val="24"/>
          <w:highlight w:val="white"/>
        </w:rPr>
        <w:t xml:space="preserve"> </w:t>
      </w:r>
      <w:hyperlink r:id="rId22" w:history="1">
        <w:r w:rsidR="00F427C5" w:rsidRPr="00204A1C">
          <w:rPr>
            <w:rStyle w:val="Hyperlink"/>
            <w:sz w:val="24"/>
            <w:szCs w:val="24"/>
          </w:rPr>
          <w:t>https://doi.org/10.1086/260061</w:t>
        </w:r>
      </w:hyperlink>
      <w:r w:rsidR="00F427C5" w:rsidRPr="00204A1C">
        <w:rPr>
          <w:color w:val="222222"/>
          <w:sz w:val="24"/>
          <w:szCs w:val="24"/>
        </w:rPr>
        <w:t xml:space="preserve"> </w:t>
      </w:r>
    </w:p>
    <w:p w14:paraId="60D882EF" w14:textId="56B7C8BF" w:rsidR="00573C2B" w:rsidRPr="00204A1C" w:rsidRDefault="000D0306" w:rsidP="00C25803">
      <w:pPr>
        <w:ind w:left="284" w:hanging="284"/>
        <w:jc w:val="both"/>
        <w:rPr>
          <w:color w:val="222222"/>
          <w:sz w:val="24"/>
          <w:szCs w:val="24"/>
          <w:highlight w:val="white"/>
        </w:rPr>
      </w:pPr>
      <w:r w:rsidRPr="00204A1C">
        <w:rPr>
          <w:color w:val="222222"/>
          <w:sz w:val="24"/>
          <w:szCs w:val="24"/>
          <w:highlight w:val="white"/>
        </w:rPr>
        <w:t>Fu, F. (2009). Idiosyncratic risk and the cross-section of expected stock returns. </w:t>
      </w:r>
      <w:r w:rsidRPr="00204A1C">
        <w:rPr>
          <w:i/>
          <w:color w:val="222222"/>
          <w:sz w:val="24"/>
          <w:szCs w:val="24"/>
          <w:highlight w:val="white"/>
        </w:rPr>
        <w:t>Journal of financial Economics</w:t>
      </w:r>
      <w:r w:rsidRPr="00204A1C">
        <w:rPr>
          <w:color w:val="222222"/>
          <w:sz w:val="24"/>
          <w:szCs w:val="24"/>
          <w:highlight w:val="white"/>
        </w:rPr>
        <w:t>, </w:t>
      </w:r>
      <w:r w:rsidRPr="00204A1C">
        <w:rPr>
          <w:i/>
          <w:color w:val="222222"/>
          <w:sz w:val="24"/>
          <w:szCs w:val="24"/>
          <w:highlight w:val="white"/>
        </w:rPr>
        <w:t>91</w:t>
      </w:r>
      <w:r w:rsidRPr="00204A1C">
        <w:rPr>
          <w:color w:val="222222"/>
          <w:sz w:val="24"/>
          <w:szCs w:val="24"/>
          <w:highlight w:val="white"/>
        </w:rPr>
        <w:t>(1), 24-37.</w:t>
      </w:r>
      <w:r w:rsidR="00F427C5" w:rsidRPr="00204A1C">
        <w:rPr>
          <w:color w:val="222222"/>
          <w:sz w:val="24"/>
          <w:szCs w:val="24"/>
          <w:highlight w:val="white"/>
        </w:rPr>
        <w:t xml:space="preserve"> </w:t>
      </w:r>
      <w:hyperlink r:id="rId23" w:history="1">
        <w:r w:rsidR="00F427C5" w:rsidRPr="00204A1C">
          <w:rPr>
            <w:rStyle w:val="Hyperlink"/>
            <w:sz w:val="24"/>
            <w:szCs w:val="24"/>
          </w:rPr>
          <w:t>https://doi.org/10.1016/j.jfineco.2008.02.003</w:t>
        </w:r>
      </w:hyperlink>
      <w:r w:rsidR="00F427C5" w:rsidRPr="00204A1C">
        <w:rPr>
          <w:color w:val="222222"/>
          <w:sz w:val="24"/>
          <w:szCs w:val="24"/>
        </w:rPr>
        <w:t xml:space="preserve"> </w:t>
      </w:r>
    </w:p>
    <w:p w14:paraId="6D23E6FC" w14:textId="5F1240C7" w:rsidR="00573C2B" w:rsidRPr="00204A1C" w:rsidRDefault="000D0306" w:rsidP="00C25803">
      <w:pPr>
        <w:ind w:left="284" w:hanging="284"/>
        <w:jc w:val="both"/>
        <w:rPr>
          <w:color w:val="222222"/>
          <w:sz w:val="24"/>
          <w:szCs w:val="24"/>
          <w:highlight w:val="white"/>
        </w:rPr>
      </w:pPr>
      <w:r w:rsidRPr="00204A1C">
        <w:rPr>
          <w:color w:val="222222"/>
          <w:sz w:val="24"/>
          <w:szCs w:val="24"/>
          <w:highlight w:val="white"/>
        </w:rPr>
        <w:t xml:space="preserve">Hou, K., &amp; </w:t>
      </w:r>
      <w:proofErr w:type="spellStart"/>
      <w:r w:rsidRPr="00204A1C">
        <w:rPr>
          <w:color w:val="222222"/>
          <w:sz w:val="24"/>
          <w:szCs w:val="24"/>
          <w:highlight w:val="white"/>
        </w:rPr>
        <w:t>Loh</w:t>
      </w:r>
      <w:proofErr w:type="spellEnd"/>
      <w:r w:rsidRPr="00204A1C">
        <w:rPr>
          <w:color w:val="222222"/>
          <w:sz w:val="24"/>
          <w:szCs w:val="24"/>
          <w:highlight w:val="white"/>
        </w:rPr>
        <w:t xml:space="preserve">, R. K. (2016). Have we solved the idiosyncratic volatility </w:t>
      </w:r>
      <w:proofErr w:type="gramStart"/>
      <w:r w:rsidRPr="00204A1C">
        <w:rPr>
          <w:color w:val="222222"/>
          <w:sz w:val="24"/>
          <w:szCs w:val="24"/>
          <w:highlight w:val="white"/>
        </w:rPr>
        <w:t>puzzle?.</w:t>
      </w:r>
      <w:proofErr w:type="gramEnd"/>
      <w:r w:rsidRPr="00204A1C">
        <w:rPr>
          <w:color w:val="222222"/>
          <w:sz w:val="24"/>
          <w:szCs w:val="24"/>
          <w:highlight w:val="white"/>
        </w:rPr>
        <w:t xml:space="preserve"> </w:t>
      </w:r>
      <w:r w:rsidRPr="00204A1C">
        <w:rPr>
          <w:i/>
          <w:color w:val="222222"/>
          <w:sz w:val="24"/>
          <w:szCs w:val="24"/>
          <w:highlight w:val="white"/>
        </w:rPr>
        <w:t>Journal of Financial Economics</w:t>
      </w:r>
      <w:r w:rsidRPr="00204A1C">
        <w:rPr>
          <w:color w:val="222222"/>
          <w:sz w:val="24"/>
          <w:szCs w:val="24"/>
          <w:highlight w:val="white"/>
        </w:rPr>
        <w:t xml:space="preserve">, </w:t>
      </w:r>
      <w:r w:rsidRPr="00204A1C">
        <w:rPr>
          <w:i/>
          <w:color w:val="222222"/>
          <w:sz w:val="24"/>
          <w:szCs w:val="24"/>
          <w:highlight w:val="white"/>
        </w:rPr>
        <w:t>121</w:t>
      </w:r>
      <w:r w:rsidRPr="00204A1C">
        <w:rPr>
          <w:color w:val="222222"/>
          <w:sz w:val="24"/>
          <w:szCs w:val="24"/>
          <w:highlight w:val="white"/>
        </w:rPr>
        <w:t>(1), 167-194.</w:t>
      </w:r>
      <w:r w:rsidR="00F427C5" w:rsidRPr="00204A1C">
        <w:rPr>
          <w:color w:val="222222"/>
          <w:sz w:val="24"/>
          <w:szCs w:val="24"/>
          <w:highlight w:val="white"/>
        </w:rPr>
        <w:t xml:space="preserve"> </w:t>
      </w:r>
      <w:hyperlink r:id="rId24" w:history="1">
        <w:r w:rsidR="00F427C5" w:rsidRPr="00204A1C">
          <w:rPr>
            <w:rStyle w:val="Hyperlink"/>
            <w:sz w:val="24"/>
            <w:szCs w:val="24"/>
          </w:rPr>
          <w:t>https://doi.org/10.1016/j.jfineco.2016.02.013</w:t>
        </w:r>
      </w:hyperlink>
      <w:r w:rsidR="00F427C5" w:rsidRPr="00204A1C">
        <w:rPr>
          <w:color w:val="222222"/>
          <w:sz w:val="24"/>
          <w:szCs w:val="24"/>
        </w:rPr>
        <w:t xml:space="preserve"> </w:t>
      </w:r>
    </w:p>
    <w:p w14:paraId="15613B6C" w14:textId="66F4C80A" w:rsidR="00573C2B" w:rsidRPr="00204A1C" w:rsidRDefault="000D0306" w:rsidP="00C25803">
      <w:pPr>
        <w:ind w:left="284" w:hanging="284"/>
        <w:jc w:val="both"/>
        <w:rPr>
          <w:color w:val="222222"/>
          <w:sz w:val="24"/>
          <w:szCs w:val="24"/>
          <w:highlight w:val="white"/>
        </w:rPr>
      </w:pPr>
      <w:r w:rsidRPr="00204A1C">
        <w:rPr>
          <w:color w:val="222222"/>
          <w:sz w:val="24"/>
          <w:szCs w:val="24"/>
          <w:highlight w:val="white"/>
        </w:rPr>
        <w:t xml:space="preserve">Huang, W., Liu, Q., Rhee, S. G., &amp; Wu, F. (2012). Extreme downside risk and expected stock returns. </w:t>
      </w:r>
      <w:r w:rsidRPr="00204A1C">
        <w:rPr>
          <w:i/>
          <w:color w:val="222222"/>
          <w:sz w:val="24"/>
          <w:szCs w:val="24"/>
          <w:highlight w:val="white"/>
        </w:rPr>
        <w:t>Journal of Banking &amp; Finance</w:t>
      </w:r>
      <w:r w:rsidRPr="00204A1C">
        <w:rPr>
          <w:color w:val="222222"/>
          <w:sz w:val="24"/>
          <w:szCs w:val="24"/>
          <w:highlight w:val="white"/>
        </w:rPr>
        <w:t xml:space="preserve">, </w:t>
      </w:r>
      <w:r w:rsidRPr="00204A1C">
        <w:rPr>
          <w:i/>
          <w:color w:val="222222"/>
          <w:sz w:val="24"/>
          <w:szCs w:val="24"/>
          <w:highlight w:val="white"/>
        </w:rPr>
        <w:t>36</w:t>
      </w:r>
      <w:r w:rsidRPr="00204A1C">
        <w:rPr>
          <w:color w:val="222222"/>
          <w:sz w:val="24"/>
          <w:szCs w:val="24"/>
          <w:highlight w:val="white"/>
        </w:rPr>
        <w:t>(5), 1492-1502.</w:t>
      </w:r>
      <w:r w:rsidR="00F427C5" w:rsidRPr="00204A1C">
        <w:rPr>
          <w:color w:val="222222"/>
          <w:sz w:val="24"/>
          <w:szCs w:val="24"/>
          <w:highlight w:val="white"/>
        </w:rPr>
        <w:t xml:space="preserve"> </w:t>
      </w:r>
      <w:hyperlink r:id="rId25" w:history="1">
        <w:r w:rsidR="00F427C5" w:rsidRPr="00204A1C">
          <w:rPr>
            <w:rStyle w:val="Hyperlink"/>
            <w:sz w:val="24"/>
            <w:szCs w:val="24"/>
          </w:rPr>
          <w:t>https://doi.org/10.1016/j.jbankfin.2011.12.014</w:t>
        </w:r>
      </w:hyperlink>
      <w:r w:rsidR="00F427C5" w:rsidRPr="00204A1C">
        <w:rPr>
          <w:color w:val="222222"/>
          <w:sz w:val="24"/>
          <w:szCs w:val="24"/>
        </w:rPr>
        <w:t xml:space="preserve"> </w:t>
      </w:r>
    </w:p>
    <w:p w14:paraId="4E316B09" w14:textId="5A7BF332" w:rsidR="00573C2B" w:rsidRPr="00204A1C" w:rsidRDefault="000D0306" w:rsidP="00C25803">
      <w:pPr>
        <w:ind w:left="284" w:hanging="284"/>
        <w:jc w:val="both"/>
        <w:rPr>
          <w:color w:val="222222"/>
          <w:sz w:val="24"/>
          <w:szCs w:val="24"/>
          <w:highlight w:val="white"/>
        </w:rPr>
      </w:pPr>
      <w:r w:rsidRPr="00204A1C">
        <w:rPr>
          <w:color w:val="222222"/>
          <w:sz w:val="24"/>
          <w:szCs w:val="24"/>
          <w:highlight w:val="white"/>
        </w:rPr>
        <w:t xml:space="preserve">Kelly, B., &amp; Jiang, H. (2014). Tail risk and asset prices. </w:t>
      </w:r>
      <w:r w:rsidRPr="00204A1C">
        <w:rPr>
          <w:i/>
          <w:color w:val="222222"/>
          <w:sz w:val="24"/>
          <w:szCs w:val="24"/>
          <w:highlight w:val="white"/>
        </w:rPr>
        <w:t>The Review of Financial Studies</w:t>
      </w:r>
      <w:r w:rsidRPr="00204A1C">
        <w:rPr>
          <w:color w:val="222222"/>
          <w:sz w:val="24"/>
          <w:szCs w:val="24"/>
          <w:highlight w:val="white"/>
        </w:rPr>
        <w:t xml:space="preserve">, </w:t>
      </w:r>
      <w:r w:rsidRPr="00204A1C">
        <w:rPr>
          <w:i/>
          <w:color w:val="222222"/>
          <w:sz w:val="24"/>
          <w:szCs w:val="24"/>
          <w:highlight w:val="white"/>
        </w:rPr>
        <w:t>27</w:t>
      </w:r>
      <w:r w:rsidRPr="00204A1C">
        <w:rPr>
          <w:color w:val="222222"/>
          <w:sz w:val="24"/>
          <w:szCs w:val="24"/>
          <w:highlight w:val="white"/>
        </w:rPr>
        <w:t>(10), 2841-2871.</w:t>
      </w:r>
      <w:r w:rsidR="00F427C5" w:rsidRPr="00204A1C">
        <w:rPr>
          <w:color w:val="222222"/>
          <w:sz w:val="24"/>
          <w:szCs w:val="24"/>
          <w:highlight w:val="white"/>
        </w:rPr>
        <w:t xml:space="preserve"> </w:t>
      </w:r>
      <w:hyperlink r:id="rId26" w:history="1">
        <w:r w:rsidR="00F427C5" w:rsidRPr="00204A1C">
          <w:rPr>
            <w:rStyle w:val="Hyperlink"/>
            <w:sz w:val="24"/>
            <w:szCs w:val="24"/>
          </w:rPr>
          <w:t>https://doi.org/10.1093/rfs/hhu039</w:t>
        </w:r>
      </w:hyperlink>
      <w:r w:rsidR="00F427C5" w:rsidRPr="00204A1C">
        <w:rPr>
          <w:color w:val="222222"/>
          <w:sz w:val="24"/>
          <w:szCs w:val="24"/>
        </w:rPr>
        <w:t xml:space="preserve"> </w:t>
      </w:r>
    </w:p>
    <w:p w14:paraId="1F107B3E" w14:textId="4F8CAE0B" w:rsidR="00454AC1" w:rsidRPr="00204A1C" w:rsidRDefault="00454AC1" w:rsidP="00454AC1">
      <w:pPr>
        <w:ind w:left="284" w:hanging="284"/>
        <w:jc w:val="both"/>
        <w:rPr>
          <w:color w:val="222222"/>
          <w:sz w:val="24"/>
          <w:szCs w:val="24"/>
          <w:highlight w:val="white"/>
        </w:rPr>
      </w:pPr>
      <w:r w:rsidRPr="00204A1C">
        <w:rPr>
          <w:color w:val="222222"/>
          <w:sz w:val="24"/>
          <w:szCs w:val="24"/>
        </w:rPr>
        <w:t>Levy,</w:t>
      </w:r>
      <w:r w:rsidR="00E601F9" w:rsidRPr="00204A1C">
        <w:rPr>
          <w:color w:val="222222"/>
          <w:sz w:val="24"/>
          <w:szCs w:val="24"/>
        </w:rPr>
        <w:t xml:space="preserve"> </w:t>
      </w:r>
      <w:r w:rsidRPr="00204A1C">
        <w:rPr>
          <w:color w:val="222222"/>
          <w:sz w:val="24"/>
          <w:szCs w:val="24"/>
        </w:rPr>
        <w:t>H., (1978</w:t>
      </w:r>
      <w:proofErr w:type="gramStart"/>
      <w:r w:rsidRPr="00204A1C">
        <w:rPr>
          <w:color w:val="222222"/>
          <w:sz w:val="24"/>
          <w:szCs w:val="24"/>
        </w:rPr>
        <w:t>).Equilibrium</w:t>
      </w:r>
      <w:proofErr w:type="gramEnd"/>
      <w:r w:rsidRPr="00204A1C">
        <w:rPr>
          <w:color w:val="222222"/>
          <w:sz w:val="24"/>
          <w:szCs w:val="24"/>
        </w:rPr>
        <w:t xml:space="preserve"> in</w:t>
      </w:r>
      <w:r w:rsidR="00E601F9" w:rsidRPr="00204A1C">
        <w:rPr>
          <w:color w:val="222222"/>
          <w:sz w:val="24"/>
          <w:szCs w:val="24"/>
        </w:rPr>
        <w:t xml:space="preserve"> </w:t>
      </w:r>
      <w:r w:rsidRPr="00204A1C">
        <w:rPr>
          <w:color w:val="222222"/>
          <w:sz w:val="24"/>
          <w:szCs w:val="24"/>
        </w:rPr>
        <w:t>an</w:t>
      </w:r>
      <w:r w:rsidR="00E601F9" w:rsidRPr="00204A1C">
        <w:rPr>
          <w:color w:val="222222"/>
          <w:sz w:val="24"/>
          <w:szCs w:val="24"/>
        </w:rPr>
        <w:t xml:space="preserve"> </w:t>
      </w:r>
      <w:r w:rsidRPr="00204A1C">
        <w:rPr>
          <w:color w:val="222222"/>
          <w:sz w:val="24"/>
          <w:szCs w:val="24"/>
        </w:rPr>
        <w:t>imperfect</w:t>
      </w:r>
      <w:r w:rsidR="00E601F9" w:rsidRPr="00204A1C">
        <w:rPr>
          <w:color w:val="222222"/>
          <w:sz w:val="24"/>
          <w:szCs w:val="24"/>
        </w:rPr>
        <w:t xml:space="preserve"> </w:t>
      </w:r>
      <w:r w:rsidRPr="00204A1C">
        <w:rPr>
          <w:color w:val="222222"/>
          <w:sz w:val="24"/>
          <w:szCs w:val="24"/>
        </w:rPr>
        <w:t>market:</w:t>
      </w:r>
      <w:r w:rsidR="00E601F9" w:rsidRPr="00204A1C">
        <w:rPr>
          <w:color w:val="222222"/>
          <w:sz w:val="24"/>
          <w:szCs w:val="24"/>
        </w:rPr>
        <w:t xml:space="preserve"> </w:t>
      </w:r>
      <w:r w:rsidRPr="00204A1C">
        <w:rPr>
          <w:color w:val="222222"/>
          <w:sz w:val="24"/>
          <w:szCs w:val="24"/>
        </w:rPr>
        <w:t>a</w:t>
      </w:r>
      <w:r w:rsidR="00E601F9" w:rsidRPr="00204A1C">
        <w:rPr>
          <w:color w:val="222222"/>
          <w:sz w:val="24"/>
          <w:szCs w:val="24"/>
        </w:rPr>
        <w:t xml:space="preserve"> </w:t>
      </w:r>
      <w:r w:rsidRPr="00204A1C">
        <w:rPr>
          <w:color w:val="222222"/>
          <w:sz w:val="24"/>
          <w:szCs w:val="24"/>
        </w:rPr>
        <w:t>constraint</w:t>
      </w:r>
      <w:r w:rsidR="00E601F9" w:rsidRPr="00204A1C">
        <w:rPr>
          <w:color w:val="222222"/>
          <w:sz w:val="24"/>
          <w:szCs w:val="24"/>
        </w:rPr>
        <w:t xml:space="preserve"> </w:t>
      </w:r>
      <w:r w:rsidRPr="00204A1C">
        <w:rPr>
          <w:color w:val="222222"/>
          <w:sz w:val="24"/>
          <w:szCs w:val="24"/>
        </w:rPr>
        <w:t>on</w:t>
      </w:r>
      <w:r w:rsidR="00E601F9" w:rsidRPr="00204A1C">
        <w:rPr>
          <w:color w:val="222222"/>
          <w:sz w:val="24"/>
          <w:szCs w:val="24"/>
        </w:rPr>
        <w:t xml:space="preserve"> </w:t>
      </w:r>
      <w:r w:rsidRPr="00204A1C">
        <w:rPr>
          <w:color w:val="222222"/>
          <w:sz w:val="24"/>
          <w:szCs w:val="24"/>
        </w:rPr>
        <w:t>the</w:t>
      </w:r>
      <w:r w:rsidR="00E601F9" w:rsidRPr="00204A1C">
        <w:rPr>
          <w:color w:val="222222"/>
          <w:sz w:val="24"/>
          <w:szCs w:val="24"/>
        </w:rPr>
        <w:t xml:space="preserve"> </w:t>
      </w:r>
      <w:r w:rsidRPr="00204A1C">
        <w:rPr>
          <w:color w:val="222222"/>
          <w:sz w:val="24"/>
          <w:szCs w:val="24"/>
        </w:rPr>
        <w:t>number of</w:t>
      </w:r>
      <w:r w:rsidR="00E601F9" w:rsidRPr="00204A1C">
        <w:rPr>
          <w:color w:val="222222"/>
          <w:sz w:val="24"/>
          <w:szCs w:val="24"/>
        </w:rPr>
        <w:t xml:space="preserve"> </w:t>
      </w:r>
      <w:r w:rsidRPr="00204A1C">
        <w:rPr>
          <w:color w:val="222222"/>
          <w:sz w:val="24"/>
          <w:szCs w:val="24"/>
        </w:rPr>
        <w:t>securities</w:t>
      </w:r>
      <w:r w:rsidR="00E601F9" w:rsidRPr="00204A1C">
        <w:rPr>
          <w:color w:val="222222"/>
          <w:sz w:val="24"/>
          <w:szCs w:val="24"/>
        </w:rPr>
        <w:t xml:space="preserve"> </w:t>
      </w:r>
      <w:r w:rsidRPr="00204A1C">
        <w:rPr>
          <w:color w:val="222222"/>
          <w:sz w:val="24"/>
          <w:szCs w:val="24"/>
        </w:rPr>
        <w:t>in</w:t>
      </w:r>
      <w:r w:rsidR="00E601F9" w:rsidRPr="00204A1C">
        <w:rPr>
          <w:color w:val="222222"/>
          <w:sz w:val="24"/>
          <w:szCs w:val="24"/>
        </w:rPr>
        <w:t xml:space="preserve"> </w:t>
      </w:r>
      <w:r w:rsidRPr="00204A1C">
        <w:rPr>
          <w:color w:val="222222"/>
          <w:sz w:val="24"/>
          <w:szCs w:val="24"/>
        </w:rPr>
        <w:t>the</w:t>
      </w:r>
      <w:r w:rsidR="00E601F9" w:rsidRPr="00204A1C">
        <w:rPr>
          <w:color w:val="222222"/>
          <w:sz w:val="24"/>
          <w:szCs w:val="24"/>
        </w:rPr>
        <w:t xml:space="preserve"> </w:t>
      </w:r>
      <w:r w:rsidRPr="00204A1C">
        <w:rPr>
          <w:color w:val="222222"/>
          <w:sz w:val="24"/>
          <w:szCs w:val="24"/>
        </w:rPr>
        <w:t>portfolio.</w:t>
      </w:r>
      <w:r w:rsidR="00E601F9" w:rsidRPr="00204A1C">
        <w:rPr>
          <w:color w:val="222222"/>
          <w:sz w:val="24"/>
          <w:szCs w:val="24"/>
        </w:rPr>
        <w:t xml:space="preserve"> </w:t>
      </w:r>
      <w:r w:rsidRPr="00204A1C">
        <w:rPr>
          <w:i/>
          <w:iCs/>
          <w:color w:val="222222"/>
          <w:sz w:val="24"/>
          <w:szCs w:val="24"/>
        </w:rPr>
        <w:t>American</w:t>
      </w:r>
      <w:r w:rsidR="00E601F9" w:rsidRPr="00204A1C">
        <w:rPr>
          <w:i/>
          <w:iCs/>
          <w:color w:val="222222"/>
          <w:sz w:val="24"/>
          <w:szCs w:val="24"/>
        </w:rPr>
        <w:t xml:space="preserve"> </w:t>
      </w:r>
      <w:r w:rsidRPr="00204A1C">
        <w:rPr>
          <w:i/>
          <w:iCs/>
          <w:color w:val="222222"/>
          <w:sz w:val="24"/>
          <w:szCs w:val="24"/>
        </w:rPr>
        <w:t>Economic</w:t>
      </w:r>
      <w:r w:rsidR="00E601F9" w:rsidRPr="00204A1C">
        <w:rPr>
          <w:i/>
          <w:iCs/>
          <w:color w:val="222222"/>
          <w:sz w:val="24"/>
          <w:szCs w:val="24"/>
        </w:rPr>
        <w:t xml:space="preserve"> </w:t>
      </w:r>
      <w:r w:rsidRPr="00204A1C">
        <w:rPr>
          <w:i/>
          <w:iCs/>
          <w:color w:val="222222"/>
          <w:sz w:val="24"/>
          <w:szCs w:val="24"/>
        </w:rPr>
        <w:t>Review</w:t>
      </w:r>
      <w:r w:rsidR="00E601F9" w:rsidRPr="00204A1C">
        <w:rPr>
          <w:color w:val="222222"/>
          <w:sz w:val="24"/>
          <w:szCs w:val="24"/>
        </w:rPr>
        <w:t xml:space="preserve"> </w:t>
      </w:r>
      <w:r w:rsidRPr="00204A1C">
        <w:rPr>
          <w:color w:val="222222"/>
          <w:sz w:val="24"/>
          <w:szCs w:val="24"/>
        </w:rPr>
        <w:t>68,</w:t>
      </w:r>
      <w:r w:rsidR="00E601F9" w:rsidRPr="00204A1C">
        <w:rPr>
          <w:color w:val="222222"/>
          <w:sz w:val="24"/>
          <w:szCs w:val="24"/>
        </w:rPr>
        <w:t xml:space="preserve"> </w:t>
      </w:r>
      <w:r w:rsidRPr="00204A1C">
        <w:rPr>
          <w:color w:val="222222"/>
          <w:sz w:val="24"/>
          <w:szCs w:val="24"/>
        </w:rPr>
        <w:t>643–658.</w:t>
      </w:r>
      <w:r w:rsidR="00F427C5" w:rsidRPr="00204A1C">
        <w:rPr>
          <w:color w:val="222222"/>
          <w:sz w:val="24"/>
          <w:szCs w:val="24"/>
        </w:rPr>
        <w:t xml:space="preserve"> </w:t>
      </w:r>
      <w:hyperlink r:id="rId27" w:history="1">
        <w:r w:rsidR="00F427C5" w:rsidRPr="00204A1C">
          <w:rPr>
            <w:rStyle w:val="Hyperlink"/>
            <w:sz w:val="24"/>
            <w:szCs w:val="24"/>
          </w:rPr>
          <w:t>www.jstor.org/stable/1808932</w:t>
        </w:r>
      </w:hyperlink>
      <w:r w:rsidR="00F427C5" w:rsidRPr="00204A1C">
        <w:rPr>
          <w:color w:val="222222"/>
          <w:sz w:val="24"/>
          <w:szCs w:val="24"/>
        </w:rPr>
        <w:t xml:space="preserve"> </w:t>
      </w:r>
    </w:p>
    <w:p w14:paraId="41A2E1D1" w14:textId="447932A6" w:rsidR="00573C2B" w:rsidRPr="00204A1C" w:rsidRDefault="000D0306" w:rsidP="00C25803">
      <w:pPr>
        <w:ind w:left="284" w:hanging="284"/>
        <w:jc w:val="both"/>
        <w:rPr>
          <w:color w:val="222222"/>
          <w:sz w:val="24"/>
          <w:szCs w:val="24"/>
          <w:highlight w:val="white"/>
        </w:rPr>
      </w:pPr>
      <w:r w:rsidRPr="00204A1C">
        <w:rPr>
          <w:color w:val="222222"/>
          <w:sz w:val="24"/>
          <w:szCs w:val="24"/>
          <w:highlight w:val="white"/>
        </w:rPr>
        <w:t xml:space="preserve">Long, H., Jiang, Y., &amp; Zhu, Y. (2018). Idiosyncratic tail risk and expected stock returns: Evidence from the Chinese stock markets. </w:t>
      </w:r>
      <w:r w:rsidRPr="00204A1C">
        <w:rPr>
          <w:i/>
          <w:color w:val="222222"/>
          <w:sz w:val="24"/>
          <w:szCs w:val="24"/>
        </w:rPr>
        <w:t>Finance Research Letters</w:t>
      </w:r>
      <w:r w:rsidRPr="00204A1C">
        <w:rPr>
          <w:color w:val="222222"/>
          <w:sz w:val="24"/>
          <w:szCs w:val="24"/>
          <w:highlight w:val="white"/>
        </w:rPr>
        <w:t xml:space="preserve">, </w:t>
      </w:r>
      <w:r w:rsidRPr="00204A1C">
        <w:rPr>
          <w:i/>
          <w:color w:val="222222"/>
          <w:sz w:val="24"/>
          <w:szCs w:val="24"/>
        </w:rPr>
        <w:t>24</w:t>
      </w:r>
      <w:r w:rsidRPr="00204A1C">
        <w:rPr>
          <w:color w:val="222222"/>
          <w:sz w:val="24"/>
          <w:szCs w:val="24"/>
          <w:highlight w:val="white"/>
        </w:rPr>
        <w:t>, 129-136.</w:t>
      </w:r>
      <w:r w:rsidR="00F427C5" w:rsidRPr="00204A1C">
        <w:rPr>
          <w:color w:val="222222"/>
          <w:sz w:val="24"/>
          <w:szCs w:val="24"/>
          <w:highlight w:val="white"/>
        </w:rPr>
        <w:t xml:space="preserve"> </w:t>
      </w:r>
      <w:hyperlink r:id="rId28" w:history="1">
        <w:r w:rsidR="00F427C5" w:rsidRPr="00204A1C">
          <w:rPr>
            <w:rStyle w:val="Hyperlink"/>
            <w:sz w:val="24"/>
            <w:szCs w:val="24"/>
          </w:rPr>
          <w:t>https://doi.org/10.1016/j.frl.2017.07.009</w:t>
        </w:r>
      </w:hyperlink>
      <w:r w:rsidR="00F427C5" w:rsidRPr="00204A1C">
        <w:rPr>
          <w:color w:val="222222"/>
          <w:sz w:val="24"/>
          <w:szCs w:val="24"/>
        </w:rPr>
        <w:t xml:space="preserve"> </w:t>
      </w:r>
    </w:p>
    <w:p w14:paraId="30949901" w14:textId="05FB7AC7" w:rsidR="00573C2B" w:rsidRPr="00204A1C" w:rsidRDefault="000D0306" w:rsidP="00C25803">
      <w:pPr>
        <w:ind w:left="284" w:hanging="284"/>
        <w:jc w:val="both"/>
        <w:rPr>
          <w:color w:val="222222"/>
          <w:sz w:val="24"/>
          <w:szCs w:val="24"/>
          <w:highlight w:val="white"/>
        </w:rPr>
      </w:pPr>
      <w:r w:rsidRPr="00204A1C">
        <w:rPr>
          <w:color w:val="222222"/>
          <w:sz w:val="24"/>
          <w:szCs w:val="24"/>
          <w:highlight w:val="white"/>
        </w:rPr>
        <w:t xml:space="preserve">Merton, R. C. (1987). A simple model of capital market equilibrium with incomplete information. </w:t>
      </w:r>
      <w:r w:rsidRPr="00204A1C">
        <w:rPr>
          <w:i/>
          <w:color w:val="222222"/>
          <w:sz w:val="24"/>
          <w:szCs w:val="24"/>
        </w:rPr>
        <w:t>The journal of finance</w:t>
      </w:r>
      <w:r w:rsidRPr="00204A1C">
        <w:rPr>
          <w:color w:val="222222"/>
          <w:sz w:val="24"/>
          <w:szCs w:val="24"/>
          <w:highlight w:val="white"/>
        </w:rPr>
        <w:t xml:space="preserve">, </w:t>
      </w:r>
      <w:r w:rsidRPr="00204A1C">
        <w:rPr>
          <w:i/>
          <w:color w:val="222222"/>
          <w:sz w:val="24"/>
          <w:szCs w:val="24"/>
        </w:rPr>
        <w:t>42</w:t>
      </w:r>
      <w:r w:rsidRPr="00204A1C">
        <w:rPr>
          <w:color w:val="222222"/>
          <w:sz w:val="24"/>
          <w:szCs w:val="24"/>
          <w:highlight w:val="white"/>
        </w:rPr>
        <w:t>(3), 483-510.</w:t>
      </w:r>
      <w:r w:rsidR="00F427C5" w:rsidRPr="00204A1C">
        <w:rPr>
          <w:color w:val="222222"/>
          <w:sz w:val="24"/>
          <w:szCs w:val="24"/>
          <w:highlight w:val="white"/>
        </w:rPr>
        <w:t xml:space="preserve"> </w:t>
      </w:r>
      <w:hyperlink r:id="rId29" w:history="1">
        <w:r w:rsidR="00F427C5" w:rsidRPr="00204A1C">
          <w:rPr>
            <w:rStyle w:val="Hyperlink"/>
            <w:sz w:val="24"/>
            <w:szCs w:val="24"/>
          </w:rPr>
          <w:t>https://doi.org/10.1111/j.1540-6261.1987.tb04565.x</w:t>
        </w:r>
      </w:hyperlink>
      <w:r w:rsidR="00F427C5" w:rsidRPr="00204A1C">
        <w:rPr>
          <w:color w:val="222222"/>
          <w:sz w:val="24"/>
          <w:szCs w:val="24"/>
        </w:rPr>
        <w:t xml:space="preserve"> </w:t>
      </w:r>
    </w:p>
    <w:p w14:paraId="4FBE98E0" w14:textId="0CD1641A" w:rsidR="00573C2B" w:rsidRPr="00204A1C" w:rsidRDefault="008D4851" w:rsidP="00C25803">
      <w:pPr>
        <w:ind w:left="284" w:hanging="284"/>
        <w:jc w:val="both"/>
        <w:rPr>
          <w:sz w:val="24"/>
          <w:szCs w:val="24"/>
        </w:rPr>
      </w:pPr>
      <w:proofErr w:type="spellStart"/>
      <w:r w:rsidRPr="00204A1C">
        <w:rPr>
          <w:sz w:val="24"/>
          <w:szCs w:val="24"/>
        </w:rPr>
        <w:t>Miralles</w:t>
      </w:r>
      <w:proofErr w:type="spellEnd"/>
      <w:r w:rsidRPr="00204A1C">
        <w:rPr>
          <w:sz w:val="24"/>
          <w:szCs w:val="24"/>
        </w:rPr>
        <w:t xml:space="preserve">-Marcelo, J. L., </w:t>
      </w:r>
      <w:proofErr w:type="spellStart"/>
      <w:r w:rsidRPr="00204A1C">
        <w:rPr>
          <w:sz w:val="24"/>
          <w:szCs w:val="24"/>
        </w:rPr>
        <w:t>Miralles-Quirós</w:t>
      </w:r>
      <w:proofErr w:type="spellEnd"/>
      <w:r w:rsidRPr="00204A1C">
        <w:rPr>
          <w:sz w:val="24"/>
          <w:szCs w:val="24"/>
        </w:rPr>
        <w:t xml:space="preserve">, M. del M., &amp; </w:t>
      </w:r>
      <w:proofErr w:type="spellStart"/>
      <w:r w:rsidRPr="00204A1C">
        <w:rPr>
          <w:sz w:val="24"/>
          <w:szCs w:val="24"/>
        </w:rPr>
        <w:t>Miralles-Quirós</w:t>
      </w:r>
      <w:proofErr w:type="spellEnd"/>
      <w:r w:rsidRPr="00204A1C">
        <w:rPr>
          <w:sz w:val="24"/>
          <w:szCs w:val="24"/>
        </w:rPr>
        <w:t xml:space="preserve">, J. L. (2012). Asset pricing with idiosyncratic risk: The Spanish case. </w:t>
      </w:r>
      <w:r w:rsidRPr="00204A1C">
        <w:rPr>
          <w:i/>
          <w:iCs/>
          <w:sz w:val="24"/>
          <w:szCs w:val="24"/>
        </w:rPr>
        <w:t>International Review of Economics and Finance.</w:t>
      </w:r>
      <w:r w:rsidRPr="00204A1C">
        <w:rPr>
          <w:color w:val="555555"/>
          <w:sz w:val="24"/>
          <w:szCs w:val="24"/>
        </w:rPr>
        <w:t xml:space="preserve"> 10(1):137-155</w:t>
      </w:r>
      <w:r w:rsidRPr="00204A1C">
        <w:rPr>
          <w:sz w:val="24"/>
          <w:szCs w:val="24"/>
        </w:rPr>
        <w:t xml:space="preserve">  </w:t>
      </w:r>
      <w:hyperlink r:id="rId30" w:history="1">
        <w:r w:rsidR="00F427C5" w:rsidRPr="00204A1C">
          <w:rPr>
            <w:rStyle w:val="Hyperlink"/>
            <w:sz w:val="24"/>
            <w:szCs w:val="24"/>
          </w:rPr>
          <w:t>https://doi.org/10.1016/j.iref.2011.07.004</w:t>
        </w:r>
      </w:hyperlink>
      <w:r w:rsidR="00F427C5" w:rsidRPr="00204A1C">
        <w:rPr>
          <w:sz w:val="24"/>
          <w:szCs w:val="24"/>
        </w:rPr>
        <w:t xml:space="preserve"> </w:t>
      </w:r>
    </w:p>
    <w:p w14:paraId="259F540D" w14:textId="05EB107D" w:rsidR="00CD1760" w:rsidRPr="00204A1C" w:rsidRDefault="00CD1760" w:rsidP="00C25803">
      <w:pPr>
        <w:ind w:left="284" w:hanging="284"/>
        <w:jc w:val="both"/>
        <w:rPr>
          <w:color w:val="222222"/>
          <w:sz w:val="24"/>
          <w:szCs w:val="24"/>
          <w:highlight w:val="white"/>
        </w:rPr>
      </w:pPr>
      <w:proofErr w:type="spellStart"/>
      <w:r w:rsidRPr="00204A1C">
        <w:rPr>
          <w:color w:val="222222"/>
          <w:sz w:val="24"/>
          <w:szCs w:val="24"/>
        </w:rPr>
        <w:t>Nartea</w:t>
      </w:r>
      <w:proofErr w:type="spellEnd"/>
      <w:r w:rsidRPr="00204A1C">
        <w:rPr>
          <w:color w:val="222222"/>
          <w:sz w:val="24"/>
          <w:szCs w:val="24"/>
        </w:rPr>
        <w:t xml:space="preserve">, G. V., Ward, B. D., &amp; Yao, L. J. (2011). Idiosyncratic volatility and cross‐sectional stock returns in Southeast Asian stock markets. </w:t>
      </w:r>
      <w:r w:rsidRPr="00204A1C">
        <w:rPr>
          <w:i/>
          <w:iCs/>
          <w:color w:val="222222"/>
          <w:sz w:val="24"/>
          <w:szCs w:val="24"/>
        </w:rPr>
        <w:t>Accounting &amp; Finance</w:t>
      </w:r>
      <w:r w:rsidRPr="00204A1C">
        <w:rPr>
          <w:color w:val="222222"/>
          <w:sz w:val="24"/>
          <w:szCs w:val="24"/>
        </w:rPr>
        <w:t>, 51(4), 1031-1054.</w:t>
      </w:r>
      <w:r w:rsidR="0011551D" w:rsidRPr="00204A1C">
        <w:rPr>
          <w:color w:val="222222"/>
          <w:sz w:val="24"/>
          <w:szCs w:val="24"/>
        </w:rPr>
        <w:t xml:space="preserve"> </w:t>
      </w:r>
      <w:hyperlink r:id="rId31" w:history="1">
        <w:r w:rsidR="0011551D" w:rsidRPr="00204A1C">
          <w:rPr>
            <w:rStyle w:val="Hyperlink"/>
            <w:sz w:val="24"/>
            <w:szCs w:val="24"/>
          </w:rPr>
          <w:t>https://doi.org/10.1111/j.1467-629X.2010.00384.x</w:t>
        </w:r>
      </w:hyperlink>
      <w:r w:rsidR="0011551D" w:rsidRPr="00204A1C">
        <w:rPr>
          <w:color w:val="222222"/>
          <w:sz w:val="24"/>
          <w:szCs w:val="24"/>
        </w:rPr>
        <w:t xml:space="preserve"> </w:t>
      </w:r>
    </w:p>
    <w:p w14:paraId="0A32DD51" w14:textId="07F7CBDE" w:rsidR="00925C20" w:rsidRPr="00204A1C" w:rsidRDefault="0011551D" w:rsidP="00C25803">
      <w:pPr>
        <w:ind w:left="284" w:hanging="284"/>
        <w:jc w:val="both"/>
        <w:rPr>
          <w:rStyle w:val="eop"/>
          <w:color w:val="000000"/>
          <w:sz w:val="24"/>
          <w:szCs w:val="24"/>
          <w:shd w:val="clear" w:color="auto" w:fill="FFFFFF"/>
        </w:rPr>
      </w:pPr>
      <w:proofErr w:type="spellStart"/>
      <w:r w:rsidRPr="00204A1C">
        <w:rPr>
          <w:rStyle w:val="normaltextrun"/>
          <w:color w:val="000000"/>
          <w:sz w:val="24"/>
          <w:szCs w:val="24"/>
          <w:shd w:val="clear" w:color="auto" w:fill="FFFFFF"/>
          <w:lang w:val="en-ID"/>
        </w:rPr>
        <w:t>Pudjianto</w:t>
      </w:r>
      <w:proofErr w:type="spellEnd"/>
      <w:r w:rsidRPr="00204A1C">
        <w:rPr>
          <w:rStyle w:val="normaltextrun"/>
          <w:color w:val="000000"/>
          <w:sz w:val="24"/>
          <w:szCs w:val="24"/>
          <w:shd w:val="clear" w:color="auto" w:fill="FFFFFF"/>
          <w:lang w:val="en-ID"/>
        </w:rPr>
        <w:t xml:space="preserve">, M., </w:t>
      </w:r>
      <w:r w:rsidR="00925C20" w:rsidRPr="00204A1C">
        <w:rPr>
          <w:rStyle w:val="normaltextrun"/>
          <w:color w:val="000000"/>
          <w:sz w:val="24"/>
          <w:szCs w:val="24"/>
          <w:shd w:val="clear" w:color="auto" w:fill="FFFFFF"/>
          <w:lang w:val="en-ID"/>
        </w:rPr>
        <w:t>Wibowo, B. (2019). Uji</w:t>
      </w:r>
      <w:r w:rsidR="0082409D" w:rsidRPr="00204A1C">
        <w:rPr>
          <w:rStyle w:val="normaltextrun"/>
          <w:color w:val="000000"/>
          <w:sz w:val="24"/>
          <w:szCs w:val="24"/>
          <w:shd w:val="clear" w:color="auto" w:fill="FFFFFF"/>
          <w:lang w:val="en-ID"/>
        </w:rPr>
        <w:t xml:space="preserve"> </w:t>
      </w:r>
      <w:proofErr w:type="spellStart"/>
      <w:r w:rsidR="00925C20" w:rsidRPr="00204A1C">
        <w:rPr>
          <w:rStyle w:val="normaltextrun"/>
          <w:color w:val="000000"/>
          <w:sz w:val="24"/>
          <w:szCs w:val="24"/>
          <w:shd w:val="clear" w:color="auto" w:fill="FFFFFF"/>
          <w:lang w:val="en-ID"/>
        </w:rPr>
        <w:t>empiris</w:t>
      </w:r>
      <w:proofErr w:type="spellEnd"/>
      <w:r w:rsidR="0082409D" w:rsidRPr="00204A1C">
        <w:rPr>
          <w:rStyle w:val="normaltextrun"/>
          <w:color w:val="000000"/>
          <w:sz w:val="24"/>
          <w:szCs w:val="24"/>
          <w:shd w:val="clear" w:color="auto" w:fill="FFFFFF"/>
          <w:lang w:val="en-ID"/>
        </w:rPr>
        <w:t xml:space="preserve"> </w:t>
      </w:r>
      <w:proofErr w:type="spellStart"/>
      <w:r w:rsidR="00925C20" w:rsidRPr="00204A1C">
        <w:rPr>
          <w:rStyle w:val="normaltextrun"/>
          <w:color w:val="000000"/>
          <w:sz w:val="24"/>
          <w:szCs w:val="24"/>
          <w:shd w:val="clear" w:color="auto" w:fill="FFFFFF"/>
          <w:lang w:val="en-ID"/>
        </w:rPr>
        <w:t>pengaruh</w:t>
      </w:r>
      <w:proofErr w:type="spellEnd"/>
      <w:r w:rsidR="0082409D" w:rsidRPr="00204A1C">
        <w:rPr>
          <w:rStyle w:val="normaltextrun"/>
          <w:color w:val="000000"/>
          <w:sz w:val="24"/>
          <w:szCs w:val="24"/>
          <w:shd w:val="clear" w:color="auto" w:fill="FFFFFF"/>
          <w:lang w:val="en-ID"/>
        </w:rPr>
        <w:t xml:space="preserve"> </w:t>
      </w:r>
      <w:r w:rsidR="00925C20" w:rsidRPr="00204A1C">
        <w:rPr>
          <w:rStyle w:val="normaltextrun"/>
          <w:color w:val="000000"/>
          <w:sz w:val="24"/>
          <w:szCs w:val="24"/>
          <w:shd w:val="clear" w:color="auto" w:fill="FFFFFF"/>
          <w:lang w:val="en-ID"/>
        </w:rPr>
        <w:t>idiosyncratic</w:t>
      </w:r>
      <w:r w:rsidR="0082409D" w:rsidRPr="00204A1C">
        <w:rPr>
          <w:rStyle w:val="normaltextrun"/>
          <w:color w:val="000000"/>
          <w:sz w:val="24"/>
          <w:szCs w:val="24"/>
          <w:shd w:val="clear" w:color="auto" w:fill="FFFFFF"/>
          <w:lang w:val="en-ID"/>
        </w:rPr>
        <w:t xml:space="preserve"> </w:t>
      </w:r>
      <w:r w:rsidR="00925C20" w:rsidRPr="00204A1C">
        <w:rPr>
          <w:rStyle w:val="normaltextrun"/>
          <w:color w:val="000000"/>
          <w:sz w:val="24"/>
          <w:szCs w:val="24"/>
          <w:shd w:val="clear" w:color="auto" w:fill="FFFFFF"/>
          <w:lang w:val="en-ID"/>
        </w:rPr>
        <w:t xml:space="preserve">volatility </w:t>
      </w:r>
      <w:proofErr w:type="spellStart"/>
      <w:r w:rsidR="00925C20" w:rsidRPr="00204A1C">
        <w:rPr>
          <w:rStyle w:val="normaltextrun"/>
          <w:color w:val="000000"/>
          <w:sz w:val="24"/>
          <w:szCs w:val="24"/>
          <w:shd w:val="clear" w:color="auto" w:fill="FFFFFF"/>
          <w:lang w:val="en-ID"/>
        </w:rPr>
        <w:t>terhadap</w:t>
      </w:r>
      <w:proofErr w:type="spellEnd"/>
      <w:r w:rsidR="0082409D" w:rsidRPr="00204A1C">
        <w:rPr>
          <w:rStyle w:val="normaltextrun"/>
          <w:color w:val="000000"/>
          <w:sz w:val="24"/>
          <w:szCs w:val="24"/>
          <w:shd w:val="clear" w:color="auto" w:fill="FFFFFF"/>
          <w:lang w:val="en-ID"/>
        </w:rPr>
        <w:t xml:space="preserve"> </w:t>
      </w:r>
      <w:r w:rsidR="00925C20" w:rsidRPr="00204A1C">
        <w:rPr>
          <w:rStyle w:val="normaltextrun"/>
          <w:color w:val="000000"/>
          <w:sz w:val="24"/>
          <w:szCs w:val="24"/>
          <w:shd w:val="clear" w:color="auto" w:fill="FFFFFF"/>
          <w:lang w:val="en-ID"/>
        </w:rPr>
        <w:t>expected</w:t>
      </w:r>
      <w:r w:rsidR="0082409D" w:rsidRPr="00204A1C">
        <w:rPr>
          <w:rStyle w:val="normaltextrun"/>
          <w:color w:val="000000"/>
          <w:sz w:val="24"/>
          <w:szCs w:val="24"/>
          <w:shd w:val="clear" w:color="auto" w:fill="FFFFFF"/>
          <w:lang w:val="en-ID"/>
        </w:rPr>
        <w:t xml:space="preserve"> </w:t>
      </w:r>
      <w:r w:rsidR="00925C20" w:rsidRPr="00204A1C">
        <w:rPr>
          <w:rStyle w:val="normaltextrun"/>
          <w:color w:val="000000"/>
          <w:sz w:val="24"/>
          <w:szCs w:val="24"/>
          <w:shd w:val="clear" w:color="auto" w:fill="FFFFFF"/>
          <w:lang w:val="en-ID"/>
        </w:rPr>
        <w:t>return:</w:t>
      </w:r>
      <w:r w:rsidR="0082409D" w:rsidRPr="00204A1C">
        <w:rPr>
          <w:rStyle w:val="normaltextrun"/>
          <w:color w:val="000000"/>
          <w:sz w:val="24"/>
          <w:szCs w:val="24"/>
          <w:shd w:val="clear" w:color="auto" w:fill="FFFFFF"/>
          <w:lang w:val="en-ID"/>
        </w:rPr>
        <w:t xml:space="preserve"> </w:t>
      </w:r>
      <w:proofErr w:type="spellStart"/>
      <w:r w:rsidR="00925C20" w:rsidRPr="00204A1C">
        <w:rPr>
          <w:rStyle w:val="normaltextrun"/>
          <w:color w:val="000000"/>
          <w:sz w:val="24"/>
          <w:szCs w:val="24"/>
          <w:shd w:val="clear" w:color="auto" w:fill="FFFFFF"/>
          <w:lang w:val="en-ID"/>
        </w:rPr>
        <w:t>aplikasi</w:t>
      </w:r>
      <w:proofErr w:type="spellEnd"/>
      <w:r w:rsidR="0082409D" w:rsidRPr="00204A1C">
        <w:rPr>
          <w:rStyle w:val="normaltextrun"/>
          <w:color w:val="000000"/>
          <w:sz w:val="24"/>
          <w:szCs w:val="24"/>
          <w:shd w:val="clear" w:color="auto" w:fill="FFFFFF"/>
          <w:lang w:val="en-ID"/>
        </w:rPr>
        <w:t xml:space="preserve"> </w:t>
      </w:r>
      <w:proofErr w:type="spellStart"/>
      <w:r w:rsidR="0082409D" w:rsidRPr="00204A1C">
        <w:rPr>
          <w:rStyle w:val="normaltextrun"/>
          <w:color w:val="000000"/>
          <w:sz w:val="24"/>
          <w:szCs w:val="24"/>
          <w:shd w:val="clear" w:color="auto" w:fill="FFFFFF"/>
          <w:lang w:val="en-ID"/>
        </w:rPr>
        <w:t>F</w:t>
      </w:r>
      <w:r w:rsidR="00925C20" w:rsidRPr="00204A1C">
        <w:rPr>
          <w:rStyle w:val="normaltextrun"/>
          <w:color w:val="000000"/>
          <w:sz w:val="24"/>
          <w:szCs w:val="24"/>
          <w:shd w:val="clear" w:color="auto" w:fill="FFFFFF"/>
          <w:lang w:val="en-ID"/>
        </w:rPr>
        <w:t>ama</w:t>
      </w:r>
      <w:proofErr w:type="spellEnd"/>
      <w:r w:rsidR="00925C20" w:rsidRPr="00204A1C">
        <w:rPr>
          <w:rStyle w:val="normaltextrun"/>
          <w:color w:val="000000"/>
          <w:sz w:val="24"/>
          <w:szCs w:val="24"/>
          <w:shd w:val="clear" w:color="auto" w:fill="FFFFFF"/>
          <w:lang w:val="en-ID"/>
        </w:rPr>
        <w:t>-</w:t>
      </w:r>
      <w:r w:rsidR="0082409D" w:rsidRPr="00204A1C">
        <w:rPr>
          <w:rStyle w:val="normaltextrun"/>
          <w:color w:val="000000"/>
          <w:sz w:val="24"/>
          <w:szCs w:val="24"/>
          <w:shd w:val="clear" w:color="auto" w:fill="FFFFFF"/>
          <w:lang w:val="en-ID"/>
        </w:rPr>
        <w:t>F</w:t>
      </w:r>
      <w:r w:rsidR="00925C20" w:rsidRPr="00204A1C">
        <w:rPr>
          <w:rStyle w:val="normaltextrun"/>
          <w:color w:val="000000"/>
          <w:sz w:val="24"/>
          <w:szCs w:val="24"/>
          <w:shd w:val="clear" w:color="auto" w:fill="FFFFFF"/>
          <w:lang w:val="en-ID"/>
        </w:rPr>
        <w:t>rench</w:t>
      </w:r>
      <w:r w:rsidR="0082409D" w:rsidRPr="00204A1C">
        <w:rPr>
          <w:rStyle w:val="normaltextrun"/>
          <w:color w:val="000000"/>
          <w:sz w:val="24"/>
          <w:szCs w:val="24"/>
          <w:shd w:val="clear" w:color="auto" w:fill="FFFFFF"/>
          <w:lang w:val="en-ID"/>
        </w:rPr>
        <w:t xml:space="preserve"> </w:t>
      </w:r>
      <w:r w:rsidR="00925C20" w:rsidRPr="00204A1C">
        <w:rPr>
          <w:rStyle w:val="normaltextrun"/>
          <w:color w:val="000000"/>
          <w:sz w:val="24"/>
          <w:szCs w:val="24"/>
          <w:shd w:val="clear" w:color="auto" w:fill="FFFFFF"/>
          <w:lang w:val="en-ID"/>
        </w:rPr>
        <w:t>five</w:t>
      </w:r>
      <w:r w:rsidR="0082409D" w:rsidRPr="00204A1C">
        <w:rPr>
          <w:rStyle w:val="normaltextrun"/>
          <w:color w:val="000000"/>
          <w:sz w:val="24"/>
          <w:szCs w:val="24"/>
          <w:shd w:val="clear" w:color="auto" w:fill="FFFFFF"/>
          <w:lang w:val="en-ID"/>
        </w:rPr>
        <w:t xml:space="preserve"> </w:t>
      </w:r>
      <w:r w:rsidR="00925C20" w:rsidRPr="00204A1C">
        <w:rPr>
          <w:rStyle w:val="normaltextrun"/>
          <w:color w:val="000000"/>
          <w:sz w:val="24"/>
          <w:szCs w:val="24"/>
          <w:shd w:val="clear" w:color="auto" w:fill="FFFFFF"/>
          <w:lang w:val="en-ID"/>
        </w:rPr>
        <w:t>factor</w:t>
      </w:r>
      <w:r w:rsidR="0082409D" w:rsidRPr="00204A1C">
        <w:rPr>
          <w:rStyle w:val="normaltextrun"/>
          <w:color w:val="000000"/>
          <w:sz w:val="24"/>
          <w:szCs w:val="24"/>
          <w:shd w:val="clear" w:color="auto" w:fill="FFFFFF"/>
          <w:lang w:val="en-ID"/>
        </w:rPr>
        <w:t xml:space="preserve"> </w:t>
      </w:r>
      <w:proofErr w:type="gramStart"/>
      <w:r w:rsidR="00925C20" w:rsidRPr="00204A1C">
        <w:rPr>
          <w:rStyle w:val="normaltextrun"/>
          <w:color w:val="000000"/>
          <w:sz w:val="24"/>
          <w:szCs w:val="24"/>
          <w:shd w:val="clear" w:color="auto" w:fill="FFFFFF"/>
          <w:lang w:val="en-ID"/>
        </w:rPr>
        <w:t>model, </w:t>
      </w:r>
      <w:r w:rsidR="0082409D" w:rsidRPr="00204A1C">
        <w:rPr>
          <w:rStyle w:val="normaltextrun"/>
          <w:color w:val="000000"/>
          <w:sz w:val="24"/>
          <w:szCs w:val="24"/>
          <w:shd w:val="clear" w:color="auto" w:fill="FFFFFF"/>
          <w:lang w:val="en-ID"/>
        </w:rPr>
        <w:t xml:space="preserve"> </w:t>
      </w:r>
      <w:proofErr w:type="spellStart"/>
      <w:r w:rsidR="00925C20" w:rsidRPr="00204A1C">
        <w:rPr>
          <w:rStyle w:val="normaltextrun"/>
          <w:i/>
          <w:iCs/>
          <w:color w:val="000000"/>
          <w:sz w:val="24"/>
          <w:szCs w:val="24"/>
          <w:shd w:val="clear" w:color="auto" w:fill="FFFFFF"/>
          <w:lang w:val="en-ID"/>
        </w:rPr>
        <w:t>Jurnal</w:t>
      </w:r>
      <w:proofErr w:type="spellEnd"/>
      <w:proofErr w:type="gramEnd"/>
      <w:r w:rsidR="0082409D" w:rsidRPr="00204A1C">
        <w:rPr>
          <w:rStyle w:val="normaltextrun"/>
          <w:i/>
          <w:iCs/>
          <w:color w:val="000000"/>
          <w:sz w:val="24"/>
          <w:szCs w:val="24"/>
          <w:shd w:val="clear" w:color="auto" w:fill="FFFFFF"/>
          <w:lang w:val="en-ID"/>
        </w:rPr>
        <w:t xml:space="preserve"> </w:t>
      </w:r>
      <w:proofErr w:type="spellStart"/>
      <w:r w:rsidR="00925C20" w:rsidRPr="00204A1C">
        <w:rPr>
          <w:rStyle w:val="normaltextrun"/>
          <w:i/>
          <w:iCs/>
          <w:color w:val="000000"/>
          <w:sz w:val="24"/>
          <w:szCs w:val="24"/>
          <w:shd w:val="clear" w:color="auto" w:fill="FFFFFF"/>
          <w:lang w:val="en-ID"/>
        </w:rPr>
        <w:t>Ilmiah</w:t>
      </w:r>
      <w:proofErr w:type="spellEnd"/>
      <w:r w:rsidR="00925C20" w:rsidRPr="00204A1C">
        <w:rPr>
          <w:rStyle w:val="normaltextrun"/>
          <w:i/>
          <w:iCs/>
          <w:color w:val="000000"/>
          <w:sz w:val="24"/>
          <w:szCs w:val="24"/>
          <w:shd w:val="clear" w:color="auto" w:fill="FFFFFF"/>
          <w:lang w:val="en-ID"/>
        </w:rPr>
        <w:t xml:space="preserve"> </w:t>
      </w:r>
      <w:proofErr w:type="spellStart"/>
      <w:r w:rsidR="00925C20" w:rsidRPr="00204A1C">
        <w:rPr>
          <w:rStyle w:val="normaltextrun"/>
          <w:i/>
          <w:iCs/>
          <w:color w:val="000000"/>
          <w:sz w:val="24"/>
          <w:szCs w:val="24"/>
          <w:shd w:val="clear" w:color="auto" w:fill="FFFFFF"/>
          <w:lang w:val="en-ID"/>
        </w:rPr>
        <w:t>Manajemen</w:t>
      </w:r>
      <w:proofErr w:type="spellEnd"/>
      <w:r w:rsidR="00925C20" w:rsidRPr="00204A1C">
        <w:rPr>
          <w:rStyle w:val="normaltextrun"/>
          <w:i/>
          <w:iCs/>
          <w:color w:val="000000"/>
          <w:sz w:val="24"/>
          <w:szCs w:val="24"/>
          <w:shd w:val="clear" w:color="auto" w:fill="FFFFFF"/>
          <w:lang w:val="en-ID"/>
        </w:rPr>
        <w:t> </w:t>
      </w:r>
      <w:r w:rsidR="00925C20" w:rsidRPr="00204A1C">
        <w:rPr>
          <w:rStyle w:val="normaltextrun"/>
          <w:color w:val="000000"/>
          <w:sz w:val="24"/>
          <w:szCs w:val="24"/>
          <w:shd w:val="clear" w:color="auto" w:fill="FFFFFF"/>
          <w:lang w:val="en-ID"/>
        </w:rPr>
        <w:t>9, 268</w:t>
      </w:r>
      <w:r w:rsidR="0082409D" w:rsidRPr="00204A1C">
        <w:rPr>
          <w:rStyle w:val="normaltextrun"/>
          <w:color w:val="000000"/>
          <w:sz w:val="24"/>
          <w:szCs w:val="24"/>
          <w:shd w:val="clear" w:color="auto" w:fill="FFFFFF"/>
          <w:lang w:val="en-ID"/>
        </w:rPr>
        <w:t>-</w:t>
      </w:r>
      <w:r w:rsidR="00925C20" w:rsidRPr="00204A1C">
        <w:rPr>
          <w:rStyle w:val="normaltextrun"/>
          <w:color w:val="000000"/>
          <w:sz w:val="24"/>
          <w:szCs w:val="24"/>
          <w:shd w:val="clear" w:color="auto" w:fill="FFFFFF"/>
          <w:lang w:val="en-ID"/>
        </w:rPr>
        <w:t>281.</w:t>
      </w:r>
      <w:r w:rsidR="0082409D" w:rsidRPr="00204A1C">
        <w:rPr>
          <w:rStyle w:val="normaltextrun"/>
          <w:color w:val="000000"/>
          <w:sz w:val="24"/>
          <w:szCs w:val="24"/>
          <w:shd w:val="clear" w:color="auto" w:fill="FFFFFF"/>
          <w:lang w:val="en-ID"/>
        </w:rPr>
        <w:t xml:space="preserve"> </w:t>
      </w:r>
      <w:r w:rsidRPr="00204A1C">
        <w:rPr>
          <w:rStyle w:val="eop"/>
          <w:color w:val="000000"/>
          <w:sz w:val="24"/>
          <w:szCs w:val="24"/>
          <w:shd w:val="clear" w:color="auto" w:fill="FFFFFF"/>
        </w:rPr>
        <w:t xml:space="preserve"> </w:t>
      </w:r>
      <w:hyperlink r:id="rId32" w:history="1">
        <w:r w:rsidRPr="00204A1C">
          <w:rPr>
            <w:rStyle w:val="Hyperlink"/>
            <w:sz w:val="24"/>
            <w:szCs w:val="24"/>
            <w:shd w:val="clear" w:color="auto" w:fill="FFFFFF"/>
          </w:rPr>
          <w:t>http://doi.org/10.22441/mix.2019.v9i2.002</w:t>
        </w:r>
      </w:hyperlink>
      <w:r w:rsidRPr="00204A1C">
        <w:rPr>
          <w:rStyle w:val="eop"/>
          <w:color w:val="000000"/>
          <w:sz w:val="24"/>
          <w:szCs w:val="24"/>
          <w:shd w:val="clear" w:color="auto" w:fill="FFFFFF"/>
        </w:rPr>
        <w:t xml:space="preserve"> </w:t>
      </w:r>
    </w:p>
    <w:p w14:paraId="67225290" w14:textId="0FC9EF16" w:rsidR="00E601F9" w:rsidRPr="00204A1C" w:rsidRDefault="0011551D" w:rsidP="00C25803">
      <w:pPr>
        <w:ind w:left="284" w:hanging="284"/>
        <w:jc w:val="both"/>
        <w:rPr>
          <w:color w:val="222222"/>
          <w:sz w:val="28"/>
          <w:szCs w:val="28"/>
          <w:highlight w:val="white"/>
        </w:rPr>
      </w:pPr>
      <w:r w:rsidRPr="00204A1C">
        <w:rPr>
          <w:color w:val="505050"/>
          <w:sz w:val="24"/>
          <w:szCs w:val="24"/>
          <w:shd w:val="clear" w:color="auto" w:fill="FFFFFF"/>
        </w:rPr>
        <w:t>Xu, Y</w:t>
      </w:r>
      <w:r w:rsidR="00A27635" w:rsidRPr="00204A1C">
        <w:rPr>
          <w:color w:val="505050"/>
          <w:sz w:val="24"/>
          <w:szCs w:val="24"/>
          <w:shd w:val="clear" w:color="auto" w:fill="FFFFFF"/>
        </w:rPr>
        <w:t>.,</w:t>
      </w:r>
      <w:r w:rsidRPr="00204A1C">
        <w:rPr>
          <w:color w:val="505050"/>
          <w:sz w:val="24"/>
          <w:szCs w:val="24"/>
          <w:shd w:val="clear" w:color="auto" w:fill="FFFFFF"/>
        </w:rPr>
        <w:t xml:space="preserve"> and </w:t>
      </w:r>
      <w:proofErr w:type="spellStart"/>
      <w:r w:rsidRPr="00204A1C">
        <w:rPr>
          <w:color w:val="505050"/>
          <w:sz w:val="24"/>
          <w:szCs w:val="24"/>
          <w:shd w:val="clear" w:color="auto" w:fill="FFFFFF"/>
        </w:rPr>
        <w:t>Malkiel</w:t>
      </w:r>
      <w:proofErr w:type="spellEnd"/>
      <w:r w:rsidRPr="00204A1C">
        <w:rPr>
          <w:color w:val="505050"/>
          <w:sz w:val="24"/>
          <w:szCs w:val="24"/>
          <w:shd w:val="clear" w:color="auto" w:fill="FFFFFF"/>
        </w:rPr>
        <w:t>, B</w:t>
      </w:r>
      <w:r w:rsidR="00A27635" w:rsidRPr="00204A1C">
        <w:rPr>
          <w:color w:val="505050"/>
          <w:sz w:val="24"/>
          <w:szCs w:val="24"/>
          <w:shd w:val="clear" w:color="auto" w:fill="FFFFFF"/>
        </w:rPr>
        <w:t>.</w:t>
      </w:r>
      <w:r w:rsidRPr="00204A1C">
        <w:rPr>
          <w:color w:val="505050"/>
          <w:sz w:val="24"/>
          <w:szCs w:val="24"/>
          <w:shd w:val="clear" w:color="auto" w:fill="FFFFFF"/>
        </w:rPr>
        <w:t xml:space="preserve"> G., (May 2004) Idiosyncratic Risk and Security Returns. AFA 2001 New Orleans Meetings. Available at SSRN: </w:t>
      </w:r>
      <w:hyperlink r:id="rId33" w:tgtFrame="_blank" w:history="1">
        <w:r w:rsidRPr="00B37F06">
          <w:rPr>
            <w:color w:val="3333FF"/>
            <w:sz w:val="24"/>
            <w:szCs w:val="24"/>
            <w:u w:val="single"/>
            <w:shd w:val="clear" w:color="auto" w:fill="FFFFFF"/>
          </w:rPr>
          <w:t>https://ssrn.com/abstract=255303</w:t>
        </w:r>
      </w:hyperlink>
      <w:r w:rsidR="00204A1C" w:rsidRPr="00B37F06">
        <w:rPr>
          <w:color w:val="3333FF"/>
          <w:sz w:val="24"/>
          <w:szCs w:val="24"/>
          <w:u w:val="single"/>
        </w:rPr>
        <w:t xml:space="preserve"> </w:t>
      </w:r>
      <w:r w:rsidRPr="00B37F06">
        <w:rPr>
          <w:color w:val="3333FF"/>
          <w:sz w:val="24"/>
          <w:szCs w:val="24"/>
          <w:u w:val="single"/>
        </w:rPr>
        <w:t xml:space="preserve">    </w:t>
      </w:r>
      <w:r w:rsidRPr="00204A1C">
        <w:rPr>
          <w:color w:val="505050"/>
          <w:sz w:val="24"/>
          <w:szCs w:val="24"/>
          <w:shd w:val="clear" w:color="auto" w:fill="FFFFFF"/>
        </w:rPr>
        <w:t xml:space="preserve"> </w:t>
      </w:r>
      <w:r w:rsidRPr="00204A1C">
        <w:rPr>
          <w:sz w:val="24"/>
          <w:szCs w:val="24"/>
        </w:rPr>
        <w:t xml:space="preserve">  </w:t>
      </w:r>
    </w:p>
    <w:p w14:paraId="17E55B59" w14:textId="4CC4B960" w:rsidR="00925C20" w:rsidRPr="00204A1C" w:rsidRDefault="00925C20" w:rsidP="00C25803">
      <w:pPr>
        <w:ind w:left="284" w:hanging="284"/>
        <w:jc w:val="both"/>
        <w:rPr>
          <w:color w:val="222222"/>
          <w:sz w:val="28"/>
          <w:szCs w:val="28"/>
          <w:highlight w:val="white"/>
        </w:rPr>
        <w:sectPr w:rsidR="00925C20" w:rsidRPr="00204A1C" w:rsidSect="006B1388">
          <w:type w:val="continuous"/>
          <w:pgSz w:w="11906" w:h="16838"/>
          <w:pgMar w:top="1440" w:right="1080" w:bottom="1440" w:left="1080" w:header="720" w:footer="720" w:gutter="0"/>
          <w:cols w:space="720"/>
          <w:docGrid w:linePitch="272"/>
        </w:sectPr>
      </w:pPr>
    </w:p>
    <w:p w14:paraId="54EE1F8D" w14:textId="77777777" w:rsidR="00573C2B" w:rsidRPr="0011551D" w:rsidRDefault="00573C2B" w:rsidP="00C25803">
      <w:pPr>
        <w:rPr>
          <w:sz w:val="24"/>
          <w:szCs w:val="24"/>
        </w:rPr>
      </w:pPr>
    </w:p>
    <w:p w14:paraId="61D394EF" w14:textId="77777777" w:rsidR="00D42F11" w:rsidRDefault="00D42F11" w:rsidP="00C25803">
      <w:pPr>
        <w:rPr>
          <w:sz w:val="22"/>
          <w:szCs w:val="22"/>
        </w:rPr>
      </w:pPr>
    </w:p>
    <w:sectPr w:rsidR="00D42F11" w:rsidSect="00D42F11">
      <w:type w:val="continuous"/>
      <w:pgSz w:w="11906" w:h="16838"/>
      <w:pgMar w:top="1080" w:right="893" w:bottom="1440" w:left="8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2F584" w14:textId="77777777" w:rsidR="009F239A" w:rsidRDefault="009F239A" w:rsidP="007E6880">
      <w:r>
        <w:separator/>
      </w:r>
    </w:p>
  </w:endnote>
  <w:endnote w:type="continuationSeparator" w:id="0">
    <w:p w14:paraId="68872A18" w14:textId="77777777" w:rsidR="009F239A" w:rsidRDefault="009F239A" w:rsidP="007E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0FBBD" w14:textId="77777777" w:rsidR="009F239A" w:rsidRDefault="009F239A" w:rsidP="007E6880">
      <w:r>
        <w:separator/>
      </w:r>
    </w:p>
  </w:footnote>
  <w:footnote w:type="continuationSeparator" w:id="0">
    <w:p w14:paraId="42A336AD" w14:textId="77777777" w:rsidR="009F239A" w:rsidRDefault="009F239A" w:rsidP="007E6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4008"/>
    <w:multiLevelType w:val="hybridMultilevel"/>
    <w:tmpl w:val="5AC83C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BC36AB8"/>
    <w:multiLevelType w:val="hybridMultilevel"/>
    <w:tmpl w:val="1556F524"/>
    <w:lvl w:ilvl="0" w:tplc="7FD45040">
      <w:start w:val="1"/>
      <w:numFmt w:val="decimal"/>
      <w:lvlText w:val="%1."/>
      <w:lvlJc w:val="left"/>
      <w:pPr>
        <w:ind w:left="720" w:hanging="360"/>
      </w:pPr>
      <w:rPr>
        <w:rFonts w:hint="default"/>
        <w:b/>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57513"/>
    <w:multiLevelType w:val="hybridMultilevel"/>
    <w:tmpl w:val="37FE7238"/>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 w15:restartNumberingAfterBreak="0">
    <w:nsid w:val="214A4C37"/>
    <w:multiLevelType w:val="multilevel"/>
    <w:tmpl w:val="314209A0"/>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4" w15:restartNumberingAfterBreak="0">
    <w:nsid w:val="23C746B0"/>
    <w:multiLevelType w:val="multilevel"/>
    <w:tmpl w:val="087CDE2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2BF62F2B"/>
    <w:multiLevelType w:val="multilevel"/>
    <w:tmpl w:val="695EAA16"/>
    <w:lvl w:ilvl="0">
      <w:start w:val="3"/>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6" w15:restartNumberingAfterBreak="0">
    <w:nsid w:val="34FA14EE"/>
    <w:multiLevelType w:val="multilevel"/>
    <w:tmpl w:val="24D674A6"/>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4BEB3091"/>
    <w:multiLevelType w:val="multilevel"/>
    <w:tmpl w:val="E54C1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0A188B"/>
    <w:multiLevelType w:val="multilevel"/>
    <w:tmpl w:val="74BCCF72"/>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val="0"/>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9" w15:restartNumberingAfterBreak="0">
    <w:nsid w:val="551B423B"/>
    <w:multiLevelType w:val="hybridMultilevel"/>
    <w:tmpl w:val="3216F3D2"/>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0" w15:restartNumberingAfterBreak="0">
    <w:nsid w:val="6D134CED"/>
    <w:multiLevelType w:val="multilevel"/>
    <w:tmpl w:val="B46063E0"/>
    <w:lvl w:ilvl="0">
      <w:start w:val="3"/>
      <w:numFmt w:val="decimal"/>
      <w:lvlText w:val="%1"/>
      <w:lvlJc w:val="left"/>
      <w:pPr>
        <w:ind w:left="360" w:hanging="360"/>
      </w:pPr>
      <w:rPr>
        <w:rFonts w:hint="default"/>
        <w:sz w:val="22"/>
      </w:rPr>
    </w:lvl>
    <w:lvl w:ilvl="1">
      <w:start w:val="3"/>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1" w15:restartNumberingAfterBreak="0">
    <w:nsid w:val="6F2B1F01"/>
    <w:multiLevelType w:val="multilevel"/>
    <w:tmpl w:val="204C61D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6FDE6B92"/>
    <w:multiLevelType w:val="multilevel"/>
    <w:tmpl w:val="2AD8046A"/>
    <w:lvl w:ilvl="0">
      <w:start w:val="3"/>
      <w:numFmt w:val="decimal"/>
      <w:lvlText w:val="%1"/>
      <w:lvlJc w:val="left"/>
      <w:pPr>
        <w:ind w:left="360" w:hanging="360"/>
      </w:pPr>
      <w:rPr>
        <w:rFonts w:hint="default"/>
        <w:sz w:val="22"/>
      </w:rPr>
    </w:lvl>
    <w:lvl w:ilvl="1">
      <w:start w:val="1"/>
      <w:numFmt w:val="decimal"/>
      <w:lvlText w:val="%1.%2"/>
      <w:lvlJc w:val="left"/>
      <w:pPr>
        <w:ind w:left="54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3" w15:restartNumberingAfterBreak="0">
    <w:nsid w:val="72B43E8F"/>
    <w:multiLevelType w:val="multilevel"/>
    <w:tmpl w:val="7A545258"/>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4" w15:restartNumberingAfterBreak="0">
    <w:nsid w:val="750F1E89"/>
    <w:multiLevelType w:val="multilevel"/>
    <w:tmpl w:val="4CAE00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4"/>
  </w:num>
  <w:num w:numId="3">
    <w:abstractNumId w:val="8"/>
  </w:num>
  <w:num w:numId="4">
    <w:abstractNumId w:val="11"/>
  </w:num>
  <w:num w:numId="5">
    <w:abstractNumId w:val="14"/>
  </w:num>
  <w:num w:numId="6">
    <w:abstractNumId w:val="2"/>
  </w:num>
  <w:num w:numId="7">
    <w:abstractNumId w:val="9"/>
  </w:num>
  <w:num w:numId="8">
    <w:abstractNumId w:val="0"/>
  </w:num>
  <w:num w:numId="9">
    <w:abstractNumId w:val="1"/>
  </w:num>
  <w:num w:numId="10">
    <w:abstractNumId w:val="13"/>
  </w:num>
  <w:num w:numId="11">
    <w:abstractNumId w:val="12"/>
  </w:num>
  <w:num w:numId="12">
    <w:abstractNumId w:val="6"/>
  </w:num>
  <w:num w:numId="13">
    <w:abstractNumId w:val="5"/>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C2B"/>
    <w:rsid w:val="0000270E"/>
    <w:rsid w:val="00014AF3"/>
    <w:rsid w:val="0002276F"/>
    <w:rsid w:val="000D0306"/>
    <w:rsid w:val="00101F2E"/>
    <w:rsid w:val="0011551D"/>
    <w:rsid w:val="00115A55"/>
    <w:rsid w:val="001256C9"/>
    <w:rsid w:val="00125A7F"/>
    <w:rsid w:val="00171172"/>
    <w:rsid w:val="001C0921"/>
    <w:rsid w:val="00204A1C"/>
    <w:rsid w:val="002845B3"/>
    <w:rsid w:val="00287AE9"/>
    <w:rsid w:val="002A4A09"/>
    <w:rsid w:val="002A53C6"/>
    <w:rsid w:val="00340630"/>
    <w:rsid w:val="0036109E"/>
    <w:rsid w:val="003716FD"/>
    <w:rsid w:val="0037376B"/>
    <w:rsid w:val="00376DF6"/>
    <w:rsid w:val="00432BEB"/>
    <w:rsid w:val="00454AC1"/>
    <w:rsid w:val="00466AD4"/>
    <w:rsid w:val="004D4DE3"/>
    <w:rsid w:val="004F2F28"/>
    <w:rsid w:val="005333D2"/>
    <w:rsid w:val="0057126E"/>
    <w:rsid w:val="00573C2B"/>
    <w:rsid w:val="005D413A"/>
    <w:rsid w:val="005E7CBC"/>
    <w:rsid w:val="0061055F"/>
    <w:rsid w:val="00646B84"/>
    <w:rsid w:val="00647BDE"/>
    <w:rsid w:val="0065244D"/>
    <w:rsid w:val="00675D70"/>
    <w:rsid w:val="006869DD"/>
    <w:rsid w:val="006B1388"/>
    <w:rsid w:val="006B550B"/>
    <w:rsid w:val="00716414"/>
    <w:rsid w:val="007559DB"/>
    <w:rsid w:val="0079245E"/>
    <w:rsid w:val="007A7AB2"/>
    <w:rsid w:val="007E6880"/>
    <w:rsid w:val="00801367"/>
    <w:rsid w:val="0080687B"/>
    <w:rsid w:val="0082409D"/>
    <w:rsid w:val="0084087D"/>
    <w:rsid w:val="0084452E"/>
    <w:rsid w:val="00852D71"/>
    <w:rsid w:val="0085337B"/>
    <w:rsid w:val="00856C1E"/>
    <w:rsid w:val="00894FC4"/>
    <w:rsid w:val="00896084"/>
    <w:rsid w:val="008B61A3"/>
    <w:rsid w:val="008B70C2"/>
    <w:rsid w:val="008D4851"/>
    <w:rsid w:val="009157BA"/>
    <w:rsid w:val="00925C20"/>
    <w:rsid w:val="00927508"/>
    <w:rsid w:val="00957188"/>
    <w:rsid w:val="0099059E"/>
    <w:rsid w:val="009C228B"/>
    <w:rsid w:val="009F239A"/>
    <w:rsid w:val="00A00A6C"/>
    <w:rsid w:val="00A27635"/>
    <w:rsid w:val="00B12DB6"/>
    <w:rsid w:val="00B20640"/>
    <w:rsid w:val="00B37F06"/>
    <w:rsid w:val="00B45D48"/>
    <w:rsid w:val="00B97078"/>
    <w:rsid w:val="00BA5E59"/>
    <w:rsid w:val="00BD5BFB"/>
    <w:rsid w:val="00C25803"/>
    <w:rsid w:val="00C66D06"/>
    <w:rsid w:val="00CD1760"/>
    <w:rsid w:val="00CD233B"/>
    <w:rsid w:val="00CE3732"/>
    <w:rsid w:val="00CF44ED"/>
    <w:rsid w:val="00D140BC"/>
    <w:rsid w:val="00D42F11"/>
    <w:rsid w:val="00D47A3E"/>
    <w:rsid w:val="00D510C3"/>
    <w:rsid w:val="00DF6F12"/>
    <w:rsid w:val="00E012F6"/>
    <w:rsid w:val="00E279B8"/>
    <w:rsid w:val="00E47641"/>
    <w:rsid w:val="00E601F9"/>
    <w:rsid w:val="00E85FBE"/>
    <w:rsid w:val="00EA082B"/>
    <w:rsid w:val="00ED7F26"/>
    <w:rsid w:val="00F427C5"/>
    <w:rsid w:val="00F654B8"/>
    <w:rsid w:val="00F65FA4"/>
    <w:rsid w:val="00F9306F"/>
    <w:rsid w:val="00FC7813"/>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63848"/>
  <w15:docId w15:val="{C7D2E209-0500-4E42-B7BB-6A2C0267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ID"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216"/>
      </w:tabs>
      <w:spacing w:before="160" w:after="80"/>
      <w:outlineLvl w:val="0"/>
    </w:pPr>
    <w:rPr>
      <w:smallCaps/>
    </w:rPr>
  </w:style>
  <w:style w:type="paragraph" w:styleId="Heading2">
    <w:name w:val="heading 2"/>
    <w:basedOn w:val="Normal"/>
    <w:next w:val="Normal"/>
    <w:uiPriority w:val="9"/>
    <w:unhideWhenUsed/>
    <w:qFormat/>
    <w:pPr>
      <w:keepNext/>
      <w:keepLines/>
      <w:spacing w:before="120" w:after="60"/>
      <w:ind w:left="288" w:hanging="288"/>
      <w:jc w:val="left"/>
      <w:outlineLvl w:val="1"/>
    </w:pPr>
    <w:rPr>
      <w:i/>
    </w:rPr>
  </w:style>
  <w:style w:type="paragraph" w:styleId="Heading3">
    <w:name w:val="heading 3"/>
    <w:basedOn w:val="Normal"/>
    <w:next w:val="Normal"/>
    <w:uiPriority w:val="9"/>
    <w:unhideWhenUsed/>
    <w:qFormat/>
    <w:pPr>
      <w:ind w:firstLine="288"/>
      <w:jc w:val="both"/>
      <w:outlineLvl w:val="2"/>
    </w:pPr>
    <w:rPr>
      <w:i/>
    </w:rPr>
  </w:style>
  <w:style w:type="paragraph" w:styleId="Heading4">
    <w:name w:val="heading 4"/>
    <w:basedOn w:val="Normal"/>
    <w:next w:val="Normal"/>
    <w:uiPriority w:val="9"/>
    <w:unhideWhenUsed/>
    <w:qFormat/>
    <w:pPr>
      <w:tabs>
        <w:tab w:val="left" w:pos="720"/>
      </w:tabs>
      <w:spacing w:before="40" w:after="40"/>
      <w:ind w:firstLine="504"/>
      <w:jc w:val="both"/>
      <w:outlineLvl w:val="3"/>
    </w:pPr>
    <w:rPr>
      <w:i/>
    </w:rPr>
  </w:style>
  <w:style w:type="paragraph" w:styleId="Heading5">
    <w:name w:val="heading 5"/>
    <w:basedOn w:val="Normal"/>
    <w:next w:val="Normal"/>
    <w:uiPriority w:val="9"/>
    <w:unhideWhenUsed/>
    <w:qFormat/>
    <w:pPr>
      <w:tabs>
        <w:tab w:val="left" w:pos="360"/>
      </w:tabs>
      <w:spacing w:before="160" w:after="80"/>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068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87B"/>
    <w:rPr>
      <w:rFonts w:ascii="Segoe UI" w:hAnsi="Segoe UI" w:cs="Segoe UI"/>
      <w:sz w:val="18"/>
      <w:szCs w:val="18"/>
    </w:rPr>
  </w:style>
  <w:style w:type="paragraph" w:styleId="ListParagraph">
    <w:name w:val="List Paragraph"/>
    <w:basedOn w:val="Normal"/>
    <w:uiPriority w:val="34"/>
    <w:qFormat/>
    <w:rsid w:val="0080687B"/>
    <w:pPr>
      <w:ind w:left="720"/>
      <w:contextualSpacing/>
    </w:pPr>
  </w:style>
  <w:style w:type="character" w:styleId="Hyperlink">
    <w:name w:val="Hyperlink"/>
    <w:basedOn w:val="DefaultParagraphFont"/>
    <w:uiPriority w:val="99"/>
    <w:unhideWhenUsed/>
    <w:rsid w:val="00647BDE"/>
    <w:rPr>
      <w:color w:val="0000FF" w:themeColor="hyperlink"/>
      <w:u w:val="single"/>
    </w:rPr>
  </w:style>
  <w:style w:type="character" w:styleId="UnresolvedMention">
    <w:name w:val="Unresolved Mention"/>
    <w:basedOn w:val="DefaultParagraphFont"/>
    <w:uiPriority w:val="99"/>
    <w:semiHidden/>
    <w:unhideWhenUsed/>
    <w:rsid w:val="00647BDE"/>
    <w:rPr>
      <w:color w:val="605E5C"/>
      <w:shd w:val="clear" w:color="auto" w:fill="E1DFDD"/>
    </w:rPr>
  </w:style>
  <w:style w:type="character" w:customStyle="1" w:styleId="normaltextrun">
    <w:name w:val="normaltextrun"/>
    <w:basedOn w:val="DefaultParagraphFont"/>
    <w:rsid w:val="008D4851"/>
  </w:style>
  <w:style w:type="character" w:customStyle="1" w:styleId="eop">
    <w:name w:val="eop"/>
    <w:basedOn w:val="DefaultParagraphFont"/>
    <w:rsid w:val="008D4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s://doi.org/10.1016/j.jfineco.2010.08.014" TargetMode="External"/><Relationship Id="rId26" Type="http://schemas.openxmlformats.org/officeDocument/2006/relationships/hyperlink" Target="https://doi.org/10.1093/rfs/hhu039" TargetMode="External"/><Relationship Id="rId3" Type="http://schemas.openxmlformats.org/officeDocument/2006/relationships/numbering" Target="numbering.xml"/><Relationship Id="rId21" Type="http://schemas.openxmlformats.org/officeDocument/2006/relationships/hyperlink" Target="https://doi.org/10.1016/0304-405X(93)90023-5"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s://doi.org/10.1017/S002210900000274X" TargetMode="External"/><Relationship Id="rId25" Type="http://schemas.openxmlformats.org/officeDocument/2006/relationships/hyperlink" Target="https://doi.org/10.1016/j.jbankfin.2011.12.014" TargetMode="External"/><Relationship Id="rId33" Type="http://schemas.openxmlformats.org/officeDocument/2006/relationships/hyperlink" Target="https://ssrn.com/abstract=255303" TargetMode="External"/><Relationship Id="rId2" Type="http://schemas.openxmlformats.org/officeDocument/2006/relationships/customXml" Target="../customXml/item2.xml"/><Relationship Id="rId16" Type="http://schemas.openxmlformats.org/officeDocument/2006/relationships/hyperlink" Target="https://doi.org/10.1016/j.jfineco.2007.12.005" TargetMode="External"/><Relationship Id="rId20" Type="http://schemas.openxmlformats.org/officeDocument/2006/relationships/hyperlink" Target="http://dx.doi.org/10.2139/ssrn.1028869" TargetMode="External"/><Relationship Id="rId29" Type="http://schemas.openxmlformats.org/officeDocument/2006/relationships/hyperlink" Target="https://doi.org/10.1111/j.1540-6261.1987.tb04565.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doi.org/10.1016/j.jfineco.2016.02.013" TargetMode="External"/><Relationship Id="rId32" Type="http://schemas.openxmlformats.org/officeDocument/2006/relationships/hyperlink" Target="http://doi.org/10.22441/mix.2019.v9i2.002" TargetMode="External"/><Relationship Id="rId5" Type="http://schemas.openxmlformats.org/officeDocument/2006/relationships/settings" Target="settings.xml"/><Relationship Id="rId15" Type="http://schemas.openxmlformats.org/officeDocument/2006/relationships/hyperlink" Target="https://doi.org/10.1111/j.1540-6261.2006.00836.x" TargetMode="External"/><Relationship Id="rId23" Type="http://schemas.openxmlformats.org/officeDocument/2006/relationships/hyperlink" Target="https://doi.org/10.1016/j.jfineco.2008.02.003" TargetMode="External"/><Relationship Id="rId28" Type="http://schemas.openxmlformats.org/officeDocument/2006/relationships/hyperlink" Target="https://doi.org/10.1016/j.frl.2017.07.009" TargetMode="External"/><Relationship Id="rId10" Type="http://schemas.openxmlformats.org/officeDocument/2006/relationships/image" Target="media/image2.emf"/><Relationship Id="rId19" Type="http://schemas.openxmlformats.org/officeDocument/2006/relationships/hyperlink" Target="https://doi.org/10.1093/rapstu/rau006" TargetMode="External"/><Relationship Id="rId31" Type="http://schemas.openxmlformats.org/officeDocument/2006/relationships/hyperlink" Target="https://doi.org/10.1111/j.1467-629X.2010.00384.x"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https://doi.org/10.1086/260061" TargetMode="External"/><Relationship Id="rId27" Type="http://schemas.openxmlformats.org/officeDocument/2006/relationships/hyperlink" Target="http://www.jstor.org/stable/1808932" TargetMode="External"/><Relationship Id="rId30" Type="http://schemas.openxmlformats.org/officeDocument/2006/relationships/hyperlink" Target="https://doi.org/10.1016/j.iref.2011.07.004"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RS5YszC1wn2HeGnsf4Y/4XA5VQ==">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A5FFD0-37A8-49C2-99DE-BAB97D2B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3962</Words>
  <Characters>22586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KimSS</dc:creator>
  <cp:lastModifiedBy>Kim Sung Suk</cp:lastModifiedBy>
  <cp:revision>2</cp:revision>
  <dcterms:created xsi:type="dcterms:W3CDTF">2020-03-26T17:23:00Z</dcterms:created>
  <dcterms:modified xsi:type="dcterms:W3CDTF">2020-03-26T17:23:00Z</dcterms:modified>
</cp:coreProperties>
</file>