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6A4E0" w14:textId="06DA06CB" w:rsidR="009D5576" w:rsidRPr="008A00D4" w:rsidRDefault="00B136FE" w:rsidP="009D5576">
      <w:pPr>
        <w:jc w:val="center"/>
        <w:rPr>
          <w:rFonts w:ascii="Cambria" w:eastAsia="Times New Roman" w:hAnsi="Cambria" w:cs="Times New Roman"/>
          <w:b/>
          <w:sz w:val="28"/>
          <w:szCs w:val="28"/>
        </w:rPr>
      </w:pPr>
      <w:r w:rsidRPr="008A00D4">
        <w:rPr>
          <w:rFonts w:ascii="Cambria" w:eastAsia="Times New Roman" w:hAnsi="Cambria" w:cs="Times New Roman"/>
          <w:sz w:val="20"/>
          <w:szCs w:val="20"/>
        </w:rPr>
        <w:br/>
      </w:r>
      <w:r w:rsidR="00A51782" w:rsidRPr="00A51782">
        <w:rPr>
          <w:rFonts w:ascii="Cambria" w:eastAsia="Times New Roman" w:hAnsi="Cambria" w:cs="Times New Roman"/>
          <w:b/>
          <w:sz w:val="28"/>
          <w:szCs w:val="28"/>
        </w:rPr>
        <w:t xml:space="preserve">The Effect </w:t>
      </w:r>
      <w:proofErr w:type="gramStart"/>
      <w:r w:rsidR="00A51782" w:rsidRPr="00A51782">
        <w:rPr>
          <w:rFonts w:ascii="Cambria" w:eastAsia="Times New Roman" w:hAnsi="Cambria" w:cs="Times New Roman"/>
          <w:b/>
          <w:sz w:val="28"/>
          <w:szCs w:val="28"/>
        </w:rPr>
        <w:t>Of</w:t>
      </w:r>
      <w:proofErr w:type="gramEnd"/>
      <w:r w:rsidR="00A51782" w:rsidRPr="00A51782">
        <w:rPr>
          <w:rFonts w:ascii="Cambria" w:eastAsia="Times New Roman" w:hAnsi="Cambria" w:cs="Times New Roman"/>
          <w:b/>
          <w:sz w:val="28"/>
          <w:szCs w:val="28"/>
        </w:rPr>
        <w:t xml:space="preserve"> State Budget Ratification And Expenditure On The Indonesian Capital M</w:t>
      </w:r>
      <w:r w:rsidR="00783D49">
        <w:rPr>
          <w:rFonts w:ascii="Cambria" w:eastAsia="Times New Roman" w:hAnsi="Cambria" w:cs="Times New Roman"/>
          <w:b/>
          <w:sz w:val="28"/>
          <w:szCs w:val="28"/>
        </w:rPr>
        <w:t xml:space="preserve">arket (Empirical Study On The LQ </w:t>
      </w:r>
      <w:r w:rsidR="00A51782" w:rsidRPr="00A51782">
        <w:rPr>
          <w:rFonts w:ascii="Cambria" w:eastAsia="Times New Roman" w:hAnsi="Cambria" w:cs="Times New Roman"/>
          <w:b/>
          <w:sz w:val="28"/>
          <w:szCs w:val="28"/>
        </w:rPr>
        <w:t>45 Index Shares)</w:t>
      </w:r>
    </w:p>
    <w:p w14:paraId="73FFD481" w14:textId="1BAA64D0" w:rsidR="00B136FE" w:rsidRPr="008A00D4" w:rsidRDefault="00A51782" w:rsidP="009D5576">
      <w:pPr>
        <w:spacing w:after="24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Agus Bandiyono</w:t>
      </w:r>
      <w:r w:rsidR="00B136FE" w:rsidRPr="008A00D4">
        <w:rPr>
          <w:rFonts w:ascii="Cambria" w:eastAsia="Times New Roman" w:hAnsi="Cambria" w:cs="Times New Roman"/>
          <w:b/>
          <w:bCs/>
          <w:color w:val="000000"/>
          <w:sz w:val="24"/>
          <w:szCs w:val="24"/>
          <w:vertAlign w:val="superscript"/>
        </w:rPr>
        <w:t>1</w:t>
      </w:r>
      <w:r>
        <w:rPr>
          <w:rFonts w:ascii="Cambria" w:eastAsia="Times New Roman" w:hAnsi="Cambria" w:cs="Times New Roman"/>
          <w:b/>
          <w:bCs/>
          <w:color w:val="000000"/>
          <w:sz w:val="24"/>
          <w:szCs w:val="24"/>
        </w:rPr>
        <w:t>, Priska Amalia</w:t>
      </w:r>
      <w:r w:rsidR="00B136FE" w:rsidRPr="008A00D4">
        <w:rPr>
          <w:rFonts w:ascii="Cambria" w:eastAsia="Times New Roman" w:hAnsi="Cambria" w:cs="Times New Roman"/>
          <w:b/>
          <w:bCs/>
          <w:color w:val="000000"/>
          <w:sz w:val="24"/>
          <w:szCs w:val="24"/>
          <w:vertAlign w:val="superscript"/>
        </w:rPr>
        <w:t>2</w:t>
      </w:r>
    </w:p>
    <w:p w14:paraId="38883C5F" w14:textId="729069D1" w:rsidR="00B136FE" w:rsidRPr="008A00D4" w:rsidRDefault="00B136FE" w:rsidP="00B136FE">
      <w:pPr>
        <w:spacing w:after="0" w:line="240" w:lineRule="auto"/>
        <w:jc w:val="center"/>
        <w:rPr>
          <w:rFonts w:ascii="Cambria" w:eastAsia="Times New Roman" w:hAnsi="Cambria" w:cs="Times New Roman"/>
          <w:bCs/>
          <w:color w:val="000000"/>
          <w:sz w:val="20"/>
          <w:szCs w:val="20"/>
        </w:rPr>
      </w:pPr>
      <w:r w:rsidRPr="008A00D4">
        <w:rPr>
          <w:rFonts w:ascii="Cambria" w:eastAsia="Times New Roman" w:hAnsi="Cambria" w:cs="Times New Roman"/>
          <w:bCs/>
          <w:color w:val="000000"/>
          <w:sz w:val="20"/>
          <w:szCs w:val="20"/>
          <w:vertAlign w:val="superscript"/>
        </w:rPr>
        <w:t>1</w:t>
      </w:r>
      <w:r w:rsidR="00A51782">
        <w:rPr>
          <w:rFonts w:ascii="Cambria" w:eastAsia="Times New Roman" w:hAnsi="Cambria" w:cs="Times New Roman"/>
          <w:bCs/>
          <w:color w:val="000000"/>
          <w:sz w:val="20"/>
          <w:szCs w:val="20"/>
        </w:rPr>
        <w:t xml:space="preserve">Politeknik </w:t>
      </w:r>
      <w:proofErr w:type="spellStart"/>
      <w:r w:rsidR="00A51782">
        <w:rPr>
          <w:rFonts w:ascii="Cambria" w:eastAsia="Times New Roman" w:hAnsi="Cambria" w:cs="Times New Roman"/>
          <w:bCs/>
          <w:color w:val="000000"/>
          <w:sz w:val="20"/>
          <w:szCs w:val="20"/>
        </w:rPr>
        <w:t>Keuangan</w:t>
      </w:r>
      <w:proofErr w:type="spellEnd"/>
      <w:r w:rsidR="00A51782">
        <w:rPr>
          <w:rFonts w:ascii="Cambria" w:eastAsia="Times New Roman" w:hAnsi="Cambria" w:cs="Times New Roman"/>
          <w:bCs/>
          <w:color w:val="000000"/>
          <w:sz w:val="20"/>
          <w:szCs w:val="20"/>
        </w:rPr>
        <w:t xml:space="preserve"> Negara STAN</w:t>
      </w:r>
    </w:p>
    <w:p w14:paraId="5D80CFEB" w14:textId="30A3D2FE" w:rsidR="00B136FE" w:rsidRPr="008A00D4" w:rsidRDefault="00A51782" w:rsidP="00B136FE">
      <w:pPr>
        <w:spacing w:after="0" w:line="240" w:lineRule="auto"/>
        <w:jc w:val="center"/>
        <w:rPr>
          <w:rFonts w:ascii="Cambria" w:eastAsia="Times New Roman" w:hAnsi="Cambria" w:cs="Times New Roman"/>
          <w:bCs/>
          <w:color w:val="000000"/>
          <w:sz w:val="20"/>
          <w:szCs w:val="20"/>
        </w:rPr>
      </w:pPr>
      <w:r>
        <w:rPr>
          <w:rFonts w:ascii="Cambria" w:eastAsia="Times New Roman" w:hAnsi="Cambria" w:cs="Times New Roman"/>
          <w:bCs/>
          <w:color w:val="000000"/>
          <w:sz w:val="20"/>
          <w:szCs w:val="20"/>
        </w:rPr>
        <w:t xml:space="preserve">Tangerang Selatan, </w:t>
      </w:r>
      <w:proofErr w:type="spellStart"/>
      <w:r>
        <w:rPr>
          <w:rFonts w:ascii="Cambria" w:eastAsia="Times New Roman" w:hAnsi="Cambria" w:cs="Times New Roman"/>
          <w:bCs/>
          <w:color w:val="000000"/>
          <w:sz w:val="20"/>
          <w:szCs w:val="20"/>
        </w:rPr>
        <w:t>Banten</w:t>
      </w:r>
      <w:proofErr w:type="spellEnd"/>
      <w:r>
        <w:rPr>
          <w:rFonts w:ascii="Cambria" w:eastAsia="Times New Roman" w:hAnsi="Cambria" w:cs="Times New Roman"/>
          <w:bCs/>
          <w:color w:val="000000"/>
          <w:sz w:val="20"/>
          <w:szCs w:val="20"/>
        </w:rPr>
        <w:t>, Indonesia</w:t>
      </w:r>
    </w:p>
    <w:p w14:paraId="31B5482F" w14:textId="73604815" w:rsidR="00B136FE" w:rsidRPr="008A00D4" w:rsidRDefault="00B136FE" w:rsidP="00B136FE">
      <w:pPr>
        <w:spacing w:after="0" w:line="240" w:lineRule="auto"/>
        <w:jc w:val="center"/>
        <w:rPr>
          <w:rFonts w:ascii="Cambria" w:eastAsia="Times New Roman" w:hAnsi="Cambria" w:cs="Times New Roman"/>
          <w:bCs/>
          <w:color w:val="000000"/>
          <w:sz w:val="20"/>
          <w:szCs w:val="20"/>
        </w:rPr>
      </w:pPr>
      <w:r w:rsidRPr="008A00D4">
        <w:rPr>
          <w:rFonts w:ascii="Cambria" w:eastAsia="Times New Roman" w:hAnsi="Cambria" w:cs="Times New Roman"/>
          <w:bCs/>
          <w:color w:val="000000"/>
          <w:sz w:val="20"/>
          <w:szCs w:val="20"/>
          <w:vertAlign w:val="superscript"/>
        </w:rPr>
        <w:t>2</w:t>
      </w:r>
      <w:r w:rsidR="00A51782">
        <w:rPr>
          <w:rFonts w:ascii="Cambria" w:eastAsia="Times New Roman" w:hAnsi="Cambria" w:cs="Times New Roman"/>
          <w:bCs/>
          <w:color w:val="000000"/>
          <w:sz w:val="20"/>
          <w:szCs w:val="20"/>
        </w:rPr>
        <w:t xml:space="preserve">Badan </w:t>
      </w:r>
      <w:proofErr w:type="spellStart"/>
      <w:r w:rsidR="00A51782">
        <w:rPr>
          <w:rFonts w:ascii="Cambria" w:eastAsia="Times New Roman" w:hAnsi="Cambria" w:cs="Times New Roman"/>
          <w:bCs/>
          <w:color w:val="000000"/>
          <w:sz w:val="20"/>
          <w:szCs w:val="20"/>
        </w:rPr>
        <w:t>Kebijakan</w:t>
      </w:r>
      <w:proofErr w:type="spellEnd"/>
      <w:r w:rsidR="00A51782">
        <w:rPr>
          <w:rFonts w:ascii="Cambria" w:eastAsia="Times New Roman" w:hAnsi="Cambria" w:cs="Times New Roman"/>
          <w:bCs/>
          <w:color w:val="000000"/>
          <w:sz w:val="20"/>
          <w:szCs w:val="20"/>
        </w:rPr>
        <w:t xml:space="preserve"> </w:t>
      </w:r>
      <w:proofErr w:type="spellStart"/>
      <w:r w:rsidR="00A51782">
        <w:rPr>
          <w:rFonts w:ascii="Cambria" w:eastAsia="Times New Roman" w:hAnsi="Cambria" w:cs="Times New Roman"/>
          <w:bCs/>
          <w:color w:val="000000"/>
          <w:sz w:val="20"/>
          <w:szCs w:val="20"/>
        </w:rPr>
        <w:t>Fiskal</w:t>
      </w:r>
      <w:proofErr w:type="spellEnd"/>
    </w:p>
    <w:p w14:paraId="129EF670" w14:textId="11F867AC" w:rsidR="00B136FE" w:rsidRPr="008A00D4" w:rsidRDefault="00A51782" w:rsidP="00B136FE">
      <w:pPr>
        <w:spacing w:after="0" w:line="240" w:lineRule="auto"/>
        <w:jc w:val="center"/>
        <w:rPr>
          <w:rFonts w:ascii="Cambria" w:eastAsia="Times New Roman" w:hAnsi="Cambria" w:cs="Times New Roman"/>
          <w:bCs/>
          <w:color w:val="000000"/>
          <w:sz w:val="20"/>
          <w:szCs w:val="20"/>
        </w:rPr>
      </w:pPr>
      <w:proofErr w:type="spellStart"/>
      <w:r>
        <w:rPr>
          <w:rFonts w:ascii="Cambria" w:eastAsia="Times New Roman" w:hAnsi="Cambria" w:cs="Times New Roman"/>
          <w:bCs/>
          <w:color w:val="000000"/>
          <w:sz w:val="20"/>
          <w:szCs w:val="20"/>
        </w:rPr>
        <w:t>Kementerian</w:t>
      </w:r>
      <w:proofErr w:type="spellEnd"/>
      <w:r>
        <w:rPr>
          <w:rFonts w:ascii="Cambria" w:eastAsia="Times New Roman" w:hAnsi="Cambria" w:cs="Times New Roman"/>
          <w:bCs/>
          <w:color w:val="000000"/>
          <w:sz w:val="20"/>
          <w:szCs w:val="20"/>
        </w:rPr>
        <w:t xml:space="preserve"> </w:t>
      </w:r>
      <w:proofErr w:type="spellStart"/>
      <w:r>
        <w:rPr>
          <w:rFonts w:ascii="Cambria" w:eastAsia="Times New Roman" w:hAnsi="Cambria" w:cs="Times New Roman"/>
          <w:bCs/>
          <w:color w:val="000000"/>
          <w:sz w:val="20"/>
          <w:szCs w:val="20"/>
        </w:rPr>
        <w:t>Keuangan</w:t>
      </w:r>
      <w:proofErr w:type="spellEnd"/>
      <w:r>
        <w:rPr>
          <w:rFonts w:ascii="Cambria" w:eastAsia="Times New Roman" w:hAnsi="Cambria" w:cs="Times New Roman"/>
          <w:bCs/>
          <w:color w:val="000000"/>
          <w:sz w:val="20"/>
          <w:szCs w:val="20"/>
        </w:rPr>
        <w:t>, Indonesia</w:t>
      </w:r>
    </w:p>
    <w:p w14:paraId="7760E579" w14:textId="77777777" w:rsidR="00B136FE" w:rsidRPr="008A00D4" w:rsidRDefault="00B136FE" w:rsidP="00B136FE">
      <w:pPr>
        <w:spacing w:after="0" w:line="240" w:lineRule="auto"/>
        <w:rPr>
          <w:rFonts w:ascii="Cambria" w:eastAsia="Times New Roman" w:hAnsi="Cambria"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8A00D4" w14:paraId="2C668CF7" w14:textId="77777777" w:rsidTr="008A00D4">
        <w:trPr>
          <w:trHeight w:val="870"/>
        </w:trPr>
        <w:tc>
          <w:tcPr>
            <w:tcW w:w="2410" w:type="dxa"/>
            <w:shd w:val="clear" w:color="auto" w:fill="auto"/>
          </w:tcPr>
          <w:p w14:paraId="5B505B66" w14:textId="77777777" w:rsidR="00B136FE" w:rsidRPr="008A00D4" w:rsidRDefault="00B136FE" w:rsidP="00B136FE">
            <w:pPr>
              <w:spacing w:after="0" w:line="240" w:lineRule="auto"/>
              <w:rPr>
                <w:rFonts w:ascii="Cambria" w:eastAsia="Calibri" w:hAnsi="Cambria"/>
                <w:b/>
                <w:color w:val="000000"/>
                <w:sz w:val="18"/>
                <w:szCs w:val="18"/>
              </w:rPr>
            </w:pPr>
            <w:r w:rsidRPr="008A00D4">
              <w:rPr>
                <w:rFonts w:ascii="Cambria" w:eastAsia="Calibri" w:hAnsi="Cambria"/>
                <w:b/>
                <w:color w:val="000000"/>
                <w:sz w:val="18"/>
                <w:szCs w:val="18"/>
              </w:rPr>
              <w:t>Article history:</w:t>
            </w:r>
          </w:p>
          <w:p w14:paraId="2F92C399" w14:textId="754344AD" w:rsidR="00B136FE" w:rsidRPr="008A00D4" w:rsidRDefault="00B136FE" w:rsidP="00B136FE">
            <w:pPr>
              <w:spacing w:after="0" w:line="240" w:lineRule="auto"/>
              <w:rPr>
                <w:rFonts w:ascii="Cambria" w:eastAsia="Calibri" w:hAnsi="Cambria"/>
                <w:color w:val="000000"/>
                <w:sz w:val="18"/>
                <w:szCs w:val="18"/>
              </w:rPr>
            </w:pPr>
          </w:p>
        </w:tc>
      </w:tr>
    </w:tbl>
    <w:p w14:paraId="753AA509" w14:textId="77777777" w:rsidR="00B136FE" w:rsidRPr="008A00D4" w:rsidRDefault="00B136FE" w:rsidP="00B136FE">
      <w:pPr>
        <w:pStyle w:val="Ventura-AuthorAddress"/>
        <w:rPr>
          <w:rFonts w:ascii="Cambria" w:hAnsi="Cambria"/>
          <w:i w:val="0"/>
        </w:rPr>
      </w:pPr>
    </w:p>
    <w:p w14:paraId="65DA4B25" w14:textId="77777777" w:rsidR="00B136FE" w:rsidRPr="008A00D4" w:rsidRDefault="00B136FE" w:rsidP="00B136FE">
      <w:pPr>
        <w:spacing w:after="0" w:line="240" w:lineRule="auto"/>
        <w:rPr>
          <w:rFonts w:ascii="Cambria" w:hAnsi="Cambria" w:cs="Arial"/>
          <w:color w:val="FF0000"/>
          <w:sz w:val="20"/>
          <w:szCs w:val="20"/>
        </w:rPr>
      </w:pPr>
      <w:r w:rsidRPr="008A00D4">
        <w:rPr>
          <w:rFonts w:ascii="Cambria" w:hAnsi="Cambria"/>
          <w:noProof/>
          <w:sz w:val="20"/>
          <w:szCs w:val="20"/>
        </w:rPr>
        <w:drawing>
          <wp:inline distT="0" distB="0" distL="0" distR="0" wp14:anchorId="1ECC10C8" wp14:editId="15AC9BD4">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A00D4">
        <w:rPr>
          <w:rFonts w:ascii="Cambria" w:hAnsi="Cambria" w:cs="Arial"/>
          <w:sz w:val="20"/>
          <w:szCs w:val="20"/>
        </w:rPr>
        <w:t xml:space="preserve"> Corresponding Author:</w:t>
      </w:r>
    </w:p>
    <w:p w14:paraId="7CE72C9E" w14:textId="77777777" w:rsidR="00A51782" w:rsidRDefault="00B136FE" w:rsidP="00B136FE">
      <w:pPr>
        <w:spacing w:after="0" w:line="240" w:lineRule="auto"/>
        <w:rPr>
          <w:rFonts w:ascii="Cambria" w:hAnsi="Cambria" w:cs="Arial"/>
          <w:sz w:val="20"/>
          <w:szCs w:val="20"/>
        </w:rPr>
      </w:pPr>
      <w:r w:rsidRPr="008A00D4">
        <w:rPr>
          <w:rFonts w:ascii="Cambria" w:hAnsi="Cambria" w:cs="Arial"/>
          <w:b/>
          <w:sz w:val="20"/>
          <w:szCs w:val="20"/>
        </w:rPr>
        <w:t>Name author</w:t>
      </w:r>
      <w:r w:rsidRPr="008A00D4">
        <w:rPr>
          <w:rFonts w:ascii="Cambria" w:hAnsi="Cambria" w:cs="Arial"/>
          <w:sz w:val="20"/>
          <w:szCs w:val="20"/>
        </w:rPr>
        <w:t xml:space="preserve">: </w:t>
      </w:r>
      <w:r w:rsidR="00A51782">
        <w:rPr>
          <w:rFonts w:ascii="Cambria" w:hAnsi="Cambria" w:cs="Arial"/>
          <w:sz w:val="20"/>
          <w:szCs w:val="20"/>
        </w:rPr>
        <w:t>Agus B</w:t>
      </w:r>
    </w:p>
    <w:p w14:paraId="0281B478" w14:textId="0BEFDB64" w:rsidR="00B136FE" w:rsidRPr="008A00D4" w:rsidRDefault="00B136FE" w:rsidP="00B136FE">
      <w:pPr>
        <w:spacing w:after="0" w:line="240" w:lineRule="auto"/>
        <w:rPr>
          <w:rFonts w:ascii="Cambria" w:hAnsi="Cambria"/>
          <w:sz w:val="20"/>
          <w:szCs w:val="20"/>
          <w:lang w:val="id-ID"/>
        </w:rPr>
      </w:pPr>
      <w:r w:rsidRPr="008A00D4">
        <w:rPr>
          <w:rFonts w:ascii="Cambria" w:hAnsi="Cambria" w:cs="Arial"/>
          <w:sz w:val="20"/>
          <w:szCs w:val="20"/>
        </w:rPr>
        <w:t xml:space="preserve">Tel. </w:t>
      </w:r>
      <w:r w:rsidR="00A51782">
        <w:rPr>
          <w:rFonts w:ascii="Cambria" w:hAnsi="Cambria" w:cs="Arial"/>
          <w:noProof/>
          <w:sz w:val="20"/>
          <w:szCs w:val="20"/>
        </w:rPr>
        <w:t>085767616660</w:t>
      </w:r>
    </w:p>
    <w:p w14:paraId="44F513E5" w14:textId="5E92EAC1" w:rsidR="00B136FE" w:rsidRPr="008A00D4" w:rsidRDefault="00B136FE" w:rsidP="00B136FE">
      <w:pPr>
        <w:spacing w:after="0" w:line="240" w:lineRule="auto"/>
        <w:rPr>
          <w:rFonts w:ascii="Cambria" w:hAnsi="Cambria"/>
          <w:color w:val="000000"/>
          <w:sz w:val="20"/>
          <w:szCs w:val="20"/>
        </w:rPr>
      </w:pPr>
      <w:r w:rsidRPr="008A00D4">
        <w:rPr>
          <w:rFonts w:ascii="Cambria" w:hAnsi="Cambria"/>
          <w:sz w:val="20"/>
          <w:szCs w:val="20"/>
        </w:rPr>
        <w:t xml:space="preserve">E-mail: </w:t>
      </w:r>
      <w:r w:rsidR="00A51782">
        <w:rPr>
          <w:rFonts w:ascii="Cambria" w:hAnsi="Cambria"/>
          <w:noProof/>
          <w:sz w:val="20"/>
          <w:szCs w:val="20"/>
        </w:rPr>
        <w:t>agusbandiyono@pknstan.ac.id</w:t>
      </w:r>
    </w:p>
    <w:p w14:paraId="090909CB" w14:textId="77777777" w:rsidR="00B136FE" w:rsidRPr="008A00D4" w:rsidRDefault="00B136FE" w:rsidP="00B136FE">
      <w:pPr>
        <w:spacing w:after="0" w:line="240" w:lineRule="auto"/>
        <w:rPr>
          <w:rFonts w:ascii="Cambria" w:eastAsia="Times New Roman" w:hAnsi="Cambria" w:cs="Times New Roman"/>
          <w:sz w:val="24"/>
          <w:szCs w:val="24"/>
        </w:rPr>
      </w:pPr>
    </w:p>
    <w:p w14:paraId="3AC973CF" w14:textId="77777777" w:rsidR="00B136FE" w:rsidRPr="008A00D4" w:rsidRDefault="00B136FE" w:rsidP="00B136FE">
      <w:pPr>
        <w:jc w:val="center"/>
        <w:rPr>
          <w:rFonts w:ascii="Cambria" w:hAnsi="Cambria"/>
          <w:b/>
          <w:sz w:val="48"/>
          <w:szCs w:val="48"/>
        </w:rPr>
      </w:pPr>
      <w:r w:rsidRPr="008A00D4">
        <w:rPr>
          <w:rFonts w:ascii="Cambria" w:hAnsi="Cambria"/>
          <w:b/>
        </w:rPr>
        <w:t>Abstract</w:t>
      </w:r>
    </w:p>
    <w:p w14:paraId="5D6C957A" w14:textId="70C88A4F" w:rsidR="00BC083B" w:rsidRPr="00720A04" w:rsidRDefault="000A28A0" w:rsidP="00C17C5D">
      <w:pPr>
        <w:spacing w:after="0" w:line="240" w:lineRule="auto"/>
        <w:jc w:val="both"/>
        <w:rPr>
          <w:rFonts w:ascii="Cambria" w:eastAsia="Times New Roman" w:hAnsi="Cambria" w:cs="Times New Roman"/>
          <w:color w:val="000000"/>
          <w:sz w:val="20"/>
          <w:szCs w:val="20"/>
          <w:shd w:val="clear" w:color="auto" w:fill="FFFFFF"/>
        </w:rPr>
      </w:pPr>
      <w:r w:rsidRPr="000A28A0">
        <w:rPr>
          <w:rFonts w:ascii="Cambria" w:eastAsia="Times New Roman" w:hAnsi="Cambria" w:cs="Times New Roman"/>
          <w:color w:val="000000"/>
          <w:sz w:val="20"/>
          <w:szCs w:val="20"/>
        </w:rPr>
        <w:t>The main objective of the study was to analyze the reaction of the capital market towards ratification of the State Budget (APBN) using the event study method. The population in this study are all listed companies in the LQ45 index on the Indonesia Stock Exchange during the period 2009 to 2018, totaling 101 issuers with a sample of 17 issuers through a purposive sampling technique. The analysis technique is to use paired samples t-test five days before and five days after the ratification of the State Budget (APBN). The results showed that most ratification events did not have a significant difference in the average abnormal return and the average trading volume activity between before and after the event. The absence of significant differences is due to market participants already anticipating the information contained in the event of ratification at the initial stage of its preparation.</w:t>
      </w:r>
      <w:r w:rsidR="00B136FE" w:rsidRPr="00720A04">
        <w:rPr>
          <w:rFonts w:ascii="Cambria" w:eastAsia="Times New Roman" w:hAnsi="Cambria" w:cs="Times New Roman"/>
          <w:color w:val="000000"/>
          <w:sz w:val="20"/>
          <w:szCs w:val="20"/>
          <w:shd w:val="clear" w:color="auto" w:fill="FFFFFF"/>
        </w:rPr>
        <w:t xml:space="preserve"> </w:t>
      </w:r>
    </w:p>
    <w:p w14:paraId="29AF5BE3" w14:textId="77777777" w:rsidR="00BC083B" w:rsidRPr="008A00D4" w:rsidRDefault="00BC083B" w:rsidP="00B136FE">
      <w:pPr>
        <w:spacing w:after="0" w:line="240" w:lineRule="auto"/>
        <w:jc w:val="both"/>
        <w:rPr>
          <w:rFonts w:ascii="Cambria" w:eastAsia="Times New Roman" w:hAnsi="Cambria" w:cs="Times New Roman"/>
          <w:color w:val="000000"/>
          <w:sz w:val="20"/>
          <w:szCs w:val="20"/>
          <w:shd w:val="clear" w:color="auto" w:fill="FFFFFF"/>
        </w:rPr>
      </w:pPr>
    </w:p>
    <w:p w14:paraId="4764E2E4" w14:textId="3455C5BA" w:rsidR="00B136FE" w:rsidRPr="000A28A0" w:rsidRDefault="00B136FE" w:rsidP="000A28A0">
      <w:pPr>
        <w:spacing w:after="0" w:line="240" w:lineRule="auto"/>
        <w:jc w:val="both"/>
        <w:rPr>
          <w:rFonts w:ascii="Cambria" w:eastAsia="Times New Roman" w:hAnsi="Cambria" w:cs="Times New Roman"/>
          <w:color w:val="000000"/>
          <w:sz w:val="20"/>
          <w:szCs w:val="20"/>
        </w:rPr>
      </w:pPr>
      <w:r w:rsidRPr="008A00D4">
        <w:rPr>
          <w:rFonts w:ascii="Cambria" w:eastAsia="Times New Roman" w:hAnsi="Cambria" w:cs="Times New Roman"/>
          <w:b/>
          <w:bCs/>
          <w:color w:val="000000"/>
          <w:sz w:val="20"/>
          <w:szCs w:val="20"/>
        </w:rPr>
        <w:t xml:space="preserve">Keywords: </w:t>
      </w:r>
      <w:r w:rsidR="000A28A0">
        <w:rPr>
          <w:rFonts w:ascii="Cambria" w:eastAsia="Times New Roman" w:hAnsi="Cambria" w:cs="Times New Roman"/>
          <w:color w:val="000000"/>
          <w:sz w:val="20"/>
          <w:szCs w:val="20"/>
        </w:rPr>
        <w:t>APBN; capital market reactions;</w:t>
      </w:r>
      <w:r w:rsidR="000A28A0" w:rsidRPr="000A28A0">
        <w:rPr>
          <w:rFonts w:ascii="Cambria" w:eastAsia="Times New Roman" w:hAnsi="Cambria" w:cs="Times New Roman"/>
          <w:color w:val="000000"/>
          <w:sz w:val="20"/>
          <w:szCs w:val="20"/>
        </w:rPr>
        <w:t xml:space="preserve"> event studies</w:t>
      </w:r>
      <w:r w:rsidR="000A28A0">
        <w:rPr>
          <w:rFonts w:ascii="Cambria" w:eastAsia="Times New Roman" w:hAnsi="Cambria" w:cs="Times New Roman"/>
          <w:color w:val="000000"/>
          <w:sz w:val="20"/>
          <w:szCs w:val="20"/>
        </w:rPr>
        <w:t>; financial a</w:t>
      </w:r>
      <w:r w:rsidR="000A28A0" w:rsidRPr="000A28A0">
        <w:rPr>
          <w:rFonts w:ascii="Cambria" w:eastAsia="Times New Roman" w:hAnsi="Cambria" w:cs="Times New Roman"/>
          <w:color w:val="000000"/>
          <w:sz w:val="20"/>
          <w:szCs w:val="20"/>
        </w:rPr>
        <w:t>ccounting</w:t>
      </w:r>
    </w:p>
    <w:p w14:paraId="04610CFD" w14:textId="77777777" w:rsidR="00B136FE" w:rsidRPr="008A00D4" w:rsidRDefault="00B136FE" w:rsidP="00B136FE">
      <w:pPr>
        <w:spacing w:after="0" w:line="240" w:lineRule="auto"/>
        <w:jc w:val="both"/>
        <w:rPr>
          <w:rFonts w:ascii="Cambria" w:eastAsia="Times New Roman" w:hAnsi="Cambria" w:cs="Times New Roman"/>
          <w:sz w:val="20"/>
          <w:szCs w:val="20"/>
        </w:rPr>
      </w:pPr>
      <w:r w:rsidRPr="008A00D4">
        <w:rPr>
          <w:rFonts w:ascii="Cambria" w:eastAsia="Times New Roman" w:hAnsi="Cambria" w:cs="Times New Roman"/>
          <w:b/>
          <w:bCs/>
          <w:color w:val="000000"/>
          <w:sz w:val="20"/>
          <w:szCs w:val="20"/>
        </w:rPr>
        <w:t xml:space="preserve">JEL Classification: </w:t>
      </w:r>
      <w:r w:rsidRPr="008A00D4">
        <w:rPr>
          <w:rFonts w:ascii="Cambria" w:eastAsia="Times New Roman" w:hAnsi="Cambria" w:cs="Times New Roman"/>
          <w:color w:val="000000"/>
          <w:sz w:val="20"/>
          <w:szCs w:val="20"/>
        </w:rPr>
        <w:t>D13, I31, J22*</w:t>
      </w:r>
    </w:p>
    <w:p w14:paraId="1A3BF651" w14:textId="77777777" w:rsidR="00B136FE" w:rsidRPr="008A00D4" w:rsidRDefault="00B136FE" w:rsidP="00B136FE">
      <w:pPr>
        <w:spacing w:after="0" w:line="240" w:lineRule="auto"/>
        <w:rPr>
          <w:rFonts w:ascii="Cambria" w:eastAsia="Times New Roman" w:hAnsi="Cambria" w:cs="Times New Roman"/>
          <w:sz w:val="24"/>
          <w:szCs w:val="24"/>
        </w:rPr>
      </w:pPr>
    </w:p>
    <w:p w14:paraId="096541F1" w14:textId="77777777" w:rsidR="00B136FE" w:rsidRPr="008A00D4" w:rsidRDefault="004C4E70" w:rsidP="004C4E70">
      <w:pPr>
        <w:pStyle w:val="ListParagraph"/>
        <w:spacing w:after="0" w:line="240" w:lineRule="auto"/>
        <w:ind w:left="142" w:hanging="142"/>
        <w:jc w:val="both"/>
        <w:rPr>
          <w:rFonts w:ascii="Cambria" w:eastAsia="Times New Roman" w:hAnsi="Cambria" w:cs="Arial"/>
          <w:color w:val="C00000"/>
          <w:sz w:val="18"/>
          <w:szCs w:val="18"/>
          <w:shd w:val="clear" w:color="auto" w:fill="FFFFFF"/>
        </w:rPr>
      </w:pPr>
      <w:r w:rsidRPr="008A00D4">
        <w:rPr>
          <w:rFonts w:ascii="Cambria" w:eastAsia="Times New Roman" w:hAnsi="Cambria" w:cs="Arial"/>
          <w:color w:val="C00000"/>
          <w:sz w:val="18"/>
          <w:szCs w:val="18"/>
          <w:shd w:val="clear" w:color="auto" w:fill="FFFFFF"/>
        </w:rPr>
        <w:t xml:space="preserve">* </w:t>
      </w:r>
      <w:r w:rsidR="00B136FE" w:rsidRPr="008A00D4">
        <w:rPr>
          <w:rFonts w:ascii="Cambria" w:eastAsia="Times New Roman" w:hAnsi="Cambria" w:cs="Arial"/>
          <w:color w:val="C00000"/>
          <w:sz w:val="18"/>
          <w:szCs w:val="18"/>
          <w:shd w:val="clear" w:color="auto" w:fill="FFFFFF"/>
        </w:rPr>
        <w:t>Authors should add 1- 3 JEL classification numbers. An information guide for the Journal of Economic Literature</w:t>
      </w:r>
      <w:r w:rsidR="00B136FE" w:rsidRPr="008A00D4">
        <w:rPr>
          <w:rFonts w:ascii="Cambria" w:eastAsia="Times New Roman" w:hAnsi="Cambria" w:cs="Arial"/>
          <w:i/>
          <w:iCs/>
          <w:color w:val="C00000"/>
          <w:sz w:val="18"/>
          <w:szCs w:val="18"/>
          <w:shd w:val="clear" w:color="auto" w:fill="FFFFFF"/>
        </w:rPr>
        <w:t xml:space="preserve"> (</w:t>
      </w:r>
      <w:r w:rsidR="00B136FE" w:rsidRPr="008A00D4">
        <w:rPr>
          <w:rFonts w:ascii="Cambria" w:eastAsia="Times New Roman" w:hAnsi="Cambria" w:cs="Arial"/>
          <w:color w:val="C00000"/>
          <w:sz w:val="18"/>
          <w:szCs w:val="18"/>
          <w:shd w:val="clear" w:color="auto" w:fill="FFFFFF"/>
        </w:rPr>
        <w:t xml:space="preserve">JEL) can </w:t>
      </w:r>
      <w:r w:rsidR="00B136FE" w:rsidRPr="008A00D4">
        <w:rPr>
          <w:rFonts w:ascii="Cambria" w:eastAsia="Times New Roman" w:hAnsi="Cambria" w:cs="Arial"/>
          <w:noProof/>
          <w:color w:val="C00000"/>
          <w:sz w:val="18"/>
          <w:szCs w:val="18"/>
          <w:shd w:val="clear" w:color="auto" w:fill="FFFFFF"/>
        </w:rPr>
        <w:t>be found</w:t>
      </w:r>
      <w:r w:rsidR="00B136FE" w:rsidRPr="008A00D4">
        <w:rPr>
          <w:rFonts w:ascii="Cambria" w:eastAsia="Times New Roman" w:hAnsi="Cambria" w:cs="Arial"/>
          <w:color w:val="C00000"/>
          <w:sz w:val="18"/>
          <w:szCs w:val="18"/>
          <w:shd w:val="clear" w:color="auto" w:fill="FFFFFF"/>
        </w:rPr>
        <w:t xml:space="preserve"> at </w:t>
      </w:r>
      <w:hyperlink r:id="rId6" w:history="1">
        <w:r w:rsidRPr="008A00D4">
          <w:rPr>
            <w:rStyle w:val="Hyperlink"/>
            <w:rFonts w:ascii="Cambria" w:eastAsia="Times New Roman" w:hAnsi="Cambria" w:cs="Arial"/>
            <w:sz w:val="18"/>
            <w:szCs w:val="18"/>
            <w:shd w:val="clear" w:color="auto" w:fill="FFFFFF"/>
          </w:rPr>
          <w:t>https://www.aeaweb.org/jel/guide/jel.php</w:t>
        </w:r>
      </w:hyperlink>
    </w:p>
    <w:p w14:paraId="0C9F7D17" w14:textId="77777777" w:rsidR="004C4E70" w:rsidRPr="008A00D4" w:rsidRDefault="004C4E70" w:rsidP="004C4E70">
      <w:pPr>
        <w:pStyle w:val="ListParagraph"/>
        <w:spacing w:after="0" w:line="240" w:lineRule="auto"/>
        <w:ind w:left="142" w:hanging="142"/>
        <w:jc w:val="both"/>
        <w:rPr>
          <w:rFonts w:ascii="Cambria" w:eastAsia="Times New Roman" w:hAnsi="Cambria" w:cs="Arial"/>
          <w:color w:val="C00000"/>
          <w:sz w:val="24"/>
          <w:szCs w:val="24"/>
        </w:rPr>
      </w:pPr>
    </w:p>
    <w:p w14:paraId="5D8E9A38" w14:textId="77777777" w:rsidR="009D5576" w:rsidRDefault="00B136FE" w:rsidP="00B136FE">
      <w:pPr>
        <w:spacing w:after="0" w:line="240" w:lineRule="auto"/>
        <w:rPr>
          <w:rFonts w:ascii="Times New Roman" w:eastAsia="Times New Roman" w:hAnsi="Times New Roman" w:cs="Times New Roman"/>
          <w:sz w:val="24"/>
          <w:szCs w:val="24"/>
        </w:rPr>
      </w:pPr>
      <w:r w:rsidRPr="003A7ED4">
        <w:rPr>
          <w:rFonts w:ascii="Times New Roman" w:eastAsia="Times New Roman" w:hAnsi="Times New Roman" w:cs="Times New Roman"/>
          <w:sz w:val="24"/>
          <w:szCs w:val="24"/>
        </w:rPr>
        <w:br/>
      </w:r>
      <w:r w:rsidRPr="003A7ED4">
        <w:rPr>
          <w:rFonts w:ascii="Times New Roman" w:eastAsia="Times New Roman" w:hAnsi="Times New Roman" w:cs="Times New Roman"/>
          <w:noProof/>
          <w:sz w:val="24"/>
          <w:szCs w:val="24"/>
        </w:rPr>
        <w:drawing>
          <wp:inline distT="0" distB="0" distL="0" distR="0" wp14:anchorId="19E2DF52" wp14:editId="2F9E1552">
            <wp:extent cx="1659890" cy="307340"/>
            <wp:effectExtent l="0" t="0" r="0" b="0"/>
            <wp:docPr id="1" name="Picture 1" descr="https://docs.google.com/a/unmer.ac.id/drawings/d/sBjpyGcB6ezXzevUNDf-hOg/image?w=174&amp;h=32&amp;rev=1&amp;ac=1&amp;parent=1zCiwVZwlStrxxVb3LpjmOyG-ZmM_NB41IMclXu3ex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unmer.ac.id/drawings/d/sBjpyGcB6ezXzevUNDf-hOg/image?w=174&amp;h=32&amp;rev=1&amp;ac=1&amp;parent=1zCiwVZwlStrxxVb3LpjmOyG-ZmM_NB41IMclXu3ex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307340"/>
                    </a:xfrm>
                    <a:prstGeom prst="rect">
                      <a:avLst/>
                    </a:prstGeom>
                    <a:noFill/>
                    <a:ln>
                      <a:noFill/>
                    </a:ln>
                  </pic:spPr>
                </pic:pic>
              </a:graphicData>
            </a:graphic>
          </wp:inline>
        </w:drawing>
      </w:r>
    </w:p>
    <w:p w14:paraId="42BF3F65" w14:textId="36DB1C18" w:rsidR="00B136FE" w:rsidRPr="003A7ED4" w:rsidRDefault="00B136FE" w:rsidP="00B136FE">
      <w:pPr>
        <w:spacing w:after="0" w:line="240" w:lineRule="auto"/>
        <w:rPr>
          <w:rFonts w:ascii="Times New Roman" w:eastAsia="Times New Roman" w:hAnsi="Times New Roman" w:cs="Times New Roman"/>
          <w:sz w:val="24"/>
          <w:szCs w:val="24"/>
        </w:rPr>
      </w:pPr>
    </w:p>
    <w:p w14:paraId="3DEFD27E" w14:textId="77777777" w:rsidR="009D5576" w:rsidRPr="008A00D4" w:rsidRDefault="009D5576" w:rsidP="003830D1">
      <w:pPr>
        <w:pStyle w:val="ListParagraph"/>
        <w:numPr>
          <w:ilvl w:val="0"/>
          <w:numId w:val="2"/>
        </w:numPr>
        <w:spacing w:after="0" w:line="240" w:lineRule="auto"/>
        <w:ind w:left="567" w:hanging="567"/>
        <w:jc w:val="both"/>
        <w:rPr>
          <w:rFonts w:eastAsia="Times New Roman" w:cstheme="minorHAnsi"/>
          <w:b/>
          <w:color w:val="000000"/>
          <w:sz w:val="24"/>
          <w:szCs w:val="24"/>
          <w:shd w:val="clear" w:color="auto" w:fill="FFFFFF"/>
        </w:rPr>
      </w:pPr>
      <w:r w:rsidRPr="008A00D4">
        <w:rPr>
          <w:rFonts w:eastAsia="Times New Roman" w:cstheme="minorHAnsi"/>
          <w:b/>
          <w:color w:val="000000"/>
          <w:sz w:val="24"/>
          <w:szCs w:val="24"/>
          <w:shd w:val="clear" w:color="auto" w:fill="FFFFFF"/>
        </w:rPr>
        <w:t>Introduction</w:t>
      </w:r>
    </w:p>
    <w:p w14:paraId="346B0C95" w14:textId="77777777" w:rsidR="009D5576" w:rsidRPr="008A00D4" w:rsidRDefault="009D5576" w:rsidP="009D5576">
      <w:pPr>
        <w:spacing w:after="0" w:line="240" w:lineRule="auto"/>
        <w:jc w:val="both"/>
        <w:rPr>
          <w:rFonts w:ascii="Book Antiqua" w:eastAsia="Times New Roman" w:hAnsi="Book Antiqua" w:cs="Times New Roman"/>
          <w:color w:val="000000"/>
          <w:sz w:val="20"/>
          <w:szCs w:val="20"/>
          <w:shd w:val="clear" w:color="auto" w:fill="FFFFFF"/>
        </w:rPr>
      </w:pPr>
    </w:p>
    <w:p w14:paraId="1BE84933"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On 31 October 2018, the government together with the House of Representatives (DPR) approved the State Revenue and Expenditure Budget (APBN) for the 2019 budget year. In the APBN, the government took the big theme "APBN to Encourage Investment and Competitiveness through Development (Investment) Human Resources (HR) ". This theme will be realized through the three main strategies of the State Budget, namely (1) realistic revenue mobilization while maintaining the investment climate, (2) increasing the quality of spending to be more productive and effective by strengthening value for money to support priority programs including education and health, and (3) encourage efficiency and innovation in financing. With these three strategies, the APBN is not only effective as an instrument to achieve inclusive economic growth, but also has the resilience and ability to anticipate and respond appropriately to the dynamics of national and global economic developments at hand.</w:t>
      </w:r>
    </w:p>
    <w:p w14:paraId="394CEB77"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The government budget reflects the estimated future expenses and revenues that will predict the economic and financial situation of the country (Oliveira, 2014). The announcement of the budget may be an event that is eagerly awaited by many parties. Fiscal issues, such as taxes, spending, and fiscal deficits, are important in macroeconomics. Moreover, governments often prefer budget announcements as a mechanism to announce important new policy initiatives and outline some economic policy plans for the next few months. General empirical studies show that capital market activity tends to be heavily influenced by government budgets. The capital market response to the budget is often viewed as a statistical summary of the quality of the budget in order to promote economic improvement (Thomas and Shah, 2002). </w:t>
      </w:r>
    </w:p>
    <w:p w14:paraId="56F20813"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The Indonesian Government Budget hereinafter referred to as the State Revenue and Expenditure Budget (APBN), is often a means of communication for the government to inform its policies to the public. In President </w:t>
      </w:r>
      <w:proofErr w:type="spellStart"/>
      <w:r w:rsidRPr="008C510F">
        <w:rPr>
          <w:rFonts w:ascii="Cambria" w:eastAsia="Times New Roman" w:hAnsi="Cambria" w:cs="Times New Roman"/>
          <w:color w:val="000000"/>
          <w:sz w:val="20"/>
          <w:szCs w:val="20"/>
          <w:shd w:val="clear" w:color="auto" w:fill="FFFFFF"/>
        </w:rPr>
        <w:t>Susilo</w:t>
      </w:r>
      <w:proofErr w:type="spellEnd"/>
      <w:r w:rsidRPr="008C510F">
        <w:rPr>
          <w:rFonts w:ascii="Cambria" w:eastAsia="Times New Roman" w:hAnsi="Cambria" w:cs="Times New Roman"/>
          <w:color w:val="000000"/>
          <w:sz w:val="20"/>
          <w:szCs w:val="20"/>
          <w:shd w:val="clear" w:color="auto" w:fill="FFFFFF"/>
        </w:rPr>
        <w:t xml:space="preserve"> </w:t>
      </w:r>
      <w:proofErr w:type="spellStart"/>
      <w:r w:rsidRPr="008C510F">
        <w:rPr>
          <w:rFonts w:ascii="Cambria" w:eastAsia="Times New Roman" w:hAnsi="Cambria" w:cs="Times New Roman"/>
          <w:color w:val="000000"/>
          <w:sz w:val="20"/>
          <w:szCs w:val="20"/>
          <w:shd w:val="clear" w:color="auto" w:fill="FFFFFF"/>
        </w:rPr>
        <w:t>Bambang</w:t>
      </w:r>
      <w:proofErr w:type="spellEnd"/>
      <w:r w:rsidRPr="008C510F">
        <w:rPr>
          <w:rFonts w:ascii="Cambria" w:eastAsia="Times New Roman" w:hAnsi="Cambria" w:cs="Times New Roman"/>
          <w:color w:val="000000"/>
          <w:sz w:val="20"/>
          <w:szCs w:val="20"/>
          <w:shd w:val="clear" w:color="auto" w:fill="FFFFFF"/>
        </w:rPr>
        <w:t xml:space="preserve"> </w:t>
      </w:r>
      <w:proofErr w:type="spellStart"/>
      <w:r w:rsidRPr="008C510F">
        <w:rPr>
          <w:rFonts w:ascii="Cambria" w:eastAsia="Times New Roman" w:hAnsi="Cambria" w:cs="Times New Roman"/>
          <w:color w:val="000000"/>
          <w:sz w:val="20"/>
          <w:szCs w:val="20"/>
          <w:shd w:val="clear" w:color="auto" w:fill="FFFFFF"/>
        </w:rPr>
        <w:t>Yudhoyono's</w:t>
      </w:r>
      <w:proofErr w:type="spellEnd"/>
      <w:r w:rsidRPr="008C510F">
        <w:rPr>
          <w:rFonts w:ascii="Cambria" w:eastAsia="Times New Roman" w:hAnsi="Cambria" w:cs="Times New Roman"/>
          <w:color w:val="000000"/>
          <w:sz w:val="20"/>
          <w:szCs w:val="20"/>
          <w:shd w:val="clear" w:color="auto" w:fill="FFFFFF"/>
        </w:rPr>
        <w:t xml:space="preserve"> administration for the 2010–2014 period, the 2011 State Budget provided information regarding the gradual reduction of electricity subsidies. Meanwhile, the 2016 State Budget which was passed during the administration of President Joko Widodo provides information related to the health budget allocation policy of five percent in accordance with the mandate of Law Number 36 of 2009. </w:t>
      </w:r>
    </w:p>
    <w:p w14:paraId="1E2CA48F"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Information related to economic budgets and policies conveyed in government budget documents can stimulate or weaken the price of the shares of companies listed on the stock exchange. As a consequence, the reaction of investors on the stock exchange will depend on the impact of budget policy on the industry (</w:t>
      </w:r>
      <w:proofErr w:type="spellStart"/>
      <w:r w:rsidRPr="008C510F">
        <w:rPr>
          <w:rFonts w:ascii="Cambria" w:eastAsia="Times New Roman" w:hAnsi="Cambria" w:cs="Times New Roman"/>
          <w:color w:val="000000"/>
          <w:sz w:val="20"/>
          <w:szCs w:val="20"/>
          <w:shd w:val="clear" w:color="auto" w:fill="FFFFFF"/>
        </w:rPr>
        <w:t>Edirisinghe</w:t>
      </w:r>
      <w:proofErr w:type="spellEnd"/>
      <w:r w:rsidRPr="008C510F">
        <w:rPr>
          <w:rFonts w:ascii="Cambria" w:eastAsia="Times New Roman" w:hAnsi="Cambria" w:cs="Times New Roman"/>
          <w:color w:val="000000"/>
          <w:sz w:val="20"/>
          <w:szCs w:val="20"/>
          <w:shd w:val="clear" w:color="auto" w:fill="FFFFFF"/>
        </w:rPr>
        <w:t xml:space="preserve">, 2017). If the government budget predicts the economy will be good in the next year, the company's revenue and dividend growth forecasts will increase, thus pushing up share prices. Conversely, share prices will </w:t>
      </w:r>
      <w:r w:rsidRPr="008C510F">
        <w:rPr>
          <w:rFonts w:ascii="Cambria" w:eastAsia="Times New Roman" w:hAnsi="Cambria" w:cs="Times New Roman"/>
          <w:color w:val="000000"/>
          <w:sz w:val="20"/>
          <w:szCs w:val="20"/>
          <w:shd w:val="clear" w:color="auto" w:fill="FFFFFF"/>
        </w:rPr>
        <w:lastRenderedPageBreak/>
        <w:t xml:space="preserve">decline if the country's economic forecast for the next year is bad (Oliveira, 2014). This is of course closely related to the signal theory (signaling theory) which explains how signals from information can influence price changes in the capital market. </w:t>
      </w:r>
    </w:p>
    <w:p w14:paraId="31B1CBC1"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The content of information in the capital market is also explained in the efficient market concept popularized by </w:t>
      </w:r>
      <w:proofErr w:type="spellStart"/>
      <w:r w:rsidRPr="008C510F">
        <w:rPr>
          <w:rFonts w:ascii="Cambria" w:eastAsia="Times New Roman" w:hAnsi="Cambria" w:cs="Times New Roman"/>
          <w:color w:val="000000"/>
          <w:sz w:val="20"/>
          <w:szCs w:val="20"/>
          <w:shd w:val="clear" w:color="auto" w:fill="FFFFFF"/>
        </w:rPr>
        <w:t>Fama</w:t>
      </w:r>
      <w:proofErr w:type="spellEnd"/>
      <w:r w:rsidRPr="008C510F">
        <w:rPr>
          <w:rFonts w:ascii="Cambria" w:eastAsia="Times New Roman" w:hAnsi="Cambria" w:cs="Times New Roman"/>
          <w:color w:val="000000"/>
          <w:sz w:val="20"/>
          <w:szCs w:val="20"/>
          <w:shd w:val="clear" w:color="auto" w:fill="FFFFFF"/>
        </w:rPr>
        <w:t xml:space="preserve"> in 1970. In this concept, it is stated that the prices formed in the market are a reflection of existing information. In other words, in an efficient market, the prices of assets and securities quickly and completely reflect the information available on these assets and securities. Based on the semi-strong efficient market hypothesis, the price created in the market is not only a reflection of historical prices but also occurs because of information on the market, including financial reports and other additional information (</w:t>
      </w:r>
      <w:proofErr w:type="spellStart"/>
      <w:r w:rsidRPr="008C510F">
        <w:rPr>
          <w:rFonts w:ascii="Cambria" w:eastAsia="Times New Roman" w:hAnsi="Cambria" w:cs="Times New Roman"/>
          <w:color w:val="000000"/>
          <w:sz w:val="20"/>
          <w:szCs w:val="20"/>
          <w:shd w:val="clear" w:color="auto" w:fill="FFFFFF"/>
        </w:rPr>
        <w:t>Gumanti</w:t>
      </w:r>
      <w:proofErr w:type="spellEnd"/>
      <w:r w:rsidRPr="008C510F">
        <w:rPr>
          <w:rFonts w:ascii="Cambria" w:eastAsia="Times New Roman" w:hAnsi="Cambria" w:cs="Times New Roman"/>
          <w:color w:val="000000"/>
          <w:sz w:val="20"/>
          <w:szCs w:val="20"/>
          <w:shd w:val="clear" w:color="auto" w:fill="FFFFFF"/>
        </w:rPr>
        <w:t xml:space="preserve"> and </w:t>
      </w:r>
      <w:proofErr w:type="spellStart"/>
      <w:r w:rsidRPr="008C510F">
        <w:rPr>
          <w:rFonts w:ascii="Cambria" w:eastAsia="Times New Roman" w:hAnsi="Cambria" w:cs="Times New Roman"/>
          <w:color w:val="000000"/>
          <w:sz w:val="20"/>
          <w:szCs w:val="20"/>
          <w:shd w:val="clear" w:color="auto" w:fill="FFFFFF"/>
        </w:rPr>
        <w:t>Utami</w:t>
      </w:r>
      <w:proofErr w:type="spellEnd"/>
      <w:r w:rsidRPr="008C510F">
        <w:rPr>
          <w:rFonts w:ascii="Cambria" w:eastAsia="Times New Roman" w:hAnsi="Cambria" w:cs="Times New Roman"/>
          <w:color w:val="000000"/>
          <w:sz w:val="20"/>
          <w:szCs w:val="20"/>
          <w:shd w:val="clear" w:color="auto" w:fill="FFFFFF"/>
        </w:rPr>
        <w:t>, 2004).</w:t>
      </w:r>
    </w:p>
    <w:p w14:paraId="0CE281BC"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The market reaction in the efficient market concept can be analyzed through the study of events. An event study is a study that analyzes the abnormal yields that may occur around an event (</w:t>
      </w:r>
      <w:proofErr w:type="spellStart"/>
      <w:r w:rsidRPr="008C510F">
        <w:rPr>
          <w:rFonts w:ascii="Cambria" w:eastAsia="Times New Roman" w:hAnsi="Cambria" w:cs="Times New Roman"/>
          <w:color w:val="000000"/>
          <w:sz w:val="20"/>
          <w:szCs w:val="20"/>
          <w:shd w:val="clear" w:color="auto" w:fill="FFFFFF"/>
        </w:rPr>
        <w:t>Manurung</w:t>
      </w:r>
      <w:proofErr w:type="spellEnd"/>
      <w:r w:rsidRPr="008C510F">
        <w:rPr>
          <w:rFonts w:ascii="Cambria" w:eastAsia="Times New Roman" w:hAnsi="Cambria" w:cs="Times New Roman"/>
          <w:color w:val="000000"/>
          <w:sz w:val="20"/>
          <w:szCs w:val="20"/>
          <w:shd w:val="clear" w:color="auto" w:fill="FFFFFF"/>
        </w:rPr>
        <w:t>, 2005). The event study analyzes the market reaction to an event by testing its information content. If the market reacts when information from an event is received by the market, it can be said that the event contains sufficient information. Market reactions occur if there is a change in the price of the security concerned by measuring the return or abnormal return (</w:t>
      </w:r>
      <w:proofErr w:type="spellStart"/>
      <w:r w:rsidRPr="008C510F">
        <w:rPr>
          <w:rFonts w:ascii="Cambria" w:eastAsia="Times New Roman" w:hAnsi="Cambria" w:cs="Times New Roman"/>
          <w:color w:val="000000"/>
          <w:sz w:val="20"/>
          <w:szCs w:val="20"/>
          <w:shd w:val="clear" w:color="auto" w:fill="FFFFFF"/>
        </w:rPr>
        <w:t>Saraswati</w:t>
      </w:r>
      <w:proofErr w:type="spellEnd"/>
      <w:r w:rsidRPr="008C510F">
        <w:rPr>
          <w:rFonts w:ascii="Cambria" w:eastAsia="Times New Roman" w:hAnsi="Cambria" w:cs="Times New Roman"/>
          <w:color w:val="000000"/>
          <w:sz w:val="20"/>
          <w:szCs w:val="20"/>
          <w:shd w:val="clear" w:color="auto" w:fill="FFFFFF"/>
        </w:rPr>
        <w:t xml:space="preserve"> and </w:t>
      </w:r>
      <w:proofErr w:type="spellStart"/>
      <w:r w:rsidRPr="008C510F">
        <w:rPr>
          <w:rFonts w:ascii="Cambria" w:eastAsia="Times New Roman" w:hAnsi="Cambria" w:cs="Times New Roman"/>
          <w:color w:val="000000"/>
          <w:sz w:val="20"/>
          <w:szCs w:val="20"/>
          <w:shd w:val="clear" w:color="auto" w:fill="FFFFFF"/>
        </w:rPr>
        <w:t>Mustanda</w:t>
      </w:r>
      <w:proofErr w:type="spellEnd"/>
      <w:r w:rsidRPr="008C510F">
        <w:rPr>
          <w:rFonts w:ascii="Cambria" w:eastAsia="Times New Roman" w:hAnsi="Cambria" w:cs="Times New Roman"/>
          <w:color w:val="000000"/>
          <w:sz w:val="20"/>
          <w:szCs w:val="20"/>
          <w:shd w:val="clear" w:color="auto" w:fill="FFFFFF"/>
        </w:rPr>
        <w:t>, 2018).</w:t>
      </w:r>
    </w:p>
    <w:p w14:paraId="6897BBDF"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The information content that is tested is related to conditions or situations that are considered relevant to the share price assessment, whether it is official news or issues. Information that causes reactions in the capital market and affects stock price fluctuations does not only come from information on economic conditions but can also come from non-economic factors such as legal, social events to domestic political turmoil that affect stock price movements on the stock exchange. </w:t>
      </w:r>
      <w:proofErr w:type="gramStart"/>
      <w:r w:rsidRPr="008C510F">
        <w:rPr>
          <w:rFonts w:ascii="Cambria" w:eastAsia="Times New Roman" w:hAnsi="Cambria" w:cs="Times New Roman"/>
          <w:color w:val="000000"/>
          <w:sz w:val="20"/>
          <w:szCs w:val="20"/>
          <w:shd w:val="clear" w:color="auto" w:fill="FFFFFF"/>
        </w:rPr>
        <w:t>effects</w:t>
      </w:r>
      <w:proofErr w:type="gramEnd"/>
      <w:r w:rsidRPr="008C510F">
        <w:rPr>
          <w:rFonts w:ascii="Cambria" w:eastAsia="Times New Roman" w:hAnsi="Cambria" w:cs="Times New Roman"/>
          <w:color w:val="000000"/>
          <w:sz w:val="20"/>
          <w:szCs w:val="20"/>
          <w:shd w:val="clear" w:color="auto" w:fill="FFFFFF"/>
        </w:rPr>
        <w:t xml:space="preserve"> (</w:t>
      </w:r>
      <w:proofErr w:type="spellStart"/>
      <w:r w:rsidRPr="008C510F">
        <w:rPr>
          <w:rFonts w:ascii="Cambria" w:eastAsia="Times New Roman" w:hAnsi="Cambria" w:cs="Times New Roman"/>
          <w:color w:val="000000"/>
          <w:sz w:val="20"/>
          <w:szCs w:val="20"/>
          <w:shd w:val="clear" w:color="auto" w:fill="FFFFFF"/>
        </w:rPr>
        <w:t>Saraswati</w:t>
      </w:r>
      <w:proofErr w:type="spellEnd"/>
      <w:r w:rsidRPr="008C510F">
        <w:rPr>
          <w:rFonts w:ascii="Cambria" w:eastAsia="Times New Roman" w:hAnsi="Cambria" w:cs="Times New Roman"/>
          <w:color w:val="000000"/>
          <w:sz w:val="20"/>
          <w:szCs w:val="20"/>
          <w:shd w:val="clear" w:color="auto" w:fill="FFFFFF"/>
        </w:rPr>
        <w:t xml:space="preserve"> and </w:t>
      </w:r>
      <w:proofErr w:type="spellStart"/>
      <w:r w:rsidRPr="008C510F">
        <w:rPr>
          <w:rFonts w:ascii="Cambria" w:eastAsia="Times New Roman" w:hAnsi="Cambria" w:cs="Times New Roman"/>
          <w:color w:val="000000"/>
          <w:sz w:val="20"/>
          <w:szCs w:val="20"/>
          <w:shd w:val="clear" w:color="auto" w:fill="FFFFFF"/>
        </w:rPr>
        <w:t>Mustanda</w:t>
      </w:r>
      <w:proofErr w:type="spellEnd"/>
      <w:r w:rsidRPr="008C510F">
        <w:rPr>
          <w:rFonts w:ascii="Cambria" w:eastAsia="Times New Roman" w:hAnsi="Cambria" w:cs="Times New Roman"/>
          <w:color w:val="000000"/>
          <w:sz w:val="20"/>
          <w:szCs w:val="20"/>
          <w:shd w:val="clear" w:color="auto" w:fill="FFFFFF"/>
        </w:rPr>
        <w:t>, 2018).</w:t>
      </w:r>
    </w:p>
    <w:p w14:paraId="200F4B28"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Not only do capital market investors need to pay close attention to stock price movements due to the effects of an event, but the government also needs to carry out deeper monitoring in accordance with government functions CQ. The Ministry of Finance is described in the Minister of Finance Regulation Number 212 / PMK.01 / 2017 concerning Amendments to the Minister of Finance Regulation Number 234 / PMK.01 / 2015 concerning the Organization and Work Procedures of the Ministry of Finance. Article 5 of the regulation states that one of the functions of the Ministry of Finance is to formulate, determine, and provide recommendations for fiscal and financial sector policies. Furthermore, Law Number 9 of 2016 concerning Financial System Crisis Prevention and Management states that the Minister of Finance acts as a coordinator and concurrently a member of the Financial System Stability Committee (KSSK). KSSK itself has the task of preventing and resolving financial system crises which include coordinating monitoring and maintaining financial system stability, handling financial system crises, and handling systemic bank problems.</w:t>
      </w:r>
    </w:p>
    <w:p w14:paraId="503FFD6E" w14:textId="20C0147D"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This research was conducted to examine the effect of ratification of the State Budget and Revenue and Expenditure (APBN) on the Indonesian capital market by looking at the abnormal return and trading volume activity before and after the event occurred. The scope </w:t>
      </w:r>
      <w:r>
        <w:rPr>
          <w:rFonts w:ascii="Cambria" w:eastAsia="Times New Roman" w:hAnsi="Cambria" w:cs="Times New Roman"/>
          <w:color w:val="000000"/>
          <w:sz w:val="20"/>
          <w:szCs w:val="20"/>
          <w:shd w:val="clear" w:color="auto" w:fill="FFFFFF"/>
        </w:rPr>
        <w:t xml:space="preserve">of this research is limited to: The </w:t>
      </w:r>
      <w:r w:rsidRPr="008C510F">
        <w:rPr>
          <w:rFonts w:ascii="Cambria" w:eastAsia="Times New Roman" w:hAnsi="Cambria" w:cs="Times New Roman"/>
          <w:color w:val="000000"/>
          <w:sz w:val="20"/>
          <w:szCs w:val="20"/>
          <w:shd w:val="clear" w:color="auto" w:fill="FFFFFF"/>
        </w:rPr>
        <w:t>listed companies are listed on the Indonesia Stock Exchange and are included in the LQ45 index for the period February 2009 to January 2019. The LQ45 index is used as a sample because it has high liquidity so that investors react to the information presented. appears to be directly reflected in the price of these shares; The</w:t>
      </w:r>
      <w:r w:rsidRPr="008C510F">
        <w:rPr>
          <w:rFonts w:ascii="Cambria" w:eastAsia="Times New Roman" w:hAnsi="Cambria" w:cs="Times New Roman"/>
          <w:color w:val="000000"/>
          <w:sz w:val="20"/>
          <w:szCs w:val="20"/>
          <w:shd w:val="clear" w:color="auto" w:fill="FFFFFF"/>
        </w:rPr>
        <w:tab/>
        <w:t>events for ratifying the State Revenue and Expenditure Budget (APBN) to be examined are the ratification of the State Budget for the 2010-2019 fiscal year; and</w:t>
      </w:r>
      <w:r>
        <w:rPr>
          <w:rFonts w:ascii="Cambria" w:eastAsia="Times New Roman" w:hAnsi="Cambria" w:cs="Times New Roman"/>
          <w:color w:val="000000"/>
          <w:sz w:val="20"/>
          <w:szCs w:val="20"/>
          <w:shd w:val="clear" w:color="auto" w:fill="FFFFFF"/>
        </w:rPr>
        <w:t xml:space="preserve"> </w:t>
      </w:r>
      <w:r w:rsidRPr="008C510F">
        <w:rPr>
          <w:rFonts w:ascii="Cambria" w:eastAsia="Times New Roman" w:hAnsi="Cambria" w:cs="Times New Roman"/>
          <w:color w:val="000000"/>
          <w:sz w:val="20"/>
          <w:szCs w:val="20"/>
          <w:shd w:val="clear" w:color="auto" w:fill="FFFFFF"/>
        </w:rPr>
        <w:t>The observation period is carried out for 41 trading days which are divided into two periods, namely a 30 day estimation period and an 11 day window period (event window/event period). The estimation period is carried out on h-30 to h-6 events, while the window period is carried out on h-5 to h + 5 events.</w:t>
      </w:r>
    </w:p>
    <w:p w14:paraId="27C72287" w14:textId="168374D1" w:rsidR="00B136FE" w:rsidRPr="008A00D4"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The objectives to be achieved fro</w:t>
      </w:r>
      <w:r>
        <w:rPr>
          <w:rFonts w:ascii="Cambria" w:eastAsia="Times New Roman" w:hAnsi="Cambria" w:cs="Times New Roman"/>
          <w:color w:val="000000"/>
          <w:sz w:val="20"/>
          <w:szCs w:val="20"/>
          <w:shd w:val="clear" w:color="auto" w:fill="FFFFFF"/>
        </w:rPr>
        <w:t xml:space="preserve">m this research are as follows: </w:t>
      </w:r>
      <w:r w:rsidRPr="008C510F">
        <w:rPr>
          <w:rFonts w:ascii="Cambria" w:eastAsia="Times New Roman" w:hAnsi="Cambria" w:cs="Times New Roman"/>
          <w:color w:val="000000"/>
          <w:sz w:val="20"/>
          <w:szCs w:val="20"/>
          <w:shd w:val="clear" w:color="auto" w:fill="FFFFFF"/>
        </w:rPr>
        <w:t xml:space="preserve"> To</w:t>
      </w:r>
      <w:r w:rsidRPr="008C510F">
        <w:rPr>
          <w:rFonts w:ascii="Cambria" w:eastAsia="Times New Roman" w:hAnsi="Cambria" w:cs="Times New Roman"/>
          <w:color w:val="000000"/>
          <w:sz w:val="20"/>
          <w:szCs w:val="20"/>
          <w:shd w:val="clear" w:color="auto" w:fill="FFFFFF"/>
        </w:rPr>
        <w:tab/>
        <w:t>examine any abnormal returns surrounding the ratification of the State Revenu</w:t>
      </w:r>
      <w:r>
        <w:rPr>
          <w:rFonts w:ascii="Cambria" w:eastAsia="Times New Roman" w:hAnsi="Cambria" w:cs="Times New Roman"/>
          <w:color w:val="000000"/>
          <w:sz w:val="20"/>
          <w:szCs w:val="20"/>
          <w:shd w:val="clear" w:color="auto" w:fill="FFFFFF"/>
        </w:rPr>
        <w:t xml:space="preserve">e and Expenditure Budget (APBN); </w:t>
      </w:r>
      <w:r w:rsidRPr="008C510F">
        <w:rPr>
          <w:rFonts w:ascii="Cambria" w:eastAsia="Times New Roman" w:hAnsi="Cambria" w:cs="Times New Roman"/>
          <w:color w:val="000000"/>
          <w:sz w:val="20"/>
          <w:szCs w:val="20"/>
          <w:shd w:val="clear" w:color="auto" w:fill="FFFFFF"/>
        </w:rPr>
        <w:t>Analyze whether there is a market reaction as seen from the abnormal return before and after the event of the ratification of the State Revenu</w:t>
      </w:r>
      <w:r>
        <w:rPr>
          <w:rFonts w:ascii="Cambria" w:eastAsia="Times New Roman" w:hAnsi="Cambria" w:cs="Times New Roman"/>
          <w:color w:val="000000"/>
          <w:sz w:val="20"/>
          <w:szCs w:val="20"/>
          <w:shd w:val="clear" w:color="auto" w:fill="FFFFFF"/>
        </w:rPr>
        <w:t xml:space="preserve">e and Expenditure Budget (APBN); </w:t>
      </w:r>
      <w:r w:rsidRPr="008C510F">
        <w:rPr>
          <w:rFonts w:ascii="Cambria" w:eastAsia="Times New Roman" w:hAnsi="Cambria" w:cs="Times New Roman"/>
          <w:color w:val="000000"/>
          <w:sz w:val="20"/>
          <w:szCs w:val="20"/>
          <w:shd w:val="clear" w:color="auto" w:fill="FFFFFF"/>
        </w:rPr>
        <w:t>Analyze whether there is a market reaction seen from the trading volume activity before and after the event of the ratification of the State Budget (APBN).</w:t>
      </w:r>
    </w:p>
    <w:p w14:paraId="1D844C31" w14:textId="77777777" w:rsidR="004C4E70" w:rsidRPr="00D617A0" w:rsidRDefault="004C4E70" w:rsidP="00B136FE">
      <w:pPr>
        <w:spacing w:after="0" w:line="240" w:lineRule="auto"/>
        <w:ind w:firstLine="567"/>
        <w:jc w:val="both"/>
        <w:rPr>
          <w:rFonts w:ascii="Trebuchet MS" w:eastAsia="Times New Roman" w:hAnsi="Trebuchet MS" w:cs="Times New Roman"/>
          <w:color w:val="000000"/>
          <w:sz w:val="20"/>
          <w:szCs w:val="20"/>
          <w:shd w:val="clear" w:color="auto" w:fill="FFFFFF"/>
        </w:rPr>
      </w:pPr>
    </w:p>
    <w:p w14:paraId="776BC1A6" w14:textId="77777777" w:rsidR="004C4E70" w:rsidRPr="00B136FE" w:rsidRDefault="004C4E70" w:rsidP="00B136FE">
      <w:pPr>
        <w:spacing w:after="0" w:line="240" w:lineRule="auto"/>
        <w:ind w:firstLine="567"/>
        <w:jc w:val="both"/>
        <w:rPr>
          <w:rFonts w:ascii="Book Antiqua" w:eastAsia="Times New Roman" w:hAnsi="Book Antiqua" w:cs="Times New Roman"/>
          <w:sz w:val="24"/>
          <w:szCs w:val="24"/>
        </w:rPr>
      </w:pPr>
    </w:p>
    <w:p w14:paraId="7BF0F2F0" w14:textId="77777777" w:rsidR="00B136FE" w:rsidRPr="008A00D4" w:rsidRDefault="009D5576" w:rsidP="003830D1">
      <w:pPr>
        <w:pStyle w:val="ListParagraph"/>
        <w:numPr>
          <w:ilvl w:val="0"/>
          <w:numId w:val="2"/>
        </w:numPr>
        <w:ind w:left="567" w:hanging="567"/>
        <w:rPr>
          <w:rFonts w:cstheme="minorHAnsi"/>
          <w:b/>
          <w:sz w:val="24"/>
          <w:szCs w:val="24"/>
        </w:rPr>
      </w:pPr>
      <w:r w:rsidRPr="008A00D4">
        <w:rPr>
          <w:rFonts w:cstheme="minorHAnsi"/>
          <w:b/>
          <w:sz w:val="24"/>
          <w:szCs w:val="24"/>
        </w:rPr>
        <w:t>Hypotheses Development</w:t>
      </w:r>
    </w:p>
    <w:p w14:paraId="6F1A0737" w14:textId="3363DE82"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Signaling Theory</w:t>
      </w:r>
    </w:p>
    <w:p w14:paraId="5493AF55"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Information is needed by market players because it can provide an overview of the state of a market, both in the past and in the future. Complete, accurate, and timely information can help market participants make an investment decision. Basically, information can provide a signal, both positive and negative, through the market reaction to that information. Information is closely related to signal theory (signaling theory). The signaling theory was developed to help explain how decision-makers interpret and respond to incomplete and asymmetrical distributed information in a transaction (Spence, 1973). Signaling theory provides a basis for predicting the reaction of the capital market to information or events that occur.</w:t>
      </w:r>
    </w:p>
    <w:p w14:paraId="40BA2E83" w14:textId="06A0D1FF"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Market Efficiency Concept</w:t>
      </w:r>
    </w:p>
    <w:p w14:paraId="62AE9F58" w14:textId="4734BCB0"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proofErr w:type="spellStart"/>
      <w:r w:rsidRPr="008C510F">
        <w:rPr>
          <w:rFonts w:ascii="Cambria" w:eastAsia="Times New Roman" w:hAnsi="Cambria" w:cs="Times New Roman"/>
          <w:color w:val="000000"/>
          <w:sz w:val="20"/>
          <w:szCs w:val="20"/>
          <w:shd w:val="clear" w:color="auto" w:fill="FFFFFF"/>
        </w:rPr>
        <w:t>Fama</w:t>
      </w:r>
      <w:proofErr w:type="spellEnd"/>
      <w:r w:rsidRPr="008C510F">
        <w:rPr>
          <w:rFonts w:ascii="Cambria" w:eastAsia="Times New Roman" w:hAnsi="Cambria" w:cs="Times New Roman"/>
          <w:color w:val="000000"/>
          <w:sz w:val="20"/>
          <w:szCs w:val="20"/>
          <w:shd w:val="clear" w:color="auto" w:fill="FFFFFF"/>
        </w:rPr>
        <w:t xml:space="preserve"> (1970) coined the term efficient market as a market that adjusts quickly to the presence of new information. Furthermore, an efficient market is a market in which all prices in that market reflect the available information based on the assumption that there are no transaction costs in securities trading, information is available at no cost to all market participants, and there is agreement on the implications of current information on prices. </w:t>
      </w:r>
      <w:proofErr w:type="gramStart"/>
      <w:r w:rsidRPr="008C510F">
        <w:rPr>
          <w:rFonts w:ascii="Cambria" w:eastAsia="Times New Roman" w:hAnsi="Cambria" w:cs="Times New Roman"/>
          <w:color w:val="000000"/>
          <w:sz w:val="20"/>
          <w:szCs w:val="20"/>
          <w:shd w:val="clear" w:color="auto" w:fill="FFFFFF"/>
        </w:rPr>
        <w:t>current</w:t>
      </w:r>
      <w:proofErr w:type="gramEnd"/>
      <w:r>
        <w:rPr>
          <w:rFonts w:ascii="Cambria" w:eastAsia="Times New Roman" w:hAnsi="Cambria" w:cs="Times New Roman"/>
          <w:color w:val="000000"/>
          <w:sz w:val="20"/>
          <w:szCs w:val="20"/>
          <w:shd w:val="clear" w:color="auto" w:fill="FFFFFF"/>
        </w:rPr>
        <w:t xml:space="preserve"> and future price distribution.</w:t>
      </w:r>
    </w:p>
    <w:p w14:paraId="6023D92B" w14:textId="5BEB5448"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Capital Market</w:t>
      </w:r>
    </w:p>
    <w:p w14:paraId="5A4F3D88"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In-Law Number 8 of 1995 concerning Capital Market, it is stated that the capital market is an activity related to public offerings and securities trading, public companies related to the securities they issue, as well as institutions and professions related to securities. </w:t>
      </w:r>
      <w:proofErr w:type="spellStart"/>
      <w:r w:rsidRPr="008C510F">
        <w:rPr>
          <w:rFonts w:ascii="Cambria" w:eastAsia="Times New Roman" w:hAnsi="Cambria" w:cs="Times New Roman"/>
          <w:color w:val="000000"/>
          <w:sz w:val="20"/>
          <w:szCs w:val="20"/>
          <w:shd w:val="clear" w:color="auto" w:fill="FFFFFF"/>
        </w:rPr>
        <w:t>Jogiyanto</w:t>
      </w:r>
      <w:proofErr w:type="spellEnd"/>
      <w:r w:rsidRPr="008C510F">
        <w:rPr>
          <w:rFonts w:ascii="Cambria" w:eastAsia="Times New Roman" w:hAnsi="Cambria" w:cs="Times New Roman"/>
          <w:color w:val="000000"/>
          <w:sz w:val="20"/>
          <w:szCs w:val="20"/>
          <w:shd w:val="clear" w:color="auto" w:fill="FFFFFF"/>
        </w:rPr>
        <w:t xml:space="preserve"> (2017: 29) states that the capital market is a company means to increase long-term funding needs. In order to attract buyers and sellers to participate, the capital market must be liquid and efficient. A capital market is said to be liquid if sellers can sell and buyers can buy securities quickly. The capital market is said to be efficient if the prices of these securities reflect the firm's value accurately.</w:t>
      </w:r>
    </w:p>
    <w:p w14:paraId="2CF86E5D" w14:textId="6B8F9556"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Concept of Event Study</w:t>
      </w:r>
    </w:p>
    <w:p w14:paraId="51AEA519"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lastRenderedPageBreak/>
        <w:t>Event study measures the relationship of events that affect securities and returns from these securities (</w:t>
      </w:r>
      <w:proofErr w:type="spellStart"/>
      <w:r w:rsidRPr="008C510F">
        <w:rPr>
          <w:rFonts w:ascii="Cambria" w:eastAsia="Times New Roman" w:hAnsi="Cambria" w:cs="Times New Roman"/>
          <w:color w:val="000000"/>
          <w:sz w:val="20"/>
          <w:szCs w:val="20"/>
          <w:shd w:val="clear" w:color="auto" w:fill="FFFFFF"/>
        </w:rPr>
        <w:t>Kritzman</w:t>
      </w:r>
      <w:proofErr w:type="spellEnd"/>
      <w:r w:rsidRPr="008C510F">
        <w:rPr>
          <w:rFonts w:ascii="Cambria" w:eastAsia="Times New Roman" w:hAnsi="Cambria" w:cs="Times New Roman"/>
          <w:color w:val="000000"/>
          <w:sz w:val="20"/>
          <w:szCs w:val="20"/>
          <w:shd w:val="clear" w:color="auto" w:fill="FFFFFF"/>
        </w:rPr>
        <w:t xml:space="preserve">, 1994). This study is often used to test the efficient market hypothesis. Meanwhile, </w:t>
      </w:r>
      <w:proofErr w:type="spellStart"/>
      <w:r w:rsidRPr="008C510F">
        <w:rPr>
          <w:rFonts w:ascii="Cambria" w:eastAsia="Times New Roman" w:hAnsi="Cambria" w:cs="Times New Roman"/>
          <w:color w:val="000000"/>
          <w:sz w:val="20"/>
          <w:szCs w:val="20"/>
          <w:shd w:val="clear" w:color="auto" w:fill="FFFFFF"/>
        </w:rPr>
        <w:t>MacKinlay</w:t>
      </w:r>
      <w:proofErr w:type="spellEnd"/>
      <w:r w:rsidRPr="008C510F">
        <w:rPr>
          <w:rFonts w:ascii="Cambria" w:eastAsia="Times New Roman" w:hAnsi="Cambria" w:cs="Times New Roman"/>
          <w:color w:val="000000"/>
          <w:sz w:val="20"/>
          <w:szCs w:val="20"/>
          <w:shd w:val="clear" w:color="auto" w:fill="FFFFFF"/>
        </w:rPr>
        <w:t xml:space="preserve"> (1997) states that event studies measure the impact of certain events on firm value by using financial market data. </w:t>
      </w:r>
      <w:proofErr w:type="spellStart"/>
      <w:r w:rsidRPr="008C510F">
        <w:rPr>
          <w:rFonts w:ascii="Cambria" w:eastAsia="Times New Roman" w:hAnsi="Cambria" w:cs="Times New Roman"/>
          <w:color w:val="000000"/>
          <w:sz w:val="20"/>
          <w:szCs w:val="20"/>
          <w:shd w:val="clear" w:color="auto" w:fill="FFFFFF"/>
        </w:rPr>
        <w:t>Manurung</w:t>
      </w:r>
      <w:proofErr w:type="spellEnd"/>
      <w:r w:rsidRPr="008C510F">
        <w:rPr>
          <w:rFonts w:ascii="Cambria" w:eastAsia="Times New Roman" w:hAnsi="Cambria" w:cs="Times New Roman"/>
          <w:color w:val="000000"/>
          <w:sz w:val="20"/>
          <w:szCs w:val="20"/>
          <w:shd w:val="clear" w:color="auto" w:fill="FFFFFF"/>
        </w:rPr>
        <w:t xml:space="preserve"> (2005) defines an event study as an event study that analyzes the abnormal yields that may occur around an event.</w:t>
      </w:r>
    </w:p>
    <w:p w14:paraId="34009C94" w14:textId="3C51BBBE"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State Revenue and Expenditure Budget (APBN)</w:t>
      </w:r>
    </w:p>
    <w:p w14:paraId="1683B435"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Law Number 17 of 2003 concerning State Finance defines the State Revenue and Expenditure Budget (APBN) as the annual financial plan of the state government approved by the House of Representatives (DPR). The APBN is prepared based on the government's work plan as well as the macroeconomic framework and the principles of fiscal policy as discussed and mutually agreed upon, both in preliminary talks and in the first-level talks between the government and the House of Representatives.</w:t>
      </w:r>
    </w:p>
    <w:p w14:paraId="55A511F2" w14:textId="7B2305EF"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Return</w:t>
      </w:r>
    </w:p>
    <w:p w14:paraId="38AE4FB3"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Return is the result obtained from an investment. Returns can be in the form of realized returns that have occurred or expected returns that have not occurred but are expected to occur in the future. Realized return is calculated using historical data and is an important performance measurement tool for the company. Realized return is also useful as a basis for determining future risk and expected returns. (</w:t>
      </w:r>
      <w:proofErr w:type="spellStart"/>
      <w:r w:rsidRPr="008C510F">
        <w:rPr>
          <w:rFonts w:ascii="Cambria" w:eastAsia="Times New Roman" w:hAnsi="Cambria" w:cs="Times New Roman"/>
          <w:color w:val="000000"/>
          <w:sz w:val="20"/>
          <w:szCs w:val="20"/>
          <w:shd w:val="clear" w:color="auto" w:fill="FFFFFF"/>
        </w:rPr>
        <w:t>Jogiyanto</w:t>
      </w:r>
      <w:proofErr w:type="spellEnd"/>
      <w:r w:rsidRPr="008C510F">
        <w:rPr>
          <w:rFonts w:ascii="Cambria" w:eastAsia="Times New Roman" w:hAnsi="Cambria" w:cs="Times New Roman"/>
          <w:color w:val="000000"/>
          <w:sz w:val="20"/>
          <w:szCs w:val="20"/>
          <w:shd w:val="clear" w:color="auto" w:fill="FFFFFF"/>
        </w:rPr>
        <w:t>, 2017: 283). Meanwhile, the expected return is the return expected by investors in the future on the investment made. This return is used for investment decision making (</w:t>
      </w:r>
      <w:proofErr w:type="spellStart"/>
      <w:r w:rsidRPr="008C510F">
        <w:rPr>
          <w:rFonts w:ascii="Cambria" w:eastAsia="Times New Roman" w:hAnsi="Cambria" w:cs="Times New Roman"/>
          <w:color w:val="000000"/>
          <w:sz w:val="20"/>
          <w:szCs w:val="20"/>
          <w:shd w:val="clear" w:color="auto" w:fill="FFFFFF"/>
        </w:rPr>
        <w:t>Jogiyanto</w:t>
      </w:r>
      <w:proofErr w:type="spellEnd"/>
      <w:r w:rsidRPr="008C510F">
        <w:rPr>
          <w:rFonts w:ascii="Cambria" w:eastAsia="Times New Roman" w:hAnsi="Cambria" w:cs="Times New Roman"/>
          <w:color w:val="000000"/>
          <w:sz w:val="20"/>
          <w:szCs w:val="20"/>
          <w:shd w:val="clear" w:color="auto" w:fill="FFFFFF"/>
        </w:rPr>
        <w:t>, 2017: 300).</w:t>
      </w:r>
    </w:p>
    <w:p w14:paraId="12345741" w14:textId="0058509D"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Abnormal Return</w:t>
      </w:r>
    </w:p>
    <w:p w14:paraId="7D040830"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Event study analyzes the abnormal return of securities that may occur around the announcement of an event. </w:t>
      </w:r>
      <w:proofErr w:type="spellStart"/>
      <w:r w:rsidRPr="008C510F">
        <w:rPr>
          <w:rFonts w:ascii="Cambria" w:eastAsia="Times New Roman" w:hAnsi="Cambria" w:cs="Times New Roman"/>
          <w:color w:val="000000"/>
          <w:sz w:val="20"/>
          <w:szCs w:val="20"/>
          <w:shd w:val="clear" w:color="auto" w:fill="FFFFFF"/>
        </w:rPr>
        <w:t>Jogiyanto</w:t>
      </w:r>
      <w:proofErr w:type="spellEnd"/>
      <w:r w:rsidRPr="008C510F">
        <w:rPr>
          <w:rFonts w:ascii="Cambria" w:eastAsia="Times New Roman" w:hAnsi="Cambria" w:cs="Times New Roman"/>
          <w:color w:val="000000"/>
          <w:sz w:val="20"/>
          <w:szCs w:val="20"/>
          <w:shd w:val="clear" w:color="auto" w:fill="FFFFFF"/>
        </w:rPr>
        <w:t xml:space="preserve"> (2017: 667) defines abnormal return as the excess of the return that actually occurs against the expected return (normal return). Brown and Warner (1985) estimate expected returns using three estimation models. The three models, namely the mean-adjusted model, market model, and market-adjusted model.</w:t>
      </w:r>
    </w:p>
    <w:p w14:paraId="1EBB26C1" w14:textId="57195A78"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Trading Volume Activity</w:t>
      </w:r>
    </w:p>
    <w:p w14:paraId="0CCA83C5"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Stock trading volume is an indicator of market reaction to an announcement. Trading Volume Activity (TVA) is an instrument that can be used to see the capital market's reaction to information through the stock trading volume parameter. The calculation of TVA is carried out by comparing the number of shares of a company that are traded in a certain period with the total number of outstanding shares of the company during the same period (</w:t>
      </w:r>
      <w:proofErr w:type="spellStart"/>
      <w:r w:rsidRPr="008C510F">
        <w:rPr>
          <w:rFonts w:ascii="Cambria" w:eastAsia="Times New Roman" w:hAnsi="Cambria" w:cs="Times New Roman"/>
          <w:color w:val="000000"/>
          <w:sz w:val="20"/>
          <w:szCs w:val="20"/>
          <w:shd w:val="clear" w:color="auto" w:fill="FFFFFF"/>
        </w:rPr>
        <w:t>Suryawijaya</w:t>
      </w:r>
      <w:proofErr w:type="spellEnd"/>
      <w:r w:rsidRPr="008C510F">
        <w:rPr>
          <w:rFonts w:ascii="Cambria" w:eastAsia="Times New Roman" w:hAnsi="Cambria" w:cs="Times New Roman"/>
          <w:color w:val="000000"/>
          <w:sz w:val="20"/>
          <w:szCs w:val="20"/>
          <w:shd w:val="clear" w:color="auto" w:fill="FFFFFF"/>
        </w:rPr>
        <w:t xml:space="preserve"> and </w:t>
      </w:r>
      <w:proofErr w:type="spellStart"/>
      <w:r w:rsidRPr="008C510F">
        <w:rPr>
          <w:rFonts w:ascii="Cambria" w:eastAsia="Times New Roman" w:hAnsi="Cambria" w:cs="Times New Roman"/>
          <w:color w:val="000000"/>
          <w:sz w:val="20"/>
          <w:szCs w:val="20"/>
          <w:shd w:val="clear" w:color="auto" w:fill="FFFFFF"/>
        </w:rPr>
        <w:t>Setiawan</w:t>
      </w:r>
      <w:proofErr w:type="spellEnd"/>
      <w:r w:rsidRPr="008C510F">
        <w:rPr>
          <w:rFonts w:ascii="Cambria" w:eastAsia="Times New Roman" w:hAnsi="Cambria" w:cs="Times New Roman"/>
          <w:color w:val="000000"/>
          <w:sz w:val="20"/>
          <w:szCs w:val="20"/>
          <w:shd w:val="clear" w:color="auto" w:fill="FFFFFF"/>
        </w:rPr>
        <w:t>, 1998).</w:t>
      </w:r>
    </w:p>
    <w:p w14:paraId="502DE53F"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Several researchers have conducted research related to the reaction of the capital market to the approval of the government budget through an event study analysis. In a study conducted by Oliveira (2014), observations were made on the effect of publication, approval, and action in the government budget on the performance of the capital market in Portugal. The samples taken in this study were 46 companies listed in the PSI 20 index in the observation period from 1998 to 2013. Using OLS regression, the results obtained are that there is a significant return in the observation period H-10 to H + 10. </w:t>
      </w:r>
      <w:proofErr w:type="gramStart"/>
      <w:r w:rsidRPr="008C510F">
        <w:rPr>
          <w:rFonts w:ascii="Cambria" w:eastAsia="Times New Roman" w:hAnsi="Cambria" w:cs="Times New Roman"/>
          <w:color w:val="000000"/>
          <w:sz w:val="20"/>
          <w:szCs w:val="20"/>
          <w:shd w:val="clear" w:color="auto" w:fill="FFFFFF"/>
        </w:rPr>
        <w:t>that</w:t>
      </w:r>
      <w:proofErr w:type="gramEnd"/>
      <w:r w:rsidRPr="008C510F">
        <w:rPr>
          <w:rFonts w:ascii="Cambria" w:eastAsia="Times New Roman" w:hAnsi="Cambria" w:cs="Times New Roman"/>
          <w:color w:val="000000"/>
          <w:sz w:val="20"/>
          <w:szCs w:val="20"/>
          <w:shd w:val="clear" w:color="auto" w:fill="FFFFFF"/>
        </w:rPr>
        <w:t xml:space="preserve"> is, when the budget proposal is published for discussion. However, the budget approval event did not have a significant impact on the capital market.</w:t>
      </w:r>
    </w:p>
    <w:p w14:paraId="0BC08312"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proofErr w:type="spellStart"/>
      <w:r w:rsidRPr="008C510F">
        <w:rPr>
          <w:rFonts w:ascii="Cambria" w:eastAsia="Times New Roman" w:hAnsi="Cambria" w:cs="Times New Roman"/>
          <w:color w:val="000000"/>
          <w:sz w:val="20"/>
          <w:szCs w:val="20"/>
          <w:shd w:val="clear" w:color="auto" w:fill="FFFFFF"/>
        </w:rPr>
        <w:t>Nascimento</w:t>
      </w:r>
      <w:proofErr w:type="spellEnd"/>
      <w:r w:rsidRPr="008C510F">
        <w:rPr>
          <w:rFonts w:ascii="Cambria" w:eastAsia="Times New Roman" w:hAnsi="Cambria" w:cs="Times New Roman"/>
          <w:color w:val="000000"/>
          <w:sz w:val="20"/>
          <w:szCs w:val="20"/>
          <w:shd w:val="clear" w:color="auto" w:fill="FFFFFF"/>
        </w:rPr>
        <w:t xml:space="preserve"> (2015) conducted a study on the impact of publication and budget approval of the United States Federal Government on stock returns of the 500 largest companies in the country or those listed in the S &amp; P500 Index. By using daily stock closing price data from 4 January 2002 - 30 September 2012 and 11 events of publication and budget approval, </w:t>
      </w:r>
      <w:proofErr w:type="spellStart"/>
      <w:r w:rsidRPr="008C510F">
        <w:rPr>
          <w:rFonts w:ascii="Cambria" w:eastAsia="Times New Roman" w:hAnsi="Cambria" w:cs="Times New Roman"/>
          <w:color w:val="000000"/>
          <w:sz w:val="20"/>
          <w:szCs w:val="20"/>
          <w:shd w:val="clear" w:color="auto" w:fill="FFFFFF"/>
        </w:rPr>
        <w:t>Nascimento</w:t>
      </w:r>
      <w:proofErr w:type="spellEnd"/>
      <w:r w:rsidRPr="008C510F">
        <w:rPr>
          <w:rFonts w:ascii="Cambria" w:eastAsia="Times New Roman" w:hAnsi="Cambria" w:cs="Times New Roman"/>
          <w:color w:val="000000"/>
          <w:sz w:val="20"/>
          <w:szCs w:val="20"/>
          <w:shd w:val="clear" w:color="auto" w:fill="FFFFFF"/>
        </w:rPr>
        <w:t xml:space="preserve"> used the Ordinary Least Squares (OLS) methodology and event study analysis. The results of his research show that the budget approval event does not affect the return of the capital market because market players have anticipated it long before the event occurs. However, </w:t>
      </w:r>
      <w:proofErr w:type="spellStart"/>
      <w:r w:rsidRPr="008C510F">
        <w:rPr>
          <w:rFonts w:ascii="Cambria" w:eastAsia="Times New Roman" w:hAnsi="Cambria" w:cs="Times New Roman"/>
          <w:color w:val="000000"/>
          <w:sz w:val="20"/>
          <w:szCs w:val="20"/>
          <w:shd w:val="clear" w:color="auto" w:fill="FFFFFF"/>
        </w:rPr>
        <w:t>Nascimento</w:t>
      </w:r>
      <w:proofErr w:type="spellEnd"/>
      <w:r w:rsidRPr="008C510F">
        <w:rPr>
          <w:rFonts w:ascii="Cambria" w:eastAsia="Times New Roman" w:hAnsi="Cambria" w:cs="Times New Roman"/>
          <w:color w:val="000000"/>
          <w:sz w:val="20"/>
          <w:szCs w:val="20"/>
          <w:shd w:val="clear" w:color="auto" w:fill="FFFFFF"/>
        </w:rPr>
        <w:t xml:space="preserve"> stated that the budget and stock returns have an important relationship for the US economy even though the reactions given between the sectors are not the same. </w:t>
      </w:r>
    </w:p>
    <w:p w14:paraId="73711391" w14:textId="733B235E"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Framework</w:t>
      </w:r>
    </w:p>
    <w:p w14:paraId="54088D32"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proofErr w:type="gramStart"/>
      <w:r w:rsidRPr="008C510F">
        <w:rPr>
          <w:rFonts w:ascii="Cambria" w:eastAsia="Times New Roman" w:hAnsi="Cambria" w:cs="Times New Roman"/>
          <w:color w:val="000000"/>
          <w:sz w:val="20"/>
          <w:szCs w:val="20"/>
          <w:shd w:val="clear" w:color="auto" w:fill="FFFFFF"/>
        </w:rPr>
        <w:t>Oliveira's(</w:t>
      </w:r>
      <w:proofErr w:type="gramEnd"/>
      <w:r w:rsidRPr="008C510F">
        <w:rPr>
          <w:rFonts w:ascii="Cambria" w:eastAsia="Times New Roman" w:hAnsi="Cambria" w:cs="Times New Roman"/>
          <w:color w:val="000000"/>
          <w:sz w:val="20"/>
          <w:szCs w:val="20"/>
          <w:shd w:val="clear" w:color="auto" w:fill="FFFFFF"/>
        </w:rPr>
        <w:t xml:space="preserve">2014) states that the government budget reflects the estimated future expenses and revenues that will predict the country's economic and financial situation. This budget-related announcement is certainly an event that is eagerly awaited by the public. Moreover, governments often prefer budget announcements as a mechanism to announce important new policy initiatives and outline some economic policy plans for the next few months. </w:t>
      </w:r>
    </w:p>
    <w:p w14:paraId="671DAA2D"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General empirical studies show that capital market activity tends to be heavily influenced by government budgets. The capital market response to the budget is often viewed as a statistical summary of the quality of the budget in order to promote economic improvement (Thomas and Shah, 2002). Information related to budgets and economic policies conveyed in government budget documents can stimulate or weaken the price of shares of companies listed on the stock exchange. As a consequence, the reaction of investors on the stock exchange will depend on the impact of budget policy on the industry (</w:t>
      </w:r>
      <w:proofErr w:type="spellStart"/>
      <w:r w:rsidRPr="008C510F">
        <w:rPr>
          <w:rFonts w:ascii="Cambria" w:eastAsia="Times New Roman" w:hAnsi="Cambria" w:cs="Times New Roman"/>
          <w:color w:val="000000"/>
          <w:sz w:val="20"/>
          <w:szCs w:val="20"/>
          <w:shd w:val="clear" w:color="auto" w:fill="FFFFFF"/>
        </w:rPr>
        <w:t>Edirisinghe</w:t>
      </w:r>
      <w:proofErr w:type="spellEnd"/>
      <w:r w:rsidRPr="008C510F">
        <w:rPr>
          <w:rFonts w:ascii="Cambria" w:eastAsia="Times New Roman" w:hAnsi="Cambria" w:cs="Times New Roman"/>
          <w:color w:val="000000"/>
          <w:sz w:val="20"/>
          <w:szCs w:val="20"/>
          <w:shd w:val="clear" w:color="auto" w:fill="FFFFFF"/>
        </w:rPr>
        <w:t>, 2017). Therefore, the author wants to see the effect of government budget approval on capital market movements in Indonesia.</w:t>
      </w:r>
    </w:p>
    <w:p w14:paraId="78167994" w14:textId="68793111" w:rsidR="008C510F" w:rsidRPr="008C510F" w:rsidRDefault="008C510F" w:rsidP="008C510F">
      <w:pPr>
        <w:pStyle w:val="ListParagraph"/>
        <w:numPr>
          <w:ilvl w:val="1"/>
          <w:numId w:val="2"/>
        </w:numPr>
        <w:spacing w:after="0" w:line="240" w:lineRule="auto"/>
        <w:ind w:left="993" w:hanging="426"/>
        <w:jc w:val="both"/>
        <w:rPr>
          <w:rFonts w:ascii="Cambria" w:eastAsia="Times New Roman" w:hAnsi="Cambria" w:cs="Times New Roman"/>
          <w:b/>
          <w:color w:val="000000"/>
          <w:sz w:val="20"/>
          <w:szCs w:val="20"/>
          <w:shd w:val="clear" w:color="auto" w:fill="FFFFFF"/>
        </w:rPr>
      </w:pPr>
      <w:r w:rsidRPr="008C510F">
        <w:rPr>
          <w:rFonts w:ascii="Cambria" w:eastAsia="Times New Roman" w:hAnsi="Cambria" w:cs="Times New Roman"/>
          <w:b/>
          <w:color w:val="000000"/>
          <w:sz w:val="20"/>
          <w:szCs w:val="20"/>
          <w:shd w:val="clear" w:color="auto" w:fill="FFFFFF"/>
        </w:rPr>
        <w:t>Research Hypothesis</w:t>
      </w:r>
    </w:p>
    <w:p w14:paraId="11431EED" w14:textId="77777777" w:rsidR="008C510F" w:rsidRPr="008C510F" w:rsidRDefault="008C510F" w:rsidP="008C510F">
      <w:pPr>
        <w:spacing w:after="0" w:line="240" w:lineRule="auto"/>
        <w:ind w:firstLine="567"/>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 xml:space="preserve">Based on data, theory, and previous research, the hypothesis in this study can be structured as follows. </w:t>
      </w:r>
    </w:p>
    <w:p w14:paraId="57061CD3" w14:textId="77777777" w:rsidR="008C510F" w:rsidRPr="008C510F" w:rsidRDefault="008C510F" w:rsidP="008C510F">
      <w:pPr>
        <w:spacing w:after="0" w:line="240" w:lineRule="auto"/>
        <w:ind w:left="1437" w:hanging="870"/>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H1:</w:t>
      </w:r>
      <w:r w:rsidRPr="008C510F">
        <w:rPr>
          <w:rFonts w:ascii="Cambria" w:eastAsia="Times New Roman" w:hAnsi="Cambria" w:cs="Times New Roman"/>
          <w:color w:val="000000"/>
          <w:sz w:val="20"/>
          <w:szCs w:val="20"/>
          <w:shd w:val="clear" w:color="auto" w:fill="FFFFFF"/>
        </w:rPr>
        <w:tab/>
        <w:t>There is an abnormal return around the event of the ratification of the State Revenue and Expenditure Budget (APBN).</w:t>
      </w:r>
    </w:p>
    <w:p w14:paraId="208CA35F" w14:textId="77777777" w:rsidR="008C510F" w:rsidRPr="008C510F" w:rsidRDefault="008C510F" w:rsidP="008C510F">
      <w:pPr>
        <w:spacing w:after="0" w:line="240" w:lineRule="auto"/>
        <w:ind w:left="1437" w:hanging="870"/>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H2:</w:t>
      </w:r>
      <w:r w:rsidRPr="008C510F">
        <w:rPr>
          <w:rFonts w:ascii="Cambria" w:eastAsia="Times New Roman" w:hAnsi="Cambria" w:cs="Times New Roman"/>
          <w:color w:val="000000"/>
          <w:sz w:val="20"/>
          <w:szCs w:val="20"/>
          <w:shd w:val="clear" w:color="auto" w:fill="FFFFFF"/>
        </w:rPr>
        <w:tab/>
        <w:t>There is a difference in the average abnormal return before and after the event of the ratification of the State Revenue and Expenditure Budget (APBN).</w:t>
      </w:r>
    </w:p>
    <w:p w14:paraId="65A4E848" w14:textId="0C5C459A" w:rsidR="00B136FE" w:rsidRPr="008A00D4" w:rsidRDefault="008C510F" w:rsidP="008C510F">
      <w:pPr>
        <w:spacing w:after="0" w:line="240" w:lineRule="auto"/>
        <w:ind w:left="1437" w:hanging="870"/>
        <w:jc w:val="both"/>
        <w:rPr>
          <w:rFonts w:ascii="Cambria" w:eastAsia="Times New Roman" w:hAnsi="Cambria" w:cs="Times New Roman"/>
          <w:color w:val="000000"/>
          <w:sz w:val="20"/>
          <w:szCs w:val="20"/>
          <w:shd w:val="clear" w:color="auto" w:fill="FFFFFF"/>
        </w:rPr>
      </w:pPr>
      <w:r w:rsidRPr="008C510F">
        <w:rPr>
          <w:rFonts w:ascii="Cambria" w:eastAsia="Times New Roman" w:hAnsi="Cambria" w:cs="Times New Roman"/>
          <w:color w:val="000000"/>
          <w:sz w:val="20"/>
          <w:szCs w:val="20"/>
          <w:shd w:val="clear" w:color="auto" w:fill="FFFFFF"/>
        </w:rPr>
        <w:t>H3:</w:t>
      </w:r>
      <w:r w:rsidRPr="008C510F">
        <w:rPr>
          <w:rFonts w:ascii="Cambria" w:eastAsia="Times New Roman" w:hAnsi="Cambria" w:cs="Times New Roman"/>
          <w:color w:val="000000"/>
          <w:sz w:val="20"/>
          <w:szCs w:val="20"/>
          <w:shd w:val="clear" w:color="auto" w:fill="FFFFFF"/>
        </w:rPr>
        <w:tab/>
        <w:t>There is a difference in the average trading volume activity before and after the event of the ratification of the State Revenue and Expenditure Budget (APBN).</w:t>
      </w:r>
    </w:p>
    <w:p w14:paraId="1D9D4634" w14:textId="4AE6D20D" w:rsidR="00B35125" w:rsidRPr="00B136FE" w:rsidRDefault="00B35125" w:rsidP="008C510F">
      <w:pPr>
        <w:spacing w:after="0" w:line="240" w:lineRule="auto"/>
        <w:jc w:val="both"/>
        <w:rPr>
          <w:rFonts w:ascii="Book Antiqua" w:eastAsia="Times New Roman" w:hAnsi="Book Antiqua" w:cs="Times New Roman"/>
          <w:sz w:val="24"/>
          <w:szCs w:val="24"/>
        </w:rPr>
      </w:pPr>
    </w:p>
    <w:p w14:paraId="359AFF1A" w14:textId="77777777" w:rsidR="00B136FE" w:rsidRPr="008A00D4" w:rsidRDefault="009D5576" w:rsidP="003830D1">
      <w:pPr>
        <w:pStyle w:val="ListParagraph"/>
        <w:numPr>
          <w:ilvl w:val="0"/>
          <w:numId w:val="2"/>
        </w:numPr>
        <w:spacing w:after="0" w:line="240" w:lineRule="auto"/>
        <w:ind w:left="567" w:hanging="567"/>
        <w:rPr>
          <w:rFonts w:eastAsia="Times New Roman" w:cstheme="minorHAnsi"/>
          <w:b/>
          <w:sz w:val="24"/>
          <w:szCs w:val="24"/>
        </w:rPr>
      </w:pPr>
      <w:r w:rsidRPr="008A00D4">
        <w:rPr>
          <w:rFonts w:eastAsia="Times New Roman" w:cstheme="minorHAnsi"/>
          <w:b/>
          <w:sz w:val="24"/>
          <w:szCs w:val="24"/>
        </w:rPr>
        <w:t>Method, Data, and Analysis</w:t>
      </w:r>
    </w:p>
    <w:p w14:paraId="5737403F" w14:textId="2CBD9E5E" w:rsidR="008C510F" w:rsidRPr="008C510F" w:rsidRDefault="008C510F" w:rsidP="008C510F">
      <w:pPr>
        <w:pStyle w:val="ListParagraph"/>
        <w:numPr>
          <w:ilvl w:val="1"/>
          <w:numId w:val="2"/>
        </w:numPr>
        <w:pBdr>
          <w:top w:val="nil"/>
          <w:left w:val="nil"/>
          <w:bottom w:val="nil"/>
          <w:right w:val="nil"/>
          <w:between w:val="nil"/>
        </w:pBdr>
        <w:spacing w:after="0" w:line="240" w:lineRule="auto"/>
        <w:ind w:left="993" w:hanging="426"/>
        <w:rPr>
          <w:rFonts w:ascii="Cambria" w:eastAsia="Calibri" w:hAnsi="Cambria" w:cs="Calibri"/>
          <w:b/>
          <w:color w:val="000000"/>
          <w:sz w:val="20"/>
          <w:szCs w:val="20"/>
          <w:lang w:val="en"/>
        </w:rPr>
      </w:pPr>
      <w:r w:rsidRPr="008C510F">
        <w:rPr>
          <w:rFonts w:ascii="Cambria" w:eastAsia="Calibri" w:hAnsi="Cambria" w:cs="Calibri"/>
          <w:b/>
          <w:color w:val="000000"/>
          <w:sz w:val="20"/>
          <w:szCs w:val="20"/>
          <w:lang w:val="en"/>
        </w:rPr>
        <w:t>Population and Sample</w:t>
      </w:r>
    </w:p>
    <w:p w14:paraId="7DA890CB" w14:textId="77777777" w:rsidR="008C510F" w:rsidRPr="008C510F" w:rsidRDefault="008C510F" w:rsidP="008C510F">
      <w:pPr>
        <w:spacing w:after="0" w:line="240" w:lineRule="auto"/>
        <w:ind w:firstLine="567"/>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In this </w:t>
      </w:r>
      <w:r w:rsidRPr="008C510F">
        <w:rPr>
          <w:rFonts w:ascii="Cambria" w:eastAsia="Times New Roman" w:hAnsi="Cambria" w:cs="Times New Roman"/>
          <w:color w:val="000000"/>
          <w:sz w:val="20"/>
          <w:szCs w:val="20"/>
          <w:shd w:val="clear" w:color="auto" w:fill="FFFFFF"/>
        </w:rPr>
        <w:t>study</w:t>
      </w:r>
      <w:r w:rsidRPr="008C510F">
        <w:rPr>
          <w:rFonts w:ascii="Cambria" w:eastAsia="Calibri" w:hAnsi="Cambria" w:cs="Calibri"/>
          <w:sz w:val="20"/>
          <w:szCs w:val="20"/>
          <w:lang w:val="en"/>
        </w:rPr>
        <w:t xml:space="preserve">, the population was all companies included in the LQ45 index on the Indonesia Stock Exchange from 2009 to 2018, totaling 101 companies. Data regarding the company is obtained from the official website of the Indonesia Stock Exchange (www.IDX.co.id), Bloomberg, and Yahoo Finance. The sampling technique used </w:t>
      </w:r>
      <w:r w:rsidRPr="008C510F">
        <w:rPr>
          <w:rFonts w:ascii="Cambria" w:eastAsia="Calibri" w:hAnsi="Cambria" w:cs="Calibri"/>
          <w:i/>
          <w:sz w:val="20"/>
          <w:szCs w:val="20"/>
          <w:lang w:val="en"/>
        </w:rPr>
        <w:t>purposive sampling</w:t>
      </w:r>
      <w:r w:rsidRPr="008C510F">
        <w:rPr>
          <w:rFonts w:ascii="Cambria" w:eastAsia="Calibri" w:hAnsi="Cambria" w:cs="Calibri"/>
          <w:sz w:val="20"/>
          <w:szCs w:val="20"/>
          <w:lang w:val="en"/>
        </w:rPr>
        <w:t xml:space="preserve">, namely the population that will be used as the research sample is a </w:t>
      </w:r>
      <w:r w:rsidRPr="008C510F">
        <w:rPr>
          <w:rFonts w:ascii="Cambria" w:eastAsia="Calibri" w:hAnsi="Cambria" w:cs="Calibri"/>
          <w:sz w:val="20"/>
          <w:szCs w:val="20"/>
          <w:lang w:val="en"/>
        </w:rPr>
        <w:lastRenderedPageBreak/>
        <w:t xml:space="preserve">population that meets certain criteria as determined by the researcher. The criteria used in sample selection are as follows. </w:t>
      </w:r>
    </w:p>
    <w:p w14:paraId="46C7B43B" w14:textId="77777777" w:rsidR="008C510F" w:rsidRPr="008C510F" w:rsidRDefault="008C510F" w:rsidP="008C510F">
      <w:pPr>
        <w:numPr>
          <w:ilvl w:val="0"/>
          <w:numId w:val="10"/>
        </w:numPr>
        <w:pBdr>
          <w:top w:val="nil"/>
          <w:left w:val="nil"/>
          <w:bottom w:val="nil"/>
          <w:right w:val="nil"/>
          <w:between w:val="nil"/>
        </w:pBdr>
        <w:spacing w:after="0" w:line="240" w:lineRule="auto"/>
        <w:ind w:left="360"/>
        <w:jc w:val="both"/>
        <w:rPr>
          <w:rFonts w:ascii="Cambria" w:eastAsia="Calibri" w:hAnsi="Cambria" w:cs="Calibri"/>
          <w:color w:val="000000"/>
          <w:sz w:val="20"/>
          <w:szCs w:val="20"/>
          <w:lang w:val="en"/>
        </w:rPr>
      </w:pPr>
      <w:r w:rsidRPr="008C510F">
        <w:rPr>
          <w:rFonts w:ascii="Cambria" w:eastAsia="Calibri" w:hAnsi="Cambria" w:cs="Calibri"/>
          <w:color w:val="000000"/>
          <w:sz w:val="20"/>
          <w:szCs w:val="20"/>
          <w:lang w:val="en"/>
        </w:rPr>
        <w:t xml:space="preserve">These shares were consistently in the LQ45 index from 2009 to 2018; </w:t>
      </w:r>
    </w:p>
    <w:p w14:paraId="765A1844" w14:textId="77777777" w:rsidR="008C510F" w:rsidRPr="008C510F" w:rsidRDefault="008C510F" w:rsidP="008C510F">
      <w:pPr>
        <w:numPr>
          <w:ilvl w:val="0"/>
          <w:numId w:val="10"/>
        </w:numPr>
        <w:pBdr>
          <w:top w:val="nil"/>
          <w:left w:val="nil"/>
          <w:bottom w:val="nil"/>
          <w:right w:val="nil"/>
          <w:between w:val="nil"/>
        </w:pBdr>
        <w:spacing w:after="0" w:line="240" w:lineRule="auto"/>
        <w:ind w:left="360"/>
        <w:jc w:val="both"/>
        <w:rPr>
          <w:rFonts w:ascii="Cambria" w:eastAsia="Calibri" w:hAnsi="Cambria" w:cs="Calibri"/>
          <w:color w:val="000000"/>
          <w:sz w:val="20"/>
          <w:szCs w:val="20"/>
          <w:lang w:val="en"/>
        </w:rPr>
      </w:pPr>
      <w:r w:rsidRPr="008C510F">
        <w:rPr>
          <w:rFonts w:ascii="Cambria" w:eastAsia="Calibri" w:hAnsi="Cambria" w:cs="Calibri"/>
          <w:color w:val="000000"/>
          <w:sz w:val="20"/>
          <w:szCs w:val="20"/>
          <w:lang w:val="en"/>
        </w:rPr>
        <w:t xml:space="preserve">The shares are actively traded during the observation period; and </w:t>
      </w:r>
    </w:p>
    <w:p w14:paraId="7961EAED" w14:textId="77777777" w:rsidR="008C510F" w:rsidRPr="008C510F" w:rsidRDefault="008C510F" w:rsidP="008C510F">
      <w:pPr>
        <w:numPr>
          <w:ilvl w:val="0"/>
          <w:numId w:val="10"/>
        </w:numPr>
        <w:pBdr>
          <w:top w:val="nil"/>
          <w:left w:val="nil"/>
          <w:bottom w:val="nil"/>
          <w:right w:val="nil"/>
          <w:between w:val="nil"/>
        </w:pBdr>
        <w:spacing w:after="0" w:line="240" w:lineRule="auto"/>
        <w:ind w:left="360"/>
        <w:jc w:val="both"/>
        <w:rPr>
          <w:rFonts w:ascii="Cambria" w:eastAsia="Calibri" w:hAnsi="Cambria" w:cs="Calibri"/>
          <w:color w:val="000000"/>
          <w:sz w:val="20"/>
          <w:szCs w:val="20"/>
          <w:lang w:val="en"/>
        </w:rPr>
      </w:pPr>
      <w:r w:rsidRPr="008C510F">
        <w:rPr>
          <w:rFonts w:ascii="Cambria" w:eastAsia="Calibri" w:hAnsi="Cambria" w:cs="Calibri"/>
          <w:color w:val="000000"/>
          <w:sz w:val="20"/>
          <w:szCs w:val="20"/>
          <w:lang w:val="en"/>
        </w:rPr>
        <w:t>Issuer shares do not take</w:t>
      </w:r>
      <w:r w:rsidRPr="008C510F">
        <w:rPr>
          <w:rFonts w:ascii="Cambria" w:eastAsia="Calibri" w:hAnsi="Cambria" w:cs="Calibri"/>
          <w:i/>
          <w:color w:val="000000"/>
          <w:sz w:val="20"/>
          <w:szCs w:val="20"/>
          <w:lang w:val="en"/>
        </w:rPr>
        <w:t xml:space="preserve"> corporate action</w:t>
      </w:r>
      <w:r w:rsidRPr="008C510F">
        <w:rPr>
          <w:rFonts w:ascii="Cambria" w:eastAsia="Calibri" w:hAnsi="Cambria" w:cs="Calibri"/>
          <w:color w:val="000000"/>
          <w:sz w:val="20"/>
          <w:szCs w:val="20"/>
          <w:lang w:val="en"/>
        </w:rPr>
        <w:t xml:space="preserve"> during the observation period in order to minimize</w:t>
      </w:r>
      <w:r w:rsidRPr="008C510F">
        <w:rPr>
          <w:rFonts w:ascii="Cambria" w:eastAsia="Calibri" w:hAnsi="Cambria" w:cs="Calibri"/>
          <w:i/>
          <w:color w:val="000000"/>
          <w:sz w:val="20"/>
          <w:szCs w:val="20"/>
          <w:lang w:val="en"/>
        </w:rPr>
        <w:t xml:space="preserve"> confounding effects</w:t>
      </w:r>
      <w:r w:rsidRPr="008C510F">
        <w:rPr>
          <w:rFonts w:ascii="Cambria" w:eastAsia="Calibri" w:hAnsi="Cambria" w:cs="Calibri"/>
          <w:color w:val="000000"/>
          <w:sz w:val="20"/>
          <w:szCs w:val="20"/>
          <w:lang w:val="en"/>
        </w:rPr>
        <w:t xml:space="preserve">. </w:t>
      </w:r>
    </w:p>
    <w:p w14:paraId="3C7E7A9D" w14:textId="77777777" w:rsidR="008C510F" w:rsidRPr="008C510F" w:rsidRDefault="008C510F" w:rsidP="008C510F">
      <w:pPr>
        <w:numPr>
          <w:ilvl w:val="1"/>
          <w:numId w:val="2"/>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8C510F">
        <w:rPr>
          <w:rFonts w:ascii="Cambria" w:eastAsia="Calibri" w:hAnsi="Cambria" w:cs="Calibri"/>
          <w:b/>
          <w:color w:val="000000"/>
          <w:sz w:val="20"/>
          <w:szCs w:val="20"/>
          <w:lang w:val="en"/>
        </w:rPr>
        <w:t>Operational Definition</w:t>
      </w:r>
    </w:p>
    <w:p w14:paraId="5B329DE5"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 independent variable in this study is the event of ratification of the State Budget (APBN) for Fiscal Year 2010 to APBN for Fiscal Year 2019 which will be ratified at the end of October 2018. Meanwhile, the dependent variable in this study is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and volume of stock trading. . The following is an explanation of each dependent variable.</w:t>
      </w:r>
    </w:p>
    <w:p w14:paraId="3FE03142" w14:textId="77777777" w:rsidR="008C510F" w:rsidRPr="008C510F" w:rsidRDefault="008C510F" w:rsidP="008C510F">
      <w:pPr>
        <w:numPr>
          <w:ilvl w:val="0"/>
          <w:numId w:val="13"/>
        </w:numPr>
        <w:pBdr>
          <w:top w:val="nil"/>
          <w:left w:val="nil"/>
          <w:bottom w:val="nil"/>
          <w:right w:val="nil"/>
          <w:between w:val="nil"/>
        </w:pBdr>
        <w:tabs>
          <w:tab w:val="left" w:pos="360"/>
        </w:tabs>
        <w:spacing w:after="0" w:line="240" w:lineRule="auto"/>
        <w:ind w:left="360"/>
        <w:jc w:val="both"/>
        <w:rPr>
          <w:rFonts w:ascii="Cambria" w:eastAsia="Calibri" w:hAnsi="Cambria" w:cs="Calibri"/>
          <w:b/>
          <w:color w:val="000000"/>
          <w:sz w:val="20"/>
          <w:szCs w:val="20"/>
          <w:lang w:val="en"/>
        </w:rPr>
      </w:pPr>
      <w:r w:rsidRPr="008C510F">
        <w:rPr>
          <w:rFonts w:ascii="Cambria" w:eastAsia="Calibri" w:hAnsi="Cambria" w:cs="Calibri"/>
          <w:b/>
          <w:i/>
          <w:color w:val="000000"/>
          <w:sz w:val="20"/>
          <w:szCs w:val="20"/>
          <w:lang w:val="en"/>
        </w:rPr>
        <w:t>Abnormal return</w:t>
      </w:r>
    </w:p>
    <w:p w14:paraId="16CE8D5E"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proofErr w:type="spellStart"/>
      <w:r w:rsidRPr="008C510F">
        <w:rPr>
          <w:rFonts w:ascii="Cambria" w:eastAsia="Calibri" w:hAnsi="Cambria" w:cs="Calibri"/>
          <w:sz w:val="20"/>
          <w:szCs w:val="20"/>
          <w:lang w:val="en"/>
        </w:rPr>
        <w:t>Jogiyanto</w:t>
      </w:r>
      <w:proofErr w:type="spellEnd"/>
      <w:r w:rsidRPr="008C510F">
        <w:rPr>
          <w:rFonts w:ascii="Cambria" w:eastAsia="Calibri" w:hAnsi="Cambria" w:cs="Calibri"/>
          <w:sz w:val="20"/>
          <w:szCs w:val="20"/>
          <w:lang w:val="en"/>
        </w:rPr>
        <w:t xml:space="preserve"> (2017: 667) defines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 xml:space="preserve">as the excess of the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that actually occurs against the </w:t>
      </w:r>
      <w:r w:rsidRPr="008C510F">
        <w:rPr>
          <w:rFonts w:ascii="Cambria" w:eastAsia="Calibri" w:hAnsi="Cambria" w:cs="Calibri"/>
          <w:i/>
          <w:sz w:val="20"/>
          <w:szCs w:val="20"/>
          <w:lang w:val="en"/>
        </w:rPr>
        <w:t xml:space="preserve">return </w:t>
      </w:r>
      <w:proofErr w:type="gramStart"/>
      <w:r w:rsidRPr="008C510F">
        <w:rPr>
          <w:rFonts w:ascii="Cambria" w:eastAsia="Calibri" w:hAnsi="Cambria" w:cs="Calibri"/>
          <w:sz w:val="20"/>
          <w:szCs w:val="20"/>
          <w:lang w:val="en"/>
        </w:rPr>
        <w:t>expected(</w:t>
      </w:r>
      <w:proofErr w:type="gramEnd"/>
      <w:r w:rsidRPr="008C510F">
        <w:rPr>
          <w:rFonts w:ascii="Cambria" w:eastAsia="Calibri" w:hAnsi="Cambria" w:cs="Calibri"/>
          <w:i/>
          <w:sz w:val="20"/>
          <w:szCs w:val="20"/>
          <w:lang w:val="en"/>
        </w:rPr>
        <w:t>normal return</w:t>
      </w:r>
      <w:r w:rsidRPr="008C510F">
        <w:rPr>
          <w:rFonts w:ascii="Cambria" w:eastAsia="Calibri" w:hAnsi="Cambria" w:cs="Calibri"/>
          <w:sz w:val="20"/>
          <w:szCs w:val="20"/>
          <w:lang w:val="en"/>
        </w:rPr>
        <w:t xml:space="preserve">). Thus, the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can be formulated as follows.</w:t>
      </w:r>
    </w:p>
    <w:p w14:paraId="0D120134" w14:textId="77777777" w:rsidR="008C510F" w:rsidRPr="008C510F" w:rsidRDefault="008C510F" w:rsidP="008C510F">
      <w:pPr>
        <w:spacing w:after="0" w:line="240" w:lineRule="auto"/>
        <w:jc w:val="center"/>
        <w:rPr>
          <w:rFonts w:ascii="Cambria" w:eastAsia="Cambria Math" w:hAnsi="Cambria" w:cs="Cambria Math"/>
          <w:sz w:val="20"/>
          <w:szCs w:val="20"/>
          <w:lang w:val="en"/>
        </w:rPr>
      </w:pPr>
      <m:oMathPara>
        <m:oMath>
          <m:sSub>
            <m:sSubPr>
              <m:ctrlPr>
                <w:rPr>
                  <w:rFonts w:ascii="Cambria Math" w:eastAsia="Cambria Math" w:hAnsi="Cambria Math" w:cs="Cambria Math"/>
                  <w:sz w:val="20"/>
                  <w:szCs w:val="20"/>
                  <w:lang w:val="en"/>
                </w:rPr>
              </m:ctrlPr>
            </m:sSubPr>
            <m:e>
              <m:r>
                <w:rPr>
                  <w:rFonts w:ascii="Cambria Math" w:eastAsia="Cambria Math" w:hAnsi="Cambria Math" w:cs="Cambria Math"/>
                  <w:sz w:val="20"/>
                  <w:szCs w:val="20"/>
                  <w:lang w:val="en"/>
                </w:rPr>
                <m:t>RTN</m:t>
              </m:r>
            </m:e>
            <m:sub>
              <m:r>
                <w:rPr>
                  <w:rFonts w:ascii="Cambria Math" w:eastAsia="Cambria Math" w:hAnsi="Cambria Math" w:cs="Cambria Math"/>
                  <w:sz w:val="20"/>
                  <w:szCs w:val="20"/>
                  <w:lang w:val="en"/>
                </w:rPr>
                <m:t>i, t</m:t>
              </m:r>
            </m:sub>
          </m:sSub>
          <m:r>
            <w:rPr>
              <w:rFonts w:ascii="Cambria Math" w:eastAsia="Cambria Math" w:hAnsi="Cambria Math" w:cs="Cambria Math"/>
              <w:sz w:val="20"/>
              <w:szCs w:val="20"/>
              <w:lang w:val="en"/>
            </w:rPr>
            <m:t xml:space="preserve">= </m:t>
          </m:r>
          <m:sSub>
            <m:sSubPr>
              <m:ctrlPr>
                <w:rPr>
                  <w:rFonts w:ascii="Cambria Math" w:eastAsia="Cambria Math" w:hAnsi="Cambria Math" w:cs="Cambria Math"/>
                  <w:sz w:val="20"/>
                  <w:szCs w:val="20"/>
                  <w:lang w:val="en"/>
                </w:rPr>
              </m:ctrlPr>
            </m:sSubPr>
            <m:e>
              <m:r>
                <w:rPr>
                  <w:rFonts w:ascii="Cambria Math" w:eastAsia="Cambria Math" w:hAnsi="Cambria Math" w:cs="Cambria Math"/>
                  <w:sz w:val="20"/>
                  <w:szCs w:val="20"/>
                  <w:lang w:val="en"/>
                </w:rPr>
                <m:t>R</m:t>
              </m:r>
            </m:e>
            <m:sub>
              <m:r>
                <w:rPr>
                  <w:rFonts w:ascii="Cambria Math" w:eastAsia="Cambria Math" w:hAnsi="Cambria Math" w:cs="Cambria Math"/>
                  <w:sz w:val="20"/>
                  <w:szCs w:val="20"/>
                  <w:lang w:val="en"/>
                </w:rPr>
                <m:t>i, t</m:t>
              </m:r>
            </m:sub>
          </m:sSub>
          <m:r>
            <w:rPr>
              <w:rFonts w:ascii="Cambria Math" w:eastAsia="Cambria Math" w:hAnsi="Cambria Math" w:cs="Cambria Math"/>
              <w:sz w:val="20"/>
              <w:szCs w:val="20"/>
              <w:lang w:val="en"/>
            </w:rPr>
            <m:t>-E [</m:t>
          </m:r>
          <m:sSub>
            <m:sSubPr>
              <m:ctrlPr>
                <w:rPr>
                  <w:rFonts w:ascii="Cambria Math" w:eastAsia="Cambria Math" w:hAnsi="Cambria Math" w:cs="Cambria Math"/>
                  <w:sz w:val="20"/>
                  <w:szCs w:val="20"/>
                  <w:lang w:val="en"/>
                </w:rPr>
              </m:ctrlPr>
            </m:sSubPr>
            <m:e>
              <m:r>
                <w:rPr>
                  <w:rFonts w:ascii="Cambria Math" w:eastAsia="Cambria Math" w:hAnsi="Cambria Math" w:cs="Cambria Math"/>
                  <w:sz w:val="20"/>
                  <w:szCs w:val="20"/>
                  <w:lang w:val="en"/>
                </w:rPr>
                <m:t>R</m:t>
              </m:r>
            </m:e>
            <m:sub>
              <m:r>
                <w:rPr>
                  <w:rFonts w:ascii="Cambria Math" w:eastAsia="Cambria Math" w:hAnsi="Cambria Math" w:cs="Cambria Math"/>
                  <w:sz w:val="20"/>
                  <w:szCs w:val="20"/>
                  <w:lang w:val="en"/>
                </w:rPr>
                <m:t>i, t</m:t>
              </m:r>
            </m:sub>
          </m:sSub>
          <m:r>
            <w:rPr>
              <w:rFonts w:ascii="Cambria Math" w:eastAsia="Cambria Math" w:hAnsi="Cambria Math" w:cs="Cambria Math"/>
              <w:sz w:val="20"/>
              <w:szCs w:val="20"/>
              <w:lang w:val="en"/>
            </w:rPr>
            <m:t>]</m:t>
          </m:r>
        </m:oMath>
      </m:oMathPara>
    </w:p>
    <w:p w14:paraId="06C4E842"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Where:</w:t>
      </w:r>
    </w:p>
    <w:tbl>
      <w:tblPr>
        <w:tblW w:w="8297" w:type="dxa"/>
        <w:tblLayout w:type="fixed"/>
        <w:tblLook w:val="0400" w:firstRow="0" w:lastRow="0" w:firstColumn="0" w:lastColumn="0" w:noHBand="0" w:noVBand="1"/>
      </w:tblPr>
      <w:tblGrid>
        <w:gridCol w:w="895"/>
        <w:gridCol w:w="360"/>
        <w:gridCol w:w="7042"/>
      </w:tblGrid>
      <w:tr w:rsidR="008C510F" w:rsidRPr="008C510F" w14:paraId="3A1EEBE8" w14:textId="77777777" w:rsidTr="004D1711">
        <w:tc>
          <w:tcPr>
            <w:tcW w:w="895" w:type="dxa"/>
          </w:tcPr>
          <w:p w14:paraId="4B0EE093"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RTN</w:t>
            </w:r>
            <w:r w:rsidRPr="008C510F">
              <w:rPr>
                <w:rFonts w:ascii="Cambria" w:eastAsia="Calibri" w:hAnsi="Cambria" w:cs="Calibri"/>
                <w:sz w:val="20"/>
                <w:szCs w:val="20"/>
                <w:vertAlign w:val="subscript"/>
                <w:lang w:val="en"/>
              </w:rPr>
              <w:t>, t</w:t>
            </w:r>
          </w:p>
        </w:tc>
        <w:tc>
          <w:tcPr>
            <w:tcW w:w="360" w:type="dxa"/>
          </w:tcPr>
          <w:p w14:paraId="14CA54E0"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7042" w:type="dxa"/>
          </w:tcPr>
          <w:p w14:paraId="3126D750"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of securities I in event period t</w:t>
            </w:r>
          </w:p>
        </w:tc>
      </w:tr>
      <w:tr w:rsidR="008C510F" w:rsidRPr="008C510F" w14:paraId="4D086FC4" w14:textId="77777777" w:rsidTr="004D1711">
        <w:tc>
          <w:tcPr>
            <w:tcW w:w="895" w:type="dxa"/>
          </w:tcPr>
          <w:p w14:paraId="4F4D06EF" w14:textId="77777777" w:rsidR="008C510F" w:rsidRPr="008C510F" w:rsidRDefault="008C510F" w:rsidP="008C510F">
            <w:pPr>
              <w:spacing w:after="0" w:line="240" w:lineRule="auto"/>
              <w:rPr>
                <w:rFonts w:ascii="Cambria" w:eastAsia="Calibri" w:hAnsi="Cambria" w:cs="Calibri"/>
                <w:sz w:val="20"/>
                <w:szCs w:val="20"/>
                <w:lang w:val="en"/>
              </w:rPr>
            </w:pPr>
            <w:proofErr w:type="spellStart"/>
            <w:r w:rsidRPr="008C510F">
              <w:rPr>
                <w:rFonts w:ascii="Cambria" w:eastAsia="Calibri" w:hAnsi="Cambria" w:cs="Calibri"/>
                <w:sz w:val="20"/>
                <w:szCs w:val="20"/>
                <w:lang w:val="en"/>
              </w:rPr>
              <w:t>R</w:t>
            </w:r>
            <w:r w:rsidRPr="008C510F">
              <w:rPr>
                <w:rFonts w:ascii="Cambria" w:eastAsia="Calibri" w:hAnsi="Cambria" w:cs="Calibri"/>
                <w:sz w:val="20"/>
                <w:szCs w:val="20"/>
                <w:vertAlign w:val="subscript"/>
                <w:lang w:val="en"/>
              </w:rPr>
              <w:t>i</w:t>
            </w:r>
            <w:proofErr w:type="spellEnd"/>
            <w:r w:rsidRPr="008C510F">
              <w:rPr>
                <w:rFonts w:ascii="Cambria" w:eastAsia="Calibri" w:hAnsi="Cambria" w:cs="Calibri"/>
                <w:sz w:val="20"/>
                <w:szCs w:val="20"/>
                <w:vertAlign w:val="subscript"/>
                <w:lang w:val="en"/>
              </w:rPr>
              <w:t>, t</w:t>
            </w:r>
          </w:p>
        </w:tc>
        <w:tc>
          <w:tcPr>
            <w:tcW w:w="360" w:type="dxa"/>
          </w:tcPr>
          <w:p w14:paraId="590FEEFE"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7042" w:type="dxa"/>
          </w:tcPr>
          <w:p w14:paraId="53505CE4"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realization that occurred for securities I in the event t period</w:t>
            </w:r>
          </w:p>
        </w:tc>
      </w:tr>
      <w:tr w:rsidR="008C510F" w:rsidRPr="008C510F" w14:paraId="0CE2FEE1" w14:textId="77777777" w:rsidTr="004D1711">
        <w:tc>
          <w:tcPr>
            <w:tcW w:w="895" w:type="dxa"/>
          </w:tcPr>
          <w:p w14:paraId="57B4A358"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E [</w:t>
            </w:r>
            <w:proofErr w:type="spellStart"/>
            <w:r w:rsidRPr="008C510F">
              <w:rPr>
                <w:rFonts w:ascii="Cambria" w:eastAsia="Calibri" w:hAnsi="Cambria" w:cs="Calibri"/>
                <w:sz w:val="20"/>
                <w:szCs w:val="20"/>
                <w:lang w:val="en"/>
              </w:rPr>
              <w:t>R</w:t>
            </w:r>
            <w:r w:rsidRPr="008C510F">
              <w:rPr>
                <w:rFonts w:ascii="Cambria" w:eastAsia="Calibri" w:hAnsi="Cambria" w:cs="Calibri"/>
                <w:sz w:val="20"/>
                <w:szCs w:val="20"/>
                <w:vertAlign w:val="subscript"/>
                <w:lang w:val="en"/>
              </w:rPr>
              <w:t>i</w:t>
            </w:r>
            <w:proofErr w:type="spellEnd"/>
            <w:r w:rsidRPr="008C510F">
              <w:rPr>
                <w:rFonts w:ascii="Cambria" w:eastAsia="Calibri" w:hAnsi="Cambria" w:cs="Calibri"/>
                <w:sz w:val="20"/>
                <w:szCs w:val="20"/>
                <w:vertAlign w:val="subscript"/>
                <w:lang w:val="en"/>
              </w:rPr>
              <w:t>, t</w:t>
            </w:r>
            <w:r w:rsidRPr="008C510F">
              <w:rPr>
                <w:rFonts w:ascii="Cambria" w:eastAsia="Calibri" w:hAnsi="Cambria" w:cs="Calibri"/>
                <w:sz w:val="20"/>
                <w:szCs w:val="20"/>
                <w:lang w:val="en"/>
              </w:rPr>
              <w:t>]</w:t>
            </w:r>
          </w:p>
        </w:tc>
        <w:tc>
          <w:tcPr>
            <w:tcW w:w="360" w:type="dxa"/>
          </w:tcPr>
          <w:p w14:paraId="47EB4B73"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7042" w:type="dxa"/>
          </w:tcPr>
          <w:p w14:paraId="28BA4482" w14:textId="77777777" w:rsidR="008C510F" w:rsidRPr="008C510F" w:rsidRDefault="008C510F" w:rsidP="008C510F">
            <w:pPr>
              <w:spacing w:after="0" w:line="240" w:lineRule="auto"/>
              <w:rPr>
                <w:rFonts w:ascii="Cambria" w:eastAsia="Calibri" w:hAnsi="Cambria" w:cs="Calibri"/>
                <w:sz w:val="20"/>
                <w:szCs w:val="20"/>
                <w:lang w:val="en"/>
              </w:rPr>
            </w:pP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expected of securities I for the t event period</w:t>
            </w:r>
          </w:p>
        </w:tc>
      </w:tr>
    </w:tbl>
    <w:p w14:paraId="7B58B46F" w14:textId="77777777" w:rsidR="008C510F" w:rsidRPr="008C510F" w:rsidRDefault="008C510F" w:rsidP="008C510F">
      <w:pPr>
        <w:numPr>
          <w:ilvl w:val="0"/>
          <w:numId w:val="13"/>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8C510F">
        <w:rPr>
          <w:rFonts w:ascii="Cambria" w:eastAsia="Calibri" w:hAnsi="Cambria" w:cs="Calibri"/>
          <w:b/>
          <w:i/>
          <w:color w:val="000000"/>
          <w:sz w:val="20"/>
          <w:szCs w:val="20"/>
          <w:lang w:val="en"/>
        </w:rPr>
        <w:t xml:space="preserve">Trading volume activity </w:t>
      </w:r>
      <w:r w:rsidRPr="008C510F">
        <w:rPr>
          <w:rFonts w:ascii="Cambria" w:eastAsia="Calibri" w:hAnsi="Cambria" w:cs="Calibri"/>
          <w:b/>
          <w:color w:val="000000"/>
          <w:sz w:val="20"/>
          <w:szCs w:val="20"/>
          <w:lang w:val="en"/>
        </w:rPr>
        <w:t>(TVA)</w:t>
      </w:r>
    </w:p>
    <w:p w14:paraId="150EF718"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i/>
          <w:sz w:val="20"/>
          <w:szCs w:val="20"/>
          <w:lang w:val="en"/>
        </w:rPr>
        <w:t>Trading volume activity</w:t>
      </w:r>
      <w:r w:rsidRPr="008C510F">
        <w:rPr>
          <w:rFonts w:ascii="Cambria" w:eastAsia="Calibri" w:hAnsi="Cambria" w:cs="Calibri"/>
          <w:sz w:val="20"/>
          <w:szCs w:val="20"/>
          <w:lang w:val="en"/>
        </w:rPr>
        <w:t xml:space="preserve"> (TVA) is an instrument that can be used to see the capital market reaction to information through stock trading volume parameters (</w:t>
      </w:r>
      <w:proofErr w:type="spellStart"/>
      <w:r w:rsidRPr="008C510F">
        <w:rPr>
          <w:rFonts w:ascii="Cambria" w:eastAsia="Calibri" w:hAnsi="Cambria" w:cs="Calibri"/>
          <w:sz w:val="20"/>
          <w:szCs w:val="20"/>
          <w:lang w:val="en"/>
        </w:rPr>
        <w:t>Suryawijaya</w:t>
      </w:r>
      <w:proofErr w:type="spellEnd"/>
      <w:r w:rsidRPr="008C510F">
        <w:rPr>
          <w:rFonts w:ascii="Cambria" w:eastAsia="Calibri" w:hAnsi="Cambria" w:cs="Calibri"/>
          <w:sz w:val="20"/>
          <w:szCs w:val="20"/>
          <w:lang w:val="en"/>
        </w:rPr>
        <w:t xml:space="preserve"> and </w:t>
      </w:r>
      <w:proofErr w:type="spellStart"/>
      <w:r w:rsidRPr="008C510F">
        <w:rPr>
          <w:rFonts w:ascii="Cambria" w:eastAsia="Calibri" w:hAnsi="Cambria" w:cs="Calibri"/>
          <w:sz w:val="20"/>
          <w:szCs w:val="20"/>
          <w:lang w:val="en"/>
        </w:rPr>
        <w:t>Setiawan</w:t>
      </w:r>
      <w:proofErr w:type="spellEnd"/>
      <w:r w:rsidRPr="008C510F">
        <w:rPr>
          <w:rFonts w:ascii="Cambria" w:eastAsia="Calibri" w:hAnsi="Cambria" w:cs="Calibri"/>
          <w:sz w:val="20"/>
          <w:szCs w:val="20"/>
          <w:lang w:val="en"/>
        </w:rPr>
        <w:t>, 1998).</w:t>
      </w:r>
    </w:p>
    <w:p w14:paraId="7A2A156D" w14:textId="77777777" w:rsidR="008C510F" w:rsidRPr="008C510F" w:rsidRDefault="008C510F" w:rsidP="008C510F">
      <w:pPr>
        <w:spacing w:after="0" w:line="240" w:lineRule="auto"/>
        <w:jc w:val="center"/>
        <w:rPr>
          <w:rFonts w:ascii="Cambria" w:eastAsia="Cambria Math" w:hAnsi="Cambria" w:cs="Cambria Math"/>
          <w:sz w:val="20"/>
          <w:szCs w:val="20"/>
          <w:lang w:val="en"/>
        </w:rPr>
      </w:pPr>
      <m:oMathPara>
        <m:oMath>
          <m:r>
            <w:rPr>
              <w:rFonts w:ascii="Cambria Math" w:eastAsia="Cambria Math" w:hAnsi="Cambria Math" w:cs="Cambria Math"/>
              <w:sz w:val="20"/>
              <w:szCs w:val="20"/>
              <w:lang w:val="en"/>
            </w:rPr>
            <m:t>TVA =</m:t>
          </m:r>
          <m:f>
            <m:fPr>
              <m:ctrlPr>
                <w:rPr>
                  <w:rFonts w:ascii="Cambria Math" w:eastAsia="Cambria Math" w:hAnsi="Cambria Math" w:cs="Cambria Math"/>
                  <w:sz w:val="20"/>
                  <w:szCs w:val="20"/>
                  <w:lang w:val="en"/>
                </w:rPr>
              </m:ctrlPr>
            </m:fPr>
            <m:num>
              <m:r>
                <w:rPr>
                  <w:rFonts w:ascii="Cambria Math" w:eastAsia="Cambria Math" w:hAnsi="Cambria Math" w:cs="Cambria Math"/>
                  <w:sz w:val="20"/>
                  <w:szCs w:val="20"/>
                  <w:lang w:val="en"/>
                </w:rPr>
                <m:t>number of shares of company-i traded on day t,</m:t>
              </m:r>
            </m:num>
            <m:den>
              <m:r>
                <w:rPr>
                  <w:rFonts w:ascii="Cambria Math" w:eastAsia="Cambria Math" w:hAnsi="Cambria Math" w:cs="Cambria Math"/>
                  <w:sz w:val="20"/>
                  <w:szCs w:val="20"/>
                  <w:lang w:val="en"/>
                </w:rPr>
                <m:t xml:space="preserve"> number of shares of company-i that circulated on day t</m:t>
              </m:r>
            </m:den>
          </m:f>
        </m:oMath>
      </m:oMathPara>
    </w:p>
    <w:p w14:paraId="3B850244" w14:textId="77777777" w:rsidR="008C510F" w:rsidRPr="008C510F" w:rsidRDefault="008C510F" w:rsidP="008C510F">
      <w:pPr>
        <w:numPr>
          <w:ilvl w:val="1"/>
          <w:numId w:val="2"/>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8C510F">
        <w:rPr>
          <w:rFonts w:ascii="Cambria" w:eastAsia="Calibri" w:hAnsi="Cambria" w:cs="Calibri"/>
          <w:b/>
          <w:color w:val="000000"/>
          <w:sz w:val="20"/>
          <w:szCs w:val="20"/>
          <w:lang w:val="en"/>
        </w:rPr>
        <w:t>. Data Processing</w:t>
      </w:r>
    </w:p>
    <w:p w14:paraId="78B4B45B" w14:textId="77777777" w:rsidR="008C510F" w:rsidRPr="008C510F" w:rsidRDefault="008C510F" w:rsidP="008C510F">
      <w:pPr>
        <w:numPr>
          <w:ilvl w:val="0"/>
          <w:numId w:val="14"/>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8C510F">
        <w:rPr>
          <w:rFonts w:ascii="Cambria" w:eastAsia="Calibri" w:hAnsi="Cambria" w:cs="Calibri"/>
          <w:b/>
          <w:color w:val="000000"/>
          <w:sz w:val="20"/>
          <w:szCs w:val="20"/>
          <w:lang w:val="en"/>
        </w:rPr>
        <w:t>Analysis Technique Data</w:t>
      </w:r>
    </w:p>
    <w:p w14:paraId="4777F61A"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proofErr w:type="spellStart"/>
      <w:r w:rsidRPr="008C510F">
        <w:rPr>
          <w:rFonts w:ascii="Cambria" w:eastAsia="Calibri" w:hAnsi="Cambria" w:cs="Calibri"/>
          <w:sz w:val="20"/>
          <w:szCs w:val="20"/>
          <w:lang w:val="en"/>
        </w:rPr>
        <w:t>Methodprocessing</w:t>
      </w:r>
      <w:proofErr w:type="spellEnd"/>
      <w:r w:rsidRPr="008C510F">
        <w:rPr>
          <w:rFonts w:ascii="Cambria" w:eastAsia="Calibri" w:hAnsi="Cambria" w:cs="Calibri"/>
          <w:sz w:val="20"/>
          <w:szCs w:val="20"/>
          <w:lang w:val="en"/>
        </w:rPr>
        <w:t xml:space="preserve"> method is performed using the analysis </w:t>
      </w:r>
      <w:r w:rsidRPr="008C510F">
        <w:rPr>
          <w:rFonts w:ascii="Cambria" w:eastAsia="Calibri" w:hAnsi="Cambria" w:cs="Calibri"/>
          <w:i/>
          <w:sz w:val="20"/>
          <w:szCs w:val="20"/>
          <w:lang w:val="en"/>
        </w:rPr>
        <w:t xml:space="preserve">event study. </w:t>
      </w:r>
      <w:r w:rsidRPr="008C510F">
        <w:rPr>
          <w:rFonts w:ascii="Cambria" w:eastAsia="Calibri" w:hAnsi="Cambria" w:cs="Calibri"/>
          <w:sz w:val="20"/>
          <w:szCs w:val="20"/>
          <w:lang w:val="en"/>
        </w:rPr>
        <w:t xml:space="preserve">In general, the methodology </w:t>
      </w:r>
      <w:r w:rsidRPr="008C510F">
        <w:rPr>
          <w:rFonts w:ascii="Cambria" w:eastAsia="Calibri" w:hAnsi="Cambria" w:cs="Calibri"/>
          <w:i/>
          <w:sz w:val="20"/>
          <w:szCs w:val="20"/>
          <w:lang w:val="en"/>
        </w:rPr>
        <w:t xml:space="preserve">event study </w:t>
      </w:r>
      <w:r w:rsidRPr="008C510F">
        <w:rPr>
          <w:rFonts w:ascii="Cambria" w:eastAsia="Calibri" w:hAnsi="Cambria" w:cs="Calibri"/>
          <w:sz w:val="20"/>
          <w:szCs w:val="20"/>
          <w:lang w:val="en"/>
        </w:rPr>
        <w:t>follows the following procedure (Elton, 1995):</w:t>
      </w:r>
    </w:p>
    <w:p w14:paraId="602924C7"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Collect a sample of companies that have an event that you want to research;</w:t>
      </w:r>
    </w:p>
    <w:p w14:paraId="2574BE43"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 xml:space="preserve">Specifies the exact day or date of the event as </w:t>
      </w:r>
      <w:r w:rsidRPr="008C510F">
        <w:rPr>
          <w:rFonts w:ascii="Cambria" w:eastAsia="Calibri" w:hAnsi="Cambria" w:cs="Calibri"/>
          <w:i/>
          <w:sz w:val="20"/>
          <w:szCs w:val="20"/>
          <w:lang w:val="en"/>
        </w:rPr>
        <w:t xml:space="preserve">event date </w:t>
      </w:r>
      <w:r w:rsidRPr="008C510F">
        <w:rPr>
          <w:rFonts w:ascii="Cambria" w:eastAsia="Calibri" w:hAnsi="Cambria" w:cs="Calibri"/>
          <w:sz w:val="20"/>
          <w:szCs w:val="20"/>
          <w:lang w:val="en"/>
        </w:rPr>
        <w:t>(t</w:t>
      </w:r>
      <w:r w:rsidRPr="008C510F">
        <w:rPr>
          <w:rFonts w:ascii="Cambria" w:eastAsia="Calibri" w:hAnsi="Cambria" w:cs="Calibri"/>
          <w:sz w:val="20"/>
          <w:szCs w:val="20"/>
          <w:vertAlign w:val="subscript"/>
          <w:lang w:val="en"/>
        </w:rPr>
        <w:t>0</w:t>
      </w:r>
      <w:r w:rsidRPr="008C510F">
        <w:rPr>
          <w:rFonts w:ascii="Cambria" w:eastAsia="Calibri" w:hAnsi="Cambria" w:cs="Calibri"/>
          <w:sz w:val="20"/>
          <w:szCs w:val="20"/>
          <w:lang w:val="en"/>
        </w:rPr>
        <w:t>);</w:t>
      </w:r>
    </w:p>
    <w:p w14:paraId="0AB3CD43"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Determine the research period (</w:t>
      </w:r>
      <w:r w:rsidRPr="008C510F">
        <w:rPr>
          <w:rFonts w:ascii="Cambria" w:eastAsia="Calibri" w:hAnsi="Cambria" w:cs="Calibri"/>
          <w:i/>
          <w:sz w:val="20"/>
          <w:szCs w:val="20"/>
          <w:lang w:val="en"/>
        </w:rPr>
        <w:t>event window</w:t>
      </w:r>
      <w:r w:rsidRPr="008C510F">
        <w:rPr>
          <w:rFonts w:ascii="Cambria" w:eastAsia="Calibri" w:hAnsi="Cambria" w:cs="Calibri"/>
          <w:sz w:val="20"/>
          <w:szCs w:val="20"/>
          <w:lang w:val="en"/>
        </w:rPr>
        <w:t>);</w:t>
      </w:r>
    </w:p>
    <w:p w14:paraId="2ED62A4E"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 xml:space="preserve">Observe the </w:t>
      </w:r>
      <w:r w:rsidRPr="008C510F">
        <w:rPr>
          <w:rFonts w:ascii="Cambria" w:eastAsia="Calibri" w:hAnsi="Cambria" w:cs="Calibri"/>
          <w:i/>
          <w:sz w:val="20"/>
          <w:szCs w:val="20"/>
          <w:lang w:val="en"/>
        </w:rPr>
        <w:t xml:space="preserve">return of </w:t>
      </w:r>
      <w:r w:rsidRPr="008C510F">
        <w:rPr>
          <w:rFonts w:ascii="Cambria" w:eastAsia="Calibri" w:hAnsi="Cambria" w:cs="Calibri"/>
          <w:sz w:val="20"/>
          <w:szCs w:val="20"/>
          <w:lang w:val="en"/>
        </w:rPr>
        <w:t>each sample company in each unit period;</w:t>
      </w:r>
    </w:p>
    <w:p w14:paraId="6921B731"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of each company;</w:t>
      </w:r>
    </w:p>
    <w:p w14:paraId="4D7DD03B"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 xml:space="preserve">Calculating the average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for the entire sample in each unit period;</w:t>
      </w:r>
    </w:p>
    <w:p w14:paraId="6EAA43D1" w14:textId="77777777" w:rsidR="008C510F" w:rsidRPr="008C510F" w:rsidRDefault="008C510F" w:rsidP="008C510F">
      <w:pPr>
        <w:numPr>
          <w:ilvl w:val="0"/>
          <w:numId w:val="15"/>
        </w:numPr>
        <w:spacing w:after="0" w:line="240" w:lineRule="auto"/>
        <w:ind w:left="360"/>
        <w:jc w:val="both"/>
        <w:rPr>
          <w:rFonts w:ascii="Cambria" w:eastAsia="Calibri" w:hAnsi="Cambria" w:cs="Calibri"/>
          <w:i/>
          <w:sz w:val="20"/>
          <w:szCs w:val="20"/>
          <w:lang w:val="en"/>
        </w:rPr>
      </w:pPr>
      <w:r w:rsidRPr="008C510F">
        <w:rPr>
          <w:rFonts w:ascii="Cambria" w:eastAsia="Calibri" w:hAnsi="Cambria" w:cs="Calibri"/>
          <w:sz w:val="20"/>
          <w:szCs w:val="20"/>
          <w:lang w:val="en"/>
        </w:rPr>
        <w:t xml:space="preserve">Calculate the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cumulative from the beginning of the period (if needed).</w:t>
      </w:r>
    </w:p>
    <w:p w14:paraId="14F8A7B5"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 model used to estimate </w:t>
      </w:r>
      <w:r w:rsidRPr="008C510F">
        <w:rPr>
          <w:rFonts w:ascii="Cambria" w:eastAsia="Calibri" w:hAnsi="Cambria" w:cs="Calibri"/>
          <w:i/>
          <w:sz w:val="20"/>
          <w:szCs w:val="20"/>
          <w:lang w:val="en"/>
        </w:rPr>
        <w:t xml:space="preserve">returns </w:t>
      </w:r>
      <w:r w:rsidRPr="008C510F">
        <w:rPr>
          <w:rFonts w:ascii="Cambria" w:eastAsia="Calibri" w:hAnsi="Cambria" w:cs="Calibri"/>
          <w:sz w:val="20"/>
          <w:szCs w:val="20"/>
          <w:lang w:val="en"/>
        </w:rPr>
        <w:t xml:space="preserve">expected is the </w:t>
      </w:r>
      <w:r w:rsidRPr="008C510F">
        <w:rPr>
          <w:rFonts w:ascii="Cambria" w:eastAsia="Calibri" w:hAnsi="Cambria" w:cs="Calibri"/>
          <w:i/>
          <w:sz w:val="20"/>
          <w:szCs w:val="20"/>
          <w:lang w:val="en"/>
        </w:rPr>
        <w:t xml:space="preserve">market model. </w:t>
      </w:r>
      <w:r w:rsidRPr="008C510F">
        <w:rPr>
          <w:rFonts w:ascii="Cambria" w:eastAsia="Calibri" w:hAnsi="Cambria" w:cs="Calibri"/>
          <w:sz w:val="20"/>
          <w:szCs w:val="20"/>
          <w:lang w:val="en"/>
        </w:rPr>
        <w:t xml:space="preserve">This model assumes that </w:t>
      </w:r>
      <w:r w:rsidRPr="008C510F">
        <w:rPr>
          <w:rFonts w:ascii="Cambria" w:eastAsia="Calibri" w:hAnsi="Cambria" w:cs="Calibri"/>
          <w:i/>
          <w:sz w:val="20"/>
          <w:szCs w:val="20"/>
          <w:lang w:val="en"/>
        </w:rPr>
        <w:t xml:space="preserve">returns </w:t>
      </w:r>
      <w:r w:rsidRPr="008C510F">
        <w:rPr>
          <w:rFonts w:ascii="Cambria" w:eastAsia="Calibri" w:hAnsi="Cambria" w:cs="Calibri"/>
          <w:sz w:val="20"/>
          <w:szCs w:val="20"/>
          <w:lang w:val="en"/>
        </w:rPr>
        <w:t xml:space="preserve">the expected stock and </w:t>
      </w:r>
      <w:r w:rsidRPr="008C510F">
        <w:rPr>
          <w:rFonts w:ascii="Cambria" w:eastAsia="Calibri" w:hAnsi="Cambria" w:cs="Calibri"/>
          <w:i/>
          <w:sz w:val="20"/>
          <w:szCs w:val="20"/>
          <w:lang w:val="en"/>
        </w:rPr>
        <w:t xml:space="preserve">returns </w:t>
      </w:r>
      <w:r w:rsidRPr="008C510F">
        <w:rPr>
          <w:rFonts w:ascii="Cambria" w:eastAsia="Calibri" w:hAnsi="Cambria" w:cs="Calibri"/>
          <w:sz w:val="20"/>
          <w:szCs w:val="20"/>
          <w:lang w:val="en"/>
        </w:rPr>
        <w:t xml:space="preserve">market have a linear relationship. This model also assumes that the </w:t>
      </w:r>
      <w:r w:rsidRPr="008C510F">
        <w:rPr>
          <w:rFonts w:ascii="Cambria" w:eastAsia="Calibri" w:hAnsi="Cambria" w:cs="Calibri"/>
          <w:i/>
          <w:sz w:val="20"/>
          <w:szCs w:val="20"/>
          <w:lang w:val="en"/>
        </w:rPr>
        <w:t>return</w:t>
      </w:r>
      <w:r w:rsidRPr="008C510F">
        <w:rPr>
          <w:rFonts w:ascii="Cambria" w:eastAsia="Calibri" w:hAnsi="Cambria" w:cs="Calibri"/>
          <w:sz w:val="20"/>
          <w:szCs w:val="20"/>
          <w:lang w:val="en"/>
        </w:rPr>
        <w:t xml:space="preserve"> expected depends only on the systematic risk of the stock in question. The systematic risk of a stock (beta / β) shows how far the fluctuations in </w:t>
      </w:r>
      <w:r w:rsidRPr="008C510F">
        <w:rPr>
          <w:rFonts w:ascii="Cambria" w:eastAsia="Calibri" w:hAnsi="Cambria" w:cs="Calibri"/>
          <w:i/>
          <w:sz w:val="20"/>
          <w:szCs w:val="20"/>
          <w:lang w:val="en"/>
        </w:rPr>
        <w:t xml:space="preserve">returns are </w:t>
      </w:r>
      <w:r w:rsidRPr="008C510F">
        <w:rPr>
          <w:rFonts w:ascii="Cambria" w:eastAsia="Calibri" w:hAnsi="Cambria" w:cs="Calibri"/>
          <w:sz w:val="20"/>
          <w:szCs w:val="20"/>
          <w:lang w:val="en"/>
        </w:rPr>
        <w:t xml:space="preserve">stock influenced by fluctuations in </w:t>
      </w:r>
      <w:r w:rsidRPr="008C510F">
        <w:rPr>
          <w:rFonts w:ascii="Cambria" w:eastAsia="Calibri" w:hAnsi="Cambria" w:cs="Calibri"/>
          <w:i/>
          <w:sz w:val="20"/>
          <w:szCs w:val="20"/>
          <w:lang w:val="en"/>
        </w:rPr>
        <w:t xml:space="preserve">the returns </w:t>
      </w:r>
      <w:r w:rsidRPr="008C510F">
        <w:rPr>
          <w:rFonts w:ascii="Cambria" w:eastAsia="Calibri" w:hAnsi="Cambria" w:cs="Calibri"/>
          <w:sz w:val="20"/>
          <w:szCs w:val="20"/>
          <w:lang w:val="en"/>
        </w:rPr>
        <w:t xml:space="preserve">market. </w:t>
      </w:r>
    </w:p>
    <w:p w14:paraId="22468B1F"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The observation period in this study lasted 41 days, which was divided into an</w:t>
      </w:r>
      <w:r w:rsidRPr="008C510F">
        <w:rPr>
          <w:rFonts w:ascii="Cambria" w:eastAsia="Calibri" w:hAnsi="Cambria" w:cs="Calibri"/>
          <w:i/>
          <w:sz w:val="20"/>
          <w:szCs w:val="20"/>
          <w:lang w:val="en"/>
        </w:rPr>
        <w:t xml:space="preserve"> estimation period</w:t>
      </w:r>
      <w:r w:rsidRPr="008C510F">
        <w:rPr>
          <w:rFonts w:ascii="Cambria" w:eastAsia="Calibri" w:hAnsi="Cambria" w:cs="Calibri"/>
          <w:sz w:val="20"/>
          <w:szCs w:val="20"/>
          <w:lang w:val="en"/>
        </w:rPr>
        <w:t xml:space="preserve"> and an</w:t>
      </w:r>
      <w:r w:rsidRPr="008C510F">
        <w:rPr>
          <w:rFonts w:ascii="Cambria" w:eastAsia="Calibri" w:hAnsi="Cambria" w:cs="Calibri"/>
          <w:i/>
          <w:sz w:val="20"/>
          <w:szCs w:val="20"/>
          <w:lang w:val="en"/>
        </w:rPr>
        <w:t xml:space="preserve"> event window/event period</w:t>
      </w:r>
      <w:r w:rsidRPr="008C510F">
        <w:rPr>
          <w:rFonts w:ascii="Cambria" w:eastAsia="Calibri" w:hAnsi="Cambria" w:cs="Calibri"/>
          <w:sz w:val="20"/>
          <w:szCs w:val="20"/>
          <w:lang w:val="en"/>
        </w:rPr>
        <w:t>. The estimation period used to determine the regression coefficient between α and β is 30 days. The window period is 10 days, consisting of t-5 (</w:t>
      </w:r>
      <w:r w:rsidRPr="008C510F">
        <w:rPr>
          <w:rFonts w:ascii="Cambria" w:eastAsia="Calibri" w:hAnsi="Cambria" w:cs="Calibri"/>
          <w:i/>
          <w:sz w:val="20"/>
          <w:szCs w:val="20"/>
          <w:lang w:val="en"/>
        </w:rPr>
        <w:t>pre-event</w:t>
      </w:r>
      <w:r w:rsidRPr="008C510F">
        <w:rPr>
          <w:rFonts w:ascii="Cambria" w:eastAsia="Calibri" w:hAnsi="Cambria" w:cs="Calibri"/>
          <w:sz w:val="20"/>
          <w:szCs w:val="20"/>
          <w:lang w:val="en"/>
        </w:rPr>
        <w:t>), t0 (</w:t>
      </w:r>
      <w:r w:rsidRPr="008C510F">
        <w:rPr>
          <w:rFonts w:ascii="Cambria" w:eastAsia="Calibri" w:hAnsi="Cambria" w:cs="Calibri"/>
          <w:i/>
          <w:sz w:val="20"/>
          <w:szCs w:val="20"/>
          <w:lang w:val="en"/>
        </w:rPr>
        <w:t>event-day</w:t>
      </w:r>
      <w:r w:rsidRPr="008C510F">
        <w:rPr>
          <w:rFonts w:ascii="Cambria" w:eastAsia="Calibri" w:hAnsi="Cambria" w:cs="Calibri"/>
          <w:sz w:val="20"/>
          <w:szCs w:val="20"/>
          <w:lang w:val="en"/>
        </w:rPr>
        <w:t>), t + 5 (</w:t>
      </w:r>
      <w:r w:rsidRPr="008C510F">
        <w:rPr>
          <w:rFonts w:ascii="Cambria" w:eastAsia="Calibri" w:hAnsi="Cambria" w:cs="Calibri"/>
          <w:i/>
          <w:sz w:val="20"/>
          <w:szCs w:val="20"/>
          <w:lang w:val="en"/>
        </w:rPr>
        <w:t>post-event</w:t>
      </w:r>
      <w:r w:rsidRPr="008C510F">
        <w:rPr>
          <w:rFonts w:ascii="Cambria" w:eastAsia="Calibri" w:hAnsi="Cambria" w:cs="Calibri"/>
          <w:sz w:val="20"/>
          <w:szCs w:val="20"/>
          <w:lang w:val="en"/>
        </w:rPr>
        <w:t>). Determination of the span of the window period in order to avoid</w:t>
      </w:r>
      <w:r w:rsidRPr="008C510F">
        <w:rPr>
          <w:rFonts w:ascii="Cambria" w:eastAsia="Calibri" w:hAnsi="Cambria" w:cs="Calibri"/>
          <w:i/>
          <w:sz w:val="20"/>
          <w:szCs w:val="20"/>
          <w:lang w:val="en"/>
        </w:rPr>
        <w:t xml:space="preserve"> overlapping</w:t>
      </w:r>
      <w:r w:rsidRPr="008C510F">
        <w:rPr>
          <w:rFonts w:ascii="Cambria" w:eastAsia="Calibri" w:hAnsi="Cambria" w:cs="Calibri"/>
          <w:sz w:val="20"/>
          <w:szCs w:val="20"/>
          <w:lang w:val="en"/>
        </w:rPr>
        <w:t xml:space="preserve"> between one event window </w:t>
      </w:r>
      <w:proofErr w:type="gramStart"/>
      <w:r w:rsidRPr="008C510F">
        <w:rPr>
          <w:rFonts w:ascii="Cambria" w:eastAsia="Calibri" w:hAnsi="Cambria" w:cs="Calibri"/>
          <w:sz w:val="20"/>
          <w:szCs w:val="20"/>
          <w:lang w:val="en"/>
        </w:rPr>
        <w:t>period</w:t>
      </w:r>
      <w:proofErr w:type="gramEnd"/>
      <w:r w:rsidRPr="008C510F">
        <w:rPr>
          <w:rFonts w:ascii="Cambria" w:eastAsia="Calibri" w:hAnsi="Cambria" w:cs="Calibri"/>
          <w:sz w:val="20"/>
          <w:szCs w:val="20"/>
          <w:lang w:val="en"/>
        </w:rPr>
        <w:t xml:space="preserve"> with another. </w:t>
      </w:r>
      <w:proofErr w:type="spellStart"/>
      <w:r w:rsidRPr="008C510F">
        <w:rPr>
          <w:rFonts w:ascii="Cambria" w:eastAsia="Calibri" w:hAnsi="Cambria" w:cs="Calibri"/>
          <w:sz w:val="20"/>
          <w:szCs w:val="20"/>
          <w:lang w:val="en"/>
        </w:rPr>
        <w:t>Jogiyanto</w:t>
      </w:r>
      <w:proofErr w:type="spellEnd"/>
      <w:r w:rsidRPr="008C510F">
        <w:rPr>
          <w:rFonts w:ascii="Cambria" w:eastAsia="Calibri" w:hAnsi="Cambria" w:cs="Calibri"/>
          <w:sz w:val="20"/>
          <w:szCs w:val="20"/>
          <w:lang w:val="en"/>
        </w:rPr>
        <w:t xml:space="preserve"> (2017, 22) states that the window period should not be too long or too short in order to be able to fully capture events and minimize</w:t>
      </w:r>
      <w:r w:rsidRPr="008C510F">
        <w:rPr>
          <w:rFonts w:ascii="Cambria" w:eastAsia="Calibri" w:hAnsi="Cambria" w:cs="Calibri"/>
          <w:i/>
          <w:sz w:val="20"/>
          <w:szCs w:val="20"/>
          <w:lang w:val="en"/>
        </w:rPr>
        <w:t xml:space="preserve"> confounding effects</w:t>
      </w:r>
      <w:r w:rsidRPr="008C510F">
        <w:rPr>
          <w:rFonts w:ascii="Cambria" w:eastAsia="Calibri" w:hAnsi="Cambria" w:cs="Calibri"/>
          <w:sz w:val="20"/>
          <w:szCs w:val="20"/>
          <w:lang w:val="en"/>
        </w:rPr>
        <w:t>.</w:t>
      </w:r>
    </w:p>
    <w:p w14:paraId="0753D8DD" w14:textId="77777777" w:rsidR="008C510F" w:rsidRPr="008C510F" w:rsidRDefault="008C510F" w:rsidP="008C510F">
      <w:pPr>
        <w:numPr>
          <w:ilvl w:val="0"/>
          <w:numId w:val="14"/>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8C510F">
        <w:rPr>
          <w:rFonts w:ascii="Cambria" w:eastAsia="Calibri" w:hAnsi="Cambria" w:cs="Calibri"/>
          <w:b/>
          <w:color w:val="000000"/>
          <w:sz w:val="20"/>
          <w:szCs w:val="20"/>
          <w:lang w:val="en"/>
        </w:rPr>
        <w:t>Data Normality</w:t>
      </w:r>
    </w:p>
    <w:p w14:paraId="36B35D65"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Test </w:t>
      </w:r>
      <w:proofErr w:type="gramStart"/>
      <w:r w:rsidRPr="008C510F">
        <w:rPr>
          <w:rFonts w:ascii="Cambria" w:eastAsia="Calibri" w:hAnsi="Cambria" w:cs="Calibri"/>
          <w:sz w:val="20"/>
          <w:szCs w:val="20"/>
          <w:lang w:val="en"/>
        </w:rPr>
        <w:t>The</w:t>
      </w:r>
      <w:proofErr w:type="gramEnd"/>
      <w:r w:rsidRPr="008C510F">
        <w:rPr>
          <w:rFonts w:ascii="Cambria" w:eastAsia="Calibri" w:hAnsi="Cambria" w:cs="Calibri"/>
          <w:sz w:val="20"/>
          <w:szCs w:val="20"/>
          <w:lang w:val="en"/>
        </w:rPr>
        <w:t xml:space="preserve"> data normality test aims to determine the statistical test that will be used in the study. If the data used is normally distributed, the test is carried out with the parametric </w:t>
      </w:r>
      <w:r w:rsidRPr="008C510F">
        <w:rPr>
          <w:rFonts w:ascii="Cambria" w:eastAsia="Calibri" w:hAnsi="Cambria" w:cs="Calibri"/>
          <w:i/>
          <w:sz w:val="20"/>
          <w:szCs w:val="20"/>
          <w:lang w:val="en"/>
        </w:rPr>
        <w:t xml:space="preserve">one-sample t-test. </w:t>
      </w:r>
      <w:r w:rsidRPr="008C510F">
        <w:rPr>
          <w:rFonts w:ascii="Cambria" w:eastAsia="Calibri" w:hAnsi="Cambria" w:cs="Calibri"/>
          <w:sz w:val="20"/>
          <w:szCs w:val="20"/>
          <w:lang w:val="en"/>
        </w:rPr>
        <w:t xml:space="preserve">If the data used is not normally distributed, the test used is the nonparametric test. The normality test used is the </w:t>
      </w:r>
      <w:r w:rsidRPr="008C510F">
        <w:rPr>
          <w:rFonts w:ascii="Cambria" w:eastAsia="Calibri" w:hAnsi="Cambria" w:cs="Calibri"/>
          <w:i/>
          <w:sz w:val="20"/>
          <w:szCs w:val="20"/>
          <w:lang w:val="en"/>
        </w:rPr>
        <w:t xml:space="preserve">Kolmogorov-Smirnov test. </w:t>
      </w:r>
      <w:r w:rsidRPr="008C510F">
        <w:rPr>
          <w:rFonts w:ascii="Cambria" w:eastAsia="Calibri" w:hAnsi="Cambria" w:cs="Calibri"/>
          <w:sz w:val="20"/>
          <w:szCs w:val="20"/>
          <w:lang w:val="en"/>
        </w:rPr>
        <w:t>With this test, it can be seen whether the observed sample value is in accordance with a certain distribution. Criteria that can be used is through a</w:t>
      </w:r>
      <w:r w:rsidRPr="008C510F">
        <w:rPr>
          <w:rFonts w:ascii="Cambria" w:eastAsia="Calibri" w:hAnsi="Cambria" w:cs="Calibri"/>
          <w:i/>
          <w:sz w:val="20"/>
          <w:szCs w:val="20"/>
          <w:lang w:val="en"/>
        </w:rPr>
        <w:t xml:space="preserve"> two-tailed test</w:t>
      </w:r>
      <w:r w:rsidRPr="008C510F">
        <w:rPr>
          <w:rFonts w:ascii="Cambria" w:eastAsia="Calibri" w:hAnsi="Cambria" w:cs="Calibri"/>
          <w:sz w:val="20"/>
          <w:szCs w:val="20"/>
          <w:lang w:val="en"/>
        </w:rPr>
        <w:t>, namely by comparing the p-value obtained with a predetermined significance level. If the p-value is&gt; 0.05, the data is normally distributed and if the p-value is &lt;0.05, the data is not normally distributed.</w:t>
      </w:r>
    </w:p>
    <w:p w14:paraId="1A12ADA2" w14:textId="77777777" w:rsidR="008C510F" w:rsidRPr="008C510F" w:rsidRDefault="008C510F" w:rsidP="008C510F">
      <w:pPr>
        <w:numPr>
          <w:ilvl w:val="0"/>
          <w:numId w:val="14"/>
        </w:numPr>
        <w:pBdr>
          <w:top w:val="nil"/>
          <w:left w:val="nil"/>
          <w:bottom w:val="nil"/>
          <w:right w:val="nil"/>
          <w:between w:val="nil"/>
        </w:pBdr>
        <w:spacing w:after="0" w:line="240" w:lineRule="auto"/>
        <w:ind w:left="360"/>
        <w:rPr>
          <w:rFonts w:ascii="Cambria" w:eastAsia="Calibri" w:hAnsi="Cambria" w:cs="Calibri"/>
          <w:color w:val="000000"/>
          <w:sz w:val="20"/>
          <w:szCs w:val="20"/>
          <w:lang w:val="en"/>
        </w:rPr>
      </w:pPr>
      <w:r w:rsidRPr="008C510F">
        <w:rPr>
          <w:rFonts w:ascii="Cambria" w:eastAsia="Calibri" w:hAnsi="Cambria" w:cs="Calibri"/>
          <w:b/>
          <w:color w:val="000000"/>
          <w:sz w:val="20"/>
          <w:szCs w:val="20"/>
          <w:lang w:val="en"/>
        </w:rPr>
        <w:t>Hypothesis Testing The</w:t>
      </w:r>
    </w:p>
    <w:p w14:paraId="599BCD55"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proofErr w:type="gramStart"/>
      <w:r w:rsidRPr="008C510F">
        <w:rPr>
          <w:rFonts w:ascii="Cambria" w:eastAsia="Calibri" w:hAnsi="Cambria" w:cs="Calibri"/>
          <w:sz w:val="20"/>
          <w:szCs w:val="20"/>
          <w:lang w:val="en"/>
        </w:rPr>
        <w:t>hypotheses</w:t>
      </w:r>
      <w:proofErr w:type="gramEnd"/>
      <w:r w:rsidRPr="008C510F">
        <w:rPr>
          <w:rFonts w:ascii="Cambria" w:eastAsia="Calibri" w:hAnsi="Cambria" w:cs="Calibri"/>
          <w:sz w:val="20"/>
          <w:szCs w:val="20"/>
          <w:lang w:val="en"/>
        </w:rPr>
        <w:t xml:space="preserve"> in this study can be formulated as follows.</w:t>
      </w:r>
    </w:p>
    <w:tbl>
      <w:tblPr>
        <w:tblW w:w="9090" w:type="dxa"/>
        <w:tblLayout w:type="fixed"/>
        <w:tblLook w:val="0400" w:firstRow="0" w:lastRow="0" w:firstColumn="0" w:lastColumn="0" w:noHBand="0" w:noVBand="1"/>
      </w:tblPr>
      <w:tblGrid>
        <w:gridCol w:w="535"/>
        <w:gridCol w:w="283"/>
        <w:gridCol w:w="8272"/>
      </w:tblGrid>
      <w:tr w:rsidR="008C510F" w:rsidRPr="008C510F" w14:paraId="5CCF54C1" w14:textId="77777777" w:rsidTr="004D1711">
        <w:tc>
          <w:tcPr>
            <w:tcW w:w="535" w:type="dxa"/>
          </w:tcPr>
          <w:p w14:paraId="49211989"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H</w:t>
            </w:r>
            <w:r w:rsidRPr="008C510F">
              <w:rPr>
                <w:rFonts w:ascii="Cambria" w:eastAsia="Calibri" w:hAnsi="Cambria" w:cs="Calibri"/>
                <w:sz w:val="20"/>
                <w:szCs w:val="20"/>
                <w:vertAlign w:val="subscript"/>
                <w:lang w:val="en"/>
              </w:rPr>
              <w:t>1</w:t>
            </w:r>
          </w:p>
        </w:tc>
        <w:tc>
          <w:tcPr>
            <w:tcW w:w="283" w:type="dxa"/>
          </w:tcPr>
          <w:p w14:paraId="15DD6694"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8272" w:type="dxa"/>
          </w:tcPr>
          <w:p w14:paraId="69B4EC04"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There is an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around the event of the ratification of the State Budget (APBN).</w:t>
            </w:r>
          </w:p>
        </w:tc>
      </w:tr>
      <w:tr w:rsidR="008C510F" w:rsidRPr="008C510F" w14:paraId="4A85BC6D" w14:textId="77777777" w:rsidTr="004D1711">
        <w:tc>
          <w:tcPr>
            <w:tcW w:w="535" w:type="dxa"/>
          </w:tcPr>
          <w:p w14:paraId="18F36142"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H</w:t>
            </w:r>
            <w:r w:rsidRPr="008C510F">
              <w:rPr>
                <w:rFonts w:ascii="Cambria" w:eastAsia="Calibri" w:hAnsi="Cambria" w:cs="Calibri"/>
                <w:sz w:val="20"/>
                <w:szCs w:val="20"/>
                <w:vertAlign w:val="subscript"/>
                <w:lang w:val="en"/>
              </w:rPr>
              <w:t>2</w:t>
            </w:r>
          </w:p>
        </w:tc>
        <w:tc>
          <w:tcPr>
            <w:tcW w:w="283" w:type="dxa"/>
          </w:tcPr>
          <w:p w14:paraId="4BE6DF17"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8272" w:type="dxa"/>
          </w:tcPr>
          <w:p w14:paraId="73096572"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There is a difference in the average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before and after the event of the ratification of the State Revenue and Expenditure Budget (APBN).</w:t>
            </w:r>
          </w:p>
        </w:tc>
      </w:tr>
      <w:tr w:rsidR="008C510F" w:rsidRPr="008C510F" w14:paraId="3B0EEDB6" w14:textId="77777777" w:rsidTr="004D1711">
        <w:tc>
          <w:tcPr>
            <w:tcW w:w="535" w:type="dxa"/>
          </w:tcPr>
          <w:p w14:paraId="079A7EBD"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H</w:t>
            </w:r>
            <w:r w:rsidRPr="008C510F">
              <w:rPr>
                <w:rFonts w:ascii="Cambria" w:eastAsia="Calibri" w:hAnsi="Cambria" w:cs="Calibri"/>
                <w:sz w:val="20"/>
                <w:szCs w:val="20"/>
                <w:vertAlign w:val="subscript"/>
                <w:lang w:val="en"/>
              </w:rPr>
              <w:t>3</w:t>
            </w:r>
          </w:p>
        </w:tc>
        <w:tc>
          <w:tcPr>
            <w:tcW w:w="283" w:type="dxa"/>
          </w:tcPr>
          <w:p w14:paraId="4CFCC3AB"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w:t>
            </w:r>
          </w:p>
        </w:tc>
        <w:tc>
          <w:tcPr>
            <w:tcW w:w="8272" w:type="dxa"/>
          </w:tcPr>
          <w:p w14:paraId="17EB5B01"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There is a difference in the average</w:t>
            </w:r>
            <w:r w:rsidRPr="008C510F">
              <w:rPr>
                <w:rFonts w:ascii="Cambria" w:eastAsia="Calibri" w:hAnsi="Cambria" w:cs="Calibri"/>
                <w:i/>
                <w:sz w:val="20"/>
                <w:szCs w:val="20"/>
                <w:lang w:val="en"/>
              </w:rPr>
              <w:t xml:space="preserve"> trading volume activity</w:t>
            </w:r>
            <w:r w:rsidRPr="008C510F">
              <w:rPr>
                <w:rFonts w:ascii="Cambria" w:eastAsia="Calibri" w:hAnsi="Cambria" w:cs="Calibri"/>
                <w:sz w:val="20"/>
                <w:szCs w:val="20"/>
                <w:lang w:val="en"/>
              </w:rPr>
              <w:t xml:space="preserve"> before and after the event of the ratification of the State Revenue and Expenditure Budget (APBN).</w:t>
            </w:r>
          </w:p>
        </w:tc>
      </w:tr>
    </w:tbl>
    <w:p w14:paraId="46C2295F"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 three hypotheses can be accepted if </w:t>
      </w:r>
      <w:r w:rsidRPr="008C510F">
        <w:rPr>
          <w:rFonts w:ascii="Cambria" w:eastAsia="Calibri" w:hAnsi="Cambria" w:cs="Calibri"/>
          <w:sz w:val="20"/>
          <w:szCs w:val="20"/>
          <w:vertAlign w:val="subscript"/>
          <w:lang w:val="en"/>
        </w:rPr>
        <w:t>count</w:t>
      </w:r>
      <w:r w:rsidRPr="008C510F">
        <w:rPr>
          <w:rFonts w:ascii="Cambria" w:eastAsia="Calibri" w:hAnsi="Cambria" w:cs="Calibri"/>
          <w:sz w:val="20"/>
          <w:szCs w:val="20"/>
          <w:lang w:val="en"/>
        </w:rPr>
        <w:t xml:space="preserve"> &gt; </w:t>
      </w:r>
      <w:r w:rsidRPr="008C510F">
        <w:rPr>
          <w:rFonts w:ascii="Cambria" w:eastAsia="Calibri" w:hAnsi="Cambria" w:cs="Calibri"/>
          <w:sz w:val="20"/>
          <w:szCs w:val="20"/>
          <w:vertAlign w:val="subscript"/>
          <w:lang w:val="en"/>
        </w:rPr>
        <w:t xml:space="preserve">table </w:t>
      </w:r>
      <w:r w:rsidRPr="008C510F">
        <w:rPr>
          <w:rFonts w:ascii="Cambria" w:eastAsia="Calibri" w:hAnsi="Cambria" w:cs="Calibri"/>
          <w:sz w:val="20"/>
          <w:szCs w:val="20"/>
          <w:lang w:val="en"/>
        </w:rPr>
        <w:t>or probability &lt;0.05. Testing for each of these hypotheses can be done through the following stages.</w:t>
      </w:r>
    </w:p>
    <w:p w14:paraId="21B9FB94" w14:textId="77777777" w:rsidR="008C510F" w:rsidRPr="008C510F" w:rsidRDefault="008C510F" w:rsidP="008C510F">
      <w:pPr>
        <w:numPr>
          <w:ilvl w:val="0"/>
          <w:numId w:val="8"/>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Hypothesis I</w:t>
      </w:r>
    </w:p>
    <w:p w14:paraId="76F51CFA"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The stages to test whether there is an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at the time of the event are as follows (</w:t>
      </w:r>
      <w:proofErr w:type="spellStart"/>
      <w:r w:rsidRPr="008C510F">
        <w:rPr>
          <w:rFonts w:ascii="Cambria" w:eastAsia="Calibri" w:hAnsi="Cambria" w:cs="Calibri"/>
          <w:sz w:val="20"/>
          <w:szCs w:val="20"/>
          <w:lang w:val="en"/>
        </w:rPr>
        <w:t>Jogiyanto</w:t>
      </w:r>
      <w:proofErr w:type="spellEnd"/>
      <w:r w:rsidRPr="008C510F">
        <w:rPr>
          <w:rFonts w:ascii="Cambria" w:eastAsia="Calibri" w:hAnsi="Cambria" w:cs="Calibri"/>
          <w:sz w:val="20"/>
          <w:szCs w:val="20"/>
          <w:lang w:val="en"/>
        </w:rPr>
        <w:t>, 2010).</w:t>
      </w:r>
    </w:p>
    <w:p w14:paraId="34659636"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the real(actual return)per share</w:t>
      </w:r>
    </w:p>
    <w:p w14:paraId="384064F8"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is actually a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that occurs when all of the difference </w:t>
      </w:r>
      <w:proofErr w:type="spellStart"/>
      <w:r w:rsidRPr="008C510F">
        <w:rPr>
          <w:rFonts w:ascii="Cambria" w:eastAsia="Calibri" w:hAnsi="Cambria" w:cs="Calibri"/>
          <w:sz w:val="20"/>
          <w:szCs w:val="20"/>
          <w:lang w:val="en"/>
        </w:rPr>
        <w:t>t</w:t>
      </w:r>
      <w:proofErr w:type="spellEnd"/>
      <w:r w:rsidRPr="008C510F">
        <w:rPr>
          <w:rFonts w:ascii="Cambria" w:eastAsia="Calibri" w:hAnsi="Cambria" w:cs="Calibri"/>
          <w:sz w:val="20"/>
          <w:szCs w:val="20"/>
          <w:lang w:val="en"/>
        </w:rPr>
        <w:t xml:space="preserve"> current prices relative to the previous price. If the current price (P</w:t>
      </w:r>
      <w:r w:rsidRPr="008C510F">
        <w:rPr>
          <w:rFonts w:ascii="Cambria" w:eastAsia="Calibri" w:hAnsi="Cambria" w:cs="Calibri"/>
          <w:sz w:val="20"/>
          <w:szCs w:val="20"/>
          <w:vertAlign w:val="subscript"/>
          <w:lang w:val="en"/>
        </w:rPr>
        <w:t>t</w:t>
      </w:r>
      <w:r w:rsidRPr="008C510F">
        <w:rPr>
          <w:rFonts w:ascii="Cambria" w:eastAsia="Calibri" w:hAnsi="Cambria" w:cs="Calibri"/>
          <w:sz w:val="20"/>
          <w:szCs w:val="20"/>
          <w:lang w:val="en"/>
        </w:rPr>
        <w:t>) is higher than the price of the previous period (P</w:t>
      </w:r>
      <w:r w:rsidRPr="008C510F">
        <w:rPr>
          <w:rFonts w:ascii="Cambria" w:eastAsia="Calibri" w:hAnsi="Cambria" w:cs="Calibri"/>
          <w:sz w:val="20"/>
          <w:szCs w:val="20"/>
          <w:vertAlign w:val="subscript"/>
          <w:lang w:val="en"/>
        </w:rPr>
        <w:t>t-1</w:t>
      </w:r>
      <w:r w:rsidRPr="008C510F">
        <w:rPr>
          <w:rFonts w:ascii="Cambria" w:eastAsia="Calibri" w:hAnsi="Cambria" w:cs="Calibri"/>
          <w:sz w:val="20"/>
          <w:szCs w:val="20"/>
          <w:lang w:val="en"/>
        </w:rPr>
        <w:t>), there will be a</w:t>
      </w:r>
      <w:r w:rsidRPr="008C510F">
        <w:rPr>
          <w:rFonts w:ascii="Cambria" w:eastAsia="Calibri" w:hAnsi="Cambria" w:cs="Calibri"/>
          <w:i/>
          <w:sz w:val="20"/>
          <w:szCs w:val="20"/>
          <w:lang w:val="en"/>
        </w:rPr>
        <w:t>gain</w:t>
      </w:r>
      <w:r w:rsidRPr="008C510F">
        <w:rPr>
          <w:rFonts w:ascii="Cambria" w:eastAsia="Calibri" w:hAnsi="Cambria" w:cs="Calibri"/>
          <w:sz w:val="20"/>
          <w:szCs w:val="20"/>
          <w:lang w:val="en"/>
        </w:rPr>
        <w:t>. Conversely, the loss (</w:t>
      </w:r>
      <w:r w:rsidRPr="008C510F">
        <w:rPr>
          <w:rFonts w:ascii="Cambria" w:eastAsia="Calibri" w:hAnsi="Cambria" w:cs="Calibri"/>
          <w:i/>
          <w:sz w:val="20"/>
          <w:szCs w:val="20"/>
          <w:lang w:val="en"/>
        </w:rPr>
        <w:t>loss</w:t>
      </w:r>
      <w:r w:rsidRPr="008C510F">
        <w:rPr>
          <w:rFonts w:ascii="Cambria" w:eastAsia="Calibri" w:hAnsi="Cambria" w:cs="Calibri"/>
          <w:sz w:val="20"/>
          <w:szCs w:val="20"/>
          <w:lang w:val="en"/>
        </w:rPr>
        <w:t>) occurs when the current price (P</w:t>
      </w:r>
      <w:r w:rsidRPr="008C510F">
        <w:rPr>
          <w:rFonts w:ascii="Cambria" w:eastAsia="Calibri" w:hAnsi="Cambria" w:cs="Calibri"/>
          <w:sz w:val="20"/>
          <w:szCs w:val="20"/>
          <w:vertAlign w:val="subscript"/>
          <w:lang w:val="en"/>
        </w:rPr>
        <w:t>t</w:t>
      </w:r>
      <w:r w:rsidRPr="008C510F">
        <w:rPr>
          <w:rFonts w:ascii="Cambria" w:eastAsia="Calibri" w:hAnsi="Cambria" w:cs="Calibri"/>
          <w:sz w:val="20"/>
          <w:szCs w:val="20"/>
          <w:lang w:val="en"/>
        </w:rPr>
        <w:t>) is lower than the price of the previous period (P</w:t>
      </w:r>
      <w:r w:rsidRPr="008C510F">
        <w:rPr>
          <w:rFonts w:ascii="Cambria" w:eastAsia="Calibri" w:hAnsi="Cambria" w:cs="Calibri"/>
          <w:sz w:val="20"/>
          <w:szCs w:val="20"/>
          <w:vertAlign w:val="subscript"/>
          <w:lang w:val="en"/>
        </w:rPr>
        <w:t>t-1</w:t>
      </w:r>
      <w:r w:rsidRPr="008C510F">
        <w:rPr>
          <w:rFonts w:ascii="Cambria" w:eastAsia="Calibri" w:hAnsi="Cambria" w:cs="Calibri"/>
          <w:sz w:val="20"/>
          <w:szCs w:val="20"/>
          <w:lang w:val="en"/>
        </w:rPr>
        <w:t>).</w:t>
      </w:r>
    </w:p>
    <w:p w14:paraId="196E3F49"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market</w:t>
      </w:r>
    </w:p>
    <w:p w14:paraId="357E880C"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In this study, the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market used is to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the LQ45 index. The calculation is done by calculating the difference between the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indexes</w:t>
      </w:r>
      <w:r w:rsidRPr="008C510F">
        <w:rPr>
          <w:rFonts w:ascii="Cambria" w:eastAsia="Calibri" w:hAnsi="Cambria" w:cs="Calibri"/>
          <w:i/>
          <w:sz w:val="20"/>
          <w:szCs w:val="20"/>
          <w:lang w:val="en"/>
        </w:rPr>
        <w:t xml:space="preserve"> </w:t>
      </w:r>
      <w:r w:rsidRPr="008C510F">
        <w:rPr>
          <w:rFonts w:ascii="Cambria" w:eastAsia="Calibri" w:hAnsi="Cambria" w:cs="Calibri"/>
          <w:sz w:val="20"/>
          <w:szCs w:val="20"/>
          <w:lang w:val="en"/>
        </w:rPr>
        <w:t xml:space="preserve">now with </w:t>
      </w:r>
      <w:r w:rsidRPr="008C510F">
        <w:rPr>
          <w:rFonts w:ascii="Cambria" w:eastAsia="Calibri" w:hAnsi="Cambria" w:cs="Calibri"/>
          <w:i/>
          <w:sz w:val="20"/>
          <w:szCs w:val="20"/>
          <w:lang w:val="en"/>
        </w:rPr>
        <w:t>return</w:t>
      </w:r>
      <w:r w:rsidRPr="008C510F">
        <w:rPr>
          <w:rFonts w:ascii="Cambria" w:eastAsia="Calibri" w:hAnsi="Cambria" w:cs="Calibri"/>
          <w:sz w:val="20"/>
          <w:szCs w:val="20"/>
          <w:lang w:val="en"/>
        </w:rPr>
        <w:t xml:space="preserve"> the period index</w:t>
      </w:r>
      <w:r w:rsidRPr="008C510F">
        <w:rPr>
          <w:rFonts w:ascii="Cambria" w:eastAsia="Calibri" w:hAnsi="Cambria" w:cs="Calibri"/>
          <w:i/>
          <w:sz w:val="20"/>
          <w:szCs w:val="20"/>
          <w:lang w:val="en"/>
        </w:rPr>
        <w:t xml:space="preserve"> </w:t>
      </w:r>
      <w:r w:rsidRPr="008C510F">
        <w:rPr>
          <w:rFonts w:ascii="Cambria" w:eastAsia="Calibri" w:hAnsi="Cambria" w:cs="Calibri"/>
          <w:sz w:val="20"/>
          <w:szCs w:val="20"/>
          <w:lang w:val="en"/>
        </w:rPr>
        <w:t xml:space="preserve">previous against the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period index of the previous period.</w:t>
      </w:r>
    </w:p>
    <w:p w14:paraId="5235F47F"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Regressing </w:t>
      </w:r>
      <w:r w:rsidRPr="008C510F">
        <w:rPr>
          <w:rFonts w:ascii="Cambria" w:eastAsia="Calibri" w:hAnsi="Cambria" w:cs="Calibri"/>
          <w:i/>
          <w:sz w:val="20"/>
          <w:szCs w:val="20"/>
          <w:lang w:val="en"/>
        </w:rPr>
        <w:t xml:space="preserve">returns </w:t>
      </w:r>
      <w:r w:rsidRPr="008C510F">
        <w:rPr>
          <w:rFonts w:ascii="Cambria" w:eastAsia="Calibri" w:hAnsi="Cambria" w:cs="Calibri"/>
          <w:sz w:val="20"/>
          <w:szCs w:val="20"/>
          <w:lang w:val="en"/>
        </w:rPr>
        <w:t xml:space="preserve">daily stock to </w:t>
      </w:r>
      <w:r w:rsidRPr="008C510F">
        <w:rPr>
          <w:rFonts w:ascii="Cambria" w:eastAsia="Calibri" w:hAnsi="Cambria" w:cs="Calibri"/>
          <w:i/>
          <w:sz w:val="20"/>
          <w:szCs w:val="20"/>
          <w:lang w:val="en"/>
        </w:rPr>
        <w:t xml:space="preserve">returns </w:t>
      </w:r>
      <w:r w:rsidRPr="008C510F">
        <w:rPr>
          <w:rFonts w:ascii="Cambria" w:eastAsia="Calibri" w:hAnsi="Cambria" w:cs="Calibri"/>
          <w:sz w:val="20"/>
          <w:szCs w:val="20"/>
          <w:lang w:val="en"/>
        </w:rPr>
        <w:t xml:space="preserve">market </w:t>
      </w:r>
    </w:p>
    <w:p w14:paraId="7AF1988E"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proofErr w:type="gramStart"/>
      <w:r w:rsidRPr="008C510F">
        <w:rPr>
          <w:rFonts w:ascii="Cambria" w:eastAsia="Calibri" w:hAnsi="Cambria" w:cs="Calibri"/>
          <w:sz w:val="20"/>
          <w:szCs w:val="20"/>
          <w:lang w:val="en"/>
        </w:rPr>
        <w:lastRenderedPageBreak/>
        <w:t>regression</w:t>
      </w:r>
      <w:proofErr w:type="gramEnd"/>
      <w:r w:rsidRPr="008C510F">
        <w:rPr>
          <w:rFonts w:ascii="Cambria" w:eastAsia="Calibri" w:hAnsi="Cambria" w:cs="Calibri"/>
          <w:sz w:val="20"/>
          <w:szCs w:val="20"/>
          <w:lang w:val="en"/>
        </w:rPr>
        <w:t xml:space="preserve"> was performed to obtain the value of α and β for each stock that subsequently entered into the regression equation to obtain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 xml:space="preserve">the expected(expected return). </w:t>
      </w:r>
    </w:p>
    <w:p w14:paraId="2176796C"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Calculate </w:t>
      </w:r>
      <w:r w:rsidRPr="008C510F">
        <w:rPr>
          <w:rFonts w:ascii="Cambria" w:eastAsia="Calibri" w:hAnsi="Cambria" w:cs="Calibri"/>
          <w:i/>
          <w:sz w:val="20"/>
          <w:szCs w:val="20"/>
          <w:lang w:val="en"/>
        </w:rPr>
        <w:t xml:space="preserve">the abnormal return </w:t>
      </w:r>
      <w:r w:rsidRPr="008C510F">
        <w:rPr>
          <w:rFonts w:ascii="Cambria" w:eastAsia="Calibri" w:hAnsi="Cambria" w:cs="Calibri"/>
          <w:sz w:val="20"/>
          <w:szCs w:val="20"/>
          <w:lang w:val="en"/>
        </w:rPr>
        <w:t>of each stock</w:t>
      </w:r>
    </w:p>
    <w:p w14:paraId="591CE532"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 xml:space="preserve">is the difference between </w:t>
      </w:r>
      <w:r w:rsidRPr="008C510F">
        <w:rPr>
          <w:rFonts w:ascii="Cambria" w:eastAsia="Calibri" w:hAnsi="Cambria" w:cs="Calibri"/>
          <w:i/>
          <w:sz w:val="20"/>
          <w:szCs w:val="20"/>
          <w:lang w:val="en"/>
        </w:rPr>
        <w:t xml:space="preserve">returns </w:t>
      </w:r>
      <w:proofErr w:type="gramStart"/>
      <w:r w:rsidRPr="008C510F">
        <w:rPr>
          <w:rFonts w:ascii="Cambria" w:eastAsia="Calibri" w:hAnsi="Cambria" w:cs="Calibri"/>
          <w:sz w:val="20"/>
          <w:szCs w:val="20"/>
          <w:lang w:val="en"/>
        </w:rPr>
        <w:t>actual(</w:t>
      </w:r>
      <w:proofErr w:type="gramEnd"/>
      <w:r w:rsidRPr="008C510F">
        <w:rPr>
          <w:rFonts w:ascii="Cambria" w:eastAsia="Calibri" w:hAnsi="Cambria" w:cs="Calibri"/>
          <w:sz w:val="20"/>
          <w:szCs w:val="20"/>
          <w:lang w:val="en"/>
        </w:rPr>
        <w:t>actual return)</w:t>
      </w:r>
      <w:r w:rsidRPr="008C510F">
        <w:rPr>
          <w:rFonts w:ascii="Cambria" w:eastAsia="Calibri" w:hAnsi="Cambria" w:cs="Calibri"/>
          <w:i/>
          <w:sz w:val="20"/>
          <w:szCs w:val="20"/>
          <w:lang w:val="en"/>
        </w:rPr>
        <w:t xml:space="preserve"> </w:t>
      </w:r>
      <w:r w:rsidRPr="008C510F">
        <w:rPr>
          <w:rFonts w:ascii="Cambria" w:eastAsia="Calibri" w:hAnsi="Cambria" w:cs="Calibri"/>
          <w:sz w:val="20"/>
          <w:szCs w:val="20"/>
          <w:lang w:val="en"/>
        </w:rPr>
        <w:t xml:space="preserve">which occurred with </w:t>
      </w:r>
      <w:r w:rsidRPr="008C510F">
        <w:rPr>
          <w:rFonts w:ascii="Cambria" w:eastAsia="Calibri" w:hAnsi="Cambria" w:cs="Calibri"/>
          <w:i/>
          <w:sz w:val="20"/>
          <w:szCs w:val="20"/>
          <w:lang w:val="en"/>
        </w:rPr>
        <w:t xml:space="preserve">return </w:t>
      </w:r>
      <w:r w:rsidRPr="008C510F">
        <w:rPr>
          <w:rFonts w:ascii="Cambria" w:eastAsia="Calibri" w:hAnsi="Cambria" w:cs="Calibri"/>
          <w:sz w:val="20"/>
          <w:szCs w:val="20"/>
          <w:lang w:val="en"/>
        </w:rPr>
        <w:t>the expected(expected return).</w:t>
      </w:r>
    </w:p>
    <w:p w14:paraId="44919B83"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 xml:space="preserve">cumulative abnormal return for </w:t>
      </w:r>
      <w:r w:rsidRPr="008C510F">
        <w:rPr>
          <w:rFonts w:ascii="Cambria" w:eastAsia="Calibri" w:hAnsi="Cambria" w:cs="Calibri"/>
          <w:sz w:val="20"/>
          <w:szCs w:val="20"/>
          <w:lang w:val="en"/>
        </w:rPr>
        <w:t>each share.</w:t>
      </w:r>
    </w:p>
    <w:p w14:paraId="2107BD18"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i/>
          <w:sz w:val="20"/>
          <w:szCs w:val="20"/>
          <w:lang w:val="en"/>
        </w:rPr>
        <w:t xml:space="preserve">Cumulative abnormal return </w:t>
      </w:r>
      <w:r w:rsidRPr="008C510F">
        <w:rPr>
          <w:rFonts w:ascii="Cambria" w:eastAsia="Calibri" w:hAnsi="Cambria" w:cs="Calibri"/>
          <w:sz w:val="20"/>
          <w:szCs w:val="20"/>
          <w:lang w:val="en"/>
        </w:rPr>
        <w:t xml:space="preserve">(CAR) is the sum </w:t>
      </w:r>
      <w:r w:rsidRPr="008C510F">
        <w:rPr>
          <w:rFonts w:ascii="Cambria" w:eastAsia="Calibri" w:hAnsi="Cambria" w:cs="Calibri"/>
          <w:i/>
          <w:sz w:val="20"/>
          <w:szCs w:val="20"/>
          <w:lang w:val="en"/>
        </w:rPr>
        <w:t xml:space="preserve">of abnormal return </w:t>
      </w:r>
      <w:r w:rsidRPr="008C510F">
        <w:rPr>
          <w:rFonts w:ascii="Cambria" w:eastAsia="Calibri" w:hAnsi="Cambria" w:cs="Calibri"/>
          <w:sz w:val="20"/>
          <w:szCs w:val="20"/>
          <w:lang w:val="en"/>
        </w:rPr>
        <w:t>the previous days in the event period for each security.</w:t>
      </w:r>
    </w:p>
    <w:p w14:paraId="40EE06A7" w14:textId="77777777" w:rsidR="008C510F" w:rsidRPr="008C510F" w:rsidRDefault="008C510F" w:rsidP="008C510F">
      <w:pPr>
        <w:numPr>
          <w:ilvl w:val="0"/>
          <w:numId w:val="9"/>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 xml:space="preserve">average abnormal return of </w:t>
      </w:r>
      <w:r w:rsidRPr="008C510F">
        <w:rPr>
          <w:rFonts w:ascii="Cambria" w:eastAsia="Calibri" w:hAnsi="Cambria" w:cs="Calibri"/>
          <w:sz w:val="20"/>
          <w:szCs w:val="20"/>
          <w:lang w:val="en"/>
        </w:rPr>
        <w:t>each share</w:t>
      </w:r>
    </w:p>
    <w:p w14:paraId="068212B5" w14:textId="77777777" w:rsidR="008C510F" w:rsidRPr="008C510F" w:rsidRDefault="008C510F" w:rsidP="008C510F">
      <w:pPr>
        <w:spacing w:after="0" w:line="240" w:lineRule="auto"/>
        <w:ind w:firstLine="72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Testing for </w:t>
      </w:r>
      <w:r w:rsidRPr="008C510F">
        <w:rPr>
          <w:rFonts w:ascii="Cambria" w:eastAsia="Calibri" w:hAnsi="Cambria" w:cs="Calibri"/>
          <w:i/>
          <w:sz w:val="20"/>
          <w:szCs w:val="20"/>
          <w:lang w:val="en"/>
        </w:rPr>
        <w:t xml:space="preserve">abnormal returns is </w:t>
      </w:r>
      <w:r w:rsidRPr="008C510F">
        <w:rPr>
          <w:rFonts w:ascii="Cambria" w:eastAsia="Calibri" w:hAnsi="Cambria" w:cs="Calibri"/>
          <w:sz w:val="20"/>
          <w:szCs w:val="20"/>
          <w:lang w:val="en"/>
        </w:rPr>
        <w:t xml:space="preserve">generally not done for each marketable securities but is done in an aggregate manner by examining the average </w:t>
      </w:r>
      <w:r w:rsidRPr="008C510F">
        <w:rPr>
          <w:rFonts w:ascii="Cambria" w:eastAsia="Calibri" w:hAnsi="Cambria" w:cs="Calibri"/>
          <w:i/>
          <w:sz w:val="20"/>
          <w:szCs w:val="20"/>
          <w:lang w:val="en"/>
        </w:rPr>
        <w:t xml:space="preserve">abnormal return of </w:t>
      </w:r>
      <w:r w:rsidRPr="008C510F">
        <w:rPr>
          <w:rFonts w:ascii="Cambria" w:eastAsia="Calibri" w:hAnsi="Cambria" w:cs="Calibri"/>
          <w:sz w:val="20"/>
          <w:szCs w:val="20"/>
          <w:lang w:val="en"/>
        </w:rPr>
        <w:t xml:space="preserve">all securities </w:t>
      </w:r>
      <w:r w:rsidRPr="008C510F">
        <w:rPr>
          <w:rFonts w:ascii="Cambria" w:eastAsia="Calibri" w:hAnsi="Cambria" w:cs="Calibri"/>
          <w:i/>
          <w:sz w:val="20"/>
          <w:szCs w:val="20"/>
          <w:lang w:val="en"/>
        </w:rPr>
        <w:t xml:space="preserve">cross-sectional </w:t>
      </w:r>
      <w:r w:rsidRPr="008C510F">
        <w:rPr>
          <w:rFonts w:ascii="Cambria" w:eastAsia="Calibri" w:hAnsi="Cambria" w:cs="Calibri"/>
          <w:sz w:val="20"/>
          <w:szCs w:val="20"/>
          <w:lang w:val="en"/>
        </w:rPr>
        <w:t xml:space="preserve">for each day in the event period. </w:t>
      </w:r>
    </w:p>
    <w:p w14:paraId="47145BA8" w14:textId="77777777" w:rsidR="008C510F" w:rsidRPr="008C510F" w:rsidRDefault="008C510F" w:rsidP="008C510F">
      <w:pPr>
        <w:numPr>
          <w:ilvl w:val="0"/>
          <w:numId w:val="9"/>
        </w:numPr>
        <w:pBdr>
          <w:top w:val="nil"/>
          <w:left w:val="nil"/>
          <w:bottom w:val="nil"/>
          <w:right w:val="nil"/>
          <w:between w:val="nil"/>
        </w:pBdr>
        <w:spacing w:after="0" w:line="240" w:lineRule="auto"/>
        <w:ind w:left="360"/>
        <w:jc w:val="both"/>
        <w:rPr>
          <w:rFonts w:ascii="Cambria" w:eastAsia="Calibri" w:hAnsi="Cambria" w:cs="Calibri"/>
          <w:color w:val="000000"/>
          <w:sz w:val="20"/>
          <w:szCs w:val="20"/>
          <w:lang w:val="en"/>
        </w:rPr>
      </w:pPr>
      <w:r w:rsidRPr="008C510F">
        <w:rPr>
          <w:rFonts w:ascii="Cambria" w:eastAsia="Calibri" w:hAnsi="Cambria" w:cs="Calibri"/>
          <w:color w:val="000000"/>
          <w:sz w:val="20"/>
          <w:szCs w:val="20"/>
          <w:lang w:val="en"/>
        </w:rPr>
        <w:t>T significance test analysis The t significance</w:t>
      </w:r>
    </w:p>
    <w:p w14:paraId="730D14D2"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ab/>
      </w:r>
      <w:proofErr w:type="gramStart"/>
      <w:r w:rsidRPr="008C510F">
        <w:rPr>
          <w:rFonts w:ascii="Cambria" w:eastAsia="Calibri" w:hAnsi="Cambria" w:cs="Calibri"/>
          <w:sz w:val="20"/>
          <w:szCs w:val="20"/>
          <w:lang w:val="en"/>
        </w:rPr>
        <w:t>the</w:t>
      </w:r>
      <w:proofErr w:type="gramEnd"/>
      <w:r w:rsidRPr="008C510F">
        <w:rPr>
          <w:rFonts w:ascii="Cambria" w:eastAsia="Calibri" w:hAnsi="Cambria" w:cs="Calibri"/>
          <w:sz w:val="20"/>
          <w:szCs w:val="20"/>
          <w:lang w:val="en"/>
        </w:rPr>
        <w:t xml:space="preserve"> test can be done either by using an application (for example the </w:t>
      </w:r>
      <w:r w:rsidRPr="008C510F">
        <w:rPr>
          <w:rFonts w:ascii="Cambria" w:eastAsia="Calibri" w:hAnsi="Cambria" w:cs="Calibri"/>
          <w:i/>
          <w:sz w:val="20"/>
          <w:szCs w:val="20"/>
          <w:lang w:val="en"/>
        </w:rPr>
        <w:t xml:space="preserve">one-sample t-test </w:t>
      </w:r>
      <w:r w:rsidRPr="008C510F">
        <w:rPr>
          <w:rFonts w:ascii="Cambria" w:eastAsia="Calibri" w:hAnsi="Cambria" w:cs="Calibri"/>
          <w:sz w:val="20"/>
          <w:szCs w:val="20"/>
          <w:lang w:val="en"/>
        </w:rPr>
        <w:t xml:space="preserve">in SPSS) or by comparing the </w:t>
      </w:r>
      <w:r w:rsidRPr="008C510F">
        <w:rPr>
          <w:rFonts w:ascii="Cambria" w:eastAsia="Calibri" w:hAnsi="Cambria" w:cs="Calibri"/>
          <w:i/>
          <w:sz w:val="20"/>
          <w:szCs w:val="20"/>
          <w:lang w:val="en"/>
        </w:rPr>
        <w:t xml:space="preserve">abnormal return </w:t>
      </w:r>
      <w:r w:rsidRPr="008C510F">
        <w:rPr>
          <w:rFonts w:ascii="Cambria" w:eastAsia="Calibri" w:hAnsi="Cambria" w:cs="Calibri"/>
          <w:sz w:val="20"/>
          <w:szCs w:val="20"/>
          <w:lang w:val="en"/>
        </w:rPr>
        <w:t>standardization with the root value of the stocks sampled.</w:t>
      </w:r>
    </w:p>
    <w:p w14:paraId="57E49F7E" w14:textId="77777777" w:rsidR="008C510F" w:rsidRPr="008C510F" w:rsidRDefault="008C510F" w:rsidP="008C510F">
      <w:pPr>
        <w:numPr>
          <w:ilvl w:val="0"/>
          <w:numId w:val="8"/>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Hypothesis II</w:t>
      </w:r>
    </w:p>
    <w:p w14:paraId="78C7917E"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ab/>
        <w:t xml:space="preserve">Stages to test whether there is a difference in </w:t>
      </w:r>
      <w:r w:rsidRPr="008C510F">
        <w:rPr>
          <w:rFonts w:ascii="Cambria" w:eastAsia="Calibri" w:hAnsi="Cambria" w:cs="Calibri"/>
          <w:i/>
          <w:sz w:val="20"/>
          <w:szCs w:val="20"/>
          <w:lang w:val="en"/>
        </w:rPr>
        <w:t xml:space="preserve">average abnormal return </w:t>
      </w:r>
      <w:r w:rsidRPr="008C510F">
        <w:rPr>
          <w:rFonts w:ascii="Cambria" w:eastAsia="Calibri" w:hAnsi="Cambria" w:cs="Calibri"/>
          <w:sz w:val="20"/>
          <w:szCs w:val="20"/>
          <w:lang w:val="en"/>
        </w:rPr>
        <w:t>(AAR) before and after the event is as follows.</w:t>
      </w:r>
    </w:p>
    <w:p w14:paraId="1B257E1F" w14:textId="77777777" w:rsidR="008C510F" w:rsidRPr="008C510F" w:rsidRDefault="008C510F" w:rsidP="008C510F">
      <w:pPr>
        <w:numPr>
          <w:ilvl w:val="0"/>
          <w:numId w:val="11"/>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actual return</w:t>
      </w:r>
      <w:r w:rsidRPr="008C510F">
        <w:rPr>
          <w:rFonts w:ascii="Cambria" w:eastAsia="Calibri" w:hAnsi="Cambria" w:cs="Calibri"/>
          <w:sz w:val="20"/>
          <w:szCs w:val="20"/>
          <w:lang w:val="en"/>
        </w:rPr>
        <w:t xml:space="preserve"> of each stock sampled during the observation period.</w:t>
      </w:r>
    </w:p>
    <w:p w14:paraId="08641BBE" w14:textId="77777777" w:rsidR="008C510F" w:rsidRPr="008C510F" w:rsidRDefault="008C510F" w:rsidP="008C510F">
      <w:pPr>
        <w:numPr>
          <w:ilvl w:val="0"/>
          <w:numId w:val="11"/>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Calculate the </w:t>
      </w:r>
      <w:r w:rsidRPr="008C510F">
        <w:rPr>
          <w:rFonts w:ascii="Cambria" w:eastAsia="Calibri" w:hAnsi="Cambria" w:cs="Calibri"/>
          <w:i/>
          <w:sz w:val="20"/>
          <w:szCs w:val="20"/>
          <w:lang w:val="en"/>
        </w:rPr>
        <w:t>expected return</w:t>
      </w:r>
      <w:r w:rsidRPr="008C510F">
        <w:rPr>
          <w:rFonts w:ascii="Cambria" w:eastAsia="Calibri" w:hAnsi="Cambria" w:cs="Calibri"/>
          <w:sz w:val="20"/>
          <w:szCs w:val="20"/>
          <w:lang w:val="en"/>
        </w:rPr>
        <w:t xml:space="preserve"> using the </w:t>
      </w:r>
      <w:r w:rsidRPr="008C510F">
        <w:rPr>
          <w:rFonts w:ascii="Cambria" w:eastAsia="Calibri" w:hAnsi="Cambria" w:cs="Calibri"/>
          <w:i/>
          <w:sz w:val="20"/>
          <w:szCs w:val="20"/>
          <w:lang w:val="en"/>
        </w:rPr>
        <w:t>market model</w:t>
      </w:r>
      <w:r w:rsidRPr="008C510F">
        <w:rPr>
          <w:rFonts w:ascii="Cambria" w:eastAsia="Calibri" w:hAnsi="Cambria" w:cs="Calibri"/>
          <w:sz w:val="20"/>
          <w:szCs w:val="20"/>
          <w:lang w:val="en"/>
        </w:rPr>
        <w:t xml:space="preserve">. In calculating the </w:t>
      </w:r>
      <w:r w:rsidRPr="008C510F">
        <w:rPr>
          <w:rFonts w:ascii="Cambria" w:eastAsia="Calibri" w:hAnsi="Cambria" w:cs="Calibri"/>
          <w:i/>
          <w:sz w:val="20"/>
          <w:szCs w:val="20"/>
          <w:lang w:val="en"/>
        </w:rPr>
        <w:t>expected return</w:t>
      </w:r>
      <w:r w:rsidRPr="008C510F">
        <w:rPr>
          <w:rFonts w:ascii="Cambria" w:eastAsia="Calibri" w:hAnsi="Cambria" w:cs="Calibri"/>
          <w:sz w:val="20"/>
          <w:szCs w:val="20"/>
          <w:lang w:val="en"/>
        </w:rPr>
        <w:t xml:space="preserve">, linear regression is performed </w:t>
      </w:r>
      <w:r w:rsidRPr="008C510F">
        <w:rPr>
          <w:rFonts w:ascii="Cambria" w:eastAsia="Calibri" w:hAnsi="Cambria" w:cs="Calibri"/>
          <w:i/>
          <w:sz w:val="20"/>
          <w:szCs w:val="20"/>
          <w:lang w:val="en"/>
        </w:rPr>
        <w:t>time series</w:t>
      </w:r>
      <w:r w:rsidRPr="008C510F">
        <w:rPr>
          <w:rFonts w:ascii="Cambria" w:eastAsia="Calibri" w:hAnsi="Cambria" w:cs="Calibri"/>
          <w:sz w:val="20"/>
          <w:szCs w:val="20"/>
          <w:lang w:val="en"/>
        </w:rPr>
        <w:t xml:space="preserve"> over the estimation period to determine the alpha and beta of each stock.</w:t>
      </w:r>
    </w:p>
    <w:p w14:paraId="03890F82" w14:textId="77777777" w:rsidR="008C510F" w:rsidRPr="008C510F" w:rsidRDefault="008C510F" w:rsidP="008C510F">
      <w:pPr>
        <w:numPr>
          <w:ilvl w:val="0"/>
          <w:numId w:val="11"/>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Calculate the </w:t>
      </w:r>
      <w:r w:rsidRPr="008C510F">
        <w:rPr>
          <w:rFonts w:ascii="Cambria" w:eastAsia="Calibri" w:hAnsi="Cambria" w:cs="Calibri"/>
          <w:i/>
          <w:sz w:val="20"/>
          <w:szCs w:val="20"/>
          <w:lang w:val="en"/>
        </w:rPr>
        <w:t>abnormal return</w:t>
      </w:r>
      <w:r w:rsidRPr="008C510F">
        <w:rPr>
          <w:rFonts w:ascii="Cambria" w:eastAsia="Calibri" w:hAnsi="Cambria" w:cs="Calibri"/>
          <w:sz w:val="20"/>
          <w:szCs w:val="20"/>
          <w:lang w:val="en"/>
        </w:rPr>
        <w:t xml:space="preserve"> of each stock from h-5 to h + 5.</w:t>
      </w:r>
    </w:p>
    <w:p w14:paraId="3C24ACA4" w14:textId="77777777" w:rsidR="008C510F" w:rsidRPr="008C510F" w:rsidRDefault="008C510F" w:rsidP="008C510F">
      <w:pPr>
        <w:numPr>
          <w:ilvl w:val="0"/>
          <w:numId w:val="11"/>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Calculating the </w:t>
      </w:r>
      <w:r w:rsidRPr="008C510F">
        <w:rPr>
          <w:rFonts w:ascii="Cambria" w:eastAsia="Calibri" w:hAnsi="Cambria" w:cs="Calibri"/>
          <w:i/>
          <w:sz w:val="20"/>
          <w:szCs w:val="20"/>
          <w:lang w:val="en"/>
        </w:rPr>
        <w:t>average</w:t>
      </w:r>
      <w:r w:rsidRPr="008C510F">
        <w:rPr>
          <w:rFonts w:ascii="Cambria" w:eastAsia="Calibri" w:hAnsi="Cambria" w:cs="Calibri"/>
          <w:sz w:val="20"/>
          <w:szCs w:val="20"/>
          <w:lang w:val="en"/>
        </w:rPr>
        <w:t xml:space="preserve"> </w:t>
      </w:r>
      <w:r w:rsidRPr="008C510F">
        <w:rPr>
          <w:rFonts w:ascii="Cambria" w:eastAsia="Calibri" w:hAnsi="Cambria" w:cs="Calibri"/>
          <w:i/>
          <w:sz w:val="20"/>
          <w:szCs w:val="20"/>
          <w:lang w:val="en"/>
        </w:rPr>
        <w:t>abnormal return</w:t>
      </w:r>
      <w:r w:rsidRPr="008C510F">
        <w:rPr>
          <w:rFonts w:ascii="Cambria" w:eastAsia="Calibri" w:hAnsi="Cambria" w:cs="Calibri"/>
          <w:sz w:val="20"/>
          <w:szCs w:val="20"/>
          <w:lang w:val="en"/>
        </w:rPr>
        <w:t xml:space="preserve"> (AAR) of all stocks sampled before and after the event</w:t>
      </w:r>
    </w:p>
    <w:p w14:paraId="65FFF52E" w14:textId="77777777" w:rsidR="008C510F" w:rsidRPr="008C510F" w:rsidRDefault="008C510F" w:rsidP="008C510F">
      <w:pPr>
        <w:numPr>
          <w:ilvl w:val="0"/>
          <w:numId w:val="11"/>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Make a statistical comparison between </w:t>
      </w:r>
      <w:r w:rsidRPr="008C510F">
        <w:rPr>
          <w:rFonts w:ascii="Cambria" w:eastAsia="Calibri" w:hAnsi="Cambria" w:cs="Calibri"/>
          <w:i/>
          <w:sz w:val="20"/>
          <w:szCs w:val="20"/>
          <w:lang w:val="en"/>
        </w:rPr>
        <w:t>averages</w:t>
      </w:r>
      <w:r w:rsidRPr="008C510F">
        <w:rPr>
          <w:rFonts w:ascii="Cambria" w:eastAsia="Calibri" w:hAnsi="Cambria" w:cs="Calibri"/>
          <w:sz w:val="20"/>
          <w:szCs w:val="20"/>
          <w:lang w:val="en"/>
        </w:rPr>
        <w:t xml:space="preserve"> </w:t>
      </w:r>
      <w:r w:rsidRPr="008C510F">
        <w:rPr>
          <w:rFonts w:ascii="Cambria" w:eastAsia="Calibri" w:hAnsi="Cambria" w:cs="Calibri"/>
          <w:i/>
          <w:sz w:val="20"/>
          <w:szCs w:val="20"/>
          <w:lang w:val="en"/>
        </w:rPr>
        <w:t>abnormal return</w:t>
      </w:r>
      <w:r w:rsidRPr="008C510F">
        <w:rPr>
          <w:rFonts w:ascii="Cambria" w:eastAsia="Calibri" w:hAnsi="Cambria" w:cs="Calibri"/>
          <w:sz w:val="20"/>
          <w:szCs w:val="20"/>
          <w:lang w:val="en"/>
        </w:rPr>
        <w:t xml:space="preserve"> (AAR) before and after the ratification of the State Budget (APBN) using the </w:t>
      </w:r>
      <w:r w:rsidRPr="008C510F">
        <w:rPr>
          <w:rFonts w:ascii="Cambria" w:eastAsia="Calibri" w:hAnsi="Cambria" w:cs="Calibri"/>
          <w:i/>
          <w:sz w:val="20"/>
          <w:szCs w:val="20"/>
          <w:lang w:val="en"/>
        </w:rPr>
        <w:t>paired samples t-test</w:t>
      </w:r>
      <w:r w:rsidRPr="008C510F">
        <w:rPr>
          <w:rFonts w:ascii="Cambria" w:eastAsia="Calibri" w:hAnsi="Cambria" w:cs="Calibri"/>
          <w:sz w:val="20"/>
          <w:szCs w:val="20"/>
          <w:lang w:val="en"/>
        </w:rPr>
        <w:t xml:space="preserve"> with a significance level of 5 percent.</w:t>
      </w:r>
    </w:p>
    <w:p w14:paraId="276DCB3E" w14:textId="77777777" w:rsidR="008C510F" w:rsidRPr="008C510F" w:rsidRDefault="008C510F" w:rsidP="008C510F">
      <w:pPr>
        <w:numPr>
          <w:ilvl w:val="0"/>
          <w:numId w:val="8"/>
        </w:numPr>
        <w:spacing w:after="0" w:line="240" w:lineRule="auto"/>
        <w:ind w:left="360"/>
        <w:jc w:val="both"/>
        <w:rPr>
          <w:rFonts w:ascii="Cambria" w:eastAsia="Calibri" w:hAnsi="Cambria" w:cs="Calibri"/>
          <w:b/>
          <w:sz w:val="20"/>
          <w:szCs w:val="20"/>
          <w:lang w:val="en"/>
        </w:rPr>
      </w:pPr>
      <w:r w:rsidRPr="008C510F">
        <w:rPr>
          <w:rFonts w:ascii="Cambria" w:eastAsia="Calibri" w:hAnsi="Cambria" w:cs="Calibri"/>
          <w:sz w:val="20"/>
          <w:szCs w:val="20"/>
          <w:lang w:val="en"/>
        </w:rPr>
        <w:t>Hypothesis III</w:t>
      </w:r>
    </w:p>
    <w:p w14:paraId="3A1AC1B8" w14:textId="77777777" w:rsidR="008C510F" w:rsidRPr="008C510F" w:rsidRDefault="008C510F" w:rsidP="008C510F">
      <w:pPr>
        <w:spacing w:after="0" w:line="240" w:lineRule="auto"/>
        <w:jc w:val="both"/>
        <w:rPr>
          <w:rFonts w:ascii="Cambria" w:eastAsia="Calibri" w:hAnsi="Cambria" w:cs="Calibri"/>
          <w:sz w:val="20"/>
          <w:szCs w:val="20"/>
          <w:lang w:val="en"/>
        </w:rPr>
      </w:pPr>
      <w:r w:rsidRPr="008C510F">
        <w:rPr>
          <w:rFonts w:ascii="Cambria" w:eastAsia="Calibri" w:hAnsi="Cambria" w:cs="Calibri"/>
          <w:sz w:val="20"/>
          <w:szCs w:val="20"/>
          <w:lang w:val="en"/>
        </w:rPr>
        <w:tab/>
        <w:t xml:space="preserve">Stages to test whether there is a difference in </w:t>
      </w:r>
      <w:r w:rsidRPr="008C510F">
        <w:rPr>
          <w:rFonts w:ascii="Cambria" w:eastAsia="Calibri" w:hAnsi="Cambria" w:cs="Calibri"/>
          <w:i/>
          <w:sz w:val="20"/>
          <w:szCs w:val="20"/>
          <w:lang w:val="en"/>
        </w:rPr>
        <w:t xml:space="preserve">average trading volume activity </w:t>
      </w:r>
      <w:r w:rsidRPr="008C510F">
        <w:rPr>
          <w:rFonts w:ascii="Cambria" w:eastAsia="Calibri" w:hAnsi="Cambria" w:cs="Calibri"/>
          <w:sz w:val="20"/>
          <w:szCs w:val="20"/>
          <w:lang w:val="en"/>
        </w:rPr>
        <w:t>(ATVA)</w:t>
      </w:r>
      <w:r w:rsidRPr="008C510F">
        <w:rPr>
          <w:rFonts w:ascii="Cambria" w:eastAsia="Calibri" w:hAnsi="Cambria" w:cs="Calibri"/>
          <w:i/>
          <w:sz w:val="20"/>
          <w:szCs w:val="20"/>
          <w:lang w:val="en"/>
        </w:rPr>
        <w:t xml:space="preserve"> </w:t>
      </w:r>
      <w:r w:rsidRPr="008C510F">
        <w:rPr>
          <w:rFonts w:ascii="Cambria" w:eastAsia="Calibri" w:hAnsi="Cambria" w:cs="Calibri"/>
          <w:sz w:val="20"/>
          <w:szCs w:val="20"/>
          <w:lang w:val="en"/>
        </w:rPr>
        <w:t>before and after the incident is as follows.</w:t>
      </w:r>
    </w:p>
    <w:p w14:paraId="2F869287" w14:textId="77777777" w:rsidR="008C510F" w:rsidRPr="008C510F" w:rsidRDefault="008C510F" w:rsidP="008C510F">
      <w:pPr>
        <w:numPr>
          <w:ilvl w:val="0"/>
          <w:numId w:val="12"/>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Calculate the</w:t>
      </w:r>
      <w:r w:rsidRPr="008C510F">
        <w:rPr>
          <w:rFonts w:ascii="Cambria" w:eastAsia="Calibri" w:hAnsi="Cambria" w:cs="Calibri"/>
          <w:i/>
          <w:sz w:val="20"/>
          <w:szCs w:val="20"/>
          <w:lang w:val="en"/>
        </w:rPr>
        <w:t xml:space="preserve"> trading volume activity</w:t>
      </w:r>
      <w:r w:rsidRPr="008C510F">
        <w:rPr>
          <w:rFonts w:ascii="Cambria" w:eastAsia="Calibri" w:hAnsi="Cambria" w:cs="Calibri"/>
          <w:sz w:val="20"/>
          <w:szCs w:val="20"/>
          <w:lang w:val="en"/>
        </w:rPr>
        <w:t xml:space="preserve"> of each stock that is sampled during the window period.</w:t>
      </w:r>
    </w:p>
    <w:p w14:paraId="58B000FC" w14:textId="77777777" w:rsidR="008C510F" w:rsidRPr="008C510F" w:rsidRDefault="008C510F" w:rsidP="008C510F">
      <w:pPr>
        <w:numPr>
          <w:ilvl w:val="0"/>
          <w:numId w:val="12"/>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Calculate </w:t>
      </w:r>
      <w:r w:rsidRPr="008C510F">
        <w:rPr>
          <w:rFonts w:ascii="Cambria" w:eastAsia="Calibri" w:hAnsi="Cambria" w:cs="Calibri"/>
          <w:i/>
          <w:sz w:val="20"/>
          <w:szCs w:val="20"/>
          <w:lang w:val="en"/>
        </w:rPr>
        <w:t>average trading volume activity</w:t>
      </w:r>
      <w:r w:rsidRPr="008C510F">
        <w:rPr>
          <w:rFonts w:ascii="Cambria" w:eastAsia="Calibri" w:hAnsi="Cambria" w:cs="Calibri"/>
          <w:sz w:val="20"/>
          <w:szCs w:val="20"/>
          <w:lang w:val="en"/>
        </w:rPr>
        <w:t xml:space="preserve"> (ATVA) for all sampled stocks.</w:t>
      </w:r>
    </w:p>
    <w:p w14:paraId="01BC6052" w14:textId="46563230" w:rsidR="009D5576" w:rsidRPr="00B961F7" w:rsidRDefault="008C510F" w:rsidP="00B961F7">
      <w:pPr>
        <w:numPr>
          <w:ilvl w:val="0"/>
          <w:numId w:val="12"/>
        </w:numPr>
        <w:spacing w:after="0" w:line="240" w:lineRule="auto"/>
        <w:ind w:left="360"/>
        <w:jc w:val="both"/>
        <w:rPr>
          <w:rFonts w:ascii="Cambria" w:eastAsia="Calibri" w:hAnsi="Cambria" w:cs="Calibri"/>
          <w:sz w:val="20"/>
          <w:szCs w:val="20"/>
          <w:lang w:val="en"/>
        </w:rPr>
      </w:pPr>
      <w:r w:rsidRPr="008C510F">
        <w:rPr>
          <w:rFonts w:ascii="Cambria" w:eastAsia="Calibri" w:hAnsi="Cambria" w:cs="Calibri"/>
          <w:sz w:val="20"/>
          <w:szCs w:val="20"/>
          <w:lang w:val="en"/>
        </w:rPr>
        <w:t xml:space="preserve">Make a statistical comparison of </w:t>
      </w:r>
      <w:r w:rsidRPr="008C510F">
        <w:rPr>
          <w:rFonts w:ascii="Cambria" w:eastAsia="Calibri" w:hAnsi="Cambria" w:cs="Calibri"/>
          <w:i/>
          <w:sz w:val="20"/>
          <w:szCs w:val="20"/>
          <w:lang w:val="en"/>
        </w:rPr>
        <w:t>average trading volume activity</w:t>
      </w:r>
      <w:r w:rsidRPr="008C510F">
        <w:rPr>
          <w:rFonts w:ascii="Cambria" w:eastAsia="Calibri" w:hAnsi="Cambria" w:cs="Calibri"/>
          <w:sz w:val="20"/>
          <w:szCs w:val="20"/>
          <w:lang w:val="en"/>
        </w:rPr>
        <w:t xml:space="preserve"> (ATVA) before and after the event of the ratification of the State Revenue and Expenditure Budget (APBN)</w:t>
      </w:r>
      <w:r w:rsidRPr="008C510F">
        <w:rPr>
          <w:rFonts w:ascii="Cambria" w:eastAsia="Calibri" w:hAnsi="Cambria" w:cs="Calibri"/>
          <w:i/>
          <w:sz w:val="20"/>
          <w:szCs w:val="20"/>
          <w:lang w:val="en"/>
        </w:rPr>
        <w:t xml:space="preserve"> </w:t>
      </w:r>
      <w:r w:rsidRPr="008C510F">
        <w:rPr>
          <w:rFonts w:ascii="Cambria" w:eastAsia="Calibri" w:hAnsi="Cambria" w:cs="Calibri"/>
          <w:sz w:val="20"/>
          <w:szCs w:val="20"/>
          <w:lang w:val="en"/>
        </w:rPr>
        <w:t xml:space="preserve">by using </w:t>
      </w:r>
      <w:r w:rsidRPr="008C510F">
        <w:rPr>
          <w:rFonts w:ascii="Cambria" w:eastAsia="Calibri" w:hAnsi="Cambria" w:cs="Calibri"/>
          <w:i/>
          <w:sz w:val="20"/>
          <w:szCs w:val="20"/>
          <w:lang w:val="en"/>
        </w:rPr>
        <w:t xml:space="preserve">paired samples t-test </w:t>
      </w:r>
      <w:r w:rsidRPr="008C510F">
        <w:rPr>
          <w:rFonts w:ascii="Cambria" w:eastAsia="Calibri" w:hAnsi="Cambria" w:cs="Calibri"/>
          <w:sz w:val="20"/>
          <w:szCs w:val="20"/>
          <w:lang w:val="en"/>
        </w:rPr>
        <w:t>with a significance level of 5 percent.</w:t>
      </w:r>
    </w:p>
    <w:p w14:paraId="32C7E176" w14:textId="77777777" w:rsidR="009D5576" w:rsidRPr="008A00D4" w:rsidRDefault="009D5576" w:rsidP="003830D1">
      <w:pPr>
        <w:pStyle w:val="ListParagraph"/>
        <w:numPr>
          <w:ilvl w:val="0"/>
          <w:numId w:val="2"/>
        </w:numPr>
        <w:spacing w:before="120" w:after="120" w:line="240" w:lineRule="auto"/>
        <w:ind w:left="567" w:hanging="567"/>
        <w:jc w:val="both"/>
        <w:rPr>
          <w:rFonts w:eastAsia="Times New Roman" w:cstheme="minorHAnsi"/>
          <w:b/>
          <w:sz w:val="24"/>
          <w:szCs w:val="24"/>
        </w:rPr>
      </w:pPr>
      <w:r w:rsidRPr="008A00D4">
        <w:rPr>
          <w:rFonts w:eastAsia="Times New Roman" w:cstheme="minorHAnsi"/>
          <w:b/>
          <w:color w:val="000000"/>
          <w:sz w:val="24"/>
          <w:szCs w:val="24"/>
        </w:rPr>
        <w:t>Results</w:t>
      </w:r>
    </w:p>
    <w:p w14:paraId="2D3695D6" w14:textId="546735D0" w:rsidR="00B961F7" w:rsidRPr="00B961F7" w:rsidRDefault="00B961F7" w:rsidP="00B961F7">
      <w:pPr>
        <w:pStyle w:val="ListParagraph"/>
        <w:numPr>
          <w:ilvl w:val="1"/>
          <w:numId w:val="2"/>
        </w:numPr>
        <w:pBdr>
          <w:top w:val="nil"/>
          <w:left w:val="nil"/>
          <w:bottom w:val="nil"/>
          <w:right w:val="nil"/>
          <w:between w:val="nil"/>
        </w:pBdr>
        <w:spacing w:after="0" w:line="240" w:lineRule="auto"/>
        <w:ind w:left="993" w:hanging="426"/>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Descriptive Statistical Analysis Descriptive</w:t>
      </w:r>
    </w:p>
    <w:p w14:paraId="221EF32F"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proofErr w:type="gramStart"/>
      <w:r w:rsidRPr="00B961F7">
        <w:rPr>
          <w:rFonts w:ascii="Cambria" w:eastAsia="Calibri" w:hAnsi="Cambria" w:cs="Calibri"/>
          <w:sz w:val="20"/>
          <w:szCs w:val="20"/>
          <w:lang w:val="en"/>
        </w:rPr>
        <w:t>statistical</w:t>
      </w:r>
      <w:proofErr w:type="gramEnd"/>
      <w:r w:rsidRPr="00B961F7">
        <w:rPr>
          <w:rFonts w:ascii="Cambria" w:eastAsia="Calibri" w:hAnsi="Cambria" w:cs="Calibri"/>
          <w:sz w:val="20"/>
          <w:szCs w:val="20"/>
          <w:lang w:val="en"/>
        </w:rPr>
        <w:t xml:space="preserve"> analysis for values </w:t>
      </w:r>
      <w:r w:rsidRPr="00B961F7">
        <w:rPr>
          <w:rFonts w:ascii="Cambria" w:eastAsia="Calibri" w:hAnsi="Cambria" w:cs="Calibri"/>
          <w:i/>
          <w:sz w:val="20"/>
          <w:szCs w:val="20"/>
          <w:lang w:val="en"/>
        </w:rPr>
        <w:t xml:space="preserve">Averages Abnormal Return </w:t>
      </w:r>
      <w:r w:rsidRPr="00B961F7">
        <w:rPr>
          <w:rFonts w:ascii="Cambria" w:eastAsia="Calibri" w:hAnsi="Cambria" w:cs="Calibri"/>
          <w:sz w:val="20"/>
          <w:szCs w:val="20"/>
          <w:lang w:val="en"/>
        </w:rPr>
        <w:t>(AAR)</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 xml:space="preserve">on the day of the ratification of the State Revenue and Expenditure Budget (APBN) is carried out directly using the SPSS application. The values </w:t>
      </w:r>
      <w:r w:rsidRPr="00B961F7">
        <w:rPr>
          <w:rFonts w:ascii="Cambria" w:eastAsia="Calibri" w:hAnsi="Cambria" w:cs="Calibri"/>
          <w:i/>
          <w:sz w:val="20"/>
          <w:szCs w:val="20"/>
          <w:lang w:val="en"/>
        </w:rPr>
        <w:t xml:space="preserve">minimum, maximum, mean, </w:t>
      </w:r>
      <w:r w:rsidRPr="00B961F7">
        <w:rPr>
          <w:rFonts w:ascii="Cambria" w:eastAsia="Calibri" w:hAnsi="Cambria" w:cs="Calibri"/>
          <w:sz w:val="20"/>
          <w:szCs w:val="20"/>
          <w:lang w:val="en"/>
        </w:rPr>
        <w:t xml:space="preserve">and </w:t>
      </w:r>
      <w:r w:rsidRPr="00B961F7">
        <w:rPr>
          <w:rFonts w:ascii="Cambria" w:eastAsia="Calibri" w:hAnsi="Cambria" w:cs="Calibri"/>
          <w:i/>
          <w:sz w:val="20"/>
          <w:szCs w:val="20"/>
          <w:lang w:val="en"/>
        </w:rPr>
        <w:t xml:space="preserve">standard deviation </w:t>
      </w:r>
      <w:r w:rsidRPr="00B961F7">
        <w:rPr>
          <w:rFonts w:ascii="Cambria" w:eastAsia="Calibri" w:hAnsi="Cambria" w:cs="Calibri"/>
          <w:sz w:val="20"/>
          <w:szCs w:val="20"/>
          <w:lang w:val="en"/>
        </w:rPr>
        <w:t>from the results of the analysis can be seen in the following table.</w:t>
      </w:r>
    </w:p>
    <w:p w14:paraId="18640DA5"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1. Descriptive Statistical Analysis </w:t>
      </w:r>
      <w:r w:rsidRPr="00B961F7">
        <w:rPr>
          <w:rFonts w:ascii="Cambria" w:eastAsia="Calibri" w:hAnsi="Cambria" w:cs="Calibri"/>
          <w:b/>
          <w:i/>
          <w:sz w:val="20"/>
          <w:szCs w:val="20"/>
          <w:lang w:val="en"/>
        </w:rPr>
        <w:t xml:space="preserve">Average Abnormal Return </w:t>
      </w:r>
      <w:r w:rsidRPr="00B961F7">
        <w:rPr>
          <w:rFonts w:ascii="Cambria" w:eastAsia="Calibri" w:hAnsi="Cambria" w:cs="Calibri"/>
          <w:b/>
          <w:sz w:val="20"/>
          <w:szCs w:val="20"/>
          <w:lang w:val="en"/>
        </w:rPr>
        <w:t>(AAR)</w:t>
      </w:r>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350"/>
        <w:gridCol w:w="1350"/>
        <w:gridCol w:w="1334"/>
        <w:gridCol w:w="1660"/>
      </w:tblGrid>
      <w:tr w:rsidR="00B961F7" w:rsidRPr="00B961F7" w14:paraId="7D1C33B1" w14:textId="77777777" w:rsidTr="004D1711">
        <w:trPr>
          <w:jc w:val="center"/>
        </w:trPr>
        <w:tc>
          <w:tcPr>
            <w:tcW w:w="2605" w:type="dxa"/>
            <w:tcBorders>
              <w:bottom w:val="single" w:sz="4" w:space="0" w:color="000000"/>
            </w:tcBorders>
          </w:tcPr>
          <w:p w14:paraId="516C35ED"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APBN</w:t>
            </w:r>
          </w:p>
        </w:tc>
        <w:tc>
          <w:tcPr>
            <w:tcW w:w="1350" w:type="dxa"/>
            <w:tcBorders>
              <w:bottom w:val="single" w:sz="4" w:space="0" w:color="000000"/>
            </w:tcBorders>
          </w:tcPr>
          <w:p w14:paraId="3F5DADC6"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Minimum</w:t>
            </w:r>
          </w:p>
        </w:tc>
        <w:tc>
          <w:tcPr>
            <w:tcW w:w="1350" w:type="dxa"/>
            <w:tcBorders>
              <w:bottom w:val="single" w:sz="4" w:space="0" w:color="000000"/>
            </w:tcBorders>
          </w:tcPr>
          <w:p w14:paraId="07E05542"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Maximum</w:t>
            </w:r>
          </w:p>
        </w:tc>
        <w:tc>
          <w:tcPr>
            <w:tcW w:w="1334" w:type="dxa"/>
            <w:tcBorders>
              <w:bottom w:val="single" w:sz="4" w:space="0" w:color="000000"/>
            </w:tcBorders>
          </w:tcPr>
          <w:p w14:paraId="44336DAA"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Mean</w:t>
            </w:r>
          </w:p>
        </w:tc>
        <w:tc>
          <w:tcPr>
            <w:tcW w:w="1660" w:type="dxa"/>
            <w:tcBorders>
              <w:bottom w:val="single" w:sz="4" w:space="0" w:color="000000"/>
            </w:tcBorders>
          </w:tcPr>
          <w:p w14:paraId="0402DE70" w14:textId="77777777" w:rsidR="00B961F7" w:rsidRPr="00B961F7" w:rsidRDefault="00B961F7" w:rsidP="00B961F7">
            <w:pPr>
              <w:spacing w:after="0" w:line="240" w:lineRule="auto"/>
              <w:jc w:val="center"/>
              <w:rPr>
                <w:rFonts w:ascii="Cambria" w:eastAsia="Calibri" w:hAnsi="Cambria" w:cs="Calibri"/>
                <w:b/>
                <w:i/>
                <w:sz w:val="20"/>
                <w:szCs w:val="20"/>
                <w:lang w:val="en"/>
              </w:rPr>
            </w:pPr>
            <w:proofErr w:type="spellStart"/>
            <w:r w:rsidRPr="00B961F7">
              <w:rPr>
                <w:rFonts w:ascii="Cambria" w:eastAsia="Calibri" w:hAnsi="Cambria" w:cs="Calibri"/>
                <w:b/>
                <w:i/>
                <w:sz w:val="20"/>
                <w:szCs w:val="20"/>
                <w:lang w:val="en"/>
              </w:rPr>
              <w:t>Std.Deviation</w:t>
            </w:r>
            <w:proofErr w:type="spellEnd"/>
          </w:p>
        </w:tc>
      </w:tr>
      <w:tr w:rsidR="00B961F7" w:rsidRPr="00B961F7" w14:paraId="54AAF66C"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18A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2010 State Budget</w:t>
            </w:r>
          </w:p>
        </w:tc>
        <w:tc>
          <w:tcPr>
            <w:tcW w:w="1350" w:type="dxa"/>
            <w:tcBorders>
              <w:top w:val="single" w:sz="4" w:space="0" w:color="000000"/>
              <w:bottom w:val="single" w:sz="4" w:space="0" w:color="000000"/>
            </w:tcBorders>
            <w:shd w:val="clear" w:color="auto" w:fill="FFFFFF"/>
            <w:vAlign w:val="center"/>
          </w:tcPr>
          <w:p w14:paraId="71D72C4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-0.016790</w:t>
            </w:r>
          </w:p>
        </w:tc>
        <w:tc>
          <w:tcPr>
            <w:tcW w:w="1350" w:type="dxa"/>
            <w:tcBorders>
              <w:top w:val="single" w:sz="4" w:space="0" w:color="000000"/>
              <w:bottom w:val="single" w:sz="4" w:space="0" w:color="000000"/>
            </w:tcBorders>
            <w:shd w:val="clear" w:color="auto" w:fill="FFFFFF"/>
            <w:vAlign w:val="center"/>
          </w:tcPr>
          <w:p w14:paraId="66CA05D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0.016665</w:t>
            </w:r>
          </w:p>
        </w:tc>
        <w:tc>
          <w:tcPr>
            <w:tcW w:w="1334" w:type="dxa"/>
            <w:tcBorders>
              <w:top w:val="single" w:sz="4" w:space="0" w:color="000000"/>
              <w:bottom w:val="single" w:sz="4" w:space="0" w:color="000000"/>
            </w:tcBorders>
            <w:shd w:val="clear" w:color="auto" w:fill="FFFFFF"/>
            <w:vAlign w:val="center"/>
          </w:tcPr>
          <w:p w14:paraId="6F4FF57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0.001959</w:t>
            </w:r>
          </w:p>
        </w:tc>
        <w:tc>
          <w:tcPr>
            <w:tcW w:w="1660" w:type="dxa"/>
            <w:tcBorders>
              <w:top w:val="single" w:sz="4" w:space="0" w:color="000000"/>
              <w:bottom w:val="single" w:sz="4" w:space="0" w:color="000000"/>
              <w:right w:val="single" w:sz="4" w:space="0" w:color="000000"/>
            </w:tcBorders>
            <w:shd w:val="clear" w:color="auto" w:fill="FFFFFF"/>
            <w:vAlign w:val="center"/>
          </w:tcPr>
          <w:p w14:paraId="698955BC"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0.009515</w:t>
            </w:r>
          </w:p>
        </w:tc>
      </w:tr>
      <w:tr w:rsidR="00B961F7" w:rsidRPr="00B961F7" w14:paraId="5A082A2C"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610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2011 State Budget</w:t>
            </w:r>
          </w:p>
        </w:tc>
        <w:tc>
          <w:tcPr>
            <w:tcW w:w="1350" w:type="dxa"/>
            <w:tcBorders>
              <w:top w:val="single" w:sz="4" w:space="0" w:color="000000"/>
              <w:bottom w:val="single" w:sz="4" w:space="0" w:color="000000"/>
            </w:tcBorders>
            <w:shd w:val="clear" w:color="auto" w:fill="FFFFFF"/>
            <w:vAlign w:val="center"/>
          </w:tcPr>
          <w:p w14:paraId="7EE2400C"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-0.009826</w:t>
            </w:r>
          </w:p>
        </w:tc>
        <w:tc>
          <w:tcPr>
            <w:tcW w:w="1350" w:type="dxa"/>
            <w:tcBorders>
              <w:top w:val="single" w:sz="4" w:space="0" w:color="000000"/>
              <w:bottom w:val="single" w:sz="4" w:space="0" w:color="000000"/>
            </w:tcBorders>
            <w:shd w:val="clear" w:color="auto" w:fill="FFFFFF"/>
            <w:vAlign w:val="center"/>
          </w:tcPr>
          <w:p w14:paraId="48C000A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0.006573</w:t>
            </w:r>
          </w:p>
        </w:tc>
        <w:tc>
          <w:tcPr>
            <w:tcW w:w="1334" w:type="dxa"/>
            <w:tcBorders>
              <w:top w:val="single" w:sz="4" w:space="0" w:color="000000"/>
              <w:bottom w:val="single" w:sz="4" w:space="0" w:color="000000"/>
            </w:tcBorders>
            <w:shd w:val="clear" w:color="auto" w:fill="FFFFFF"/>
            <w:vAlign w:val="center"/>
          </w:tcPr>
          <w:p w14:paraId="08E5B68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0.000171</w:t>
            </w:r>
          </w:p>
        </w:tc>
        <w:tc>
          <w:tcPr>
            <w:tcW w:w="1660" w:type="dxa"/>
            <w:tcBorders>
              <w:top w:val="single" w:sz="4" w:space="0" w:color="000000"/>
              <w:bottom w:val="single" w:sz="4" w:space="0" w:color="000000"/>
              <w:right w:val="single" w:sz="4" w:space="0" w:color="000000"/>
            </w:tcBorders>
            <w:shd w:val="clear" w:color="auto" w:fill="FFFFFF"/>
            <w:vAlign w:val="center"/>
          </w:tcPr>
          <w:p w14:paraId="6F98F55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0.005193</w:t>
            </w:r>
          </w:p>
        </w:tc>
      </w:tr>
      <w:tr w:rsidR="00B961F7" w:rsidRPr="00B961F7" w14:paraId="446C3A4E"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BCA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2012 State Budget</w:t>
            </w:r>
          </w:p>
        </w:tc>
        <w:tc>
          <w:tcPr>
            <w:tcW w:w="1350" w:type="dxa"/>
            <w:tcBorders>
              <w:top w:val="single" w:sz="4" w:space="0" w:color="000000"/>
              <w:bottom w:val="single" w:sz="4" w:space="0" w:color="000000"/>
            </w:tcBorders>
            <w:shd w:val="clear" w:color="auto" w:fill="FFFFFF"/>
            <w:vAlign w:val="center"/>
          </w:tcPr>
          <w:p w14:paraId="62C0A810"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-0.009769</w:t>
            </w:r>
          </w:p>
        </w:tc>
        <w:tc>
          <w:tcPr>
            <w:tcW w:w="1350" w:type="dxa"/>
            <w:tcBorders>
              <w:top w:val="single" w:sz="4" w:space="0" w:color="000000"/>
              <w:bottom w:val="single" w:sz="4" w:space="0" w:color="000000"/>
            </w:tcBorders>
            <w:shd w:val="clear" w:color="auto" w:fill="FFFFFF"/>
            <w:vAlign w:val="center"/>
          </w:tcPr>
          <w:p w14:paraId="13FC53A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0.008584</w:t>
            </w:r>
          </w:p>
        </w:tc>
        <w:tc>
          <w:tcPr>
            <w:tcW w:w="1334" w:type="dxa"/>
            <w:tcBorders>
              <w:top w:val="single" w:sz="4" w:space="0" w:color="000000"/>
              <w:bottom w:val="single" w:sz="4" w:space="0" w:color="000000"/>
            </w:tcBorders>
            <w:shd w:val="clear" w:color="auto" w:fill="FFFFFF"/>
            <w:vAlign w:val="center"/>
          </w:tcPr>
          <w:p w14:paraId="52218EA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-0.000932</w:t>
            </w:r>
          </w:p>
        </w:tc>
        <w:tc>
          <w:tcPr>
            <w:tcW w:w="1660" w:type="dxa"/>
            <w:tcBorders>
              <w:top w:val="single" w:sz="4" w:space="0" w:color="000000"/>
              <w:bottom w:val="single" w:sz="4" w:space="0" w:color="000000"/>
              <w:right w:val="single" w:sz="4" w:space="0" w:color="000000"/>
            </w:tcBorders>
            <w:shd w:val="clear" w:color="auto" w:fill="FFFFFF"/>
            <w:vAlign w:val="center"/>
          </w:tcPr>
          <w:p w14:paraId="6C6A4880"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0.006153</w:t>
            </w:r>
          </w:p>
        </w:tc>
      </w:tr>
      <w:tr w:rsidR="00B961F7" w:rsidRPr="00B961F7" w14:paraId="12EBAF2E"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59A1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2013 State Budget</w:t>
            </w:r>
          </w:p>
        </w:tc>
        <w:tc>
          <w:tcPr>
            <w:tcW w:w="1350" w:type="dxa"/>
            <w:tcBorders>
              <w:top w:val="single" w:sz="4" w:space="0" w:color="000000"/>
              <w:bottom w:val="single" w:sz="4" w:space="0" w:color="000000"/>
            </w:tcBorders>
            <w:shd w:val="clear" w:color="auto" w:fill="FFFFFF"/>
            <w:vAlign w:val="center"/>
          </w:tcPr>
          <w:p w14:paraId="7CF4BFA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- 0.007593</w:t>
            </w:r>
          </w:p>
        </w:tc>
        <w:tc>
          <w:tcPr>
            <w:tcW w:w="1350" w:type="dxa"/>
            <w:tcBorders>
              <w:top w:val="single" w:sz="4" w:space="0" w:color="000000"/>
              <w:bottom w:val="single" w:sz="4" w:space="0" w:color="000000"/>
            </w:tcBorders>
            <w:shd w:val="clear" w:color="auto" w:fill="FFFFFF"/>
            <w:vAlign w:val="center"/>
          </w:tcPr>
          <w:p w14:paraId="5468D044"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0.008188</w:t>
            </w:r>
          </w:p>
        </w:tc>
        <w:tc>
          <w:tcPr>
            <w:tcW w:w="1334" w:type="dxa"/>
            <w:tcBorders>
              <w:top w:val="single" w:sz="4" w:space="0" w:color="000000"/>
              <w:bottom w:val="single" w:sz="4" w:space="0" w:color="000000"/>
            </w:tcBorders>
            <w:shd w:val="clear" w:color="auto" w:fill="FFFFFF"/>
            <w:vAlign w:val="center"/>
          </w:tcPr>
          <w:p w14:paraId="540AAAE0"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0.000385</w:t>
            </w:r>
          </w:p>
        </w:tc>
        <w:tc>
          <w:tcPr>
            <w:tcW w:w="1660" w:type="dxa"/>
            <w:tcBorders>
              <w:top w:val="single" w:sz="4" w:space="0" w:color="000000"/>
              <w:bottom w:val="single" w:sz="4" w:space="0" w:color="000000"/>
              <w:right w:val="single" w:sz="4" w:space="0" w:color="000000"/>
            </w:tcBorders>
            <w:shd w:val="clear" w:color="auto" w:fill="FFFFFF"/>
            <w:vAlign w:val="center"/>
          </w:tcPr>
          <w:p w14:paraId="384A3BF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0.005154</w:t>
            </w:r>
          </w:p>
        </w:tc>
      </w:tr>
      <w:tr w:rsidR="00B961F7" w:rsidRPr="00B961F7" w14:paraId="0CD63DFA"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C2484"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2014 State Budget</w:t>
            </w:r>
          </w:p>
        </w:tc>
        <w:tc>
          <w:tcPr>
            <w:tcW w:w="1350" w:type="dxa"/>
            <w:tcBorders>
              <w:top w:val="single" w:sz="4" w:space="0" w:color="000000"/>
              <w:bottom w:val="single" w:sz="4" w:space="0" w:color="000000"/>
            </w:tcBorders>
            <w:shd w:val="clear" w:color="auto" w:fill="FFFFFF"/>
            <w:vAlign w:val="center"/>
          </w:tcPr>
          <w:p w14:paraId="4501CD9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-0.014076</w:t>
            </w:r>
          </w:p>
        </w:tc>
        <w:tc>
          <w:tcPr>
            <w:tcW w:w="1350" w:type="dxa"/>
            <w:tcBorders>
              <w:top w:val="single" w:sz="4" w:space="0" w:color="000000"/>
              <w:bottom w:val="single" w:sz="4" w:space="0" w:color="000000"/>
            </w:tcBorders>
            <w:shd w:val="clear" w:color="auto" w:fill="FFFFFF"/>
            <w:vAlign w:val="center"/>
          </w:tcPr>
          <w:p w14:paraId="713A155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0.010896</w:t>
            </w:r>
          </w:p>
        </w:tc>
        <w:tc>
          <w:tcPr>
            <w:tcW w:w="1334" w:type="dxa"/>
            <w:tcBorders>
              <w:top w:val="single" w:sz="4" w:space="0" w:color="000000"/>
              <w:bottom w:val="single" w:sz="4" w:space="0" w:color="000000"/>
            </w:tcBorders>
            <w:shd w:val="clear" w:color="auto" w:fill="FFFFFF"/>
            <w:vAlign w:val="center"/>
          </w:tcPr>
          <w:p w14:paraId="5C52915C"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-0.000175</w:t>
            </w:r>
          </w:p>
        </w:tc>
        <w:tc>
          <w:tcPr>
            <w:tcW w:w="1660" w:type="dxa"/>
            <w:tcBorders>
              <w:top w:val="single" w:sz="4" w:space="0" w:color="000000"/>
              <w:bottom w:val="single" w:sz="4" w:space="0" w:color="000000"/>
              <w:right w:val="single" w:sz="4" w:space="0" w:color="000000"/>
            </w:tcBorders>
            <w:shd w:val="clear" w:color="auto" w:fill="FFFFFF"/>
            <w:vAlign w:val="center"/>
          </w:tcPr>
          <w:p w14:paraId="669F6AE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0.008561</w:t>
            </w:r>
          </w:p>
        </w:tc>
      </w:tr>
      <w:tr w:rsidR="00B961F7" w:rsidRPr="00B961F7" w14:paraId="2D12E887"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4498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2015 State Budget</w:t>
            </w:r>
          </w:p>
        </w:tc>
        <w:tc>
          <w:tcPr>
            <w:tcW w:w="1350" w:type="dxa"/>
            <w:tcBorders>
              <w:top w:val="single" w:sz="4" w:space="0" w:color="000000"/>
              <w:bottom w:val="single" w:sz="4" w:space="0" w:color="000000"/>
            </w:tcBorders>
            <w:shd w:val="clear" w:color="auto" w:fill="FFFFFF"/>
            <w:vAlign w:val="center"/>
          </w:tcPr>
          <w:p w14:paraId="2F56AD18"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-0.014978</w:t>
            </w:r>
          </w:p>
        </w:tc>
        <w:tc>
          <w:tcPr>
            <w:tcW w:w="1350" w:type="dxa"/>
            <w:tcBorders>
              <w:top w:val="single" w:sz="4" w:space="0" w:color="000000"/>
              <w:bottom w:val="single" w:sz="4" w:space="0" w:color="000000"/>
            </w:tcBorders>
            <w:shd w:val="clear" w:color="auto" w:fill="FFFFFF"/>
            <w:vAlign w:val="center"/>
          </w:tcPr>
          <w:p w14:paraId="2B3B49C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0.014588</w:t>
            </w:r>
          </w:p>
        </w:tc>
        <w:tc>
          <w:tcPr>
            <w:tcW w:w="1334" w:type="dxa"/>
            <w:tcBorders>
              <w:top w:val="single" w:sz="4" w:space="0" w:color="000000"/>
              <w:bottom w:val="single" w:sz="4" w:space="0" w:color="000000"/>
            </w:tcBorders>
            <w:shd w:val="clear" w:color="auto" w:fill="FFFFFF"/>
            <w:vAlign w:val="center"/>
          </w:tcPr>
          <w:p w14:paraId="1C8981B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-0.000161</w:t>
            </w:r>
          </w:p>
        </w:tc>
        <w:tc>
          <w:tcPr>
            <w:tcW w:w="1660" w:type="dxa"/>
            <w:tcBorders>
              <w:top w:val="single" w:sz="4" w:space="0" w:color="000000"/>
              <w:bottom w:val="single" w:sz="4" w:space="0" w:color="000000"/>
              <w:right w:val="single" w:sz="4" w:space="0" w:color="000000"/>
            </w:tcBorders>
            <w:shd w:val="clear" w:color="auto" w:fill="FFFFFF"/>
            <w:vAlign w:val="center"/>
          </w:tcPr>
          <w:p w14:paraId="624285C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0.008008</w:t>
            </w:r>
          </w:p>
        </w:tc>
      </w:tr>
      <w:tr w:rsidR="00B961F7" w:rsidRPr="00B961F7" w14:paraId="63B8F617"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F569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2016 State Budget</w:t>
            </w:r>
          </w:p>
        </w:tc>
        <w:tc>
          <w:tcPr>
            <w:tcW w:w="1350" w:type="dxa"/>
            <w:tcBorders>
              <w:top w:val="single" w:sz="4" w:space="0" w:color="000000"/>
              <w:bottom w:val="single" w:sz="4" w:space="0" w:color="000000"/>
            </w:tcBorders>
            <w:shd w:val="clear" w:color="auto" w:fill="FFFFFF"/>
            <w:vAlign w:val="center"/>
          </w:tcPr>
          <w:p w14:paraId="4F59A6A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-0.022304</w:t>
            </w:r>
          </w:p>
        </w:tc>
        <w:tc>
          <w:tcPr>
            <w:tcW w:w="1350" w:type="dxa"/>
            <w:tcBorders>
              <w:top w:val="single" w:sz="4" w:space="0" w:color="000000"/>
              <w:bottom w:val="single" w:sz="4" w:space="0" w:color="000000"/>
            </w:tcBorders>
            <w:shd w:val="clear" w:color="auto" w:fill="FFFFFF"/>
            <w:vAlign w:val="center"/>
          </w:tcPr>
          <w:p w14:paraId="3D5A958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0.015073</w:t>
            </w:r>
          </w:p>
        </w:tc>
        <w:tc>
          <w:tcPr>
            <w:tcW w:w="1334" w:type="dxa"/>
            <w:tcBorders>
              <w:top w:val="single" w:sz="4" w:space="0" w:color="000000"/>
              <w:bottom w:val="single" w:sz="4" w:space="0" w:color="000000"/>
            </w:tcBorders>
            <w:shd w:val="clear" w:color="auto" w:fill="FFFFFF"/>
            <w:vAlign w:val="center"/>
          </w:tcPr>
          <w:p w14:paraId="57264AF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-0.001334</w:t>
            </w:r>
          </w:p>
        </w:tc>
        <w:tc>
          <w:tcPr>
            <w:tcW w:w="1660" w:type="dxa"/>
            <w:tcBorders>
              <w:top w:val="single" w:sz="4" w:space="0" w:color="000000"/>
              <w:bottom w:val="single" w:sz="4" w:space="0" w:color="000000"/>
              <w:right w:val="single" w:sz="4" w:space="0" w:color="000000"/>
            </w:tcBorders>
            <w:shd w:val="clear" w:color="auto" w:fill="FFFFFF"/>
            <w:vAlign w:val="center"/>
          </w:tcPr>
          <w:p w14:paraId="7317663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0.010824</w:t>
            </w:r>
          </w:p>
        </w:tc>
      </w:tr>
      <w:tr w:rsidR="00B961F7" w:rsidRPr="00B961F7" w14:paraId="23E6BD2E"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5AD7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2017 State Budget</w:t>
            </w:r>
          </w:p>
        </w:tc>
        <w:tc>
          <w:tcPr>
            <w:tcW w:w="1350" w:type="dxa"/>
            <w:tcBorders>
              <w:top w:val="single" w:sz="4" w:space="0" w:color="000000"/>
              <w:bottom w:val="single" w:sz="4" w:space="0" w:color="000000"/>
            </w:tcBorders>
            <w:shd w:val="clear" w:color="auto" w:fill="FFFFFF"/>
            <w:vAlign w:val="center"/>
          </w:tcPr>
          <w:p w14:paraId="3F9D8C2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-0.002611</w:t>
            </w:r>
          </w:p>
        </w:tc>
        <w:tc>
          <w:tcPr>
            <w:tcW w:w="1350" w:type="dxa"/>
            <w:tcBorders>
              <w:top w:val="single" w:sz="4" w:space="0" w:color="000000"/>
              <w:bottom w:val="single" w:sz="4" w:space="0" w:color="000000"/>
            </w:tcBorders>
            <w:shd w:val="clear" w:color="auto" w:fill="FFFFFF"/>
            <w:vAlign w:val="center"/>
          </w:tcPr>
          <w:p w14:paraId="1A164B5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0.008613</w:t>
            </w:r>
          </w:p>
        </w:tc>
        <w:tc>
          <w:tcPr>
            <w:tcW w:w="1334" w:type="dxa"/>
            <w:tcBorders>
              <w:top w:val="single" w:sz="4" w:space="0" w:color="000000"/>
              <w:bottom w:val="single" w:sz="4" w:space="0" w:color="000000"/>
            </w:tcBorders>
            <w:shd w:val="clear" w:color="auto" w:fill="FFFFFF"/>
            <w:vAlign w:val="center"/>
          </w:tcPr>
          <w:p w14:paraId="6454677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0.001799</w:t>
            </w:r>
          </w:p>
        </w:tc>
        <w:tc>
          <w:tcPr>
            <w:tcW w:w="1660" w:type="dxa"/>
            <w:tcBorders>
              <w:top w:val="single" w:sz="4" w:space="0" w:color="000000"/>
              <w:bottom w:val="single" w:sz="4" w:space="0" w:color="000000"/>
              <w:right w:val="single" w:sz="4" w:space="0" w:color="000000"/>
            </w:tcBorders>
            <w:shd w:val="clear" w:color="auto" w:fill="FFFFFF"/>
            <w:vAlign w:val="center"/>
          </w:tcPr>
          <w:p w14:paraId="151363C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0.003297</w:t>
            </w:r>
          </w:p>
        </w:tc>
      </w:tr>
      <w:tr w:rsidR="00B961F7" w:rsidRPr="00B961F7" w14:paraId="32E3FC8A"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44DEC"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2018 State Budget</w:t>
            </w:r>
          </w:p>
        </w:tc>
        <w:tc>
          <w:tcPr>
            <w:tcW w:w="1350" w:type="dxa"/>
            <w:tcBorders>
              <w:top w:val="single" w:sz="4" w:space="0" w:color="000000"/>
              <w:bottom w:val="single" w:sz="4" w:space="0" w:color="000000"/>
            </w:tcBorders>
            <w:shd w:val="clear" w:color="auto" w:fill="FFFFFF"/>
            <w:vAlign w:val="center"/>
          </w:tcPr>
          <w:p w14:paraId="685E4A1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-0.009648</w:t>
            </w:r>
          </w:p>
        </w:tc>
        <w:tc>
          <w:tcPr>
            <w:tcW w:w="1350" w:type="dxa"/>
            <w:tcBorders>
              <w:top w:val="single" w:sz="4" w:space="0" w:color="000000"/>
              <w:bottom w:val="single" w:sz="4" w:space="0" w:color="000000"/>
            </w:tcBorders>
            <w:shd w:val="clear" w:color="auto" w:fill="FFFFFF"/>
            <w:vAlign w:val="center"/>
          </w:tcPr>
          <w:p w14:paraId="044E7CF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0.016431</w:t>
            </w:r>
          </w:p>
        </w:tc>
        <w:tc>
          <w:tcPr>
            <w:tcW w:w="1334" w:type="dxa"/>
            <w:tcBorders>
              <w:top w:val="single" w:sz="4" w:space="0" w:color="000000"/>
              <w:bottom w:val="single" w:sz="4" w:space="0" w:color="000000"/>
            </w:tcBorders>
            <w:shd w:val="clear" w:color="auto" w:fill="FFFFFF"/>
            <w:vAlign w:val="center"/>
          </w:tcPr>
          <w:p w14:paraId="521D440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0.000983</w:t>
            </w:r>
          </w:p>
        </w:tc>
        <w:tc>
          <w:tcPr>
            <w:tcW w:w="1660" w:type="dxa"/>
            <w:tcBorders>
              <w:top w:val="single" w:sz="4" w:space="0" w:color="000000"/>
              <w:bottom w:val="single" w:sz="4" w:space="0" w:color="000000"/>
              <w:right w:val="single" w:sz="4" w:space="0" w:color="000000"/>
            </w:tcBorders>
            <w:shd w:val="clear" w:color="auto" w:fill="FFFFFF"/>
            <w:vAlign w:val="center"/>
          </w:tcPr>
          <w:p w14:paraId="47C6DB9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0.007508</w:t>
            </w:r>
          </w:p>
        </w:tc>
      </w:tr>
      <w:tr w:rsidR="00B961F7" w:rsidRPr="00B961F7" w14:paraId="3DA6EFA1" w14:textId="77777777" w:rsidTr="004D1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0030"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2019 State Budget</w:t>
            </w:r>
          </w:p>
        </w:tc>
        <w:tc>
          <w:tcPr>
            <w:tcW w:w="1350" w:type="dxa"/>
            <w:tcBorders>
              <w:top w:val="single" w:sz="4" w:space="0" w:color="000000"/>
              <w:bottom w:val="single" w:sz="4" w:space="0" w:color="000000"/>
            </w:tcBorders>
            <w:shd w:val="clear" w:color="auto" w:fill="FFFFFF"/>
            <w:vAlign w:val="center"/>
          </w:tcPr>
          <w:p w14:paraId="37802B4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-0.016546</w:t>
            </w:r>
          </w:p>
        </w:tc>
        <w:tc>
          <w:tcPr>
            <w:tcW w:w="1350" w:type="dxa"/>
            <w:tcBorders>
              <w:top w:val="single" w:sz="4" w:space="0" w:color="000000"/>
              <w:bottom w:val="single" w:sz="4" w:space="0" w:color="000000"/>
            </w:tcBorders>
            <w:shd w:val="clear" w:color="auto" w:fill="FFFFFF"/>
            <w:vAlign w:val="center"/>
          </w:tcPr>
          <w:p w14:paraId="4B08DD64"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0.013951</w:t>
            </w:r>
          </w:p>
        </w:tc>
        <w:tc>
          <w:tcPr>
            <w:tcW w:w="1334" w:type="dxa"/>
            <w:tcBorders>
              <w:top w:val="single" w:sz="4" w:space="0" w:color="000000"/>
              <w:bottom w:val="single" w:sz="4" w:space="0" w:color="000000"/>
            </w:tcBorders>
            <w:shd w:val="clear" w:color="auto" w:fill="FFFFFF"/>
            <w:vAlign w:val="center"/>
          </w:tcPr>
          <w:p w14:paraId="2E2231A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- 0.000631</w:t>
            </w:r>
          </w:p>
        </w:tc>
        <w:tc>
          <w:tcPr>
            <w:tcW w:w="1660" w:type="dxa"/>
            <w:tcBorders>
              <w:top w:val="single" w:sz="4" w:space="0" w:color="000000"/>
              <w:bottom w:val="single" w:sz="4" w:space="0" w:color="000000"/>
              <w:right w:val="single" w:sz="4" w:space="0" w:color="000000"/>
            </w:tcBorders>
            <w:shd w:val="clear" w:color="auto" w:fill="FFFFFF"/>
            <w:vAlign w:val="center"/>
          </w:tcPr>
          <w:p w14:paraId="70D88659"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0.008299</w:t>
            </w:r>
          </w:p>
        </w:tc>
      </w:tr>
    </w:tbl>
    <w:p w14:paraId="4843D186" w14:textId="77777777" w:rsidR="00B961F7" w:rsidRPr="00B961F7" w:rsidRDefault="00B961F7" w:rsidP="00B961F7">
      <w:pPr>
        <w:spacing w:after="0" w:line="240" w:lineRule="auto"/>
        <w:jc w:val="both"/>
        <w:rPr>
          <w:rFonts w:ascii="Cambria" w:eastAsia="Calibri" w:hAnsi="Cambria" w:cs="Calibri"/>
          <w:sz w:val="20"/>
          <w:szCs w:val="20"/>
          <w:lang w:val="en"/>
        </w:rPr>
      </w:pPr>
      <w:r w:rsidRPr="00B961F7">
        <w:rPr>
          <w:rFonts w:ascii="Cambria" w:eastAsia="Calibri" w:hAnsi="Cambria" w:cs="Calibri"/>
          <w:sz w:val="20"/>
          <w:szCs w:val="20"/>
          <w:lang w:val="en"/>
        </w:rPr>
        <w:t>Source: Compiled by the author.</w:t>
      </w:r>
    </w:p>
    <w:p w14:paraId="6CC9D9F1"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Descriptive statistical analysis for the </w:t>
      </w:r>
      <w:r w:rsidRPr="00B961F7">
        <w:rPr>
          <w:rFonts w:ascii="Cambria" w:eastAsia="Calibri" w:hAnsi="Cambria" w:cs="Calibri"/>
          <w:i/>
          <w:sz w:val="20"/>
          <w:szCs w:val="20"/>
          <w:lang w:val="en"/>
        </w:rPr>
        <w:t xml:space="preserve">Average Abnormal Return </w:t>
      </w:r>
      <w:r w:rsidRPr="00B961F7">
        <w:rPr>
          <w:rFonts w:ascii="Cambria" w:eastAsia="Calibri" w:hAnsi="Cambria" w:cs="Calibri"/>
          <w:sz w:val="20"/>
          <w:szCs w:val="20"/>
          <w:lang w:val="en"/>
        </w:rPr>
        <w:t>(AAR) value</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 xml:space="preserve">before and after the event the State Revenue and Expenditure Budget (APBN) ratification is carried out directly using the SPSS application. The values </w:t>
      </w:r>
      <w:r w:rsidRPr="00B961F7">
        <w:rPr>
          <w:rFonts w:ascii="Cambria" w:eastAsia="Calibri" w:hAnsi="Cambria" w:cs="Calibri"/>
          <w:i/>
          <w:sz w:val="20"/>
          <w:szCs w:val="20"/>
          <w:lang w:val="en"/>
        </w:rPr>
        <w:t xml:space="preserve">minimum, maximum, mean, </w:t>
      </w:r>
      <w:r w:rsidRPr="00B961F7">
        <w:rPr>
          <w:rFonts w:ascii="Cambria" w:eastAsia="Calibri" w:hAnsi="Cambria" w:cs="Calibri"/>
          <w:sz w:val="20"/>
          <w:szCs w:val="20"/>
          <w:lang w:val="en"/>
        </w:rPr>
        <w:t xml:space="preserve">and </w:t>
      </w:r>
      <w:r w:rsidRPr="00B961F7">
        <w:rPr>
          <w:rFonts w:ascii="Cambria" w:eastAsia="Calibri" w:hAnsi="Cambria" w:cs="Calibri"/>
          <w:i/>
          <w:sz w:val="20"/>
          <w:szCs w:val="20"/>
          <w:lang w:val="en"/>
        </w:rPr>
        <w:t xml:space="preserve">standard deviation </w:t>
      </w:r>
      <w:r w:rsidRPr="00B961F7">
        <w:rPr>
          <w:rFonts w:ascii="Cambria" w:eastAsia="Calibri" w:hAnsi="Cambria" w:cs="Calibri"/>
          <w:sz w:val="20"/>
          <w:szCs w:val="20"/>
          <w:lang w:val="en"/>
        </w:rPr>
        <w:t>from the results of the analysis can be seen in the following table.</w:t>
      </w:r>
    </w:p>
    <w:p w14:paraId="16BAF1B5"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2. Descriptive Statistical Analysis of </w:t>
      </w:r>
      <w:r w:rsidRPr="00B961F7">
        <w:rPr>
          <w:rFonts w:ascii="Cambria" w:eastAsia="Calibri" w:hAnsi="Cambria" w:cs="Calibri"/>
          <w:b/>
          <w:i/>
          <w:sz w:val="20"/>
          <w:szCs w:val="20"/>
          <w:lang w:val="en"/>
        </w:rPr>
        <w:t xml:space="preserve">Average Abnormal Return </w:t>
      </w:r>
      <w:r w:rsidRPr="00B961F7">
        <w:rPr>
          <w:rFonts w:ascii="Cambria" w:eastAsia="Calibri" w:hAnsi="Cambria" w:cs="Calibri"/>
          <w:b/>
          <w:sz w:val="20"/>
          <w:szCs w:val="20"/>
          <w:lang w:val="en"/>
        </w:rPr>
        <w:t>(AAR)</w:t>
      </w:r>
      <w:r w:rsidRPr="00B961F7">
        <w:rPr>
          <w:rFonts w:ascii="Cambria" w:eastAsia="Calibri" w:hAnsi="Cambria" w:cs="Calibri"/>
          <w:b/>
          <w:i/>
          <w:sz w:val="20"/>
          <w:szCs w:val="20"/>
          <w:lang w:val="en"/>
        </w:rPr>
        <w:t xml:space="preserve"> </w:t>
      </w:r>
      <w:r w:rsidRPr="00B961F7">
        <w:rPr>
          <w:rFonts w:ascii="Cambria" w:eastAsia="Calibri" w:hAnsi="Cambria" w:cs="Calibri"/>
          <w:b/>
          <w:sz w:val="20"/>
          <w:szCs w:val="20"/>
          <w:lang w:val="en"/>
        </w:rPr>
        <w:t>Before and After the Event of APBN Approval</w:t>
      </w:r>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219"/>
        <w:gridCol w:w="524"/>
        <w:gridCol w:w="1399"/>
        <w:gridCol w:w="1260"/>
        <w:gridCol w:w="1428"/>
        <w:gridCol w:w="1476"/>
      </w:tblGrid>
      <w:tr w:rsidR="00B961F7" w:rsidRPr="00B961F7" w14:paraId="3084638F" w14:textId="77777777" w:rsidTr="004D1711">
        <w:trPr>
          <w:jc w:val="center"/>
        </w:trPr>
        <w:tc>
          <w:tcPr>
            <w:tcW w:w="993" w:type="dxa"/>
            <w:vAlign w:val="center"/>
          </w:tcPr>
          <w:p w14:paraId="1CD769AC"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APBN</w:t>
            </w:r>
          </w:p>
        </w:tc>
        <w:tc>
          <w:tcPr>
            <w:tcW w:w="1219" w:type="dxa"/>
            <w:vAlign w:val="center"/>
          </w:tcPr>
          <w:p w14:paraId="0EFDB8D0"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p>
        </w:tc>
        <w:tc>
          <w:tcPr>
            <w:tcW w:w="524" w:type="dxa"/>
            <w:vAlign w:val="center"/>
          </w:tcPr>
          <w:p w14:paraId="36A7C86C" w14:textId="77777777" w:rsidR="00B961F7" w:rsidRPr="00B961F7" w:rsidRDefault="00B961F7" w:rsidP="00B961F7">
            <w:pPr>
              <w:spacing w:after="0" w:line="240" w:lineRule="auto"/>
              <w:ind w:left="60" w:right="60"/>
              <w:jc w:val="center"/>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N</w:t>
            </w:r>
          </w:p>
        </w:tc>
        <w:tc>
          <w:tcPr>
            <w:tcW w:w="1399" w:type="dxa"/>
            <w:vAlign w:val="center"/>
          </w:tcPr>
          <w:p w14:paraId="5DC0AE4D" w14:textId="77777777" w:rsidR="00B961F7" w:rsidRPr="00B961F7" w:rsidRDefault="00B961F7" w:rsidP="00B961F7">
            <w:pPr>
              <w:spacing w:after="0" w:line="240" w:lineRule="auto"/>
              <w:ind w:left="60" w:right="60"/>
              <w:jc w:val="center"/>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Min</w:t>
            </w:r>
          </w:p>
        </w:tc>
        <w:tc>
          <w:tcPr>
            <w:tcW w:w="1260" w:type="dxa"/>
            <w:vAlign w:val="center"/>
          </w:tcPr>
          <w:p w14:paraId="43EB9C5C" w14:textId="77777777" w:rsidR="00B961F7" w:rsidRPr="00B961F7" w:rsidRDefault="00B961F7" w:rsidP="00B961F7">
            <w:pPr>
              <w:spacing w:after="0" w:line="240" w:lineRule="auto"/>
              <w:ind w:left="60" w:right="60"/>
              <w:jc w:val="center"/>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Max</w:t>
            </w:r>
          </w:p>
        </w:tc>
        <w:tc>
          <w:tcPr>
            <w:tcW w:w="1428" w:type="dxa"/>
            <w:vAlign w:val="center"/>
          </w:tcPr>
          <w:p w14:paraId="40DA4DD6" w14:textId="77777777" w:rsidR="00B961F7" w:rsidRPr="00B961F7" w:rsidRDefault="00B961F7" w:rsidP="00B961F7">
            <w:pPr>
              <w:spacing w:after="0" w:line="240" w:lineRule="auto"/>
              <w:ind w:left="60" w:right="60"/>
              <w:jc w:val="center"/>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Mean</w:t>
            </w:r>
          </w:p>
        </w:tc>
        <w:tc>
          <w:tcPr>
            <w:tcW w:w="1476" w:type="dxa"/>
            <w:vAlign w:val="center"/>
          </w:tcPr>
          <w:p w14:paraId="11E8F179" w14:textId="77777777" w:rsidR="00B961F7" w:rsidRPr="00B961F7" w:rsidRDefault="00B961F7" w:rsidP="00B961F7">
            <w:pPr>
              <w:spacing w:after="0" w:line="240" w:lineRule="auto"/>
              <w:ind w:left="60" w:right="60"/>
              <w:jc w:val="center"/>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Std. Deviation</w:t>
            </w:r>
          </w:p>
        </w:tc>
      </w:tr>
      <w:tr w:rsidR="00B961F7" w:rsidRPr="00B961F7" w14:paraId="3B62CB33" w14:textId="77777777" w:rsidTr="004D1711">
        <w:trPr>
          <w:jc w:val="center"/>
        </w:trPr>
        <w:tc>
          <w:tcPr>
            <w:tcW w:w="993" w:type="dxa"/>
            <w:vMerge w:val="restart"/>
            <w:vAlign w:val="center"/>
          </w:tcPr>
          <w:p w14:paraId="61EC2C0E"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2010</w:t>
            </w:r>
          </w:p>
        </w:tc>
        <w:tc>
          <w:tcPr>
            <w:tcW w:w="1219" w:type="dxa"/>
            <w:vAlign w:val="center"/>
          </w:tcPr>
          <w:p w14:paraId="3C62FD63"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3C9F92C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50CFF2D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-0.008681</w:t>
            </w:r>
          </w:p>
        </w:tc>
        <w:tc>
          <w:tcPr>
            <w:tcW w:w="1260" w:type="dxa"/>
            <w:vAlign w:val="center"/>
          </w:tcPr>
          <w:p w14:paraId="54A4855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0.011457</w:t>
            </w:r>
          </w:p>
        </w:tc>
        <w:tc>
          <w:tcPr>
            <w:tcW w:w="1428" w:type="dxa"/>
            <w:vAlign w:val="center"/>
          </w:tcPr>
          <w:p w14:paraId="469D176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0.002782</w:t>
            </w:r>
          </w:p>
        </w:tc>
        <w:tc>
          <w:tcPr>
            <w:tcW w:w="1476" w:type="dxa"/>
            <w:vAlign w:val="center"/>
          </w:tcPr>
          <w:p w14:paraId="1397A35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0.007962</w:t>
            </w:r>
          </w:p>
        </w:tc>
      </w:tr>
      <w:tr w:rsidR="00B961F7" w:rsidRPr="00B961F7" w14:paraId="01403166" w14:textId="77777777" w:rsidTr="004D1711">
        <w:trPr>
          <w:jc w:val="center"/>
        </w:trPr>
        <w:tc>
          <w:tcPr>
            <w:tcW w:w="993" w:type="dxa"/>
            <w:vMerge/>
            <w:vAlign w:val="center"/>
          </w:tcPr>
          <w:p w14:paraId="581A4801"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03493E76"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2BEDDE2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5F705B3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-0.005154</w:t>
            </w:r>
          </w:p>
        </w:tc>
        <w:tc>
          <w:tcPr>
            <w:tcW w:w="1260" w:type="dxa"/>
            <w:vAlign w:val="center"/>
          </w:tcPr>
          <w:p w14:paraId="7468C7D6"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0.015550</w:t>
            </w:r>
          </w:p>
        </w:tc>
        <w:tc>
          <w:tcPr>
            <w:tcW w:w="1428" w:type="dxa"/>
            <w:vAlign w:val="center"/>
          </w:tcPr>
          <w:p w14:paraId="72C7620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0.000406</w:t>
            </w:r>
          </w:p>
        </w:tc>
        <w:tc>
          <w:tcPr>
            <w:tcW w:w="1476" w:type="dxa"/>
            <w:vAlign w:val="center"/>
          </w:tcPr>
          <w:p w14:paraId="6608F8D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0.008586</w:t>
            </w:r>
          </w:p>
        </w:tc>
      </w:tr>
      <w:tr w:rsidR="00B961F7" w:rsidRPr="00B961F7" w14:paraId="3129D971" w14:textId="77777777" w:rsidTr="004D1711">
        <w:trPr>
          <w:jc w:val="center"/>
        </w:trPr>
        <w:tc>
          <w:tcPr>
            <w:tcW w:w="993" w:type="dxa"/>
            <w:vMerge w:val="restart"/>
            <w:vAlign w:val="center"/>
          </w:tcPr>
          <w:p w14:paraId="16B3B3E1"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2011</w:t>
            </w:r>
          </w:p>
        </w:tc>
        <w:tc>
          <w:tcPr>
            <w:tcW w:w="1219" w:type="dxa"/>
            <w:vAlign w:val="center"/>
          </w:tcPr>
          <w:p w14:paraId="07087D75"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6BC1B1C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00CD1CC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-0.002754</w:t>
            </w:r>
          </w:p>
        </w:tc>
        <w:tc>
          <w:tcPr>
            <w:tcW w:w="1260" w:type="dxa"/>
            <w:vAlign w:val="center"/>
          </w:tcPr>
          <w:p w14:paraId="57D6EB6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0.002678</w:t>
            </w:r>
          </w:p>
        </w:tc>
        <w:tc>
          <w:tcPr>
            <w:tcW w:w="1428" w:type="dxa"/>
            <w:vAlign w:val="center"/>
          </w:tcPr>
          <w:p w14:paraId="6B1246E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-0.000532</w:t>
            </w:r>
          </w:p>
        </w:tc>
        <w:tc>
          <w:tcPr>
            <w:tcW w:w="1476" w:type="dxa"/>
            <w:vAlign w:val="center"/>
          </w:tcPr>
          <w:p w14:paraId="3736175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0.002442</w:t>
            </w:r>
          </w:p>
        </w:tc>
      </w:tr>
      <w:tr w:rsidR="00B961F7" w:rsidRPr="00B961F7" w14:paraId="38C432A6" w14:textId="77777777" w:rsidTr="004D1711">
        <w:trPr>
          <w:jc w:val="center"/>
        </w:trPr>
        <w:tc>
          <w:tcPr>
            <w:tcW w:w="993" w:type="dxa"/>
            <w:vMerge/>
            <w:vAlign w:val="center"/>
          </w:tcPr>
          <w:p w14:paraId="2D879B6B"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466229C5"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3EE9327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13431A5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-0.006451</w:t>
            </w:r>
          </w:p>
        </w:tc>
        <w:tc>
          <w:tcPr>
            <w:tcW w:w="1260" w:type="dxa"/>
            <w:vAlign w:val="center"/>
          </w:tcPr>
          <w:p w14:paraId="10572EA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0.006829</w:t>
            </w:r>
          </w:p>
        </w:tc>
        <w:tc>
          <w:tcPr>
            <w:tcW w:w="1428" w:type="dxa"/>
            <w:vAlign w:val="center"/>
          </w:tcPr>
          <w:p w14:paraId="7BA5F12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0.000767</w:t>
            </w:r>
          </w:p>
        </w:tc>
        <w:tc>
          <w:tcPr>
            <w:tcW w:w="1476" w:type="dxa"/>
            <w:vAlign w:val="center"/>
          </w:tcPr>
          <w:p w14:paraId="2821EE6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0.006347</w:t>
            </w:r>
          </w:p>
        </w:tc>
      </w:tr>
      <w:tr w:rsidR="00B961F7" w:rsidRPr="00B961F7" w14:paraId="58A02D88" w14:textId="77777777" w:rsidTr="004D1711">
        <w:trPr>
          <w:jc w:val="center"/>
        </w:trPr>
        <w:tc>
          <w:tcPr>
            <w:tcW w:w="993" w:type="dxa"/>
            <w:vMerge w:val="restart"/>
            <w:vAlign w:val="center"/>
          </w:tcPr>
          <w:p w14:paraId="59D7D17C"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2012</w:t>
            </w:r>
          </w:p>
        </w:tc>
        <w:tc>
          <w:tcPr>
            <w:tcW w:w="1219" w:type="dxa"/>
            <w:vAlign w:val="center"/>
          </w:tcPr>
          <w:p w14:paraId="478C7151"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71E40026"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52E695D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-0.009710</w:t>
            </w:r>
          </w:p>
        </w:tc>
        <w:tc>
          <w:tcPr>
            <w:tcW w:w="1260" w:type="dxa"/>
            <w:vAlign w:val="center"/>
          </w:tcPr>
          <w:p w14:paraId="730EF91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0.011610</w:t>
            </w:r>
          </w:p>
        </w:tc>
        <w:tc>
          <w:tcPr>
            <w:tcW w:w="1428" w:type="dxa"/>
            <w:vAlign w:val="center"/>
          </w:tcPr>
          <w:p w14:paraId="2077236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-0.000733</w:t>
            </w:r>
          </w:p>
        </w:tc>
        <w:tc>
          <w:tcPr>
            <w:tcW w:w="1476" w:type="dxa"/>
            <w:vAlign w:val="center"/>
          </w:tcPr>
          <w:p w14:paraId="1596E37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0.008215</w:t>
            </w:r>
          </w:p>
        </w:tc>
      </w:tr>
      <w:tr w:rsidR="00B961F7" w:rsidRPr="00B961F7" w14:paraId="56F670A4" w14:textId="77777777" w:rsidTr="004D1711">
        <w:trPr>
          <w:jc w:val="center"/>
        </w:trPr>
        <w:tc>
          <w:tcPr>
            <w:tcW w:w="993" w:type="dxa"/>
            <w:vMerge/>
            <w:vAlign w:val="center"/>
          </w:tcPr>
          <w:p w14:paraId="13FF9F30"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508AB3AD"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741BD95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6B6F166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-0.001703</w:t>
            </w:r>
          </w:p>
        </w:tc>
        <w:tc>
          <w:tcPr>
            <w:tcW w:w="1260" w:type="dxa"/>
            <w:vAlign w:val="center"/>
          </w:tcPr>
          <w:p w14:paraId="1FBC832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0.003063</w:t>
            </w:r>
          </w:p>
        </w:tc>
        <w:tc>
          <w:tcPr>
            <w:tcW w:w="1428" w:type="dxa"/>
            <w:vAlign w:val="center"/>
          </w:tcPr>
          <w:p w14:paraId="1E005F7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0.000664</w:t>
            </w:r>
          </w:p>
        </w:tc>
        <w:tc>
          <w:tcPr>
            <w:tcW w:w="1476" w:type="dxa"/>
            <w:vAlign w:val="center"/>
          </w:tcPr>
          <w:p w14:paraId="0F5BFC9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0.002153</w:t>
            </w:r>
          </w:p>
        </w:tc>
      </w:tr>
      <w:tr w:rsidR="00B961F7" w:rsidRPr="00B961F7" w14:paraId="276A7080" w14:textId="77777777" w:rsidTr="004D1711">
        <w:trPr>
          <w:jc w:val="center"/>
        </w:trPr>
        <w:tc>
          <w:tcPr>
            <w:tcW w:w="993" w:type="dxa"/>
            <w:vMerge w:val="restart"/>
            <w:vAlign w:val="center"/>
          </w:tcPr>
          <w:p w14:paraId="474C3578"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2013</w:t>
            </w:r>
          </w:p>
        </w:tc>
        <w:tc>
          <w:tcPr>
            <w:tcW w:w="1219" w:type="dxa"/>
            <w:vAlign w:val="center"/>
          </w:tcPr>
          <w:p w14:paraId="51AC1A07"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526F6BC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1786F7C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- 0.007145</w:t>
            </w:r>
          </w:p>
        </w:tc>
        <w:tc>
          <w:tcPr>
            <w:tcW w:w="1260" w:type="dxa"/>
            <w:vAlign w:val="center"/>
          </w:tcPr>
          <w:p w14:paraId="2FDC6D8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0.007417</w:t>
            </w:r>
          </w:p>
        </w:tc>
        <w:tc>
          <w:tcPr>
            <w:tcW w:w="1428" w:type="dxa"/>
            <w:vAlign w:val="center"/>
          </w:tcPr>
          <w:p w14:paraId="3661AA0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0.001833</w:t>
            </w:r>
          </w:p>
        </w:tc>
        <w:tc>
          <w:tcPr>
            <w:tcW w:w="1476" w:type="dxa"/>
            <w:vAlign w:val="center"/>
          </w:tcPr>
          <w:p w14:paraId="5BC4C946"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0.005510</w:t>
            </w:r>
          </w:p>
        </w:tc>
      </w:tr>
      <w:tr w:rsidR="00B961F7" w:rsidRPr="00B961F7" w14:paraId="1A0CB170" w14:textId="77777777" w:rsidTr="004D1711">
        <w:trPr>
          <w:jc w:val="center"/>
        </w:trPr>
        <w:tc>
          <w:tcPr>
            <w:tcW w:w="993" w:type="dxa"/>
            <w:vMerge/>
            <w:vAlign w:val="center"/>
          </w:tcPr>
          <w:p w14:paraId="396AB1D2"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4D349E87"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76B287B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3A0C8BA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-0.004101</w:t>
            </w:r>
          </w:p>
        </w:tc>
        <w:tc>
          <w:tcPr>
            <w:tcW w:w="1260" w:type="dxa"/>
            <w:vAlign w:val="center"/>
          </w:tcPr>
          <w:p w14:paraId="0E569DB3"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0.004971</w:t>
            </w:r>
          </w:p>
        </w:tc>
        <w:tc>
          <w:tcPr>
            <w:tcW w:w="1428" w:type="dxa"/>
            <w:vAlign w:val="center"/>
          </w:tcPr>
          <w:p w14:paraId="2BECA48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-0.000207</w:t>
            </w:r>
          </w:p>
        </w:tc>
        <w:tc>
          <w:tcPr>
            <w:tcW w:w="1476" w:type="dxa"/>
            <w:vAlign w:val="center"/>
          </w:tcPr>
          <w:p w14:paraId="3071D532"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0.003740</w:t>
            </w:r>
          </w:p>
        </w:tc>
      </w:tr>
      <w:tr w:rsidR="00B961F7" w:rsidRPr="00B961F7" w14:paraId="5FD64C79" w14:textId="77777777" w:rsidTr="004D1711">
        <w:trPr>
          <w:jc w:val="center"/>
        </w:trPr>
        <w:tc>
          <w:tcPr>
            <w:tcW w:w="993" w:type="dxa"/>
            <w:vMerge w:val="restart"/>
            <w:vAlign w:val="center"/>
          </w:tcPr>
          <w:p w14:paraId="73FFDA18"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2014</w:t>
            </w:r>
          </w:p>
        </w:tc>
        <w:tc>
          <w:tcPr>
            <w:tcW w:w="1219" w:type="dxa"/>
            <w:vAlign w:val="center"/>
          </w:tcPr>
          <w:p w14:paraId="395EC4B4"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03ACFC2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1E51C73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-0.010902</w:t>
            </w:r>
          </w:p>
        </w:tc>
        <w:tc>
          <w:tcPr>
            <w:tcW w:w="1260" w:type="dxa"/>
            <w:vAlign w:val="center"/>
          </w:tcPr>
          <w:p w14:paraId="4255916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0.007228</w:t>
            </w:r>
          </w:p>
        </w:tc>
        <w:tc>
          <w:tcPr>
            <w:tcW w:w="1428" w:type="dxa"/>
            <w:vAlign w:val="center"/>
          </w:tcPr>
          <w:p w14:paraId="67B719B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-6.0E-7</w:t>
            </w:r>
          </w:p>
        </w:tc>
        <w:tc>
          <w:tcPr>
            <w:tcW w:w="1476" w:type="dxa"/>
            <w:vAlign w:val="center"/>
          </w:tcPr>
          <w:p w14:paraId="76637040"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0.007004</w:t>
            </w:r>
          </w:p>
        </w:tc>
      </w:tr>
      <w:tr w:rsidR="00B961F7" w:rsidRPr="00B961F7" w14:paraId="59E0D27E" w14:textId="77777777" w:rsidTr="004D1711">
        <w:trPr>
          <w:jc w:val="center"/>
        </w:trPr>
        <w:tc>
          <w:tcPr>
            <w:tcW w:w="993" w:type="dxa"/>
            <w:vMerge/>
            <w:vAlign w:val="center"/>
          </w:tcPr>
          <w:p w14:paraId="3B40964C"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37D2C15E"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2B51123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60354E8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- 0.010807</w:t>
            </w:r>
          </w:p>
        </w:tc>
        <w:tc>
          <w:tcPr>
            <w:tcW w:w="1260" w:type="dxa"/>
            <w:vAlign w:val="center"/>
          </w:tcPr>
          <w:p w14:paraId="78127CD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0.012106</w:t>
            </w:r>
          </w:p>
        </w:tc>
        <w:tc>
          <w:tcPr>
            <w:tcW w:w="1428" w:type="dxa"/>
            <w:vAlign w:val="center"/>
          </w:tcPr>
          <w:p w14:paraId="784D12B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-0.000278</w:t>
            </w:r>
          </w:p>
        </w:tc>
        <w:tc>
          <w:tcPr>
            <w:tcW w:w="1476" w:type="dxa"/>
            <w:vAlign w:val="center"/>
          </w:tcPr>
          <w:p w14:paraId="3FD4983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0.009613</w:t>
            </w:r>
          </w:p>
        </w:tc>
      </w:tr>
      <w:tr w:rsidR="00B961F7" w:rsidRPr="00B961F7" w14:paraId="4FE86100" w14:textId="77777777" w:rsidTr="004D1711">
        <w:trPr>
          <w:jc w:val="center"/>
        </w:trPr>
        <w:tc>
          <w:tcPr>
            <w:tcW w:w="993" w:type="dxa"/>
            <w:vMerge w:val="restart"/>
            <w:vAlign w:val="center"/>
          </w:tcPr>
          <w:p w14:paraId="20F81B6B"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2015</w:t>
            </w:r>
          </w:p>
        </w:tc>
        <w:tc>
          <w:tcPr>
            <w:tcW w:w="1219" w:type="dxa"/>
            <w:vAlign w:val="center"/>
          </w:tcPr>
          <w:p w14:paraId="6940A412"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6FE33C53"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7B8E2AA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-0.013091</w:t>
            </w:r>
          </w:p>
        </w:tc>
        <w:tc>
          <w:tcPr>
            <w:tcW w:w="1260" w:type="dxa"/>
            <w:vAlign w:val="center"/>
          </w:tcPr>
          <w:p w14:paraId="1807DF54"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0.003207</w:t>
            </w:r>
          </w:p>
        </w:tc>
        <w:tc>
          <w:tcPr>
            <w:tcW w:w="1428" w:type="dxa"/>
            <w:vAlign w:val="center"/>
          </w:tcPr>
          <w:p w14:paraId="010F6114"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-0.001298</w:t>
            </w:r>
          </w:p>
        </w:tc>
        <w:tc>
          <w:tcPr>
            <w:tcW w:w="1476" w:type="dxa"/>
            <w:vAlign w:val="center"/>
          </w:tcPr>
          <w:p w14:paraId="460BDB4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0.006813</w:t>
            </w:r>
          </w:p>
        </w:tc>
      </w:tr>
      <w:tr w:rsidR="00B961F7" w:rsidRPr="00B961F7" w14:paraId="6F34E9C9" w14:textId="77777777" w:rsidTr="004D1711">
        <w:trPr>
          <w:jc w:val="center"/>
        </w:trPr>
        <w:tc>
          <w:tcPr>
            <w:tcW w:w="993" w:type="dxa"/>
            <w:vMerge/>
            <w:vAlign w:val="center"/>
          </w:tcPr>
          <w:p w14:paraId="20DE2E5E"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06A59F2C"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1AD8185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6F2B057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-0.008755</w:t>
            </w:r>
          </w:p>
        </w:tc>
        <w:tc>
          <w:tcPr>
            <w:tcW w:w="1260" w:type="dxa"/>
            <w:vAlign w:val="center"/>
          </w:tcPr>
          <w:p w14:paraId="607D9F1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0.013480</w:t>
            </w:r>
          </w:p>
        </w:tc>
        <w:tc>
          <w:tcPr>
            <w:tcW w:w="1428" w:type="dxa"/>
            <w:vAlign w:val="center"/>
          </w:tcPr>
          <w:p w14:paraId="4E4D0EB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0.002366</w:t>
            </w:r>
          </w:p>
        </w:tc>
        <w:tc>
          <w:tcPr>
            <w:tcW w:w="1476" w:type="dxa"/>
            <w:vAlign w:val="center"/>
          </w:tcPr>
          <w:p w14:paraId="7D3B839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0.007878</w:t>
            </w:r>
          </w:p>
        </w:tc>
      </w:tr>
      <w:tr w:rsidR="00B961F7" w:rsidRPr="00B961F7" w14:paraId="3E4E3342" w14:textId="77777777" w:rsidTr="004D1711">
        <w:trPr>
          <w:jc w:val="center"/>
        </w:trPr>
        <w:tc>
          <w:tcPr>
            <w:tcW w:w="993" w:type="dxa"/>
            <w:vMerge w:val="restart"/>
            <w:vAlign w:val="center"/>
          </w:tcPr>
          <w:p w14:paraId="5BF9B66F"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2016</w:t>
            </w:r>
          </w:p>
        </w:tc>
        <w:tc>
          <w:tcPr>
            <w:tcW w:w="1219" w:type="dxa"/>
            <w:vAlign w:val="center"/>
          </w:tcPr>
          <w:p w14:paraId="15D8A841"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33BB769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39C25D4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-0, 012149</w:t>
            </w:r>
          </w:p>
        </w:tc>
        <w:tc>
          <w:tcPr>
            <w:tcW w:w="1260" w:type="dxa"/>
            <w:vAlign w:val="center"/>
          </w:tcPr>
          <w:p w14:paraId="7081F48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0.004848</w:t>
            </w:r>
          </w:p>
        </w:tc>
        <w:tc>
          <w:tcPr>
            <w:tcW w:w="1428" w:type="dxa"/>
            <w:vAlign w:val="center"/>
          </w:tcPr>
          <w:p w14:paraId="448F3A5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-0.001879</w:t>
            </w:r>
          </w:p>
        </w:tc>
        <w:tc>
          <w:tcPr>
            <w:tcW w:w="1476" w:type="dxa"/>
            <w:vAlign w:val="center"/>
          </w:tcPr>
          <w:p w14:paraId="45BEA860"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0.006290</w:t>
            </w:r>
          </w:p>
        </w:tc>
      </w:tr>
      <w:tr w:rsidR="00B961F7" w:rsidRPr="00B961F7" w14:paraId="07503CA0" w14:textId="77777777" w:rsidTr="004D1711">
        <w:trPr>
          <w:jc w:val="center"/>
        </w:trPr>
        <w:tc>
          <w:tcPr>
            <w:tcW w:w="993" w:type="dxa"/>
            <w:vMerge/>
            <w:vAlign w:val="center"/>
          </w:tcPr>
          <w:p w14:paraId="59113049"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03763B09"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69C38BE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0DDC042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-0.015867</w:t>
            </w:r>
          </w:p>
        </w:tc>
        <w:tc>
          <w:tcPr>
            <w:tcW w:w="1260" w:type="dxa"/>
            <w:vAlign w:val="center"/>
          </w:tcPr>
          <w:p w14:paraId="4C97113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0.016359</w:t>
            </w:r>
          </w:p>
        </w:tc>
        <w:tc>
          <w:tcPr>
            <w:tcW w:w="1428" w:type="dxa"/>
            <w:vAlign w:val="center"/>
          </w:tcPr>
          <w:p w14:paraId="5A7C8A20"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0.000618</w:t>
            </w:r>
          </w:p>
        </w:tc>
        <w:tc>
          <w:tcPr>
            <w:tcW w:w="1476" w:type="dxa"/>
            <w:vAlign w:val="center"/>
          </w:tcPr>
          <w:p w14:paraId="76CBE65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0.013893</w:t>
            </w:r>
          </w:p>
        </w:tc>
      </w:tr>
      <w:tr w:rsidR="00B961F7" w:rsidRPr="00B961F7" w14:paraId="244C8F3D" w14:textId="77777777" w:rsidTr="004D1711">
        <w:trPr>
          <w:jc w:val="center"/>
        </w:trPr>
        <w:tc>
          <w:tcPr>
            <w:tcW w:w="993" w:type="dxa"/>
            <w:vMerge w:val="restart"/>
            <w:vAlign w:val="center"/>
          </w:tcPr>
          <w:p w14:paraId="2C326F69"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lastRenderedPageBreak/>
              <w:t>2017</w:t>
            </w:r>
          </w:p>
        </w:tc>
        <w:tc>
          <w:tcPr>
            <w:tcW w:w="1219" w:type="dxa"/>
            <w:vAlign w:val="center"/>
          </w:tcPr>
          <w:p w14:paraId="25E8EC35"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73BA77A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538D500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-0.001483</w:t>
            </w:r>
          </w:p>
        </w:tc>
        <w:tc>
          <w:tcPr>
            <w:tcW w:w="1260" w:type="dxa"/>
            <w:vAlign w:val="center"/>
          </w:tcPr>
          <w:p w14:paraId="6F44213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0.009694</w:t>
            </w:r>
          </w:p>
        </w:tc>
        <w:tc>
          <w:tcPr>
            <w:tcW w:w="1428" w:type="dxa"/>
            <w:vAlign w:val="center"/>
          </w:tcPr>
          <w:p w14:paraId="23BC154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0.002183</w:t>
            </w:r>
          </w:p>
        </w:tc>
        <w:tc>
          <w:tcPr>
            <w:tcW w:w="1476" w:type="dxa"/>
            <w:vAlign w:val="center"/>
          </w:tcPr>
          <w:p w14:paraId="0189F36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0.004559</w:t>
            </w:r>
          </w:p>
        </w:tc>
      </w:tr>
      <w:tr w:rsidR="00B961F7" w:rsidRPr="00B961F7" w14:paraId="5D4BAAE8" w14:textId="77777777" w:rsidTr="004D1711">
        <w:trPr>
          <w:jc w:val="center"/>
        </w:trPr>
        <w:tc>
          <w:tcPr>
            <w:tcW w:w="993" w:type="dxa"/>
            <w:vMerge/>
            <w:vAlign w:val="center"/>
          </w:tcPr>
          <w:p w14:paraId="281FED8E"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6BE9301F"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6BE7FB0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3D97059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-0.002555</w:t>
            </w:r>
          </w:p>
        </w:tc>
        <w:tc>
          <w:tcPr>
            <w:tcW w:w="1260" w:type="dxa"/>
            <w:vAlign w:val="center"/>
          </w:tcPr>
          <w:p w14:paraId="65BEC3B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0, 003699</w:t>
            </w:r>
          </w:p>
        </w:tc>
        <w:tc>
          <w:tcPr>
            <w:tcW w:w="1428" w:type="dxa"/>
            <w:vAlign w:val="center"/>
          </w:tcPr>
          <w:p w14:paraId="6267AE2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0.000703</w:t>
            </w:r>
          </w:p>
        </w:tc>
        <w:tc>
          <w:tcPr>
            <w:tcW w:w="1476" w:type="dxa"/>
            <w:vAlign w:val="center"/>
          </w:tcPr>
          <w:p w14:paraId="3E910A7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0.002303</w:t>
            </w:r>
          </w:p>
        </w:tc>
      </w:tr>
      <w:tr w:rsidR="00B961F7" w:rsidRPr="00B961F7" w14:paraId="13AE6698" w14:textId="77777777" w:rsidTr="004D1711">
        <w:trPr>
          <w:jc w:val="center"/>
        </w:trPr>
        <w:tc>
          <w:tcPr>
            <w:tcW w:w="993" w:type="dxa"/>
            <w:vMerge w:val="restart"/>
            <w:vAlign w:val="center"/>
          </w:tcPr>
          <w:p w14:paraId="3AE87626"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2018</w:t>
            </w:r>
          </w:p>
        </w:tc>
        <w:tc>
          <w:tcPr>
            <w:tcW w:w="1219" w:type="dxa"/>
            <w:vAlign w:val="center"/>
          </w:tcPr>
          <w:p w14:paraId="030970EA"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1C3D8412"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7F006FD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-0.004073</w:t>
            </w:r>
          </w:p>
        </w:tc>
        <w:tc>
          <w:tcPr>
            <w:tcW w:w="1260" w:type="dxa"/>
            <w:vAlign w:val="center"/>
          </w:tcPr>
          <w:p w14:paraId="4ECEAE7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0.002243</w:t>
            </w:r>
          </w:p>
        </w:tc>
        <w:tc>
          <w:tcPr>
            <w:tcW w:w="1428" w:type="dxa"/>
            <w:vAlign w:val="center"/>
          </w:tcPr>
          <w:p w14:paraId="6A09047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0.000202</w:t>
            </w:r>
          </w:p>
        </w:tc>
        <w:tc>
          <w:tcPr>
            <w:tcW w:w="1476" w:type="dxa"/>
            <w:vAlign w:val="center"/>
          </w:tcPr>
          <w:p w14:paraId="76FE451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0.002489</w:t>
            </w:r>
          </w:p>
        </w:tc>
      </w:tr>
      <w:tr w:rsidR="00B961F7" w:rsidRPr="00B961F7" w14:paraId="6979B5C6" w14:textId="77777777" w:rsidTr="004D1711">
        <w:trPr>
          <w:jc w:val="center"/>
        </w:trPr>
        <w:tc>
          <w:tcPr>
            <w:tcW w:w="993" w:type="dxa"/>
            <w:vMerge/>
            <w:vAlign w:val="center"/>
          </w:tcPr>
          <w:p w14:paraId="24A28ED7"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0B4E9BBC"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61B935A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194CA7B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-0.009554</w:t>
            </w:r>
          </w:p>
        </w:tc>
        <w:tc>
          <w:tcPr>
            <w:tcW w:w="1260" w:type="dxa"/>
            <w:vAlign w:val="center"/>
          </w:tcPr>
          <w:p w14:paraId="2CCA824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0.011384</w:t>
            </w:r>
          </w:p>
        </w:tc>
        <w:tc>
          <w:tcPr>
            <w:tcW w:w="1428" w:type="dxa"/>
            <w:vAlign w:val="center"/>
          </w:tcPr>
          <w:p w14:paraId="6FF4A81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0.000905</w:t>
            </w:r>
          </w:p>
        </w:tc>
        <w:tc>
          <w:tcPr>
            <w:tcW w:w="1476" w:type="dxa"/>
            <w:vAlign w:val="center"/>
          </w:tcPr>
          <w:p w14:paraId="17E28E4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0.008181</w:t>
            </w:r>
          </w:p>
        </w:tc>
      </w:tr>
      <w:tr w:rsidR="00B961F7" w:rsidRPr="00B961F7" w14:paraId="0505FC9C" w14:textId="77777777" w:rsidTr="004D1711">
        <w:trPr>
          <w:jc w:val="center"/>
        </w:trPr>
        <w:tc>
          <w:tcPr>
            <w:tcW w:w="993" w:type="dxa"/>
            <w:vMerge w:val="restart"/>
            <w:vAlign w:val="center"/>
          </w:tcPr>
          <w:p w14:paraId="7D3F67A9"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2019</w:t>
            </w:r>
          </w:p>
        </w:tc>
        <w:tc>
          <w:tcPr>
            <w:tcW w:w="1219" w:type="dxa"/>
            <w:vAlign w:val="center"/>
          </w:tcPr>
          <w:p w14:paraId="0478AC78"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Before</w:t>
            </w:r>
          </w:p>
        </w:tc>
        <w:tc>
          <w:tcPr>
            <w:tcW w:w="524" w:type="dxa"/>
            <w:vAlign w:val="center"/>
          </w:tcPr>
          <w:p w14:paraId="247D24A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6FF2EE5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-0.009667</w:t>
            </w:r>
          </w:p>
        </w:tc>
        <w:tc>
          <w:tcPr>
            <w:tcW w:w="1260" w:type="dxa"/>
            <w:vAlign w:val="center"/>
          </w:tcPr>
          <w:p w14:paraId="55AE156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0.006802</w:t>
            </w:r>
          </w:p>
        </w:tc>
        <w:tc>
          <w:tcPr>
            <w:tcW w:w="1428" w:type="dxa"/>
            <w:vAlign w:val="center"/>
          </w:tcPr>
          <w:p w14:paraId="1278319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- 0.001747</w:t>
            </w:r>
          </w:p>
        </w:tc>
        <w:tc>
          <w:tcPr>
            <w:tcW w:w="1476" w:type="dxa"/>
            <w:vAlign w:val="center"/>
          </w:tcPr>
          <w:p w14:paraId="28133C8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0.007183</w:t>
            </w:r>
          </w:p>
        </w:tc>
      </w:tr>
      <w:tr w:rsidR="00B961F7" w:rsidRPr="00B961F7" w14:paraId="4F5203C1" w14:textId="77777777" w:rsidTr="004D1711">
        <w:trPr>
          <w:jc w:val="center"/>
        </w:trPr>
        <w:tc>
          <w:tcPr>
            <w:tcW w:w="993" w:type="dxa"/>
            <w:vMerge/>
            <w:vAlign w:val="center"/>
          </w:tcPr>
          <w:p w14:paraId="51B89FEC"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color w:val="000000"/>
                <w:sz w:val="20"/>
                <w:szCs w:val="20"/>
                <w:lang w:val="en"/>
              </w:rPr>
            </w:pPr>
          </w:p>
        </w:tc>
        <w:tc>
          <w:tcPr>
            <w:tcW w:w="1219" w:type="dxa"/>
            <w:vAlign w:val="center"/>
          </w:tcPr>
          <w:p w14:paraId="32DC03DE" w14:textId="77777777" w:rsidR="00B961F7" w:rsidRPr="00B961F7" w:rsidRDefault="00B961F7" w:rsidP="00B961F7">
            <w:pPr>
              <w:spacing w:after="0" w:line="240" w:lineRule="auto"/>
              <w:ind w:left="60" w:right="60"/>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After</w:t>
            </w:r>
          </w:p>
        </w:tc>
        <w:tc>
          <w:tcPr>
            <w:tcW w:w="524" w:type="dxa"/>
            <w:vAlign w:val="center"/>
          </w:tcPr>
          <w:p w14:paraId="3D8D1B0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5</w:t>
            </w:r>
          </w:p>
        </w:tc>
        <w:tc>
          <w:tcPr>
            <w:tcW w:w="1399" w:type="dxa"/>
            <w:vAlign w:val="center"/>
          </w:tcPr>
          <w:p w14:paraId="69531BB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-0.004787</w:t>
            </w:r>
          </w:p>
        </w:tc>
        <w:tc>
          <w:tcPr>
            <w:tcW w:w="1260" w:type="dxa"/>
            <w:vAlign w:val="center"/>
          </w:tcPr>
          <w:p w14:paraId="345BD19E"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0.001594</w:t>
            </w:r>
          </w:p>
        </w:tc>
        <w:tc>
          <w:tcPr>
            <w:tcW w:w="1428" w:type="dxa"/>
            <w:vAlign w:val="center"/>
          </w:tcPr>
          <w:p w14:paraId="4185577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-0.001878</w:t>
            </w:r>
          </w:p>
        </w:tc>
        <w:tc>
          <w:tcPr>
            <w:tcW w:w="1476" w:type="dxa"/>
            <w:vAlign w:val="center"/>
          </w:tcPr>
          <w:p w14:paraId="33794B7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0, 003147</w:t>
            </w:r>
          </w:p>
        </w:tc>
      </w:tr>
    </w:tbl>
    <w:p w14:paraId="1866DAEF"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Compiled by the author.</w:t>
      </w:r>
    </w:p>
    <w:p w14:paraId="3CE9B1CE"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Descriptive statistical analysis for values </w:t>
      </w:r>
      <w:r w:rsidRPr="00B961F7">
        <w:rPr>
          <w:rFonts w:ascii="Cambria" w:eastAsia="Calibri" w:hAnsi="Cambria" w:cs="Calibri"/>
          <w:i/>
          <w:sz w:val="20"/>
          <w:szCs w:val="20"/>
          <w:lang w:val="en"/>
        </w:rPr>
        <w:t xml:space="preserve">Average Trading Volume Activity </w:t>
      </w:r>
      <w:r w:rsidRPr="00B961F7">
        <w:rPr>
          <w:rFonts w:ascii="Cambria" w:eastAsia="Calibri" w:hAnsi="Cambria" w:cs="Calibri"/>
          <w:sz w:val="20"/>
          <w:szCs w:val="20"/>
          <w:lang w:val="en"/>
        </w:rPr>
        <w:t>(ATVA)</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 xml:space="preserve">before and after the event the State Revenue and Expenditure Budget (APBN) ratification is carried out directly using the SPSS application. The values </w:t>
      </w:r>
      <w:r w:rsidRPr="00B961F7">
        <w:rPr>
          <w:rFonts w:ascii="Cambria" w:eastAsia="Calibri" w:hAnsi="Cambria" w:cs="Calibri"/>
          <w:i/>
          <w:sz w:val="20"/>
          <w:szCs w:val="20"/>
          <w:lang w:val="en"/>
        </w:rPr>
        <w:t xml:space="preserve">minimum, maximum, mean, </w:t>
      </w:r>
      <w:r w:rsidRPr="00B961F7">
        <w:rPr>
          <w:rFonts w:ascii="Cambria" w:eastAsia="Calibri" w:hAnsi="Cambria" w:cs="Calibri"/>
          <w:sz w:val="20"/>
          <w:szCs w:val="20"/>
          <w:lang w:val="en"/>
        </w:rPr>
        <w:t xml:space="preserve">and </w:t>
      </w:r>
      <w:r w:rsidRPr="00B961F7">
        <w:rPr>
          <w:rFonts w:ascii="Cambria" w:eastAsia="Calibri" w:hAnsi="Cambria" w:cs="Calibri"/>
          <w:i/>
          <w:sz w:val="20"/>
          <w:szCs w:val="20"/>
          <w:lang w:val="en"/>
        </w:rPr>
        <w:t xml:space="preserve">standard deviation </w:t>
      </w:r>
      <w:r w:rsidRPr="00B961F7">
        <w:rPr>
          <w:rFonts w:ascii="Cambria" w:eastAsia="Calibri" w:hAnsi="Cambria" w:cs="Calibri"/>
          <w:sz w:val="20"/>
          <w:szCs w:val="20"/>
          <w:lang w:val="en"/>
        </w:rPr>
        <w:t>from the results of the analysis can be seen in the following table.</w:t>
      </w:r>
    </w:p>
    <w:p w14:paraId="6C570167"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3. Descriptive statistical analysis of </w:t>
      </w:r>
      <w:r w:rsidRPr="00B961F7">
        <w:rPr>
          <w:rFonts w:ascii="Cambria" w:eastAsia="Calibri" w:hAnsi="Cambria" w:cs="Calibri"/>
          <w:b/>
          <w:i/>
          <w:sz w:val="20"/>
          <w:szCs w:val="20"/>
          <w:lang w:val="en"/>
        </w:rPr>
        <w:t xml:space="preserve">Average Trading Volume Activity </w:t>
      </w:r>
      <w:r w:rsidRPr="00B961F7">
        <w:rPr>
          <w:rFonts w:ascii="Cambria" w:eastAsia="Calibri" w:hAnsi="Cambria" w:cs="Calibri"/>
          <w:b/>
          <w:sz w:val="20"/>
          <w:szCs w:val="20"/>
          <w:lang w:val="en"/>
        </w:rPr>
        <w:t>(ATVA)</w:t>
      </w:r>
      <w:r w:rsidRPr="00B961F7">
        <w:rPr>
          <w:rFonts w:ascii="Cambria" w:eastAsia="Calibri" w:hAnsi="Cambria" w:cs="Calibri"/>
          <w:b/>
          <w:i/>
          <w:sz w:val="20"/>
          <w:szCs w:val="20"/>
          <w:lang w:val="en"/>
        </w:rPr>
        <w:t xml:space="preserve"> </w:t>
      </w:r>
      <w:proofErr w:type="gramStart"/>
      <w:r w:rsidRPr="00B961F7">
        <w:rPr>
          <w:rFonts w:ascii="Cambria" w:eastAsia="Calibri" w:hAnsi="Cambria" w:cs="Calibri"/>
          <w:b/>
          <w:sz w:val="20"/>
          <w:szCs w:val="20"/>
          <w:lang w:val="en"/>
        </w:rPr>
        <w:t>Before</w:t>
      </w:r>
      <w:proofErr w:type="gramEnd"/>
      <w:r w:rsidRPr="00B961F7">
        <w:rPr>
          <w:rFonts w:ascii="Cambria" w:eastAsia="Calibri" w:hAnsi="Cambria" w:cs="Calibri"/>
          <w:b/>
          <w:sz w:val="20"/>
          <w:szCs w:val="20"/>
          <w:lang w:val="en"/>
        </w:rPr>
        <w:t xml:space="preserve"> and After the Event of APBN Approval</w:t>
      </w:r>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350"/>
        <w:gridCol w:w="1350"/>
        <w:gridCol w:w="1334"/>
        <w:gridCol w:w="1660"/>
      </w:tblGrid>
      <w:tr w:rsidR="00B961F7" w:rsidRPr="00B961F7" w14:paraId="62D51493" w14:textId="77777777" w:rsidTr="004D1711">
        <w:trPr>
          <w:jc w:val="center"/>
        </w:trPr>
        <w:tc>
          <w:tcPr>
            <w:tcW w:w="2605" w:type="dxa"/>
            <w:tcBorders>
              <w:bottom w:val="single" w:sz="4" w:space="0" w:color="000000"/>
            </w:tcBorders>
          </w:tcPr>
          <w:p w14:paraId="60DDB6E4"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APBN</w:t>
            </w:r>
          </w:p>
        </w:tc>
        <w:tc>
          <w:tcPr>
            <w:tcW w:w="1350" w:type="dxa"/>
            <w:tcBorders>
              <w:bottom w:val="single" w:sz="4" w:space="0" w:color="000000"/>
            </w:tcBorders>
          </w:tcPr>
          <w:p w14:paraId="34BE2704"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Minimum</w:t>
            </w:r>
          </w:p>
        </w:tc>
        <w:tc>
          <w:tcPr>
            <w:tcW w:w="1350" w:type="dxa"/>
            <w:tcBorders>
              <w:bottom w:val="single" w:sz="4" w:space="0" w:color="000000"/>
            </w:tcBorders>
          </w:tcPr>
          <w:p w14:paraId="7DEB844A"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Maximum</w:t>
            </w:r>
          </w:p>
        </w:tc>
        <w:tc>
          <w:tcPr>
            <w:tcW w:w="1334" w:type="dxa"/>
            <w:tcBorders>
              <w:bottom w:val="single" w:sz="4" w:space="0" w:color="000000"/>
            </w:tcBorders>
          </w:tcPr>
          <w:p w14:paraId="4F3F01CB" w14:textId="77777777" w:rsidR="00B961F7" w:rsidRPr="00B961F7" w:rsidRDefault="00B961F7" w:rsidP="00B961F7">
            <w:pPr>
              <w:spacing w:after="0" w:line="240" w:lineRule="auto"/>
              <w:jc w:val="center"/>
              <w:rPr>
                <w:rFonts w:ascii="Cambria" w:eastAsia="Calibri" w:hAnsi="Cambria" w:cs="Calibri"/>
                <w:b/>
                <w:i/>
                <w:sz w:val="20"/>
                <w:szCs w:val="20"/>
                <w:lang w:val="en"/>
              </w:rPr>
            </w:pPr>
            <w:r w:rsidRPr="00B961F7">
              <w:rPr>
                <w:rFonts w:ascii="Cambria" w:eastAsia="Calibri" w:hAnsi="Cambria" w:cs="Calibri"/>
                <w:b/>
                <w:i/>
                <w:sz w:val="20"/>
                <w:szCs w:val="20"/>
                <w:lang w:val="en"/>
              </w:rPr>
              <w:t>Mean</w:t>
            </w:r>
          </w:p>
        </w:tc>
        <w:tc>
          <w:tcPr>
            <w:tcW w:w="1660" w:type="dxa"/>
            <w:tcBorders>
              <w:bottom w:val="single" w:sz="4" w:space="0" w:color="000000"/>
            </w:tcBorders>
          </w:tcPr>
          <w:p w14:paraId="3F34ACC7" w14:textId="77777777" w:rsidR="00B961F7" w:rsidRPr="00B961F7" w:rsidRDefault="00B961F7" w:rsidP="00B961F7">
            <w:pPr>
              <w:spacing w:after="0" w:line="240" w:lineRule="auto"/>
              <w:jc w:val="center"/>
              <w:rPr>
                <w:rFonts w:ascii="Cambria" w:eastAsia="Calibri" w:hAnsi="Cambria" w:cs="Calibri"/>
                <w:b/>
                <w:i/>
                <w:sz w:val="20"/>
                <w:szCs w:val="20"/>
                <w:lang w:val="en"/>
              </w:rPr>
            </w:pPr>
            <w:proofErr w:type="spellStart"/>
            <w:r w:rsidRPr="00B961F7">
              <w:rPr>
                <w:rFonts w:ascii="Cambria" w:eastAsia="Calibri" w:hAnsi="Cambria" w:cs="Calibri"/>
                <w:b/>
                <w:i/>
                <w:sz w:val="20"/>
                <w:szCs w:val="20"/>
                <w:lang w:val="en"/>
              </w:rPr>
              <w:t>Std.Deviation</w:t>
            </w:r>
            <w:proofErr w:type="spellEnd"/>
          </w:p>
        </w:tc>
      </w:tr>
      <w:tr w:rsidR="00B961F7" w:rsidRPr="00B961F7" w14:paraId="67081524"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238333C8"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2010</w:t>
            </w:r>
          </w:p>
        </w:tc>
        <w:tc>
          <w:tcPr>
            <w:tcW w:w="1350" w:type="dxa"/>
            <w:tcBorders>
              <w:top w:val="single" w:sz="4" w:space="0" w:color="000000"/>
              <w:bottom w:val="single" w:sz="4" w:space="0" w:color="000000"/>
            </w:tcBorders>
            <w:shd w:val="clear" w:color="auto" w:fill="FFFFFF"/>
            <w:vAlign w:val="center"/>
          </w:tcPr>
          <w:p w14:paraId="7B66341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0.047538</w:t>
            </w:r>
          </w:p>
        </w:tc>
        <w:tc>
          <w:tcPr>
            <w:tcW w:w="1350" w:type="dxa"/>
            <w:tcBorders>
              <w:top w:val="single" w:sz="4" w:space="0" w:color="000000"/>
              <w:bottom w:val="single" w:sz="4" w:space="0" w:color="000000"/>
            </w:tcBorders>
            <w:shd w:val="clear" w:color="auto" w:fill="FFFFFF"/>
            <w:vAlign w:val="center"/>
          </w:tcPr>
          <w:p w14:paraId="1AE9CF58"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0.236548</w:t>
            </w:r>
          </w:p>
        </w:tc>
        <w:tc>
          <w:tcPr>
            <w:tcW w:w="1334" w:type="dxa"/>
            <w:tcBorders>
              <w:top w:val="single" w:sz="4" w:space="0" w:color="000000"/>
              <w:bottom w:val="single" w:sz="4" w:space="0" w:color="000000"/>
            </w:tcBorders>
            <w:shd w:val="clear" w:color="auto" w:fill="FFFFFF"/>
            <w:vAlign w:val="center"/>
          </w:tcPr>
          <w:p w14:paraId="16C42D3A"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0.108411</w:t>
            </w:r>
          </w:p>
        </w:tc>
        <w:tc>
          <w:tcPr>
            <w:tcW w:w="1660" w:type="dxa"/>
            <w:tcBorders>
              <w:top w:val="single" w:sz="4" w:space="0" w:color="000000"/>
              <w:bottom w:val="single" w:sz="4" w:space="0" w:color="000000"/>
              <w:right w:val="single" w:sz="4" w:space="0" w:color="000000"/>
            </w:tcBorders>
            <w:shd w:val="clear" w:color="auto" w:fill="FFFFFF"/>
            <w:vAlign w:val="center"/>
          </w:tcPr>
          <w:p w14:paraId="7F07BDC4"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0.058620</w:t>
            </w:r>
          </w:p>
        </w:tc>
      </w:tr>
      <w:tr w:rsidR="00B961F7" w:rsidRPr="00B961F7" w14:paraId="04A63792"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3C1FF98B"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2011</w:t>
            </w:r>
          </w:p>
        </w:tc>
        <w:tc>
          <w:tcPr>
            <w:tcW w:w="1350" w:type="dxa"/>
            <w:tcBorders>
              <w:top w:val="single" w:sz="4" w:space="0" w:color="000000"/>
              <w:bottom w:val="single" w:sz="4" w:space="0" w:color="000000"/>
            </w:tcBorders>
            <w:shd w:val="clear" w:color="auto" w:fill="FFFFFF"/>
            <w:vAlign w:val="center"/>
          </w:tcPr>
          <w:p w14:paraId="31B51FD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0.037366</w:t>
            </w:r>
          </w:p>
        </w:tc>
        <w:tc>
          <w:tcPr>
            <w:tcW w:w="1350" w:type="dxa"/>
            <w:tcBorders>
              <w:top w:val="single" w:sz="4" w:space="0" w:color="000000"/>
              <w:bottom w:val="single" w:sz="4" w:space="0" w:color="000000"/>
            </w:tcBorders>
            <w:shd w:val="clear" w:color="auto" w:fill="FFFFFF"/>
            <w:vAlign w:val="center"/>
          </w:tcPr>
          <w:p w14:paraId="0C9251F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0.230259</w:t>
            </w:r>
          </w:p>
        </w:tc>
        <w:tc>
          <w:tcPr>
            <w:tcW w:w="1334" w:type="dxa"/>
            <w:tcBorders>
              <w:top w:val="single" w:sz="4" w:space="0" w:color="000000"/>
              <w:bottom w:val="single" w:sz="4" w:space="0" w:color="000000"/>
            </w:tcBorders>
            <w:shd w:val="clear" w:color="auto" w:fill="FFFFFF"/>
            <w:vAlign w:val="center"/>
          </w:tcPr>
          <w:p w14:paraId="6460588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0.106243</w:t>
            </w:r>
          </w:p>
        </w:tc>
        <w:tc>
          <w:tcPr>
            <w:tcW w:w="1660" w:type="dxa"/>
            <w:tcBorders>
              <w:top w:val="single" w:sz="4" w:space="0" w:color="000000"/>
              <w:bottom w:val="single" w:sz="4" w:space="0" w:color="000000"/>
              <w:right w:val="single" w:sz="4" w:space="0" w:color="000000"/>
            </w:tcBorders>
            <w:shd w:val="clear" w:color="auto" w:fill="FFFFFF"/>
            <w:vAlign w:val="center"/>
          </w:tcPr>
          <w:p w14:paraId="5F3162C0"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0.072094</w:t>
            </w:r>
          </w:p>
        </w:tc>
      </w:tr>
      <w:tr w:rsidR="00B961F7" w:rsidRPr="00B961F7" w14:paraId="67FDFDFC"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77AE8B04"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2012</w:t>
            </w:r>
          </w:p>
        </w:tc>
        <w:tc>
          <w:tcPr>
            <w:tcW w:w="1350" w:type="dxa"/>
            <w:tcBorders>
              <w:top w:val="single" w:sz="4" w:space="0" w:color="000000"/>
              <w:bottom w:val="single" w:sz="4" w:space="0" w:color="000000"/>
            </w:tcBorders>
            <w:shd w:val="clear" w:color="auto" w:fill="FFFFFF"/>
            <w:vAlign w:val="center"/>
          </w:tcPr>
          <w:p w14:paraId="7E181462"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0.035495</w:t>
            </w:r>
          </w:p>
        </w:tc>
        <w:tc>
          <w:tcPr>
            <w:tcW w:w="1350" w:type="dxa"/>
            <w:tcBorders>
              <w:top w:val="single" w:sz="4" w:space="0" w:color="000000"/>
              <w:bottom w:val="single" w:sz="4" w:space="0" w:color="000000"/>
            </w:tcBorders>
            <w:shd w:val="clear" w:color="auto" w:fill="FFFFFF"/>
            <w:vAlign w:val="center"/>
          </w:tcPr>
          <w:p w14:paraId="7CD2DE3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0.090348</w:t>
            </w:r>
          </w:p>
        </w:tc>
        <w:tc>
          <w:tcPr>
            <w:tcW w:w="1334" w:type="dxa"/>
            <w:tcBorders>
              <w:top w:val="single" w:sz="4" w:space="0" w:color="000000"/>
              <w:bottom w:val="single" w:sz="4" w:space="0" w:color="000000"/>
            </w:tcBorders>
            <w:shd w:val="clear" w:color="auto" w:fill="FFFFFF"/>
            <w:vAlign w:val="center"/>
          </w:tcPr>
          <w:p w14:paraId="40A41CD4"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0.055730</w:t>
            </w:r>
          </w:p>
        </w:tc>
        <w:tc>
          <w:tcPr>
            <w:tcW w:w="1660" w:type="dxa"/>
            <w:tcBorders>
              <w:top w:val="single" w:sz="4" w:space="0" w:color="000000"/>
              <w:bottom w:val="single" w:sz="4" w:space="0" w:color="000000"/>
              <w:right w:val="single" w:sz="4" w:space="0" w:color="000000"/>
            </w:tcBorders>
            <w:shd w:val="clear" w:color="auto" w:fill="FFFFFF"/>
            <w:vAlign w:val="center"/>
          </w:tcPr>
          <w:p w14:paraId="72F2CF0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0.017868</w:t>
            </w:r>
          </w:p>
        </w:tc>
      </w:tr>
      <w:tr w:rsidR="00B961F7" w:rsidRPr="00B961F7" w14:paraId="1F7529C5"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1605ABDA"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2013</w:t>
            </w:r>
          </w:p>
        </w:tc>
        <w:tc>
          <w:tcPr>
            <w:tcW w:w="1350" w:type="dxa"/>
            <w:tcBorders>
              <w:top w:val="single" w:sz="4" w:space="0" w:color="000000"/>
              <w:bottom w:val="single" w:sz="4" w:space="0" w:color="000000"/>
            </w:tcBorders>
            <w:shd w:val="clear" w:color="auto" w:fill="FFFFFF"/>
            <w:vAlign w:val="center"/>
          </w:tcPr>
          <w:p w14:paraId="729E94F9"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0.040744</w:t>
            </w:r>
          </w:p>
        </w:tc>
        <w:tc>
          <w:tcPr>
            <w:tcW w:w="1350" w:type="dxa"/>
            <w:tcBorders>
              <w:top w:val="single" w:sz="4" w:space="0" w:color="000000"/>
              <w:bottom w:val="single" w:sz="4" w:space="0" w:color="000000"/>
            </w:tcBorders>
            <w:shd w:val="clear" w:color="auto" w:fill="FFFFFF"/>
            <w:vAlign w:val="center"/>
          </w:tcPr>
          <w:p w14:paraId="48C5F8F0"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0, 120599</w:t>
            </w:r>
          </w:p>
        </w:tc>
        <w:tc>
          <w:tcPr>
            <w:tcW w:w="1334" w:type="dxa"/>
            <w:tcBorders>
              <w:top w:val="single" w:sz="4" w:space="0" w:color="000000"/>
              <w:bottom w:val="single" w:sz="4" w:space="0" w:color="000000"/>
            </w:tcBorders>
            <w:shd w:val="clear" w:color="auto" w:fill="FFFFFF"/>
            <w:vAlign w:val="center"/>
          </w:tcPr>
          <w:p w14:paraId="6DEBD8FD"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0.078335</w:t>
            </w:r>
          </w:p>
        </w:tc>
        <w:tc>
          <w:tcPr>
            <w:tcW w:w="1660" w:type="dxa"/>
            <w:tcBorders>
              <w:top w:val="single" w:sz="4" w:space="0" w:color="000000"/>
              <w:bottom w:val="single" w:sz="4" w:space="0" w:color="000000"/>
              <w:right w:val="single" w:sz="4" w:space="0" w:color="000000"/>
            </w:tcBorders>
            <w:shd w:val="clear" w:color="auto" w:fill="FFFFFF"/>
            <w:vAlign w:val="center"/>
          </w:tcPr>
          <w:p w14:paraId="0BF05EE5"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0.025847</w:t>
            </w:r>
          </w:p>
        </w:tc>
      </w:tr>
      <w:tr w:rsidR="00B961F7" w:rsidRPr="00B961F7" w14:paraId="1E19714C"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6CD03558"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2014</w:t>
            </w:r>
          </w:p>
        </w:tc>
        <w:tc>
          <w:tcPr>
            <w:tcW w:w="1350" w:type="dxa"/>
            <w:tcBorders>
              <w:top w:val="single" w:sz="4" w:space="0" w:color="000000"/>
              <w:bottom w:val="single" w:sz="4" w:space="0" w:color="000000"/>
            </w:tcBorders>
            <w:shd w:val="clear" w:color="auto" w:fill="FFFFFF"/>
            <w:vAlign w:val="center"/>
          </w:tcPr>
          <w:p w14:paraId="0A9B5574"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0.051741</w:t>
            </w:r>
          </w:p>
        </w:tc>
        <w:tc>
          <w:tcPr>
            <w:tcW w:w="1350" w:type="dxa"/>
            <w:tcBorders>
              <w:top w:val="single" w:sz="4" w:space="0" w:color="000000"/>
              <w:bottom w:val="single" w:sz="4" w:space="0" w:color="000000"/>
            </w:tcBorders>
            <w:shd w:val="clear" w:color="auto" w:fill="FFFFFF"/>
            <w:vAlign w:val="center"/>
          </w:tcPr>
          <w:p w14:paraId="0429E696"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0.193793</w:t>
            </w:r>
          </w:p>
        </w:tc>
        <w:tc>
          <w:tcPr>
            <w:tcW w:w="1334" w:type="dxa"/>
            <w:tcBorders>
              <w:top w:val="single" w:sz="4" w:space="0" w:color="000000"/>
              <w:bottom w:val="single" w:sz="4" w:space="0" w:color="000000"/>
            </w:tcBorders>
            <w:shd w:val="clear" w:color="auto" w:fill="FFFFFF"/>
            <w:vAlign w:val="center"/>
          </w:tcPr>
          <w:p w14:paraId="567FB8BF"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0.095541</w:t>
            </w:r>
          </w:p>
        </w:tc>
        <w:tc>
          <w:tcPr>
            <w:tcW w:w="1660" w:type="dxa"/>
            <w:tcBorders>
              <w:top w:val="single" w:sz="4" w:space="0" w:color="000000"/>
              <w:bottom w:val="single" w:sz="4" w:space="0" w:color="000000"/>
              <w:right w:val="single" w:sz="4" w:space="0" w:color="000000"/>
            </w:tcBorders>
            <w:shd w:val="clear" w:color="auto" w:fill="FFFFFF"/>
            <w:vAlign w:val="center"/>
          </w:tcPr>
          <w:p w14:paraId="7CDF5053"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0.049079</w:t>
            </w:r>
          </w:p>
        </w:tc>
      </w:tr>
      <w:tr w:rsidR="00B961F7" w:rsidRPr="00B961F7" w14:paraId="756327E5"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511C2EE0"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2015</w:t>
            </w:r>
          </w:p>
        </w:tc>
        <w:tc>
          <w:tcPr>
            <w:tcW w:w="1350" w:type="dxa"/>
            <w:tcBorders>
              <w:top w:val="single" w:sz="4" w:space="0" w:color="000000"/>
              <w:bottom w:val="single" w:sz="4" w:space="0" w:color="000000"/>
            </w:tcBorders>
            <w:shd w:val="clear" w:color="auto" w:fill="FFFFFF"/>
            <w:vAlign w:val="center"/>
          </w:tcPr>
          <w:p w14:paraId="413F1F0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0.024348</w:t>
            </w:r>
          </w:p>
        </w:tc>
        <w:tc>
          <w:tcPr>
            <w:tcW w:w="1350" w:type="dxa"/>
            <w:tcBorders>
              <w:top w:val="single" w:sz="4" w:space="0" w:color="000000"/>
              <w:bottom w:val="single" w:sz="4" w:space="0" w:color="000000"/>
            </w:tcBorders>
            <w:shd w:val="clear" w:color="auto" w:fill="FFFFFF"/>
            <w:vAlign w:val="center"/>
          </w:tcPr>
          <w:p w14:paraId="2D96B067"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0.082153</w:t>
            </w:r>
          </w:p>
        </w:tc>
        <w:tc>
          <w:tcPr>
            <w:tcW w:w="1334" w:type="dxa"/>
            <w:tcBorders>
              <w:top w:val="single" w:sz="4" w:space="0" w:color="000000"/>
              <w:bottom w:val="single" w:sz="4" w:space="0" w:color="000000"/>
            </w:tcBorders>
            <w:shd w:val="clear" w:color="auto" w:fill="FFFFFF"/>
            <w:vAlign w:val="center"/>
          </w:tcPr>
          <w:p w14:paraId="08FA3D3B"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0.049821</w:t>
            </w:r>
          </w:p>
        </w:tc>
        <w:tc>
          <w:tcPr>
            <w:tcW w:w="1660" w:type="dxa"/>
            <w:tcBorders>
              <w:top w:val="single" w:sz="4" w:space="0" w:color="000000"/>
              <w:bottom w:val="single" w:sz="4" w:space="0" w:color="000000"/>
              <w:right w:val="single" w:sz="4" w:space="0" w:color="000000"/>
            </w:tcBorders>
            <w:shd w:val="clear" w:color="auto" w:fill="FFFFFF"/>
            <w:vAlign w:val="center"/>
          </w:tcPr>
          <w:p w14:paraId="030BC3CC"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0.019959</w:t>
            </w:r>
          </w:p>
        </w:tc>
      </w:tr>
      <w:tr w:rsidR="00B961F7" w:rsidRPr="00B961F7" w14:paraId="095B0ABF"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77FE84A3"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2016</w:t>
            </w:r>
          </w:p>
        </w:tc>
        <w:tc>
          <w:tcPr>
            <w:tcW w:w="1350" w:type="dxa"/>
            <w:tcBorders>
              <w:top w:val="single" w:sz="4" w:space="0" w:color="000000"/>
              <w:bottom w:val="single" w:sz="4" w:space="0" w:color="000000"/>
            </w:tcBorders>
            <w:shd w:val="clear" w:color="auto" w:fill="FFFFFF"/>
            <w:vAlign w:val="center"/>
          </w:tcPr>
          <w:p w14:paraId="7A334923"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0.029778</w:t>
            </w:r>
          </w:p>
        </w:tc>
        <w:tc>
          <w:tcPr>
            <w:tcW w:w="1350" w:type="dxa"/>
            <w:tcBorders>
              <w:top w:val="single" w:sz="4" w:space="0" w:color="000000"/>
              <w:bottom w:val="single" w:sz="4" w:space="0" w:color="000000"/>
            </w:tcBorders>
            <w:shd w:val="clear" w:color="auto" w:fill="FFFFFF"/>
            <w:vAlign w:val="center"/>
          </w:tcPr>
          <w:p w14:paraId="1C89C186"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0.210451</w:t>
            </w:r>
          </w:p>
        </w:tc>
        <w:tc>
          <w:tcPr>
            <w:tcW w:w="1334" w:type="dxa"/>
            <w:tcBorders>
              <w:top w:val="single" w:sz="4" w:space="0" w:color="000000"/>
              <w:bottom w:val="single" w:sz="4" w:space="0" w:color="000000"/>
            </w:tcBorders>
            <w:shd w:val="clear" w:color="auto" w:fill="FFFFFF"/>
            <w:vAlign w:val="center"/>
          </w:tcPr>
          <w:p w14:paraId="6BD1E44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0.095455</w:t>
            </w:r>
          </w:p>
        </w:tc>
        <w:tc>
          <w:tcPr>
            <w:tcW w:w="1660" w:type="dxa"/>
            <w:tcBorders>
              <w:top w:val="single" w:sz="4" w:space="0" w:color="000000"/>
              <w:bottom w:val="single" w:sz="4" w:space="0" w:color="000000"/>
              <w:right w:val="single" w:sz="4" w:space="0" w:color="000000"/>
            </w:tcBorders>
            <w:shd w:val="clear" w:color="auto" w:fill="FFFFFF"/>
            <w:vAlign w:val="center"/>
          </w:tcPr>
          <w:p w14:paraId="6E2E82C1" w14:textId="77777777" w:rsidR="00B961F7" w:rsidRPr="00B961F7" w:rsidRDefault="00B961F7" w:rsidP="00B961F7">
            <w:pPr>
              <w:spacing w:after="0" w:line="240" w:lineRule="auto"/>
              <w:ind w:left="60" w:right="60"/>
              <w:jc w:val="right"/>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0.054387</w:t>
            </w:r>
          </w:p>
        </w:tc>
      </w:tr>
      <w:tr w:rsidR="00B961F7" w:rsidRPr="00B961F7" w14:paraId="7382A04B"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04B7F2C5"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2017</w:t>
            </w:r>
          </w:p>
        </w:tc>
        <w:tc>
          <w:tcPr>
            <w:tcW w:w="1350" w:type="dxa"/>
            <w:tcBorders>
              <w:top w:val="single" w:sz="4" w:space="0" w:color="auto"/>
              <w:bottom w:val="single" w:sz="4" w:space="0" w:color="auto"/>
            </w:tcBorders>
            <w:shd w:val="clear" w:color="auto" w:fill="FFFFFF"/>
            <w:vAlign w:val="center"/>
          </w:tcPr>
          <w:p w14:paraId="1FE91795"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0,034883</w:t>
            </w:r>
          </w:p>
        </w:tc>
        <w:tc>
          <w:tcPr>
            <w:tcW w:w="1350" w:type="dxa"/>
            <w:tcBorders>
              <w:top w:val="single" w:sz="4" w:space="0" w:color="auto"/>
              <w:bottom w:val="single" w:sz="4" w:space="0" w:color="auto"/>
            </w:tcBorders>
            <w:shd w:val="clear" w:color="auto" w:fill="FFFFFF"/>
            <w:vAlign w:val="center"/>
          </w:tcPr>
          <w:p w14:paraId="4C3A6274"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0,114249</w:t>
            </w:r>
          </w:p>
        </w:tc>
        <w:tc>
          <w:tcPr>
            <w:tcW w:w="1334" w:type="dxa"/>
            <w:tcBorders>
              <w:top w:val="single" w:sz="4" w:space="0" w:color="auto"/>
              <w:bottom w:val="single" w:sz="4" w:space="0" w:color="auto"/>
            </w:tcBorders>
            <w:shd w:val="clear" w:color="auto" w:fill="FFFFFF"/>
            <w:vAlign w:val="center"/>
          </w:tcPr>
          <w:p w14:paraId="76DFE63C"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0,077143</w:t>
            </w:r>
          </w:p>
        </w:tc>
        <w:tc>
          <w:tcPr>
            <w:tcW w:w="1660" w:type="dxa"/>
            <w:tcBorders>
              <w:top w:val="single" w:sz="4" w:space="0" w:color="auto"/>
              <w:bottom w:val="single" w:sz="4" w:space="0" w:color="auto"/>
              <w:right w:val="single" w:sz="4" w:space="0" w:color="auto"/>
            </w:tcBorders>
            <w:shd w:val="clear" w:color="auto" w:fill="FFFFFF"/>
            <w:vAlign w:val="center"/>
          </w:tcPr>
          <w:p w14:paraId="069093CC"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0,021636</w:t>
            </w:r>
          </w:p>
        </w:tc>
      </w:tr>
      <w:tr w:rsidR="00B961F7" w:rsidRPr="00B961F7" w14:paraId="0900A882"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754C5D5F"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2018</w:t>
            </w:r>
          </w:p>
        </w:tc>
        <w:tc>
          <w:tcPr>
            <w:tcW w:w="1350" w:type="dxa"/>
            <w:tcBorders>
              <w:top w:val="single" w:sz="4" w:space="0" w:color="auto"/>
              <w:bottom w:val="single" w:sz="4" w:space="0" w:color="auto"/>
            </w:tcBorders>
            <w:shd w:val="clear" w:color="auto" w:fill="FFFFFF"/>
            <w:vAlign w:val="center"/>
          </w:tcPr>
          <w:p w14:paraId="0DA6F6BB"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0,008920</w:t>
            </w:r>
          </w:p>
        </w:tc>
        <w:tc>
          <w:tcPr>
            <w:tcW w:w="1350" w:type="dxa"/>
            <w:tcBorders>
              <w:top w:val="single" w:sz="4" w:space="0" w:color="auto"/>
              <w:bottom w:val="single" w:sz="4" w:space="0" w:color="auto"/>
            </w:tcBorders>
            <w:shd w:val="clear" w:color="auto" w:fill="FFFFFF"/>
            <w:vAlign w:val="center"/>
          </w:tcPr>
          <w:p w14:paraId="59542917"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0,022235</w:t>
            </w:r>
          </w:p>
        </w:tc>
        <w:tc>
          <w:tcPr>
            <w:tcW w:w="1334" w:type="dxa"/>
            <w:tcBorders>
              <w:top w:val="single" w:sz="4" w:space="0" w:color="auto"/>
              <w:bottom w:val="single" w:sz="4" w:space="0" w:color="auto"/>
            </w:tcBorders>
            <w:shd w:val="clear" w:color="auto" w:fill="FFFFFF"/>
            <w:vAlign w:val="center"/>
          </w:tcPr>
          <w:p w14:paraId="0CB94A4D"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0,014558</w:t>
            </w:r>
          </w:p>
        </w:tc>
        <w:tc>
          <w:tcPr>
            <w:tcW w:w="1660" w:type="dxa"/>
            <w:tcBorders>
              <w:top w:val="single" w:sz="4" w:space="0" w:color="auto"/>
              <w:bottom w:val="single" w:sz="4" w:space="0" w:color="auto"/>
              <w:right w:val="single" w:sz="4" w:space="0" w:color="auto"/>
            </w:tcBorders>
            <w:shd w:val="clear" w:color="auto" w:fill="FFFFFF"/>
            <w:vAlign w:val="center"/>
          </w:tcPr>
          <w:p w14:paraId="3B641183"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0,004318</w:t>
            </w:r>
          </w:p>
        </w:tc>
      </w:tr>
      <w:tr w:rsidR="00B961F7" w:rsidRPr="00B961F7" w14:paraId="40903B8C" w14:textId="77777777" w:rsidTr="004D1711">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tcPr>
          <w:p w14:paraId="794D3580" w14:textId="77777777" w:rsidR="00B961F7" w:rsidRPr="00B961F7" w:rsidRDefault="00B961F7" w:rsidP="00B961F7">
            <w:pPr>
              <w:autoSpaceDE w:val="0"/>
              <w:autoSpaceDN w:val="0"/>
              <w:adjustRightInd w:val="0"/>
              <w:spacing w:after="0" w:line="240" w:lineRule="auto"/>
              <w:ind w:left="60" w:right="60"/>
              <w:jc w:val="center"/>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APBN 2019</w:t>
            </w:r>
          </w:p>
        </w:tc>
        <w:tc>
          <w:tcPr>
            <w:tcW w:w="1350" w:type="dxa"/>
            <w:tcBorders>
              <w:top w:val="single" w:sz="4" w:space="0" w:color="auto"/>
              <w:bottom w:val="single" w:sz="4" w:space="0" w:color="auto"/>
            </w:tcBorders>
            <w:shd w:val="clear" w:color="auto" w:fill="FFFFFF"/>
            <w:vAlign w:val="center"/>
          </w:tcPr>
          <w:p w14:paraId="220A6B22"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0,006362</w:t>
            </w:r>
          </w:p>
        </w:tc>
        <w:tc>
          <w:tcPr>
            <w:tcW w:w="1350" w:type="dxa"/>
            <w:tcBorders>
              <w:top w:val="single" w:sz="4" w:space="0" w:color="auto"/>
              <w:bottom w:val="single" w:sz="4" w:space="0" w:color="auto"/>
            </w:tcBorders>
            <w:shd w:val="clear" w:color="auto" w:fill="FFFFFF"/>
            <w:vAlign w:val="center"/>
          </w:tcPr>
          <w:p w14:paraId="04BCC61B"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0,044675</w:t>
            </w:r>
          </w:p>
        </w:tc>
        <w:tc>
          <w:tcPr>
            <w:tcW w:w="1334" w:type="dxa"/>
            <w:tcBorders>
              <w:top w:val="single" w:sz="4" w:space="0" w:color="auto"/>
              <w:bottom w:val="single" w:sz="4" w:space="0" w:color="auto"/>
            </w:tcBorders>
            <w:shd w:val="clear" w:color="auto" w:fill="FFFFFF"/>
            <w:vAlign w:val="center"/>
          </w:tcPr>
          <w:p w14:paraId="5908A99D"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0,023568</w:t>
            </w:r>
          </w:p>
        </w:tc>
        <w:tc>
          <w:tcPr>
            <w:tcW w:w="1660" w:type="dxa"/>
            <w:tcBorders>
              <w:top w:val="single" w:sz="4" w:space="0" w:color="auto"/>
              <w:bottom w:val="single" w:sz="4" w:space="0" w:color="auto"/>
              <w:right w:val="single" w:sz="4" w:space="0" w:color="auto"/>
            </w:tcBorders>
            <w:shd w:val="clear" w:color="auto" w:fill="FFFFFF"/>
            <w:vAlign w:val="center"/>
          </w:tcPr>
          <w:p w14:paraId="3C5FC187" w14:textId="77777777" w:rsidR="00B961F7" w:rsidRPr="00B961F7" w:rsidRDefault="00B961F7" w:rsidP="00B961F7">
            <w:pPr>
              <w:autoSpaceDE w:val="0"/>
              <w:autoSpaceDN w:val="0"/>
              <w:adjustRightInd w:val="0"/>
              <w:spacing w:after="0" w:line="240" w:lineRule="auto"/>
              <w:ind w:left="60" w:right="60"/>
              <w:jc w:val="right"/>
              <w:rPr>
                <w:rFonts w:ascii="Cambria" w:eastAsia="Times New Roman" w:hAnsi="Cambria" w:cs="Calibri"/>
                <w:color w:val="000000"/>
                <w:sz w:val="20"/>
                <w:szCs w:val="20"/>
                <w:lang w:val="en"/>
              </w:rPr>
            </w:pPr>
            <w:r w:rsidRPr="00B961F7">
              <w:rPr>
                <w:rFonts w:ascii="Cambria" w:eastAsia="Times New Roman" w:hAnsi="Cambria" w:cs="Calibri"/>
                <w:color w:val="000000"/>
                <w:sz w:val="20"/>
                <w:szCs w:val="20"/>
                <w:lang w:val="en"/>
              </w:rPr>
              <w:t>0,012977</w:t>
            </w:r>
          </w:p>
        </w:tc>
      </w:tr>
    </w:tbl>
    <w:p w14:paraId="78494C16"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authors processed.</w:t>
      </w:r>
    </w:p>
    <w:p w14:paraId="2EF8ED37" w14:textId="77777777" w:rsidR="00B961F7" w:rsidRPr="00B961F7" w:rsidRDefault="00B961F7" w:rsidP="00B961F7">
      <w:pPr>
        <w:numPr>
          <w:ilvl w:val="1"/>
          <w:numId w:val="2"/>
        </w:numPr>
        <w:pBdr>
          <w:top w:val="nil"/>
          <w:left w:val="nil"/>
          <w:bottom w:val="nil"/>
          <w:right w:val="nil"/>
          <w:between w:val="nil"/>
        </w:pBdr>
        <w:spacing w:after="0" w:line="240" w:lineRule="auto"/>
        <w:ind w:left="360"/>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Hypothesis Testing Hypothesis</w:t>
      </w:r>
    </w:p>
    <w:p w14:paraId="1EB12F53" w14:textId="77777777" w:rsidR="00B961F7" w:rsidRPr="00B961F7" w:rsidRDefault="00B961F7" w:rsidP="00B961F7">
      <w:pPr>
        <w:numPr>
          <w:ilvl w:val="2"/>
          <w:numId w:val="2"/>
        </w:numPr>
        <w:pBdr>
          <w:top w:val="nil"/>
          <w:left w:val="nil"/>
          <w:bottom w:val="nil"/>
          <w:right w:val="nil"/>
          <w:between w:val="nil"/>
        </w:pBdr>
        <w:spacing w:after="0" w:line="240" w:lineRule="auto"/>
        <w:ind w:left="540" w:hanging="540"/>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Testing I</w:t>
      </w:r>
    </w:p>
    <w:p w14:paraId="0E713C8D"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The first hypothesis of this study is that there is </w:t>
      </w:r>
      <w:r w:rsidRPr="00B961F7">
        <w:rPr>
          <w:rFonts w:ascii="Cambria" w:eastAsia="Calibri" w:hAnsi="Cambria" w:cs="Calibri"/>
          <w:i/>
          <w:sz w:val="20"/>
          <w:szCs w:val="20"/>
          <w:lang w:val="en"/>
        </w:rPr>
        <w:t>an abnormal return</w:t>
      </w:r>
      <w:r w:rsidRPr="00B961F7">
        <w:rPr>
          <w:rFonts w:ascii="Cambria" w:eastAsia="Calibri" w:hAnsi="Cambria" w:cs="Calibri"/>
          <w:sz w:val="20"/>
          <w:szCs w:val="20"/>
          <w:lang w:val="en"/>
        </w:rPr>
        <w:t xml:space="preserve"> significant around the ratification of the State Budget (APBN). However, before testing the hypothesis, it is variable </w:t>
      </w:r>
      <w:r w:rsidRPr="00B961F7">
        <w:rPr>
          <w:rFonts w:ascii="Cambria" w:eastAsia="Calibri" w:hAnsi="Cambria" w:cs="Calibri"/>
          <w:i/>
          <w:sz w:val="20"/>
          <w:szCs w:val="20"/>
          <w:lang w:val="en"/>
        </w:rPr>
        <w:t xml:space="preserve">abnormal return </w:t>
      </w:r>
      <w:r w:rsidRPr="00B961F7">
        <w:rPr>
          <w:rFonts w:ascii="Cambria" w:eastAsia="Calibri" w:hAnsi="Cambria" w:cs="Calibri"/>
          <w:sz w:val="20"/>
          <w:szCs w:val="20"/>
          <w:lang w:val="en"/>
        </w:rPr>
        <w:t xml:space="preserve">necessary to know whether this is normally distributed or not. This is done to determine the appropriate statistical test tools used to process data. Based on the results of the normality test, data </w:t>
      </w:r>
      <w:r w:rsidRPr="00B961F7">
        <w:rPr>
          <w:rFonts w:ascii="Cambria" w:eastAsia="Calibri" w:hAnsi="Cambria" w:cs="Calibri"/>
          <w:i/>
          <w:sz w:val="20"/>
          <w:szCs w:val="20"/>
          <w:lang w:val="en"/>
        </w:rPr>
        <w:t xml:space="preserve">abnormal returns </w:t>
      </w:r>
      <w:r w:rsidRPr="00B961F7">
        <w:rPr>
          <w:rFonts w:ascii="Cambria" w:eastAsia="Calibri" w:hAnsi="Cambria" w:cs="Calibri"/>
          <w:sz w:val="20"/>
          <w:szCs w:val="20"/>
          <w:lang w:val="en"/>
        </w:rPr>
        <w:t xml:space="preserve">for five days before the ratification event until five days after the ratification event are normally distributed. This is evidenced by the value </w:t>
      </w:r>
      <w:proofErr w:type="spellStart"/>
      <w:r w:rsidRPr="00B961F7">
        <w:rPr>
          <w:rFonts w:ascii="Cambria" w:eastAsia="Calibri" w:hAnsi="Cambria" w:cs="Calibri"/>
          <w:i/>
          <w:sz w:val="20"/>
          <w:szCs w:val="20"/>
          <w:lang w:val="en"/>
        </w:rPr>
        <w:t>asymp</w:t>
      </w:r>
      <w:proofErr w:type="spellEnd"/>
      <w:r w:rsidRPr="00B961F7">
        <w:rPr>
          <w:rFonts w:ascii="Cambria" w:eastAsia="Calibri" w:hAnsi="Cambria" w:cs="Calibri"/>
          <w:i/>
          <w:sz w:val="20"/>
          <w:szCs w:val="20"/>
          <w:lang w:val="en"/>
        </w:rPr>
        <w:t>. sig. (2-tailed</w:t>
      </w:r>
      <w:r w:rsidRPr="00B961F7">
        <w:rPr>
          <w:rFonts w:ascii="Cambria" w:eastAsia="Calibri" w:hAnsi="Cambria" w:cs="Calibri"/>
          <w:sz w:val="20"/>
          <w:szCs w:val="20"/>
          <w:lang w:val="en"/>
        </w:rPr>
        <w:t xml:space="preserve">) obtained through data processing in the SPSS Version 20 application was recorded to be more than 0.05. Therefore, these data can then be performed parametric statistical testing using the method </w:t>
      </w:r>
      <w:r w:rsidRPr="00B961F7">
        <w:rPr>
          <w:rFonts w:ascii="Cambria" w:eastAsia="Calibri" w:hAnsi="Cambria" w:cs="Calibri"/>
          <w:i/>
          <w:sz w:val="20"/>
          <w:szCs w:val="20"/>
          <w:lang w:val="en"/>
        </w:rPr>
        <w:t>one-sample t-test.</w:t>
      </w:r>
    </w:p>
    <w:p w14:paraId="292CA5F2"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The results of the </w:t>
      </w:r>
      <w:r w:rsidRPr="00B961F7">
        <w:rPr>
          <w:rFonts w:ascii="Cambria" w:eastAsia="Calibri" w:hAnsi="Cambria" w:cs="Calibri"/>
          <w:i/>
          <w:sz w:val="20"/>
          <w:szCs w:val="20"/>
          <w:lang w:val="en"/>
        </w:rPr>
        <w:t xml:space="preserve">one-sample t-test are </w:t>
      </w:r>
      <w:r w:rsidRPr="00B961F7">
        <w:rPr>
          <w:rFonts w:ascii="Cambria" w:eastAsia="Calibri" w:hAnsi="Cambria" w:cs="Calibri"/>
          <w:sz w:val="20"/>
          <w:szCs w:val="20"/>
          <w:lang w:val="en"/>
        </w:rPr>
        <w:t xml:space="preserve">shown in Table 4 and Table 5. Based on the results of the analysis using the </w:t>
      </w:r>
      <w:r w:rsidRPr="00B961F7">
        <w:rPr>
          <w:rFonts w:ascii="Cambria" w:eastAsia="Calibri" w:hAnsi="Cambria" w:cs="Calibri"/>
          <w:i/>
          <w:sz w:val="20"/>
          <w:szCs w:val="20"/>
          <w:lang w:val="en"/>
        </w:rPr>
        <w:t xml:space="preserve">one-sample t-test </w:t>
      </w:r>
      <w:r w:rsidRPr="00B961F7">
        <w:rPr>
          <w:rFonts w:ascii="Cambria" w:eastAsia="Calibri" w:hAnsi="Cambria" w:cs="Calibri"/>
          <w:sz w:val="20"/>
          <w:szCs w:val="20"/>
          <w:lang w:val="en"/>
        </w:rPr>
        <w:t xml:space="preserve">on the value </w:t>
      </w:r>
      <w:r w:rsidRPr="00B961F7">
        <w:rPr>
          <w:rFonts w:ascii="Cambria" w:eastAsia="Calibri" w:hAnsi="Cambria" w:cs="Calibri"/>
          <w:i/>
          <w:sz w:val="20"/>
          <w:szCs w:val="20"/>
          <w:lang w:val="en"/>
        </w:rPr>
        <w:t xml:space="preserve">abnormal return of </w:t>
      </w:r>
      <w:r w:rsidRPr="00B961F7">
        <w:rPr>
          <w:rFonts w:ascii="Cambria" w:eastAsia="Calibri" w:hAnsi="Cambria" w:cs="Calibri"/>
          <w:sz w:val="20"/>
          <w:szCs w:val="20"/>
          <w:lang w:val="en"/>
        </w:rPr>
        <w:t xml:space="preserve">stocks during the ratification of the State Budget (APBN) for the 2010-2014 fiscal year, there is an </w:t>
      </w:r>
      <w:r w:rsidRPr="00B961F7">
        <w:rPr>
          <w:rFonts w:ascii="Cambria" w:eastAsia="Calibri" w:hAnsi="Cambria" w:cs="Calibri"/>
          <w:i/>
          <w:sz w:val="20"/>
          <w:szCs w:val="20"/>
          <w:lang w:val="en"/>
        </w:rPr>
        <w:t xml:space="preserve">abnormal return </w:t>
      </w:r>
      <w:r w:rsidRPr="00B961F7">
        <w:rPr>
          <w:rFonts w:ascii="Cambria" w:eastAsia="Calibri" w:hAnsi="Cambria" w:cs="Calibri"/>
          <w:sz w:val="20"/>
          <w:szCs w:val="20"/>
          <w:lang w:val="en"/>
        </w:rPr>
        <w:t xml:space="preserve">significantly received by </w:t>
      </w:r>
      <w:proofErr w:type="gramStart"/>
      <w:r w:rsidRPr="00B961F7">
        <w:rPr>
          <w:rFonts w:ascii="Cambria" w:eastAsia="Calibri" w:hAnsi="Cambria" w:cs="Calibri"/>
          <w:sz w:val="20"/>
          <w:szCs w:val="20"/>
          <w:lang w:val="en"/>
        </w:rPr>
        <w:t>investors.</w:t>
      </w:r>
      <w:proofErr w:type="gramEnd"/>
      <w:r w:rsidRPr="00B961F7">
        <w:rPr>
          <w:rFonts w:ascii="Cambria" w:eastAsia="Calibri" w:hAnsi="Cambria" w:cs="Calibri"/>
          <w:sz w:val="20"/>
          <w:szCs w:val="20"/>
          <w:lang w:val="en"/>
        </w:rPr>
        <w:t xml:space="preserve"> </w:t>
      </w:r>
      <w:r w:rsidRPr="00B961F7">
        <w:rPr>
          <w:rFonts w:ascii="Cambria" w:eastAsia="Calibri" w:hAnsi="Cambria" w:cs="Calibri"/>
          <w:i/>
          <w:sz w:val="20"/>
          <w:szCs w:val="20"/>
          <w:lang w:val="en"/>
        </w:rPr>
        <w:t xml:space="preserve">Abnormal return is </w:t>
      </w:r>
      <w:r w:rsidRPr="00B961F7">
        <w:rPr>
          <w:rFonts w:ascii="Cambria" w:eastAsia="Calibri" w:hAnsi="Cambria" w:cs="Calibri"/>
          <w:sz w:val="20"/>
          <w:szCs w:val="20"/>
          <w:lang w:val="en"/>
        </w:rPr>
        <w:t xml:space="preserve">considered significant if the Sig. &lt;0.05 in the 95 percent confidence level. These results indicate that the capital market reacts to the APBN approval event. </w:t>
      </w:r>
    </w:p>
    <w:p w14:paraId="30E6FBA6"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4. Results of </w:t>
      </w:r>
      <w:r w:rsidRPr="00B961F7">
        <w:rPr>
          <w:rFonts w:ascii="Cambria" w:eastAsia="Calibri" w:hAnsi="Cambria" w:cs="Calibri"/>
          <w:b/>
          <w:i/>
          <w:sz w:val="20"/>
          <w:szCs w:val="20"/>
          <w:lang w:val="en"/>
        </w:rPr>
        <w:t xml:space="preserve">One-Sample t-Test Abnormal Return in </w:t>
      </w:r>
      <w:r w:rsidRPr="00B961F7">
        <w:rPr>
          <w:rFonts w:ascii="Cambria" w:eastAsia="Calibri" w:hAnsi="Cambria" w:cs="Calibri"/>
          <w:b/>
          <w:sz w:val="20"/>
          <w:szCs w:val="20"/>
          <w:lang w:val="en"/>
        </w:rPr>
        <w:t>2010 – 2014</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710"/>
        <w:gridCol w:w="1710"/>
        <w:gridCol w:w="1710"/>
        <w:gridCol w:w="1710"/>
        <w:gridCol w:w="1710"/>
      </w:tblGrid>
      <w:tr w:rsidR="00B961F7" w:rsidRPr="00B961F7" w14:paraId="2F54B2D9" w14:textId="77777777" w:rsidTr="004D1711">
        <w:tc>
          <w:tcPr>
            <w:tcW w:w="445" w:type="dxa"/>
            <w:tcBorders>
              <w:top w:val="single" w:sz="4" w:space="0" w:color="000000"/>
              <w:left w:val="single" w:sz="4" w:space="0" w:color="000000"/>
              <w:bottom w:val="single" w:sz="4" w:space="0" w:color="000000"/>
              <w:right w:val="single" w:sz="4" w:space="0" w:color="000000"/>
            </w:tcBorders>
          </w:tcPr>
          <w:p w14:paraId="2850D4C4" w14:textId="77777777" w:rsidR="00B961F7" w:rsidRPr="00B961F7" w:rsidRDefault="00B961F7" w:rsidP="00B961F7">
            <w:pPr>
              <w:spacing w:after="0" w:line="240" w:lineRule="auto"/>
              <w:jc w:val="both"/>
              <w:rPr>
                <w:rFonts w:ascii="Cambria" w:eastAsia="Calibri" w:hAnsi="Cambria" w:cs="Calibri"/>
                <w:sz w:val="20"/>
                <w:szCs w:val="20"/>
                <w:lang w:val="en"/>
              </w:rPr>
            </w:pPr>
          </w:p>
        </w:tc>
        <w:tc>
          <w:tcPr>
            <w:tcW w:w="1710" w:type="dxa"/>
            <w:tcBorders>
              <w:top w:val="single" w:sz="4" w:space="0" w:color="000000"/>
              <w:left w:val="single" w:sz="4" w:space="0" w:color="000000"/>
              <w:bottom w:val="single" w:sz="4" w:space="0" w:color="000000"/>
              <w:right w:val="single" w:sz="4" w:space="0" w:color="000000"/>
            </w:tcBorders>
          </w:tcPr>
          <w:p w14:paraId="3FFF254A"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APBN 2010</w:t>
            </w:r>
          </w:p>
        </w:tc>
        <w:tc>
          <w:tcPr>
            <w:tcW w:w="1710" w:type="dxa"/>
            <w:tcBorders>
              <w:top w:val="single" w:sz="4" w:space="0" w:color="000000"/>
              <w:left w:val="single" w:sz="4" w:space="0" w:color="000000"/>
              <w:bottom w:val="single" w:sz="4" w:space="0" w:color="000000"/>
              <w:right w:val="single" w:sz="4" w:space="0" w:color="000000"/>
            </w:tcBorders>
          </w:tcPr>
          <w:p w14:paraId="3A4669AA"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APBN 2011</w:t>
            </w:r>
          </w:p>
        </w:tc>
        <w:tc>
          <w:tcPr>
            <w:tcW w:w="1710" w:type="dxa"/>
            <w:tcBorders>
              <w:top w:val="single" w:sz="4" w:space="0" w:color="000000"/>
              <w:left w:val="single" w:sz="4" w:space="0" w:color="000000"/>
              <w:bottom w:val="single" w:sz="4" w:space="0" w:color="000000"/>
              <w:right w:val="single" w:sz="4" w:space="0" w:color="000000"/>
            </w:tcBorders>
          </w:tcPr>
          <w:p w14:paraId="3A507A2C"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APBN 2012</w:t>
            </w:r>
          </w:p>
        </w:tc>
        <w:tc>
          <w:tcPr>
            <w:tcW w:w="1710" w:type="dxa"/>
            <w:tcBorders>
              <w:top w:val="single" w:sz="4" w:space="0" w:color="000000"/>
              <w:left w:val="single" w:sz="4" w:space="0" w:color="000000"/>
              <w:bottom w:val="single" w:sz="4" w:space="0" w:color="000000"/>
              <w:right w:val="single" w:sz="4" w:space="0" w:color="000000"/>
            </w:tcBorders>
          </w:tcPr>
          <w:p w14:paraId="3C6BB48A"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APBN 2013</w:t>
            </w:r>
          </w:p>
        </w:tc>
        <w:tc>
          <w:tcPr>
            <w:tcW w:w="1710" w:type="dxa"/>
            <w:tcBorders>
              <w:top w:val="single" w:sz="4" w:space="0" w:color="000000"/>
              <w:left w:val="single" w:sz="4" w:space="0" w:color="000000"/>
              <w:bottom w:val="single" w:sz="4" w:space="0" w:color="000000"/>
              <w:right w:val="single" w:sz="4" w:space="0" w:color="000000"/>
            </w:tcBorders>
          </w:tcPr>
          <w:p w14:paraId="0AF9E1B6"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APBN 2014</w:t>
            </w:r>
          </w:p>
        </w:tc>
      </w:tr>
    </w:tbl>
    <w:tbl>
      <w:tblPr>
        <w:tblStyle w:val="TableGrid1"/>
        <w:tblW w:w="8995" w:type="dxa"/>
        <w:tblLayout w:type="fixed"/>
        <w:tblLook w:val="04A0" w:firstRow="1" w:lastRow="0" w:firstColumn="1" w:lastColumn="0" w:noHBand="0" w:noVBand="1"/>
      </w:tblPr>
      <w:tblGrid>
        <w:gridCol w:w="445"/>
        <w:gridCol w:w="900"/>
        <w:gridCol w:w="810"/>
        <w:gridCol w:w="900"/>
        <w:gridCol w:w="810"/>
        <w:gridCol w:w="900"/>
        <w:gridCol w:w="810"/>
        <w:gridCol w:w="900"/>
        <w:gridCol w:w="810"/>
        <w:gridCol w:w="900"/>
        <w:gridCol w:w="810"/>
      </w:tblGrid>
      <w:tr w:rsidR="00B961F7" w:rsidRPr="00B961F7" w14:paraId="399E115D" w14:textId="77777777" w:rsidTr="004D1711">
        <w:tc>
          <w:tcPr>
            <w:tcW w:w="445" w:type="dxa"/>
          </w:tcPr>
          <w:p w14:paraId="5F5DFD5B" w14:textId="77777777" w:rsidR="00B961F7" w:rsidRPr="00B961F7" w:rsidRDefault="00B961F7" w:rsidP="00B961F7">
            <w:pPr>
              <w:jc w:val="both"/>
              <w:rPr>
                <w:rFonts w:ascii="Cambria" w:eastAsia="Cambria" w:hAnsi="Cambria" w:cs="Calibri"/>
                <w:sz w:val="20"/>
                <w:szCs w:val="20"/>
              </w:rPr>
            </w:pPr>
          </w:p>
        </w:tc>
        <w:tc>
          <w:tcPr>
            <w:tcW w:w="900" w:type="dxa"/>
            <w:tcBorders>
              <w:bottom w:val="single" w:sz="4" w:space="0" w:color="auto"/>
            </w:tcBorders>
          </w:tcPr>
          <w:p w14:paraId="33CD73AF"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t</w:t>
            </w:r>
          </w:p>
        </w:tc>
        <w:tc>
          <w:tcPr>
            <w:tcW w:w="810" w:type="dxa"/>
            <w:tcBorders>
              <w:bottom w:val="single" w:sz="4" w:space="0" w:color="auto"/>
            </w:tcBorders>
          </w:tcPr>
          <w:p w14:paraId="6BDBE26E"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Sig.</w:t>
            </w:r>
          </w:p>
        </w:tc>
        <w:tc>
          <w:tcPr>
            <w:tcW w:w="900" w:type="dxa"/>
            <w:tcBorders>
              <w:bottom w:val="single" w:sz="4" w:space="0" w:color="auto"/>
            </w:tcBorders>
          </w:tcPr>
          <w:p w14:paraId="6D8A7857"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t</w:t>
            </w:r>
          </w:p>
        </w:tc>
        <w:tc>
          <w:tcPr>
            <w:tcW w:w="810" w:type="dxa"/>
            <w:tcBorders>
              <w:bottom w:val="single" w:sz="4" w:space="0" w:color="auto"/>
            </w:tcBorders>
          </w:tcPr>
          <w:p w14:paraId="74378E79"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Sig.</w:t>
            </w:r>
          </w:p>
        </w:tc>
        <w:tc>
          <w:tcPr>
            <w:tcW w:w="900" w:type="dxa"/>
            <w:tcBorders>
              <w:bottom w:val="single" w:sz="4" w:space="0" w:color="auto"/>
            </w:tcBorders>
          </w:tcPr>
          <w:p w14:paraId="1261B551"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t</w:t>
            </w:r>
          </w:p>
        </w:tc>
        <w:tc>
          <w:tcPr>
            <w:tcW w:w="810" w:type="dxa"/>
            <w:tcBorders>
              <w:bottom w:val="single" w:sz="4" w:space="0" w:color="auto"/>
            </w:tcBorders>
          </w:tcPr>
          <w:p w14:paraId="4975938E"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Sig.</w:t>
            </w:r>
          </w:p>
        </w:tc>
        <w:tc>
          <w:tcPr>
            <w:tcW w:w="900" w:type="dxa"/>
            <w:tcBorders>
              <w:bottom w:val="single" w:sz="4" w:space="0" w:color="auto"/>
            </w:tcBorders>
          </w:tcPr>
          <w:p w14:paraId="3EAA9217"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t</w:t>
            </w:r>
          </w:p>
        </w:tc>
        <w:tc>
          <w:tcPr>
            <w:tcW w:w="810" w:type="dxa"/>
            <w:tcBorders>
              <w:bottom w:val="single" w:sz="4" w:space="0" w:color="auto"/>
            </w:tcBorders>
          </w:tcPr>
          <w:p w14:paraId="30B35E96"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Sig.</w:t>
            </w:r>
          </w:p>
        </w:tc>
        <w:tc>
          <w:tcPr>
            <w:tcW w:w="900" w:type="dxa"/>
            <w:tcBorders>
              <w:bottom w:val="single" w:sz="4" w:space="0" w:color="auto"/>
            </w:tcBorders>
          </w:tcPr>
          <w:p w14:paraId="6C407F59"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t</w:t>
            </w:r>
          </w:p>
        </w:tc>
        <w:tc>
          <w:tcPr>
            <w:tcW w:w="810" w:type="dxa"/>
            <w:tcBorders>
              <w:bottom w:val="single" w:sz="4" w:space="0" w:color="auto"/>
            </w:tcBorders>
          </w:tcPr>
          <w:p w14:paraId="016277E4" w14:textId="77777777" w:rsidR="00B961F7" w:rsidRPr="00B961F7" w:rsidRDefault="00B961F7" w:rsidP="00B961F7">
            <w:pPr>
              <w:jc w:val="center"/>
              <w:rPr>
                <w:rFonts w:ascii="Cambria" w:eastAsia="Cambria" w:hAnsi="Cambria" w:cs="Calibri"/>
                <w:sz w:val="20"/>
                <w:szCs w:val="20"/>
              </w:rPr>
            </w:pPr>
            <w:r w:rsidRPr="00B961F7">
              <w:rPr>
                <w:rFonts w:ascii="Cambria" w:eastAsia="Cambria" w:hAnsi="Cambria" w:cs="Calibri"/>
                <w:sz w:val="20"/>
                <w:szCs w:val="20"/>
              </w:rPr>
              <w:t>Sig.</w:t>
            </w:r>
          </w:p>
        </w:tc>
      </w:tr>
      <w:tr w:rsidR="00B961F7" w:rsidRPr="00B961F7" w14:paraId="43B28D03" w14:textId="77777777" w:rsidTr="004D1711">
        <w:tc>
          <w:tcPr>
            <w:tcW w:w="445" w:type="dxa"/>
            <w:tcBorders>
              <w:bottom w:val="single" w:sz="4" w:space="0" w:color="auto"/>
              <w:right w:val="single" w:sz="4" w:space="0" w:color="auto"/>
            </w:tcBorders>
            <w:vAlign w:val="center"/>
          </w:tcPr>
          <w:p w14:paraId="000CE4B9"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AF342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0,771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17140D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0,452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0D18332"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0,977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0A2C59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0,343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F82328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-0,398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0DA342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0,696</w:t>
            </w:r>
          </w:p>
        </w:tc>
        <w:tc>
          <w:tcPr>
            <w:tcW w:w="900" w:type="dxa"/>
            <w:tcBorders>
              <w:top w:val="single" w:sz="4" w:space="0" w:color="auto"/>
              <w:left w:val="single" w:sz="4" w:space="0" w:color="auto"/>
              <w:bottom w:val="single" w:sz="4" w:space="0" w:color="auto"/>
              <w:right w:val="single" w:sz="4" w:space="0" w:color="auto"/>
            </w:tcBorders>
            <w:vAlign w:val="center"/>
          </w:tcPr>
          <w:p w14:paraId="1E0E6E7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1,402</w:t>
            </w:r>
          </w:p>
        </w:tc>
        <w:tc>
          <w:tcPr>
            <w:tcW w:w="810" w:type="dxa"/>
            <w:tcBorders>
              <w:top w:val="single" w:sz="4" w:space="0" w:color="auto"/>
              <w:left w:val="single" w:sz="4" w:space="0" w:color="auto"/>
              <w:bottom w:val="single" w:sz="4" w:space="0" w:color="auto"/>
              <w:right w:val="single" w:sz="4" w:space="0" w:color="auto"/>
            </w:tcBorders>
            <w:vAlign w:val="center"/>
          </w:tcPr>
          <w:p w14:paraId="2AB19A7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0,180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A7F6DA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2,040</w:t>
            </w:r>
          </w:p>
        </w:tc>
        <w:tc>
          <w:tcPr>
            <w:tcW w:w="810" w:type="dxa"/>
            <w:tcBorders>
              <w:top w:val="single" w:sz="4" w:space="0" w:color="auto"/>
              <w:left w:val="single" w:sz="4" w:space="0" w:color="auto"/>
              <w:bottom w:val="single" w:sz="4" w:space="0" w:color="auto"/>
            </w:tcBorders>
            <w:shd w:val="clear" w:color="auto" w:fill="FFFFFF"/>
            <w:vAlign w:val="center"/>
          </w:tcPr>
          <w:p w14:paraId="059F19E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0,058</w:t>
            </w:r>
          </w:p>
        </w:tc>
      </w:tr>
      <w:tr w:rsidR="00B961F7" w:rsidRPr="00B961F7" w14:paraId="1DF6676F" w14:textId="77777777" w:rsidTr="004D1711">
        <w:tc>
          <w:tcPr>
            <w:tcW w:w="445" w:type="dxa"/>
            <w:tcBorders>
              <w:bottom w:val="single" w:sz="4" w:space="0" w:color="auto"/>
              <w:right w:val="single" w:sz="4" w:space="0" w:color="auto"/>
            </w:tcBorders>
            <w:vAlign w:val="center"/>
          </w:tcPr>
          <w:p w14:paraId="33D885DB"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493ED4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0,899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A0200D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0,382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E7790D"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-0,146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01B90A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0,886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C88777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1,383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A5ABC55"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0,186</w:t>
            </w:r>
          </w:p>
        </w:tc>
        <w:tc>
          <w:tcPr>
            <w:tcW w:w="900" w:type="dxa"/>
            <w:tcBorders>
              <w:top w:val="single" w:sz="4" w:space="0" w:color="auto"/>
              <w:left w:val="single" w:sz="4" w:space="0" w:color="auto"/>
              <w:bottom w:val="single" w:sz="4" w:space="0" w:color="auto"/>
              <w:right w:val="single" w:sz="4" w:space="0" w:color="auto"/>
            </w:tcBorders>
            <w:vAlign w:val="center"/>
          </w:tcPr>
          <w:p w14:paraId="35F7EF02"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1,811</w:t>
            </w:r>
          </w:p>
        </w:tc>
        <w:tc>
          <w:tcPr>
            <w:tcW w:w="810" w:type="dxa"/>
            <w:tcBorders>
              <w:top w:val="single" w:sz="4" w:space="0" w:color="auto"/>
              <w:left w:val="single" w:sz="4" w:space="0" w:color="auto"/>
              <w:bottom w:val="single" w:sz="4" w:space="0" w:color="auto"/>
              <w:right w:val="single" w:sz="4" w:space="0" w:color="auto"/>
            </w:tcBorders>
            <w:vAlign w:val="center"/>
          </w:tcPr>
          <w:p w14:paraId="0398E94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0,089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C3B3D6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0,333</w:t>
            </w:r>
          </w:p>
        </w:tc>
        <w:tc>
          <w:tcPr>
            <w:tcW w:w="810" w:type="dxa"/>
            <w:tcBorders>
              <w:top w:val="single" w:sz="4" w:space="0" w:color="auto"/>
              <w:left w:val="single" w:sz="4" w:space="0" w:color="auto"/>
              <w:bottom w:val="single" w:sz="4" w:space="0" w:color="auto"/>
            </w:tcBorders>
            <w:shd w:val="clear" w:color="auto" w:fill="FFFFFF"/>
            <w:vAlign w:val="center"/>
          </w:tcPr>
          <w:p w14:paraId="27AFCA7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0,743</w:t>
            </w:r>
          </w:p>
        </w:tc>
      </w:tr>
      <w:tr w:rsidR="00B961F7" w:rsidRPr="00B961F7" w14:paraId="5F8AFFAC" w14:textId="77777777" w:rsidTr="00B961F7">
        <w:tc>
          <w:tcPr>
            <w:tcW w:w="445" w:type="dxa"/>
            <w:tcBorders>
              <w:bottom w:val="single" w:sz="4" w:space="0" w:color="auto"/>
              <w:right w:val="single" w:sz="4" w:space="0" w:color="auto"/>
            </w:tcBorders>
            <w:vAlign w:val="center"/>
          </w:tcPr>
          <w:p w14:paraId="10EAD602"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C20C58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-1,963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04755E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0,067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BB6D0FD"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-0,349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F7C467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0,732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DA8F55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-1,367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5D7D80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0,191</w:t>
            </w:r>
          </w:p>
        </w:tc>
        <w:tc>
          <w:tcPr>
            <w:tcW w:w="900" w:type="dxa"/>
            <w:tcBorders>
              <w:top w:val="single" w:sz="4" w:space="0" w:color="auto"/>
              <w:left w:val="single" w:sz="4" w:space="0" w:color="auto"/>
              <w:bottom w:val="single" w:sz="4" w:space="0" w:color="auto"/>
              <w:right w:val="single" w:sz="4" w:space="0" w:color="auto"/>
            </w:tcBorders>
            <w:vAlign w:val="center"/>
          </w:tcPr>
          <w:p w14:paraId="64884A5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0,514</w:t>
            </w:r>
          </w:p>
        </w:tc>
        <w:tc>
          <w:tcPr>
            <w:tcW w:w="810" w:type="dxa"/>
            <w:tcBorders>
              <w:top w:val="single" w:sz="4" w:space="0" w:color="auto"/>
              <w:left w:val="single" w:sz="4" w:space="0" w:color="auto"/>
              <w:bottom w:val="single" w:sz="4" w:space="0" w:color="auto"/>
              <w:right w:val="single" w:sz="4" w:space="0" w:color="auto"/>
            </w:tcBorders>
            <w:vAlign w:val="center"/>
          </w:tcPr>
          <w:p w14:paraId="5B98700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0,614</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020E8B8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-3,142</w:t>
            </w:r>
          </w:p>
        </w:tc>
        <w:tc>
          <w:tcPr>
            <w:tcW w:w="810" w:type="dxa"/>
            <w:tcBorders>
              <w:top w:val="single" w:sz="4" w:space="0" w:color="auto"/>
              <w:left w:val="single" w:sz="4" w:space="0" w:color="auto"/>
              <w:bottom w:val="single" w:sz="4" w:space="0" w:color="auto"/>
            </w:tcBorders>
            <w:shd w:val="clear" w:color="auto" w:fill="DAEEF3"/>
            <w:vAlign w:val="center"/>
          </w:tcPr>
          <w:p w14:paraId="030B3208"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0,006</w:t>
            </w:r>
          </w:p>
        </w:tc>
      </w:tr>
      <w:tr w:rsidR="00B961F7" w:rsidRPr="00B961F7" w14:paraId="246ADC24" w14:textId="77777777" w:rsidTr="00B961F7">
        <w:tc>
          <w:tcPr>
            <w:tcW w:w="445" w:type="dxa"/>
            <w:tcBorders>
              <w:bottom w:val="single" w:sz="4" w:space="0" w:color="auto"/>
              <w:right w:val="single" w:sz="4" w:space="0" w:color="auto"/>
            </w:tcBorders>
            <w:vAlign w:val="center"/>
          </w:tcPr>
          <w:p w14:paraId="727F651C"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-2</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1C56D07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-3,915</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49894C3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3D96A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1,079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CCA234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0,296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1B7DF4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0,584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5FDEFD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0,567</w:t>
            </w:r>
          </w:p>
        </w:tc>
        <w:tc>
          <w:tcPr>
            <w:tcW w:w="900" w:type="dxa"/>
            <w:tcBorders>
              <w:top w:val="single" w:sz="4" w:space="0" w:color="auto"/>
              <w:left w:val="single" w:sz="4" w:space="0" w:color="auto"/>
              <w:bottom w:val="single" w:sz="4" w:space="0" w:color="auto"/>
              <w:right w:val="single" w:sz="4" w:space="0" w:color="auto"/>
            </w:tcBorders>
            <w:vAlign w:val="center"/>
          </w:tcPr>
          <w:p w14:paraId="49E6589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-1,735</w:t>
            </w:r>
          </w:p>
        </w:tc>
        <w:tc>
          <w:tcPr>
            <w:tcW w:w="810" w:type="dxa"/>
            <w:tcBorders>
              <w:top w:val="single" w:sz="4" w:space="0" w:color="auto"/>
              <w:left w:val="single" w:sz="4" w:space="0" w:color="auto"/>
              <w:bottom w:val="single" w:sz="4" w:space="0" w:color="auto"/>
              <w:right w:val="single" w:sz="4" w:space="0" w:color="auto"/>
            </w:tcBorders>
            <w:vAlign w:val="center"/>
          </w:tcPr>
          <w:p w14:paraId="24E1FBD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0,102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C863BA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1,338</w:t>
            </w:r>
          </w:p>
        </w:tc>
        <w:tc>
          <w:tcPr>
            <w:tcW w:w="810" w:type="dxa"/>
            <w:tcBorders>
              <w:top w:val="single" w:sz="4" w:space="0" w:color="auto"/>
              <w:left w:val="single" w:sz="4" w:space="0" w:color="auto"/>
              <w:bottom w:val="single" w:sz="4" w:space="0" w:color="auto"/>
            </w:tcBorders>
            <w:shd w:val="clear" w:color="auto" w:fill="FFFFFF"/>
            <w:vAlign w:val="center"/>
          </w:tcPr>
          <w:p w14:paraId="14ABF88C"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0,200</w:t>
            </w:r>
          </w:p>
        </w:tc>
      </w:tr>
      <w:tr w:rsidR="00B961F7" w:rsidRPr="00B961F7" w14:paraId="494C23B9" w14:textId="77777777" w:rsidTr="00B961F7">
        <w:tc>
          <w:tcPr>
            <w:tcW w:w="445" w:type="dxa"/>
            <w:tcBorders>
              <w:bottom w:val="single" w:sz="4" w:space="0" w:color="auto"/>
              <w:right w:val="single" w:sz="4" w:space="0" w:color="auto"/>
            </w:tcBorders>
            <w:vAlign w:val="center"/>
          </w:tcPr>
          <w:p w14:paraId="328C1D48"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-1</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444C2295"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2,730</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37D7764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E1A54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1,078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EC865"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0,297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6AAB397"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0,178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DB88D1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0,861</w:t>
            </w:r>
          </w:p>
        </w:tc>
        <w:tc>
          <w:tcPr>
            <w:tcW w:w="900" w:type="dxa"/>
            <w:tcBorders>
              <w:top w:val="single" w:sz="4" w:space="0" w:color="auto"/>
              <w:left w:val="single" w:sz="4" w:space="0" w:color="auto"/>
              <w:bottom w:val="single" w:sz="4" w:space="0" w:color="auto"/>
              <w:right w:val="single" w:sz="4" w:space="0" w:color="auto"/>
            </w:tcBorders>
            <w:vAlign w:val="center"/>
          </w:tcPr>
          <w:p w14:paraId="7C0947C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1,927</w:t>
            </w:r>
          </w:p>
        </w:tc>
        <w:tc>
          <w:tcPr>
            <w:tcW w:w="810" w:type="dxa"/>
            <w:tcBorders>
              <w:top w:val="single" w:sz="4" w:space="0" w:color="auto"/>
              <w:left w:val="single" w:sz="4" w:space="0" w:color="auto"/>
              <w:bottom w:val="single" w:sz="4" w:space="0" w:color="auto"/>
              <w:right w:val="single" w:sz="4" w:space="0" w:color="auto"/>
            </w:tcBorders>
            <w:vAlign w:val="center"/>
          </w:tcPr>
          <w:p w14:paraId="0B128AE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0,072</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6166DCF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2,123</w:t>
            </w:r>
          </w:p>
        </w:tc>
        <w:tc>
          <w:tcPr>
            <w:tcW w:w="810" w:type="dxa"/>
            <w:tcBorders>
              <w:top w:val="single" w:sz="4" w:space="0" w:color="auto"/>
              <w:left w:val="single" w:sz="4" w:space="0" w:color="auto"/>
              <w:bottom w:val="single" w:sz="4" w:space="0" w:color="auto"/>
            </w:tcBorders>
            <w:shd w:val="clear" w:color="auto" w:fill="DAEEF3"/>
            <w:vAlign w:val="center"/>
          </w:tcPr>
          <w:p w14:paraId="4236BF0D"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0,050</w:t>
            </w:r>
          </w:p>
        </w:tc>
      </w:tr>
      <w:tr w:rsidR="00B961F7" w:rsidRPr="00B961F7" w14:paraId="6E1D365C" w14:textId="77777777" w:rsidTr="00B961F7">
        <w:tc>
          <w:tcPr>
            <w:tcW w:w="445" w:type="dxa"/>
            <w:tcBorders>
              <w:bottom w:val="single" w:sz="4" w:space="0" w:color="auto"/>
              <w:right w:val="single" w:sz="4" w:space="0" w:color="auto"/>
            </w:tcBorders>
            <w:vAlign w:val="center"/>
          </w:tcPr>
          <w:p w14:paraId="09034D6C"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BDDA3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1,582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69296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0,133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6526F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0,194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094721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0,849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EA14E8"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30CA5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0,967</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3ED059E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-2,158</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5A16DAD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0,046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9D78DE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-0,021</w:t>
            </w:r>
          </w:p>
        </w:tc>
        <w:tc>
          <w:tcPr>
            <w:tcW w:w="810" w:type="dxa"/>
            <w:tcBorders>
              <w:top w:val="single" w:sz="4" w:space="0" w:color="auto"/>
              <w:left w:val="single" w:sz="4" w:space="0" w:color="auto"/>
              <w:bottom w:val="single" w:sz="4" w:space="0" w:color="auto"/>
            </w:tcBorders>
            <w:shd w:val="clear" w:color="auto" w:fill="FFFFFF"/>
            <w:vAlign w:val="center"/>
          </w:tcPr>
          <w:p w14:paraId="1D6CB30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0,984</w:t>
            </w:r>
          </w:p>
        </w:tc>
      </w:tr>
      <w:tr w:rsidR="00B961F7" w:rsidRPr="00B961F7" w14:paraId="47478333" w14:textId="77777777" w:rsidTr="00B961F7">
        <w:tc>
          <w:tcPr>
            <w:tcW w:w="445" w:type="dxa"/>
            <w:tcBorders>
              <w:bottom w:val="single" w:sz="4" w:space="0" w:color="auto"/>
              <w:right w:val="single" w:sz="4" w:space="0" w:color="auto"/>
            </w:tcBorders>
            <w:vAlign w:val="center"/>
          </w:tcPr>
          <w:p w14:paraId="71BB5C4F"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BD12A5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-0,190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2519415"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0,851</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6EAAD2F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-2,670</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2A6CA97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0,017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5AF3D8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-1,676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ED886C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0,113</w:t>
            </w:r>
          </w:p>
        </w:tc>
        <w:tc>
          <w:tcPr>
            <w:tcW w:w="900" w:type="dxa"/>
            <w:tcBorders>
              <w:top w:val="single" w:sz="4" w:space="0" w:color="auto"/>
              <w:left w:val="single" w:sz="4" w:space="0" w:color="auto"/>
              <w:bottom w:val="single" w:sz="4" w:space="0" w:color="auto"/>
              <w:right w:val="single" w:sz="4" w:space="0" w:color="auto"/>
            </w:tcBorders>
            <w:vAlign w:val="center"/>
          </w:tcPr>
          <w:p w14:paraId="63B7BAF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-0,059</w:t>
            </w:r>
          </w:p>
        </w:tc>
        <w:tc>
          <w:tcPr>
            <w:tcW w:w="810" w:type="dxa"/>
            <w:tcBorders>
              <w:top w:val="single" w:sz="4" w:space="0" w:color="auto"/>
              <w:left w:val="single" w:sz="4" w:space="0" w:color="auto"/>
              <w:bottom w:val="single" w:sz="4" w:space="0" w:color="auto"/>
              <w:right w:val="single" w:sz="4" w:space="0" w:color="auto"/>
            </w:tcBorders>
            <w:vAlign w:val="center"/>
          </w:tcPr>
          <w:p w14:paraId="1A8B74F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0,954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311D64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0,308</w:t>
            </w:r>
          </w:p>
        </w:tc>
        <w:tc>
          <w:tcPr>
            <w:tcW w:w="810" w:type="dxa"/>
            <w:tcBorders>
              <w:top w:val="single" w:sz="4" w:space="0" w:color="auto"/>
              <w:left w:val="single" w:sz="4" w:space="0" w:color="auto"/>
              <w:bottom w:val="single" w:sz="4" w:space="0" w:color="auto"/>
            </w:tcBorders>
            <w:shd w:val="clear" w:color="auto" w:fill="FFFFFF"/>
            <w:vAlign w:val="center"/>
          </w:tcPr>
          <w:p w14:paraId="0E57543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0,762</w:t>
            </w:r>
          </w:p>
        </w:tc>
      </w:tr>
      <w:tr w:rsidR="00B961F7" w:rsidRPr="00B961F7" w14:paraId="738D696A" w14:textId="77777777" w:rsidTr="004D1711">
        <w:tc>
          <w:tcPr>
            <w:tcW w:w="445" w:type="dxa"/>
            <w:tcBorders>
              <w:bottom w:val="single" w:sz="4" w:space="0" w:color="auto"/>
              <w:right w:val="single" w:sz="4" w:space="0" w:color="auto"/>
            </w:tcBorders>
            <w:vAlign w:val="center"/>
          </w:tcPr>
          <w:p w14:paraId="1D81099B"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A5A3D1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0,148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2E7C8D7"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0,884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10E69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-0,577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6B7D95"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0,572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6BD9C9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-1,866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32D101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0,080</w:t>
            </w:r>
          </w:p>
        </w:tc>
        <w:tc>
          <w:tcPr>
            <w:tcW w:w="900" w:type="dxa"/>
            <w:tcBorders>
              <w:top w:val="single" w:sz="4" w:space="0" w:color="auto"/>
              <w:left w:val="single" w:sz="4" w:space="0" w:color="auto"/>
              <w:bottom w:val="single" w:sz="4" w:space="0" w:color="auto"/>
              <w:right w:val="single" w:sz="4" w:space="0" w:color="auto"/>
            </w:tcBorders>
            <w:vAlign w:val="center"/>
          </w:tcPr>
          <w:p w14:paraId="52CE3377"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0,713</w:t>
            </w:r>
          </w:p>
        </w:tc>
        <w:tc>
          <w:tcPr>
            <w:tcW w:w="810" w:type="dxa"/>
            <w:tcBorders>
              <w:top w:val="single" w:sz="4" w:space="0" w:color="auto"/>
              <w:left w:val="single" w:sz="4" w:space="0" w:color="auto"/>
              <w:bottom w:val="single" w:sz="4" w:space="0" w:color="auto"/>
              <w:right w:val="single" w:sz="4" w:space="0" w:color="auto"/>
            </w:tcBorders>
            <w:vAlign w:val="center"/>
          </w:tcPr>
          <w:p w14:paraId="4B994D86"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0,486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33FD9B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-0,928</w:t>
            </w:r>
          </w:p>
        </w:tc>
        <w:tc>
          <w:tcPr>
            <w:tcW w:w="810" w:type="dxa"/>
            <w:tcBorders>
              <w:top w:val="single" w:sz="4" w:space="0" w:color="auto"/>
              <w:left w:val="single" w:sz="4" w:space="0" w:color="auto"/>
              <w:bottom w:val="single" w:sz="4" w:space="0" w:color="auto"/>
            </w:tcBorders>
            <w:shd w:val="clear" w:color="auto" w:fill="FFFFFF"/>
            <w:vAlign w:val="center"/>
          </w:tcPr>
          <w:p w14:paraId="5390C2C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0,367</w:t>
            </w:r>
          </w:p>
        </w:tc>
      </w:tr>
      <w:tr w:rsidR="00B961F7" w:rsidRPr="00B961F7" w14:paraId="158712AF" w14:textId="77777777" w:rsidTr="004D1711">
        <w:tc>
          <w:tcPr>
            <w:tcW w:w="445" w:type="dxa"/>
            <w:tcBorders>
              <w:bottom w:val="single" w:sz="4" w:space="0" w:color="auto"/>
              <w:right w:val="single" w:sz="4" w:space="0" w:color="auto"/>
            </w:tcBorders>
            <w:vAlign w:val="center"/>
          </w:tcPr>
          <w:p w14:paraId="131203E4"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52C096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-0,677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570E058"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0,508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5B97D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0,712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DBEC8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0,487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A0E4C2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0,686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18BCB0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0,502</w:t>
            </w:r>
          </w:p>
        </w:tc>
        <w:tc>
          <w:tcPr>
            <w:tcW w:w="900" w:type="dxa"/>
            <w:tcBorders>
              <w:top w:val="single" w:sz="4" w:space="0" w:color="auto"/>
              <w:left w:val="single" w:sz="4" w:space="0" w:color="auto"/>
              <w:bottom w:val="single" w:sz="4" w:space="0" w:color="auto"/>
              <w:right w:val="single" w:sz="4" w:space="0" w:color="auto"/>
            </w:tcBorders>
            <w:vAlign w:val="center"/>
          </w:tcPr>
          <w:p w14:paraId="0AF8ED77"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-1,002</w:t>
            </w:r>
          </w:p>
        </w:tc>
        <w:tc>
          <w:tcPr>
            <w:tcW w:w="810" w:type="dxa"/>
            <w:tcBorders>
              <w:top w:val="single" w:sz="4" w:space="0" w:color="auto"/>
              <w:left w:val="single" w:sz="4" w:space="0" w:color="auto"/>
              <w:bottom w:val="single" w:sz="4" w:space="0" w:color="auto"/>
              <w:right w:val="single" w:sz="4" w:space="0" w:color="auto"/>
            </w:tcBorders>
            <w:vAlign w:val="center"/>
          </w:tcPr>
          <w:p w14:paraId="0ABAB5DE"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0,331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7DFABA3"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1,371</w:t>
            </w:r>
          </w:p>
        </w:tc>
        <w:tc>
          <w:tcPr>
            <w:tcW w:w="810" w:type="dxa"/>
            <w:tcBorders>
              <w:top w:val="single" w:sz="4" w:space="0" w:color="auto"/>
              <w:left w:val="single" w:sz="4" w:space="0" w:color="auto"/>
              <w:bottom w:val="single" w:sz="4" w:space="0" w:color="auto"/>
            </w:tcBorders>
            <w:shd w:val="clear" w:color="auto" w:fill="FFFFFF"/>
            <w:vAlign w:val="center"/>
          </w:tcPr>
          <w:p w14:paraId="1AC86994"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0,189</w:t>
            </w:r>
          </w:p>
        </w:tc>
      </w:tr>
      <w:tr w:rsidR="00B961F7" w:rsidRPr="00B961F7" w14:paraId="41B69416" w14:textId="77777777" w:rsidTr="00B961F7">
        <w:tc>
          <w:tcPr>
            <w:tcW w:w="445" w:type="dxa"/>
            <w:tcBorders>
              <w:bottom w:val="single" w:sz="4" w:space="0" w:color="auto"/>
              <w:right w:val="single" w:sz="4" w:space="0" w:color="auto"/>
            </w:tcBorders>
            <w:vAlign w:val="center"/>
          </w:tcPr>
          <w:p w14:paraId="79E474B9" w14:textId="77777777" w:rsidR="00B961F7" w:rsidRPr="00B961F7" w:rsidRDefault="00B961F7" w:rsidP="00B961F7">
            <w:pPr>
              <w:jc w:val="both"/>
              <w:rPr>
                <w:rFonts w:ascii="Cambria" w:eastAsia="Cambria" w:hAnsi="Cambria" w:cs="Calibri"/>
                <w:sz w:val="20"/>
                <w:szCs w:val="20"/>
              </w:rPr>
            </w:pPr>
            <w:r w:rsidRPr="00B961F7">
              <w:rPr>
                <w:rFonts w:ascii="Cambria" w:eastAsia="Cambria" w:hAnsi="Cambria" w:cs="Calibri"/>
                <w:sz w:val="20"/>
                <w:szCs w:val="20"/>
              </w:rPr>
              <w:t>t</w:t>
            </w:r>
            <w:r w:rsidRPr="00B961F7">
              <w:rPr>
                <w:rFonts w:ascii="Cambria" w:eastAsia="Cambria" w:hAnsi="Cambria" w:cs="Calibri"/>
                <w:sz w:val="20"/>
                <w:szCs w:val="20"/>
                <w:vertAlign w:val="subscript"/>
              </w:rPr>
              <w:t>+4</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4C5EE367"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2,761</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6F46CC8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A21E07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0,777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AC10E9"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0,449</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7411ADE2"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-2,643</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65489EE0"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0,018</w:t>
            </w:r>
          </w:p>
        </w:tc>
        <w:tc>
          <w:tcPr>
            <w:tcW w:w="900" w:type="dxa"/>
            <w:tcBorders>
              <w:top w:val="single" w:sz="4" w:space="0" w:color="auto"/>
              <w:left w:val="single" w:sz="4" w:space="0" w:color="auto"/>
              <w:bottom w:val="single" w:sz="4" w:space="0" w:color="auto"/>
              <w:right w:val="single" w:sz="4" w:space="0" w:color="auto"/>
            </w:tcBorders>
            <w:vAlign w:val="center"/>
          </w:tcPr>
          <w:p w14:paraId="2E03E73F"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1,156</w:t>
            </w:r>
          </w:p>
        </w:tc>
        <w:tc>
          <w:tcPr>
            <w:tcW w:w="810" w:type="dxa"/>
            <w:tcBorders>
              <w:top w:val="single" w:sz="4" w:space="0" w:color="auto"/>
              <w:left w:val="single" w:sz="4" w:space="0" w:color="auto"/>
              <w:bottom w:val="single" w:sz="4" w:space="0" w:color="auto"/>
              <w:right w:val="single" w:sz="4" w:space="0" w:color="auto"/>
            </w:tcBorders>
            <w:vAlign w:val="center"/>
          </w:tcPr>
          <w:p w14:paraId="66CB16A1"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0,264</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183007EA"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-3,002</w:t>
            </w:r>
          </w:p>
        </w:tc>
        <w:tc>
          <w:tcPr>
            <w:tcW w:w="810" w:type="dxa"/>
            <w:tcBorders>
              <w:top w:val="single" w:sz="4" w:space="0" w:color="auto"/>
              <w:left w:val="single" w:sz="4" w:space="0" w:color="auto"/>
              <w:bottom w:val="single" w:sz="4" w:space="0" w:color="auto"/>
            </w:tcBorders>
            <w:shd w:val="clear" w:color="auto" w:fill="DAEEF3"/>
            <w:vAlign w:val="center"/>
          </w:tcPr>
          <w:p w14:paraId="05AC654B" w14:textId="77777777" w:rsidR="00B961F7" w:rsidRPr="00B961F7" w:rsidRDefault="00B961F7" w:rsidP="00B961F7">
            <w:pPr>
              <w:autoSpaceDE w:val="0"/>
              <w:autoSpaceDN w:val="0"/>
              <w:adjustRightInd w:val="0"/>
              <w:ind w:left="60" w:right="60"/>
              <w:jc w:val="center"/>
              <w:rPr>
                <w:rFonts w:ascii="Cambria" w:eastAsia="Cambria" w:hAnsi="Cambria" w:cs="Calibri"/>
                <w:color w:val="000000"/>
                <w:sz w:val="20"/>
                <w:szCs w:val="20"/>
              </w:rPr>
            </w:pPr>
            <w:r w:rsidRPr="00B961F7">
              <w:rPr>
                <w:rFonts w:ascii="Cambria" w:eastAsia="Cambria" w:hAnsi="Cambria" w:cs="Calibri"/>
                <w:color w:val="000000"/>
                <w:sz w:val="20"/>
                <w:szCs w:val="20"/>
              </w:rPr>
              <w:t>0,008</w:t>
            </w:r>
          </w:p>
        </w:tc>
      </w:tr>
    </w:tbl>
    <w:p w14:paraId="145BDF6B"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author processed</w:t>
      </w:r>
    </w:p>
    <w:p w14:paraId="2396D407"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p>
    <w:p w14:paraId="6C50E74F"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SPSS analysis using </w:t>
      </w:r>
      <w:r w:rsidRPr="00B961F7">
        <w:rPr>
          <w:rFonts w:ascii="Cambria" w:eastAsia="Calibri" w:hAnsi="Cambria" w:cs="Calibri"/>
          <w:i/>
          <w:sz w:val="20"/>
          <w:szCs w:val="20"/>
          <w:lang w:val="en"/>
        </w:rPr>
        <w:t xml:space="preserve">one-sample t-test </w:t>
      </w:r>
      <w:r w:rsidRPr="00B961F7">
        <w:rPr>
          <w:rFonts w:ascii="Cambria" w:eastAsia="Calibri" w:hAnsi="Cambria" w:cs="Calibri"/>
          <w:sz w:val="20"/>
          <w:szCs w:val="20"/>
          <w:lang w:val="en"/>
        </w:rPr>
        <w:t xml:space="preserve">for the event of ratification of the State Budget (APBN) for the Fiscal Year 2015–2019 also shows a significant </w:t>
      </w:r>
      <w:r w:rsidRPr="00B961F7">
        <w:rPr>
          <w:rFonts w:ascii="Cambria" w:eastAsia="Calibri" w:hAnsi="Cambria" w:cs="Calibri"/>
          <w:i/>
          <w:sz w:val="20"/>
          <w:szCs w:val="20"/>
          <w:lang w:val="en"/>
        </w:rPr>
        <w:t>abnormal return</w:t>
      </w:r>
      <w:r w:rsidRPr="00B961F7">
        <w:rPr>
          <w:rFonts w:ascii="Cambria" w:eastAsia="Calibri" w:hAnsi="Cambria" w:cs="Calibri"/>
          <w:sz w:val="20"/>
          <w:szCs w:val="20"/>
          <w:lang w:val="en"/>
        </w:rPr>
        <w:t>, except for the ratification of the State Budget (APBN) for the Fiscal Year 2018. These results can be seen in Table 5 below.</w:t>
      </w:r>
    </w:p>
    <w:p w14:paraId="76C6A893"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5. Results of </w:t>
      </w:r>
      <w:r w:rsidRPr="00B961F7">
        <w:rPr>
          <w:rFonts w:ascii="Cambria" w:eastAsia="Calibri" w:hAnsi="Cambria" w:cs="Calibri"/>
          <w:b/>
          <w:i/>
          <w:sz w:val="20"/>
          <w:szCs w:val="20"/>
          <w:lang w:val="en"/>
        </w:rPr>
        <w:t xml:space="preserve">One-Sample t-Test Abnormal Return for </w:t>
      </w:r>
      <w:r w:rsidRPr="00B961F7">
        <w:rPr>
          <w:rFonts w:ascii="Cambria" w:eastAsia="Calibri" w:hAnsi="Cambria" w:cs="Calibri"/>
          <w:b/>
          <w:sz w:val="20"/>
          <w:szCs w:val="20"/>
          <w:lang w:val="en"/>
        </w:rPr>
        <w:t>FY 2015 - 2019</w:t>
      </w:r>
    </w:p>
    <w:tbl>
      <w:tblPr>
        <w:tblStyle w:val="TableGrid1"/>
        <w:tblW w:w="8995" w:type="dxa"/>
        <w:tblLayout w:type="fixed"/>
        <w:tblLook w:val="04A0" w:firstRow="1" w:lastRow="0" w:firstColumn="1" w:lastColumn="0" w:noHBand="0" w:noVBand="1"/>
      </w:tblPr>
      <w:tblGrid>
        <w:gridCol w:w="439"/>
        <w:gridCol w:w="906"/>
        <w:gridCol w:w="810"/>
        <w:gridCol w:w="900"/>
        <w:gridCol w:w="810"/>
        <w:gridCol w:w="900"/>
        <w:gridCol w:w="810"/>
        <w:gridCol w:w="900"/>
        <w:gridCol w:w="802"/>
        <w:gridCol w:w="908"/>
        <w:gridCol w:w="810"/>
      </w:tblGrid>
      <w:tr w:rsidR="00B961F7" w:rsidRPr="00B961F7" w14:paraId="095D1169" w14:textId="77777777" w:rsidTr="004D1711">
        <w:tc>
          <w:tcPr>
            <w:tcW w:w="439" w:type="dxa"/>
            <w:vMerge w:val="restart"/>
          </w:tcPr>
          <w:p w14:paraId="3E3DF861" w14:textId="77777777" w:rsidR="00B961F7" w:rsidRPr="00B961F7" w:rsidRDefault="00B961F7" w:rsidP="00B961F7">
            <w:pPr>
              <w:rPr>
                <w:rFonts w:ascii="Cambria" w:eastAsia="Calibri" w:hAnsi="Cambria" w:cs="Calibri"/>
                <w:sz w:val="20"/>
                <w:szCs w:val="20"/>
              </w:rPr>
            </w:pPr>
          </w:p>
        </w:tc>
        <w:tc>
          <w:tcPr>
            <w:tcW w:w="1716" w:type="dxa"/>
            <w:gridSpan w:val="2"/>
          </w:tcPr>
          <w:p w14:paraId="6A6E6725"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APBN 2015</w:t>
            </w:r>
          </w:p>
        </w:tc>
        <w:tc>
          <w:tcPr>
            <w:tcW w:w="1710" w:type="dxa"/>
            <w:gridSpan w:val="2"/>
          </w:tcPr>
          <w:p w14:paraId="2877E257"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APBN 2016</w:t>
            </w:r>
          </w:p>
        </w:tc>
        <w:tc>
          <w:tcPr>
            <w:tcW w:w="1710" w:type="dxa"/>
            <w:gridSpan w:val="2"/>
          </w:tcPr>
          <w:p w14:paraId="1A32ECAA"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APBN 2017</w:t>
            </w:r>
          </w:p>
        </w:tc>
        <w:tc>
          <w:tcPr>
            <w:tcW w:w="1702" w:type="dxa"/>
            <w:gridSpan w:val="2"/>
          </w:tcPr>
          <w:p w14:paraId="2EADED0E"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APBN 2018</w:t>
            </w:r>
          </w:p>
        </w:tc>
        <w:tc>
          <w:tcPr>
            <w:tcW w:w="1718" w:type="dxa"/>
            <w:gridSpan w:val="2"/>
          </w:tcPr>
          <w:p w14:paraId="616C0DDF"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APBN 2019</w:t>
            </w:r>
          </w:p>
        </w:tc>
      </w:tr>
      <w:tr w:rsidR="00B961F7" w:rsidRPr="00B961F7" w14:paraId="2943A9C8" w14:textId="77777777" w:rsidTr="004D1711">
        <w:tc>
          <w:tcPr>
            <w:tcW w:w="439" w:type="dxa"/>
            <w:vMerge/>
          </w:tcPr>
          <w:p w14:paraId="5271A41D" w14:textId="77777777" w:rsidR="00B961F7" w:rsidRPr="00B961F7" w:rsidRDefault="00B961F7" w:rsidP="00B961F7">
            <w:pPr>
              <w:rPr>
                <w:rFonts w:ascii="Cambria" w:eastAsia="Calibri" w:hAnsi="Cambria" w:cs="Calibri"/>
                <w:sz w:val="20"/>
                <w:szCs w:val="20"/>
              </w:rPr>
            </w:pPr>
          </w:p>
        </w:tc>
        <w:tc>
          <w:tcPr>
            <w:tcW w:w="906" w:type="dxa"/>
            <w:tcBorders>
              <w:bottom w:val="single" w:sz="4" w:space="0" w:color="auto"/>
            </w:tcBorders>
          </w:tcPr>
          <w:p w14:paraId="6CB1C480"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t</w:t>
            </w:r>
          </w:p>
        </w:tc>
        <w:tc>
          <w:tcPr>
            <w:tcW w:w="810" w:type="dxa"/>
            <w:tcBorders>
              <w:bottom w:val="single" w:sz="4" w:space="0" w:color="auto"/>
            </w:tcBorders>
          </w:tcPr>
          <w:p w14:paraId="7ACC45C7"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Sig.</w:t>
            </w:r>
          </w:p>
        </w:tc>
        <w:tc>
          <w:tcPr>
            <w:tcW w:w="900" w:type="dxa"/>
            <w:tcBorders>
              <w:bottom w:val="single" w:sz="4" w:space="0" w:color="auto"/>
            </w:tcBorders>
          </w:tcPr>
          <w:p w14:paraId="099DD710"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t</w:t>
            </w:r>
          </w:p>
        </w:tc>
        <w:tc>
          <w:tcPr>
            <w:tcW w:w="810" w:type="dxa"/>
            <w:tcBorders>
              <w:bottom w:val="single" w:sz="4" w:space="0" w:color="auto"/>
            </w:tcBorders>
          </w:tcPr>
          <w:p w14:paraId="0750265B"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Sig.</w:t>
            </w:r>
          </w:p>
        </w:tc>
        <w:tc>
          <w:tcPr>
            <w:tcW w:w="900" w:type="dxa"/>
            <w:tcBorders>
              <w:bottom w:val="single" w:sz="4" w:space="0" w:color="auto"/>
            </w:tcBorders>
          </w:tcPr>
          <w:p w14:paraId="28DC249C"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t</w:t>
            </w:r>
          </w:p>
        </w:tc>
        <w:tc>
          <w:tcPr>
            <w:tcW w:w="810" w:type="dxa"/>
            <w:tcBorders>
              <w:bottom w:val="single" w:sz="4" w:space="0" w:color="auto"/>
            </w:tcBorders>
          </w:tcPr>
          <w:p w14:paraId="20754D50"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Sig.</w:t>
            </w:r>
          </w:p>
        </w:tc>
        <w:tc>
          <w:tcPr>
            <w:tcW w:w="900" w:type="dxa"/>
            <w:tcBorders>
              <w:bottom w:val="single" w:sz="4" w:space="0" w:color="auto"/>
            </w:tcBorders>
          </w:tcPr>
          <w:p w14:paraId="4F23CB55"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t</w:t>
            </w:r>
          </w:p>
        </w:tc>
        <w:tc>
          <w:tcPr>
            <w:tcW w:w="802" w:type="dxa"/>
            <w:tcBorders>
              <w:bottom w:val="single" w:sz="4" w:space="0" w:color="auto"/>
            </w:tcBorders>
          </w:tcPr>
          <w:p w14:paraId="2B3C4A7B"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Sig.</w:t>
            </w:r>
          </w:p>
        </w:tc>
        <w:tc>
          <w:tcPr>
            <w:tcW w:w="908" w:type="dxa"/>
            <w:tcBorders>
              <w:bottom w:val="single" w:sz="4" w:space="0" w:color="auto"/>
            </w:tcBorders>
          </w:tcPr>
          <w:p w14:paraId="430218EA"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t</w:t>
            </w:r>
          </w:p>
        </w:tc>
        <w:tc>
          <w:tcPr>
            <w:tcW w:w="810" w:type="dxa"/>
            <w:tcBorders>
              <w:bottom w:val="single" w:sz="4" w:space="0" w:color="auto"/>
            </w:tcBorders>
          </w:tcPr>
          <w:p w14:paraId="4282A6BE" w14:textId="77777777" w:rsidR="00B961F7" w:rsidRPr="00B961F7" w:rsidRDefault="00B961F7" w:rsidP="00B961F7">
            <w:pPr>
              <w:rPr>
                <w:rFonts w:ascii="Cambria" w:eastAsia="Calibri" w:hAnsi="Cambria" w:cs="Calibri"/>
                <w:b/>
                <w:sz w:val="20"/>
                <w:szCs w:val="20"/>
              </w:rPr>
            </w:pPr>
            <w:r w:rsidRPr="00B961F7">
              <w:rPr>
                <w:rFonts w:ascii="Cambria" w:eastAsia="Calibri" w:hAnsi="Cambria" w:cs="Calibri"/>
                <w:b/>
                <w:sz w:val="20"/>
                <w:szCs w:val="20"/>
              </w:rPr>
              <w:t>Sig.</w:t>
            </w:r>
          </w:p>
        </w:tc>
      </w:tr>
      <w:tr w:rsidR="00B961F7" w:rsidRPr="00B961F7" w14:paraId="60D1463A" w14:textId="77777777" w:rsidTr="00B961F7">
        <w:tc>
          <w:tcPr>
            <w:tcW w:w="439" w:type="dxa"/>
            <w:tcBorders>
              <w:bottom w:val="single" w:sz="4" w:space="0" w:color="auto"/>
              <w:right w:val="single" w:sz="4" w:space="0" w:color="auto"/>
            </w:tcBorders>
            <w:vAlign w:val="center"/>
          </w:tcPr>
          <w:p w14:paraId="23D5209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-5</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24F3C6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0,597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4CC500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0,559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D27AB0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1,449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5D9479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0,167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B9D5FF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0,236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F76C82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0,817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AE9D9C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-0,335</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7853D3E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0,742</w:t>
            </w:r>
          </w:p>
        </w:tc>
        <w:tc>
          <w:tcPr>
            <w:tcW w:w="908" w:type="dxa"/>
            <w:tcBorders>
              <w:top w:val="single" w:sz="4" w:space="0" w:color="auto"/>
              <w:left w:val="single" w:sz="4" w:space="0" w:color="auto"/>
              <w:bottom w:val="single" w:sz="4" w:space="0" w:color="auto"/>
              <w:right w:val="single" w:sz="4" w:space="0" w:color="auto"/>
            </w:tcBorders>
            <w:shd w:val="clear" w:color="auto" w:fill="DAEEF3"/>
            <w:vAlign w:val="center"/>
          </w:tcPr>
          <w:p w14:paraId="42F4F21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-3,616</w:t>
            </w:r>
          </w:p>
        </w:tc>
        <w:tc>
          <w:tcPr>
            <w:tcW w:w="810" w:type="dxa"/>
            <w:tcBorders>
              <w:top w:val="single" w:sz="4" w:space="0" w:color="auto"/>
              <w:left w:val="single" w:sz="4" w:space="0" w:color="auto"/>
              <w:bottom w:val="single" w:sz="4" w:space="0" w:color="auto"/>
            </w:tcBorders>
            <w:shd w:val="clear" w:color="auto" w:fill="DAEEF3"/>
            <w:vAlign w:val="center"/>
          </w:tcPr>
          <w:p w14:paraId="49F8974D"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0,002</w:t>
            </w:r>
          </w:p>
        </w:tc>
      </w:tr>
      <w:tr w:rsidR="00B961F7" w:rsidRPr="00B961F7" w14:paraId="100788E1" w14:textId="77777777" w:rsidTr="004D1711">
        <w:tc>
          <w:tcPr>
            <w:tcW w:w="439" w:type="dxa"/>
            <w:tcBorders>
              <w:bottom w:val="single" w:sz="4" w:space="0" w:color="auto"/>
              <w:right w:val="single" w:sz="4" w:space="0" w:color="auto"/>
            </w:tcBorders>
            <w:vAlign w:val="center"/>
          </w:tcPr>
          <w:p w14:paraId="5780166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-4</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67E9615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0,834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F48F9B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0,416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DA1900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0,243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A1FBB7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0,811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E67399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-1,514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91937A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0,149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77843A0"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-1,872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BC7420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0,080</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63D6F9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1,721</w:t>
            </w:r>
          </w:p>
        </w:tc>
        <w:tc>
          <w:tcPr>
            <w:tcW w:w="810" w:type="dxa"/>
            <w:tcBorders>
              <w:top w:val="single" w:sz="4" w:space="0" w:color="auto"/>
              <w:left w:val="single" w:sz="4" w:space="0" w:color="auto"/>
              <w:bottom w:val="single" w:sz="4" w:space="0" w:color="auto"/>
            </w:tcBorders>
            <w:shd w:val="clear" w:color="auto" w:fill="FFFFFF"/>
            <w:vAlign w:val="center"/>
          </w:tcPr>
          <w:p w14:paraId="5DEE0A2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0,105</w:t>
            </w:r>
          </w:p>
        </w:tc>
      </w:tr>
      <w:tr w:rsidR="00B961F7" w:rsidRPr="00B961F7" w14:paraId="2DB0577A" w14:textId="77777777" w:rsidTr="004D1711">
        <w:tc>
          <w:tcPr>
            <w:tcW w:w="439" w:type="dxa"/>
            <w:tcBorders>
              <w:bottom w:val="single" w:sz="4" w:space="0" w:color="auto"/>
              <w:right w:val="single" w:sz="4" w:space="0" w:color="auto"/>
            </w:tcBorders>
            <w:vAlign w:val="center"/>
          </w:tcPr>
          <w:p w14:paraId="0C1AE10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-3</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7E369ED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-0,504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07919F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0,621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0E4F910"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-0,951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B338B5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0,356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376639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-0,833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FD7C53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0,417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3B69B2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-0,456</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0F6A6FB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0,655</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014CD62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-0,839</w:t>
            </w:r>
          </w:p>
        </w:tc>
        <w:tc>
          <w:tcPr>
            <w:tcW w:w="810" w:type="dxa"/>
            <w:tcBorders>
              <w:top w:val="single" w:sz="4" w:space="0" w:color="auto"/>
              <w:left w:val="single" w:sz="4" w:space="0" w:color="auto"/>
              <w:bottom w:val="single" w:sz="4" w:space="0" w:color="auto"/>
            </w:tcBorders>
            <w:shd w:val="clear" w:color="auto" w:fill="FFFFFF"/>
            <w:vAlign w:val="center"/>
          </w:tcPr>
          <w:p w14:paraId="7BC0C77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0,414</w:t>
            </w:r>
          </w:p>
        </w:tc>
      </w:tr>
      <w:tr w:rsidR="00B961F7" w:rsidRPr="00B961F7" w14:paraId="5160A2CE" w14:textId="77777777" w:rsidTr="00B961F7">
        <w:tc>
          <w:tcPr>
            <w:tcW w:w="439" w:type="dxa"/>
            <w:tcBorders>
              <w:bottom w:val="single" w:sz="4" w:space="0" w:color="auto"/>
              <w:right w:val="single" w:sz="4" w:space="0" w:color="auto"/>
            </w:tcBorders>
            <w:vAlign w:val="center"/>
          </w:tcPr>
          <w:p w14:paraId="6118BA7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lastRenderedPageBreak/>
              <w:t>t</w:t>
            </w:r>
            <w:r w:rsidRPr="00B961F7">
              <w:rPr>
                <w:rFonts w:ascii="Cambria" w:eastAsia="Calibri" w:hAnsi="Cambria" w:cs="Calibri"/>
                <w:sz w:val="20"/>
                <w:szCs w:val="20"/>
                <w:vertAlign w:val="subscript"/>
              </w:rPr>
              <w:t>-2</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0CB6243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1,022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2987300"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0,322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D80AE1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-1,253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CA3F2E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0,228</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38A9C76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2,447</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6453ABA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0,026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8EC514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-0,122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1CF7BC9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0,904</w:t>
            </w:r>
          </w:p>
        </w:tc>
        <w:tc>
          <w:tcPr>
            <w:tcW w:w="908" w:type="dxa"/>
            <w:tcBorders>
              <w:top w:val="single" w:sz="4" w:space="0" w:color="auto"/>
              <w:left w:val="single" w:sz="4" w:space="0" w:color="auto"/>
              <w:bottom w:val="single" w:sz="4" w:space="0" w:color="auto"/>
              <w:right w:val="single" w:sz="4" w:space="0" w:color="auto"/>
            </w:tcBorders>
            <w:shd w:val="clear" w:color="auto" w:fill="DAEEF3"/>
            <w:vAlign w:val="center"/>
          </w:tcPr>
          <w:p w14:paraId="670A703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-2,645</w:t>
            </w:r>
          </w:p>
        </w:tc>
        <w:tc>
          <w:tcPr>
            <w:tcW w:w="810" w:type="dxa"/>
            <w:tcBorders>
              <w:top w:val="single" w:sz="4" w:space="0" w:color="auto"/>
              <w:left w:val="single" w:sz="4" w:space="0" w:color="auto"/>
              <w:bottom w:val="single" w:sz="4" w:space="0" w:color="auto"/>
            </w:tcBorders>
            <w:shd w:val="clear" w:color="auto" w:fill="DAEEF3"/>
            <w:vAlign w:val="center"/>
          </w:tcPr>
          <w:p w14:paraId="1680419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0,018</w:t>
            </w:r>
          </w:p>
        </w:tc>
      </w:tr>
      <w:tr w:rsidR="00B961F7" w:rsidRPr="00B961F7" w14:paraId="055EF1D9" w14:textId="77777777" w:rsidTr="00B961F7">
        <w:tc>
          <w:tcPr>
            <w:tcW w:w="439" w:type="dxa"/>
            <w:tcBorders>
              <w:bottom w:val="single" w:sz="4" w:space="0" w:color="auto"/>
              <w:right w:val="single" w:sz="4" w:space="0" w:color="auto"/>
            </w:tcBorders>
            <w:vAlign w:val="center"/>
          </w:tcPr>
          <w:p w14:paraId="0352A31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-1</w:t>
            </w:r>
          </w:p>
        </w:tc>
        <w:tc>
          <w:tcPr>
            <w:tcW w:w="906" w:type="dxa"/>
            <w:tcBorders>
              <w:top w:val="single" w:sz="4" w:space="0" w:color="auto"/>
              <w:left w:val="single" w:sz="4" w:space="0" w:color="auto"/>
              <w:bottom w:val="single" w:sz="4" w:space="0" w:color="auto"/>
              <w:right w:val="single" w:sz="4" w:space="0" w:color="auto"/>
            </w:tcBorders>
            <w:shd w:val="clear" w:color="auto" w:fill="DAEEF3"/>
            <w:vAlign w:val="center"/>
          </w:tcPr>
          <w:p w14:paraId="14474C3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-2,196</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0E4305C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0,043</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3C40F46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-3,266</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22EC5F0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0,005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107041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0,475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5357B3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0,641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FC4CD0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-0,111</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4BFACD3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0,913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FA006A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1,327</w:t>
            </w:r>
          </w:p>
        </w:tc>
        <w:tc>
          <w:tcPr>
            <w:tcW w:w="810" w:type="dxa"/>
            <w:tcBorders>
              <w:top w:val="single" w:sz="4" w:space="0" w:color="auto"/>
              <w:left w:val="single" w:sz="4" w:space="0" w:color="auto"/>
              <w:bottom w:val="single" w:sz="4" w:space="0" w:color="auto"/>
            </w:tcBorders>
            <w:shd w:val="clear" w:color="auto" w:fill="FFFFFF"/>
            <w:vAlign w:val="center"/>
          </w:tcPr>
          <w:p w14:paraId="692D2E8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0,203</w:t>
            </w:r>
          </w:p>
        </w:tc>
      </w:tr>
      <w:tr w:rsidR="00B961F7" w:rsidRPr="00B961F7" w14:paraId="31A2F01A" w14:textId="77777777" w:rsidTr="00B961F7">
        <w:tc>
          <w:tcPr>
            <w:tcW w:w="439" w:type="dxa"/>
            <w:tcBorders>
              <w:bottom w:val="single" w:sz="4" w:space="0" w:color="auto"/>
              <w:right w:val="single" w:sz="4" w:space="0" w:color="auto"/>
            </w:tcBorders>
            <w:vAlign w:val="center"/>
          </w:tcPr>
          <w:p w14:paraId="2670CE8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0</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50AFC97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0,753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2D0AB7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0,462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A4E571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-1,537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A6FA79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0,144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87CDFA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1,063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99C484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0,303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B8CCFD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1,764</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140F1A7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0,097</w:t>
            </w:r>
          </w:p>
        </w:tc>
        <w:tc>
          <w:tcPr>
            <w:tcW w:w="908" w:type="dxa"/>
            <w:tcBorders>
              <w:top w:val="single" w:sz="4" w:space="0" w:color="auto"/>
              <w:left w:val="single" w:sz="4" w:space="0" w:color="auto"/>
              <w:bottom w:val="single" w:sz="4" w:space="0" w:color="auto"/>
              <w:right w:val="single" w:sz="4" w:space="0" w:color="auto"/>
            </w:tcBorders>
            <w:shd w:val="clear" w:color="auto" w:fill="DAEEF3"/>
            <w:vAlign w:val="center"/>
          </w:tcPr>
          <w:p w14:paraId="2278191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2,261</w:t>
            </w:r>
          </w:p>
        </w:tc>
        <w:tc>
          <w:tcPr>
            <w:tcW w:w="810" w:type="dxa"/>
            <w:tcBorders>
              <w:top w:val="single" w:sz="4" w:space="0" w:color="auto"/>
              <w:left w:val="single" w:sz="4" w:space="0" w:color="auto"/>
              <w:bottom w:val="single" w:sz="4" w:space="0" w:color="auto"/>
            </w:tcBorders>
            <w:shd w:val="clear" w:color="auto" w:fill="DAEEF3"/>
            <w:vAlign w:val="center"/>
          </w:tcPr>
          <w:p w14:paraId="7467152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0,038</w:t>
            </w:r>
          </w:p>
        </w:tc>
      </w:tr>
      <w:tr w:rsidR="00B961F7" w:rsidRPr="00B961F7" w14:paraId="711513C8" w14:textId="77777777" w:rsidTr="004D1711">
        <w:tc>
          <w:tcPr>
            <w:tcW w:w="439" w:type="dxa"/>
            <w:tcBorders>
              <w:bottom w:val="single" w:sz="4" w:space="0" w:color="auto"/>
              <w:right w:val="single" w:sz="4" w:space="0" w:color="auto"/>
            </w:tcBorders>
            <w:vAlign w:val="center"/>
          </w:tcPr>
          <w:p w14:paraId="52E1F02F"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0C813A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0,376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6A648E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0,712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46B27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1,150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3920B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0,267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5A93A7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0,996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834B83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0,334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98C707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-1,696</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5BC39EE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0,109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7AB4190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-0,248</w:t>
            </w:r>
          </w:p>
        </w:tc>
        <w:tc>
          <w:tcPr>
            <w:tcW w:w="810" w:type="dxa"/>
            <w:tcBorders>
              <w:top w:val="single" w:sz="4" w:space="0" w:color="auto"/>
              <w:left w:val="single" w:sz="4" w:space="0" w:color="auto"/>
              <w:bottom w:val="single" w:sz="4" w:space="0" w:color="auto"/>
            </w:tcBorders>
            <w:shd w:val="clear" w:color="auto" w:fill="FFFFFF"/>
            <w:vAlign w:val="center"/>
          </w:tcPr>
          <w:p w14:paraId="6A30E6D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0,807</w:t>
            </w:r>
          </w:p>
        </w:tc>
      </w:tr>
      <w:tr w:rsidR="00B961F7" w:rsidRPr="00B961F7" w14:paraId="413486BE" w14:textId="77777777" w:rsidTr="004D1711">
        <w:tc>
          <w:tcPr>
            <w:tcW w:w="439" w:type="dxa"/>
            <w:tcBorders>
              <w:bottom w:val="single" w:sz="4" w:space="0" w:color="auto"/>
              <w:right w:val="single" w:sz="4" w:space="0" w:color="auto"/>
            </w:tcBorders>
            <w:vAlign w:val="center"/>
          </w:tcPr>
          <w:p w14:paraId="50A4D0A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+2</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5DE546D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0,457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FDBC4C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0,654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D19E1B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1,602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4F5CD6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0,129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4D5B5A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-0,295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5A7456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0,772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D1D4F0F"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-1,329</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686EF4D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0,203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03B31E9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0,252</w:t>
            </w:r>
          </w:p>
        </w:tc>
        <w:tc>
          <w:tcPr>
            <w:tcW w:w="810" w:type="dxa"/>
            <w:tcBorders>
              <w:top w:val="single" w:sz="4" w:space="0" w:color="auto"/>
              <w:left w:val="single" w:sz="4" w:space="0" w:color="auto"/>
              <w:bottom w:val="single" w:sz="4" w:space="0" w:color="auto"/>
            </w:tcBorders>
            <w:shd w:val="clear" w:color="auto" w:fill="FFFFFF"/>
            <w:vAlign w:val="center"/>
          </w:tcPr>
          <w:p w14:paraId="09A95BD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0,804</w:t>
            </w:r>
          </w:p>
        </w:tc>
      </w:tr>
      <w:tr w:rsidR="00B961F7" w:rsidRPr="00B961F7" w14:paraId="741606AE" w14:textId="77777777" w:rsidTr="00B961F7">
        <w:tc>
          <w:tcPr>
            <w:tcW w:w="439" w:type="dxa"/>
            <w:tcBorders>
              <w:bottom w:val="single" w:sz="4" w:space="0" w:color="auto"/>
              <w:right w:val="single" w:sz="4" w:space="0" w:color="auto"/>
            </w:tcBorders>
            <w:vAlign w:val="center"/>
          </w:tcPr>
          <w:p w14:paraId="1721FFB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+3</w:t>
            </w:r>
          </w:p>
        </w:tc>
        <w:tc>
          <w:tcPr>
            <w:tcW w:w="906" w:type="dxa"/>
            <w:tcBorders>
              <w:top w:val="single" w:sz="4" w:space="0" w:color="auto"/>
              <w:left w:val="single" w:sz="4" w:space="0" w:color="auto"/>
              <w:bottom w:val="single" w:sz="4" w:space="0" w:color="auto"/>
              <w:right w:val="single" w:sz="4" w:space="0" w:color="auto"/>
            </w:tcBorders>
            <w:shd w:val="clear" w:color="auto" w:fill="DAEEF3"/>
            <w:vAlign w:val="center"/>
          </w:tcPr>
          <w:p w14:paraId="0E5CD1E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-3,170</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19ED2F09"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0,006</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3B3234E0"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2,856</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10234F9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0,011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5B1220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0,855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726B8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0,405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B9350B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1,232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4D8B5072"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0,236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7499FD74"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-0,738</w:t>
            </w:r>
          </w:p>
        </w:tc>
        <w:tc>
          <w:tcPr>
            <w:tcW w:w="810" w:type="dxa"/>
            <w:tcBorders>
              <w:top w:val="single" w:sz="4" w:space="0" w:color="auto"/>
              <w:left w:val="single" w:sz="4" w:space="0" w:color="auto"/>
              <w:bottom w:val="single" w:sz="4" w:space="0" w:color="auto"/>
            </w:tcBorders>
            <w:shd w:val="clear" w:color="auto" w:fill="FFFFFF"/>
            <w:vAlign w:val="center"/>
          </w:tcPr>
          <w:p w14:paraId="529D356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0,471</w:t>
            </w:r>
          </w:p>
        </w:tc>
      </w:tr>
      <w:tr w:rsidR="00B961F7" w:rsidRPr="00B961F7" w14:paraId="1BF2B299" w14:textId="77777777" w:rsidTr="004D1711">
        <w:tc>
          <w:tcPr>
            <w:tcW w:w="439" w:type="dxa"/>
            <w:tcBorders>
              <w:bottom w:val="single" w:sz="4" w:space="0" w:color="auto"/>
              <w:right w:val="single" w:sz="4" w:space="0" w:color="auto"/>
            </w:tcBorders>
            <w:vAlign w:val="center"/>
          </w:tcPr>
          <w:p w14:paraId="0C0B3AC0"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+4</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25D97CD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-0,294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3971A9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0,773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6E3446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-1,940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7C41CC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0,070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91C83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0,979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8BA43AA"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0,342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CC2A341"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0,907</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1FDCDE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0,378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70D1EAB7"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0,917</w:t>
            </w:r>
          </w:p>
        </w:tc>
        <w:tc>
          <w:tcPr>
            <w:tcW w:w="810" w:type="dxa"/>
            <w:tcBorders>
              <w:top w:val="single" w:sz="4" w:space="0" w:color="auto"/>
              <w:left w:val="single" w:sz="4" w:space="0" w:color="auto"/>
              <w:bottom w:val="single" w:sz="4" w:space="0" w:color="auto"/>
            </w:tcBorders>
            <w:shd w:val="clear" w:color="auto" w:fill="FFFFFF"/>
            <w:vAlign w:val="center"/>
          </w:tcPr>
          <w:p w14:paraId="402664B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0,373</w:t>
            </w:r>
          </w:p>
        </w:tc>
      </w:tr>
      <w:tr w:rsidR="00B961F7" w:rsidRPr="00B961F7" w14:paraId="7ABB7843" w14:textId="77777777" w:rsidTr="00B961F7">
        <w:tc>
          <w:tcPr>
            <w:tcW w:w="439" w:type="dxa"/>
            <w:tcBorders>
              <w:bottom w:val="single" w:sz="4" w:space="0" w:color="auto"/>
              <w:right w:val="single" w:sz="4" w:space="0" w:color="auto"/>
            </w:tcBorders>
            <w:vAlign w:val="center"/>
          </w:tcPr>
          <w:p w14:paraId="48BA638F"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t</w:t>
            </w:r>
            <w:r w:rsidRPr="00B961F7">
              <w:rPr>
                <w:rFonts w:ascii="Cambria" w:eastAsia="Calibri" w:hAnsi="Cambria" w:cs="Calibri"/>
                <w:sz w:val="20"/>
                <w:szCs w:val="20"/>
                <w:vertAlign w:val="subscript"/>
              </w:rPr>
              <w:t>+5</w:t>
            </w:r>
          </w:p>
        </w:tc>
        <w:tc>
          <w:tcPr>
            <w:tcW w:w="906" w:type="dxa"/>
            <w:tcBorders>
              <w:top w:val="single" w:sz="4" w:space="0" w:color="auto"/>
              <w:left w:val="single" w:sz="4" w:space="0" w:color="auto"/>
              <w:bottom w:val="single" w:sz="4" w:space="0" w:color="auto"/>
              <w:right w:val="single" w:sz="4" w:space="0" w:color="auto"/>
            </w:tcBorders>
            <w:shd w:val="clear" w:color="auto" w:fill="DAEEF3"/>
            <w:vAlign w:val="center"/>
          </w:tcPr>
          <w:p w14:paraId="318A45D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2,868</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20A5D0E6"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0,011</w:t>
            </w:r>
          </w:p>
        </w:tc>
        <w:tc>
          <w:tcPr>
            <w:tcW w:w="900" w:type="dxa"/>
            <w:tcBorders>
              <w:top w:val="single" w:sz="4" w:space="0" w:color="auto"/>
              <w:left w:val="single" w:sz="4" w:space="0" w:color="auto"/>
              <w:bottom w:val="single" w:sz="4" w:space="0" w:color="auto"/>
              <w:right w:val="single" w:sz="4" w:space="0" w:color="auto"/>
            </w:tcBorders>
            <w:shd w:val="clear" w:color="auto" w:fill="DAEEF3"/>
            <w:vAlign w:val="center"/>
          </w:tcPr>
          <w:p w14:paraId="144BDD33"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-2,498</w:t>
            </w:r>
          </w:p>
        </w:tc>
        <w:tc>
          <w:tcPr>
            <w:tcW w:w="810" w:type="dxa"/>
            <w:tcBorders>
              <w:top w:val="single" w:sz="4" w:space="0" w:color="auto"/>
              <w:left w:val="single" w:sz="4" w:space="0" w:color="auto"/>
              <w:bottom w:val="single" w:sz="4" w:space="0" w:color="auto"/>
              <w:right w:val="single" w:sz="4" w:space="0" w:color="auto"/>
            </w:tcBorders>
            <w:shd w:val="clear" w:color="auto" w:fill="DAEEF3"/>
            <w:vAlign w:val="center"/>
          </w:tcPr>
          <w:p w14:paraId="3D71B89B"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0,024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EC3EC4C"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0,385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D4CFF38"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0,705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DE7D87E"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0,671</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626928BF"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0,512</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774D1275"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-0,586</w:t>
            </w:r>
          </w:p>
        </w:tc>
        <w:tc>
          <w:tcPr>
            <w:tcW w:w="810" w:type="dxa"/>
            <w:tcBorders>
              <w:top w:val="single" w:sz="4" w:space="0" w:color="auto"/>
              <w:left w:val="single" w:sz="4" w:space="0" w:color="auto"/>
              <w:bottom w:val="single" w:sz="4" w:space="0" w:color="auto"/>
            </w:tcBorders>
            <w:shd w:val="clear" w:color="auto" w:fill="FFFFFF"/>
            <w:vAlign w:val="center"/>
          </w:tcPr>
          <w:p w14:paraId="62CA01FF" w14:textId="77777777" w:rsidR="00B961F7" w:rsidRPr="00B961F7" w:rsidRDefault="00B961F7" w:rsidP="00B961F7">
            <w:pPr>
              <w:rPr>
                <w:rFonts w:ascii="Cambria" w:eastAsia="Calibri" w:hAnsi="Cambria" w:cs="Calibri"/>
                <w:sz w:val="20"/>
                <w:szCs w:val="20"/>
              </w:rPr>
            </w:pPr>
            <w:r w:rsidRPr="00B961F7">
              <w:rPr>
                <w:rFonts w:ascii="Cambria" w:eastAsia="Calibri" w:hAnsi="Cambria" w:cs="Calibri"/>
                <w:sz w:val="20"/>
                <w:szCs w:val="20"/>
              </w:rPr>
              <w:t>0,566</w:t>
            </w:r>
          </w:p>
        </w:tc>
      </w:tr>
    </w:tbl>
    <w:p w14:paraId="0501A060"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author processed</w:t>
      </w:r>
    </w:p>
    <w:p w14:paraId="2A722412" w14:textId="77777777" w:rsidR="00B961F7" w:rsidRPr="00B961F7" w:rsidRDefault="00B961F7" w:rsidP="00B961F7">
      <w:pPr>
        <w:numPr>
          <w:ilvl w:val="2"/>
          <w:numId w:val="2"/>
        </w:numPr>
        <w:pBdr>
          <w:top w:val="nil"/>
          <w:left w:val="nil"/>
          <w:bottom w:val="nil"/>
          <w:right w:val="nil"/>
          <w:between w:val="nil"/>
        </w:pBdr>
        <w:spacing w:after="0" w:line="240" w:lineRule="auto"/>
        <w:ind w:left="540" w:hanging="540"/>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hypothesis Testing II</w:t>
      </w:r>
    </w:p>
    <w:p w14:paraId="77DE8BEB"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proofErr w:type="gramStart"/>
      <w:r w:rsidRPr="00B961F7">
        <w:rPr>
          <w:rFonts w:ascii="Cambria" w:eastAsia="Calibri" w:hAnsi="Cambria" w:cs="Calibri"/>
          <w:sz w:val="20"/>
          <w:szCs w:val="20"/>
          <w:lang w:val="en"/>
        </w:rPr>
        <w:t>the</w:t>
      </w:r>
      <w:proofErr w:type="gramEnd"/>
      <w:r w:rsidRPr="00B961F7">
        <w:rPr>
          <w:rFonts w:ascii="Cambria" w:eastAsia="Calibri" w:hAnsi="Cambria" w:cs="Calibri"/>
          <w:sz w:val="20"/>
          <w:szCs w:val="20"/>
          <w:lang w:val="en"/>
        </w:rPr>
        <w:t xml:space="preserve"> second hypothesis of this study is that there is an average difference </w:t>
      </w:r>
      <w:r w:rsidRPr="00B961F7">
        <w:rPr>
          <w:rFonts w:ascii="Cambria" w:eastAsia="Calibri" w:hAnsi="Cambria" w:cs="Calibri"/>
          <w:i/>
          <w:sz w:val="20"/>
          <w:szCs w:val="20"/>
          <w:lang w:val="en"/>
        </w:rPr>
        <w:t>in abnormal returns</w:t>
      </w:r>
      <w:r w:rsidRPr="00B961F7">
        <w:rPr>
          <w:rFonts w:ascii="Cambria" w:eastAsia="Calibri" w:hAnsi="Cambria" w:cs="Calibri"/>
          <w:sz w:val="20"/>
          <w:szCs w:val="20"/>
          <w:lang w:val="en"/>
        </w:rPr>
        <w:t xml:space="preserve"> of significant before and after the events attestation State Budget (STATE BUDGET). Testing of this hypothesis is done by looking for the </w:t>
      </w:r>
      <w:r w:rsidRPr="00B961F7">
        <w:rPr>
          <w:rFonts w:ascii="Cambria" w:eastAsia="Calibri" w:hAnsi="Cambria" w:cs="Calibri"/>
          <w:i/>
          <w:sz w:val="20"/>
          <w:szCs w:val="20"/>
          <w:lang w:val="en"/>
        </w:rPr>
        <w:t>average abnormal return</w:t>
      </w:r>
      <w:r w:rsidRPr="00B961F7">
        <w:rPr>
          <w:rFonts w:ascii="Cambria" w:eastAsia="Calibri" w:hAnsi="Cambria" w:cs="Calibri"/>
          <w:sz w:val="20"/>
          <w:szCs w:val="20"/>
          <w:lang w:val="en"/>
        </w:rPr>
        <w:t xml:space="preserve"> (AAR) of all stock samples for 5 days before and 5 days after the budget approval event. The </w:t>
      </w:r>
      <w:r w:rsidRPr="00B961F7">
        <w:rPr>
          <w:rFonts w:ascii="Cambria" w:eastAsia="Calibri" w:hAnsi="Cambria" w:cs="Calibri"/>
          <w:i/>
          <w:sz w:val="20"/>
          <w:szCs w:val="20"/>
          <w:lang w:val="en"/>
        </w:rPr>
        <w:t>average abnormal return</w:t>
      </w:r>
      <w:r w:rsidRPr="00B961F7">
        <w:rPr>
          <w:rFonts w:ascii="Cambria" w:eastAsia="Calibri" w:hAnsi="Cambria" w:cs="Calibri"/>
          <w:sz w:val="20"/>
          <w:szCs w:val="20"/>
          <w:lang w:val="en"/>
        </w:rPr>
        <w:t xml:space="preserve"> (AAR) value between before and after the event is then analyzed using the </w:t>
      </w:r>
      <w:r w:rsidRPr="00B961F7">
        <w:rPr>
          <w:rFonts w:ascii="Cambria" w:eastAsia="Calibri" w:hAnsi="Cambria" w:cs="Calibri"/>
          <w:i/>
          <w:sz w:val="20"/>
          <w:szCs w:val="20"/>
          <w:lang w:val="en"/>
        </w:rPr>
        <w:t xml:space="preserve">paired-sample t-test </w:t>
      </w:r>
      <w:r w:rsidRPr="00B961F7">
        <w:rPr>
          <w:rFonts w:ascii="Cambria" w:eastAsia="Calibri" w:hAnsi="Cambria" w:cs="Calibri"/>
          <w:sz w:val="20"/>
          <w:szCs w:val="20"/>
          <w:lang w:val="en"/>
        </w:rPr>
        <w:t>in the SPSS version 20 application.</w:t>
      </w:r>
    </w:p>
    <w:p w14:paraId="2FAABE38"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Before testing the </w:t>
      </w:r>
      <w:r w:rsidRPr="00B961F7">
        <w:rPr>
          <w:rFonts w:ascii="Cambria" w:eastAsia="Calibri" w:hAnsi="Cambria" w:cs="Calibri"/>
          <w:i/>
          <w:sz w:val="20"/>
          <w:szCs w:val="20"/>
          <w:lang w:val="en"/>
        </w:rPr>
        <w:t xml:space="preserve">paired-sample t-test, </w:t>
      </w:r>
      <w:r w:rsidRPr="00B961F7">
        <w:rPr>
          <w:rFonts w:ascii="Cambria" w:eastAsia="Calibri" w:hAnsi="Cambria" w:cs="Calibri"/>
          <w:sz w:val="20"/>
          <w:szCs w:val="20"/>
          <w:lang w:val="en"/>
        </w:rPr>
        <w:t xml:space="preserve">as in the hypothesis testing stage I, the data </w:t>
      </w:r>
      <w:r w:rsidRPr="00B961F7">
        <w:rPr>
          <w:rFonts w:ascii="Cambria" w:eastAsia="Calibri" w:hAnsi="Cambria" w:cs="Calibri"/>
          <w:i/>
          <w:sz w:val="20"/>
          <w:szCs w:val="20"/>
          <w:lang w:val="en"/>
        </w:rPr>
        <w:t xml:space="preserve">average abnormal return </w:t>
      </w:r>
      <w:r w:rsidRPr="00B961F7">
        <w:rPr>
          <w:rFonts w:ascii="Cambria" w:eastAsia="Calibri" w:hAnsi="Cambria" w:cs="Calibri"/>
          <w:sz w:val="20"/>
          <w:szCs w:val="20"/>
          <w:lang w:val="en"/>
        </w:rPr>
        <w:t xml:space="preserve">(AAR)) it is necessary to test for normality using the </w:t>
      </w:r>
      <w:r w:rsidRPr="00B961F7">
        <w:rPr>
          <w:rFonts w:ascii="Cambria" w:eastAsia="Calibri" w:hAnsi="Cambria" w:cs="Calibri"/>
          <w:i/>
          <w:sz w:val="20"/>
          <w:szCs w:val="20"/>
          <w:lang w:val="en"/>
        </w:rPr>
        <w:t>Kolmogorov Smirnov.</w:t>
      </w:r>
      <w:r w:rsidRPr="00B961F7">
        <w:rPr>
          <w:rFonts w:ascii="Cambria" w:eastAsia="Calibri" w:hAnsi="Cambria" w:cs="Calibri"/>
          <w:sz w:val="20"/>
          <w:szCs w:val="20"/>
          <w:lang w:val="en"/>
        </w:rPr>
        <w:t xml:space="preserve"> The provisions in the normality test with a confidence level of 5 percent are if the sig value ≤ 0.05, the data is not normally distributed. Meanwhile, if the sig value is&gt; 0.05, the data is normally distributed. The results of the normality test </w:t>
      </w:r>
      <w:r w:rsidRPr="00B961F7">
        <w:rPr>
          <w:rFonts w:ascii="Cambria" w:eastAsia="Calibri" w:hAnsi="Cambria" w:cs="Calibri"/>
          <w:i/>
          <w:sz w:val="20"/>
          <w:szCs w:val="20"/>
          <w:lang w:val="en"/>
        </w:rPr>
        <w:t xml:space="preserve">average abnormal return </w:t>
      </w:r>
      <w:r w:rsidRPr="00B961F7">
        <w:rPr>
          <w:rFonts w:ascii="Cambria" w:eastAsia="Calibri" w:hAnsi="Cambria" w:cs="Calibri"/>
          <w:sz w:val="20"/>
          <w:szCs w:val="20"/>
          <w:lang w:val="en"/>
        </w:rPr>
        <w:t xml:space="preserve">using </w:t>
      </w:r>
      <w:r w:rsidRPr="00B961F7">
        <w:rPr>
          <w:rFonts w:ascii="Cambria" w:eastAsia="Calibri" w:hAnsi="Cambria" w:cs="Calibri"/>
          <w:i/>
          <w:sz w:val="20"/>
          <w:szCs w:val="20"/>
          <w:lang w:val="en"/>
        </w:rPr>
        <w:t xml:space="preserve">Kolmogorov Smirnov </w:t>
      </w:r>
      <w:r w:rsidRPr="00B961F7">
        <w:rPr>
          <w:rFonts w:ascii="Cambria" w:eastAsia="Calibri" w:hAnsi="Cambria" w:cs="Calibri"/>
          <w:sz w:val="20"/>
          <w:szCs w:val="20"/>
          <w:lang w:val="en"/>
        </w:rPr>
        <w:t xml:space="preserve">in the SPSS version 20 application can be seen in Table 6. Based on the results of normality testing using the </w:t>
      </w:r>
      <w:r w:rsidRPr="00B961F7">
        <w:rPr>
          <w:rFonts w:ascii="Cambria" w:eastAsia="Calibri" w:hAnsi="Cambria" w:cs="Calibri"/>
          <w:i/>
          <w:sz w:val="20"/>
          <w:szCs w:val="20"/>
          <w:lang w:val="en"/>
        </w:rPr>
        <w:t xml:space="preserve">Kolmogorov Smirnov it </w:t>
      </w:r>
      <w:r w:rsidRPr="00B961F7">
        <w:rPr>
          <w:rFonts w:ascii="Cambria" w:eastAsia="Calibri" w:hAnsi="Cambria" w:cs="Calibri"/>
          <w:sz w:val="20"/>
          <w:szCs w:val="20"/>
          <w:lang w:val="en"/>
        </w:rPr>
        <w:t xml:space="preserve">can be concluded that the overall data </w:t>
      </w:r>
      <w:r w:rsidRPr="00B961F7">
        <w:rPr>
          <w:rFonts w:ascii="Cambria" w:eastAsia="Calibri" w:hAnsi="Cambria" w:cs="Calibri"/>
          <w:i/>
          <w:sz w:val="20"/>
          <w:szCs w:val="20"/>
          <w:lang w:val="en"/>
        </w:rPr>
        <w:t xml:space="preserve">average abnormal return </w:t>
      </w:r>
      <w:r w:rsidRPr="00B961F7">
        <w:rPr>
          <w:rFonts w:ascii="Cambria" w:eastAsia="Calibri" w:hAnsi="Cambria" w:cs="Calibri"/>
          <w:sz w:val="20"/>
          <w:szCs w:val="20"/>
          <w:lang w:val="en"/>
        </w:rPr>
        <w:t xml:space="preserve">(AAR)has a normal distribution with a sig&gt; 0 value 05. Therefore, these data can then be performed parametric statistical testing using the </w:t>
      </w:r>
      <w:r w:rsidRPr="00B961F7">
        <w:rPr>
          <w:rFonts w:ascii="Cambria" w:eastAsia="Calibri" w:hAnsi="Cambria" w:cs="Calibri"/>
          <w:i/>
          <w:sz w:val="20"/>
          <w:szCs w:val="20"/>
          <w:lang w:val="en"/>
        </w:rPr>
        <w:t>paired sample t-test.</w:t>
      </w:r>
    </w:p>
    <w:p w14:paraId="445029F5"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6. Normality Test of Variable Data </w:t>
      </w:r>
      <w:r w:rsidRPr="00B961F7">
        <w:rPr>
          <w:rFonts w:ascii="Cambria" w:eastAsia="Calibri" w:hAnsi="Cambria" w:cs="Calibri"/>
          <w:b/>
          <w:i/>
          <w:sz w:val="20"/>
          <w:szCs w:val="20"/>
          <w:lang w:val="en"/>
        </w:rPr>
        <w:t>Average Abnormal Return</w:t>
      </w:r>
    </w:p>
    <w:tbl>
      <w:tblPr>
        <w:tblW w:w="8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2358"/>
        <w:gridCol w:w="2250"/>
        <w:gridCol w:w="1914"/>
      </w:tblGrid>
      <w:tr w:rsidR="00B961F7" w:rsidRPr="00B961F7" w14:paraId="26C46EEC" w14:textId="77777777" w:rsidTr="004D1711">
        <w:tc>
          <w:tcPr>
            <w:tcW w:w="1777" w:type="dxa"/>
            <w:vMerge w:val="restart"/>
            <w:vAlign w:val="center"/>
          </w:tcPr>
          <w:p w14:paraId="52667E02"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APBN</w:t>
            </w:r>
          </w:p>
        </w:tc>
        <w:tc>
          <w:tcPr>
            <w:tcW w:w="4608" w:type="dxa"/>
            <w:gridSpan w:val="2"/>
          </w:tcPr>
          <w:p w14:paraId="40FD030B" w14:textId="77777777" w:rsidR="00B961F7" w:rsidRPr="00B961F7" w:rsidRDefault="00B961F7" w:rsidP="00B961F7">
            <w:pPr>
              <w:spacing w:after="0" w:line="240" w:lineRule="auto"/>
              <w:jc w:val="center"/>
              <w:rPr>
                <w:rFonts w:ascii="Cambria" w:eastAsia="Calibri" w:hAnsi="Cambria" w:cs="Calibri"/>
                <w:b/>
                <w:i/>
                <w:sz w:val="20"/>
                <w:szCs w:val="20"/>
                <w:lang w:val="en"/>
              </w:rPr>
            </w:pPr>
            <w:proofErr w:type="spellStart"/>
            <w:r w:rsidRPr="00B961F7">
              <w:rPr>
                <w:rFonts w:ascii="Cambria" w:eastAsia="Calibri" w:hAnsi="Cambria" w:cs="Calibri"/>
                <w:b/>
                <w:i/>
                <w:sz w:val="20"/>
                <w:szCs w:val="20"/>
                <w:lang w:val="en"/>
              </w:rPr>
              <w:t>Asymp</w:t>
            </w:r>
            <w:proofErr w:type="spellEnd"/>
            <w:r w:rsidRPr="00B961F7">
              <w:rPr>
                <w:rFonts w:ascii="Cambria" w:eastAsia="Calibri" w:hAnsi="Cambria" w:cs="Calibri"/>
                <w:b/>
                <w:i/>
                <w:sz w:val="20"/>
                <w:szCs w:val="20"/>
                <w:lang w:val="en"/>
              </w:rPr>
              <w:t>. Sig. (2-tailed)</w:t>
            </w:r>
          </w:p>
        </w:tc>
        <w:tc>
          <w:tcPr>
            <w:tcW w:w="1914" w:type="dxa"/>
            <w:vMerge w:val="restart"/>
            <w:vAlign w:val="center"/>
          </w:tcPr>
          <w:p w14:paraId="456AA18D"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Information</w:t>
            </w:r>
          </w:p>
        </w:tc>
      </w:tr>
      <w:tr w:rsidR="00B961F7" w:rsidRPr="00B961F7" w14:paraId="338EF93C" w14:textId="77777777" w:rsidTr="004D1711">
        <w:tc>
          <w:tcPr>
            <w:tcW w:w="1777" w:type="dxa"/>
            <w:vMerge/>
            <w:vAlign w:val="center"/>
          </w:tcPr>
          <w:p w14:paraId="58E01F43"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b/>
                <w:sz w:val="20"/>
                <w:szCs w:val="20"/>
                <w:lang w:val="en"/>
              </w:rPr>
            </w:pPr>
          </w:p>
        </w:tc>
        <w:tc>
          <w:tcPr>
            <w:tcW w:w="2358" w:type="dxa"/>
            <w:tcBorders>
              <w:bottom w:val="single" w:sz="4" w:space="0" w:color="000000"/>
            </w:tcBorders>
          </w:tcPr>
          <w:p w14:paraId="291C2AC7"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Before</w:t>
            </w:r>
          </w:p>
        </w:tc>
        <w:tc>
          <w:tcPr>
            <w:tcW w:w="2250" w:type="dxa"/>
            <w:tcBorders>
              <w:bottom w:val="single" w:sz="4" w:space="0" w:color="000000"/>
            </w:tcBorders>
          </w:tcPr>
          <w:p w14:paraId="38A1DB2D"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After</w:t>
            </w:r>
          </w:p>
        </w:tc>
        <w:tc>
          <w:tcPr>
            <w:tcW w:w="1914" w:type="dxa"/>
            <w:vMerge/>
            <w:vAlign w:val="center"/>
          </w:tcPr>
          <w:p w14:paraId="346220BE" w14:textId="77777777" w:rsidR="00B961F7" w:rsidRPr="00B961F7" w:rsidRDefault="00B961F7" w:rsidP="00B961F7">
            <w:pPr>
              <w:widowControl w:val="0"/>
              <w:pBdr>
                <w:top w:val="nil"/>
                <w:left w:val="nil"/>
                <w:bottom w:val="nil"/>
                <w:right w:val="nil"/>
                <w:between w:val="nil"/>
              </w:pBdr>
              <w:spacing w:after="0" w:line="240" w:lineRule="auto"/>
              <w:rPr>
                <w:rFonts w:ascii="Cambria" w:eastAsia="Calibri" w:hAnsi="Cambria" w:cs="Calibri"/>
                <w:b/>
                <w:sz w:val="20"/>
                <w:szCs w:val="20"/>
                <w:lang w:val="en"/>
              </w:rPr>
            </w:pPr>
          </w:p>
        </w:tc>
      </w:tr>
      <w:tr w:rsidR="00B961F7" w:rsidRPr="00B961F7" w14:paraId="4C3A2E85" w14:textId="77777777" w:rsidTr="004D1711">
        <w:tc>
          <w:tcPr>
            <w:tcW w:w="1777" w:type="dxa"/>
            <w:tcBorders>
              <w:right w:val="single" w:sz="4" w:space="0" w:color="000000"/>
            </w:tcBorders>
            <w:vAlign w:val="center"/>
          </w:tcPr>
          <w:p w14:paraId="0EFC2EF8"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2010</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28E19"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0.946</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4327"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0.464</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7147028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Normal</w:t>
            </w:r>
          </w:p>
        </w:tc>
      </w:tr>
      <w:tr w:rsidR="00B961F7" w:rsidRPr="00B961F7" w14:paraId="3CB5AFCF" w14:textId="77777777" w:rsidTr="004D1711">
        <w:tc>
          <w:tcPr>
            <w:tcW w:w="1777" w:type="dxa"/>
            <w:tcBorders>
              <w:right w:val="single" w:sz="4" w:space="0" w:color="000000"/>
            </w:tcBorders>
            <w:vAlign w:val="center"/>
          </w:tcPr>
          <w:p w14:paraId="6F1786D8"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2011</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D073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0.902</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A1DB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0.656</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35C409B8"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22036F5C" w14:textId="77777777" w:rsidTr="004D1711">
        <w:tc>
          <w:tcPr>
            <w:tcW w:w="1777" w:type="dxa"/>
            <w:tcBorders>
              <w:right w:val="single" w:sz="4" w:space="0" w:color="000000"/>
            </w:tcBorders>
            <w:vAlign w:val="center"/>
          </w:tcPr>
          <w:p w14:paraId="21267B7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2012</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EB0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0.985</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396F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0.810</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1AD2BF59"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6DFFE14B" w14:textId="77777777" w:rsidTr="004D1711">
        <w:tc>
          <w:tcPr>
            <w:tcW w:w="1777" w:type="dxa"/>
            <w:tcBorders>
              <w:right w:val="single" w:sz="4" w:space="0" w:color="000000"/>
            </w:tcBorders>
            <w:vAlign w:val="center"/>
          </w:tcPr>
          <w:p w14:paraId="78D3CE79"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2013</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4DEA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0.926</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FBA9C"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0.984</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10A6E730"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6E308B56" w14:textId="77777777" w:rsidTr="004D1711">
        <w:tc>
          <w:tcPr>
            <w:tcW w:w="1777" w:type="dxa"/>
            <w:tcBorders>
              <w:right w:val="single" w:sz="4" w:space="0" w:color="000000"/>
            </w:tcBorders>
            <w:vAlign w:val="center"/>
          </w:tcPr>
          <w:p w14:paraId="0C72F7A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2014</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846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0.986</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789F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0.985</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1B643421"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40697509" w14:textId="77777777" w:rsidTr="004D1711">
        <w:tc>
          <w:tcPr>
            <w:tcW w:w="1777" w:type="dxa"/>
            <w:tcBorders>
              <w:right w:val="single" w:sz="4" w:space="0" w:color="000000"/>
            </w:tcBorders>
            <w:vAlign w:val="center"/>
          </w:tcPr>
          <w:p w14:paraId="575E48A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2015</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6ADA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0.721</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97D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0.870</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439EDBF7"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3D103899" w14:textId="77777777" w:rsidTr="004D1711">
        <w:tc>
          <w:tcPr>
            <w:tcW w:w="1777" w:type="dxa"/>
            <w:tcBorders>
              <w:right w:val="single" w:sz="4" w:space="0" w:color="000000"/>
            </w:tcBorders>
            <w:vAlign w:val="center"/>
          </w:tcPr>
          <w:p w14:paraId="28BBC019"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2016</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55327"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0.768</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D15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0.978</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1953C098"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7C49B269" w14:textId="77777777" w:rsidTr="004D1711">
        <w:tc>
          <w:tcPr>
            <w:tcW w:w="1777" w:type="dxa"/>
            <w:tcBorders>
              <w:right w:val="single" w:sz="4" w:space="0" w:color="000000"/>
            </w:tcBorders>
            <w:vAlign w:val="center"/>
          </w:tcPr>
          <w:p w14:paraId="325813F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2017</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77B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0.749</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6AB67"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0.999</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27DA49B0"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2160E7E1" w14:textId="77777777" w:rsidTr="004D1711">
        <w:tc>
          <w:tcPr>
            <w:tcW w:w="1777" w:type="dxa"/>
            <w:tcBorders>
              <w:right w:val="single" w:sz="4" w:space="0" w:color="000000"/>
            </w:tcBorders>
            <w:vAlign w:val="center"/>
          </w:tcPr>
          <w:p w14:paraId="324E5F4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2018</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B023D"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0.684</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9BE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0.963</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5146BA2B"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r w:rsidR="00B961F7" w:rsidRPr="00B961F7" w14:paraId="3268D71D" w14:textId="77777777" w:rsidTr="004D1711">
        <w:tc>
          <w:tcPr>
            <w:tcW w:w="1777" w:type="dxa"/>
            <w:tcBorders>
              <w:right w:val="single" w:sz="4" w:space="0" w:color="000000"/>
            </w:tcBorders>
            <w:vAlign w:val="center"/>
          </w:tcPr>
          <w:p w14:paraId="1DAC579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2019</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0B5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0.864</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74B18"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0.862</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Pr>
          <w:p w14:paraId="6C988666"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Normal</w:t>
            </w:r>
          </w:p>
        </w:tc>
      </w:tr>
    </w:tbl>
    <w:p w14:paraId="7B114847"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processed by the author.</w:t>
      </w:r>
    </w:p>
    <w:p w14:paraId="610EB657"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The results of the </w:t>
      </w:r>
      <w:r w:rsidRPr="00B961F7">
        <w:rPr>
          <w:rFonts w:ascii="Cambria" w:eastAsia="Calibri" w:hAnsi="Cambria" w:cs="Calibri"/>
          <w:i/>
          <w:sz w:val="20"/>
          <w:szCs w:val="20"/>
          <w:lang w:val="en"/>
        </w:rPr>
        <w:t xml:space="preserve">paired sample t-test average abnormal return </w:t>
      </w:r>
      <w:r w:rsidRPr="00B961F7">
        <w:rPr>
          <w:rFonts w:ascii="Cambria" w:eastAsia="Calibri" w:hAnsi="Cambria" w:cs="Calibri"/>
          <w:sz w:val="20"/>
          <w:szCs w:val="20"/>
          <w:lang w:val="en"/>
        </w:rPr>
        <w:t>(AAR) of APBN approval events</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 xml:space="preserve">fiscal year 2010–2019 using the SPSS Version 20 application is shown in Table 7. Apart from determining the t-count and Sig. through the method </w:t>
      </w:r>
      <w:r w:rsidRPr="00B961F7">
        <w:rPr>
          <w:rFonts w:ascii="Cambria" w:eastAsia="Calibri" w:hAnsi="Cambria" w:cs="Calibri"/>
          <w:i/>
          <w:sz w:val="20"/>
          <w:szCs w:val="20"/>
          <w:lang w:val="en"/>
        </w:rPr>
        <w:t>paired sample t-test</w:t>
      </w:r>
      <w:r w:rsidRPr="00B961F7">
        <w:rPr>
          <w:rFonts w:ascii="Cambria" w:eastAsia="Calibri" w:hAnsi="Cambria" w:cs="Calibri"/>
          <w:sz w:val="20"/>
          <w:szCs w:val="20"/>
          <w:lang w:val="en"/>
        </w:rPr>
        <w:t xml:space="preserve">, the t-table value also needs to be calculated to determine whether a hypothesis is accepted or not. </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The t-table value is calculated using Ms. Excel with the formula = TINV (0.05</w:t>
      </w:r>
      <w:proofErr w:type="gramStart"/>
      <w:r w:rsidRPr="00B961F7">
        <w:rPr>
          <w:rFonts w:ascii="Cambria" w:eastAsia="Calibri" w:hAnsi="Cambria" w:cs="Calibri"/>
          <w:sz w:val="20"/>
          <w:szCs w:val="20"/>
          <w:lang w:val="en"/>
        </w:rPr>
        <w:t>,4</w:t>
      </w:r>
      <w:proofErr w:type="gramEnd"/>
      <w:r w:rsidRPr="00B961F7">
        <w:rPr>
          <w:rFonts w:ascii="Cambria" w:eastAsia="Calibri" w:hAnsi="Cambria" w:cs="Calibri"/>
          <w:sz w:val="20"/>
          <w:szCs w:val="20"/>
          <w:lang w:val="en"/>
        </w:rPr>
        <w:t xml:space="preserve">) and produces an at-table value of 2.776. Table 7 presents the results of the analysis </w:t>
      </w:r>
      <w:r w:rsidRPr="00B961F7">
        <w:rPr>
          <w:rFonts w:ascii="Cambria" w:eastAsia="Calibri" w:hAnsi="Cambria" w:cs="Calibri"/>
          <w:i/>
          <w:sz w:val="20"/>
          <w:szCs w:val="20"/>
          <w:lang w:val="en"/>
        </w:rPr>
        <w:t xml:space="preserve">paired sample t-test </w:t>
      </w:r>
      <w:r w:rsidRPr="00B961F7">
        <w:rPr>
          <w:rFonts w:ascii="Cambria" w:eastAsia="Calibri" w:hAnsi="Cambria" w:cs="Calibri"/>
          <w:sz w:val="20"/>
          <w:szCs w:val="20"/>
          <w:lang w:val="en"/>
        </w:rPr>
        <w:t xml:space="preserve">on the </w:t>
      </w:r>
      <w:r w:rsidRPr="00B961F7">
        <w:rPr>
          <w:rFonts w:ascii="Cambria" w:eastAsia="Calibri" w:hAnsi="Cambria" w:cs="Calibri"/>
          <w:i/>
          <w:sz w:val="20"/>
          <w:szCs w:val="20"/>
          <w:lang w:val="en"/>
        </w:rPr>
        <w:t xml:space="preserve">average abnormal return </w:t>
      </w:r>
      <w:r w:rsidRPr="00B961F7">
        <w:rPr>
          <w:rFonts w:ascii="Cambria" w:eastAsia="Calibri" w:hAnsi="Cambria" w:cs="Calibri"/>
          <w:sz w:val="20"/>
          <w:szCs w:val="20"/>
          <w:lang w:val="en"/>
        </w:rPr>
        <w:t xml:space="preserve">(AAR) between before and after the APBN approval event. Based on Table 7, the t-count value for the ten APBN validation events ranged from -0.852–0.659 or less than the t-table value of 2.776. In addition, the test results also show the sig value. </w:t>
      </w:r>
      <w:proofErr w:type="gramStart"/>
      <w:r w:rsidRPr="00B961F7">
        <w:rPr>
          <w:rFonts w:ascii="Cambria" w:eastAsia="Calibri" w:hAnsi="Cambria" w:cs="Calibri"/>
          <w:sz w:val="20"/>
          <w:szCs w:val="20"/>
          <w:lang w:val="en"/>
        </w:rPr>
        <w:t>ranged</w:t>
      </w:r>
      <w:proofErr w:type="gramEnd"/>
      <w:r w:rsidRPr="00B961F7">
        <w:rPr>
          <w:rFonts w:ascii="Cambria" w:eastAsia="Calibri" w:hAnsi="Cambria" w:cs="Calibri"/>
          <w:sz w:val="20"/>
          <w:szCs w:val="20"/>
          <w:lang w:val="en"/>
        </w:rPr>
        <w:t xml:space="preserve"> between 0.442–0.967, which is greater than 0.05. Therefore, the conclusion that can be drawn is that there is no significant difference in the average </w:t>
      </w:r>
      <w:r w:rsidRPr="00B961F7">
        <w:rPr>
          <w:rFonts w:ascii="Cambria" w:eastAsia="Calibri" w:hAnsi="Cambria" w:cs="Calibri"/>
          <w:i/>
          <w:sz w:val="20"/>
          <w:szCs w:val="20"/>
          <w:lang w:val="en"/>
        </w:rPr>
        <w:t>abnormal return</w:t>
      </w:r>
      <w:r w:rsidRPr="00B961F7">
        <w:rPr>
          <w:rFonts w:ascii="Cambria" w:eastAsia="Calibri" w:hAnsi="Cambria" w:cs="Calibri"/>
          <w:sz w:val="20"/>
          <w:szCs w:val="20"/>
          <w:lang w:val="en"/>
        </w:rPr>
        <w:t xml:space="preserve"> before and after the ratification of the State Budget (APBN) or rejecting Hypothesis II.</w:t>
      </w:r>
    </w:p>
    <w:p w14:paraId="0C760CD6"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7. Results of </w:t>
      </w:r>
      <w:r w:rsidRPr="00B961F7">
        <w:rPr>
          <w:rFonts w:ascii="Cambria" w:eastAsia="Calibri" w:hAnsi="Cambria" w:cs="Calibri"/>
          <w:b/>
          <w:i/>
          <w:sz w:val="20"/>
          <w:szCs w:val="20"/>
          <w:lang w:val="en"/>
        </w:rPr>
        <w:t xml:space="preserve">Paired Sample t-Test Average Abnormal Return </w:t>
      </w:r>
      <w:r w:rsidRPr="00B961F7">
        <w:rPr>
          <w:rFonts w:ascii="Cambria" w:eastAsia="Calibri" w:hAnsi="Cambria" w:cs="Calibri"/>
          <w:b/>
          <w:sz w:val="20"/>
          <w:szCs w:val="20"/>
          <w:lang w:val="en"/>
        </w:rPr>
        <w:t>(AAR) Event Ratification of APBN</w:t>
      </w:r>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070"/>
        <w:gridCol w:w="1980"/>
        <w:gridCol w:w="2364"/>
      </w:tblGrid>
      <w:tr w:rsidR="00B961F7" w:rsidRPr="00B961F7" w14:paraId="79DEBD52" w14:textId="77777777" w:rsidTr="004D1711">
        <w:trPr>
          <w:jc w:val="center"/>
        </w:trPr>
        <w:tc>
          <w:tcPr>
            <w:tcW w:w="1885" w:type="dxa"/>
          </w:tcPr>
          <w:p w14:paraId="27D7306E"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APBN</w:t>
            </w:r>
          </w:p>
        </w:tc>
        <w:tc>
          <w:tcPr>
            <w:tcW w:w="2070" w:type="dxa"/>
            <w:tcBorders>
              <w:bottom w:val="single" w:sz="4" w:space="0" w:color="000000"/>
            </w:tcBorders>
          </w:tcPr>
          <w:p w14:paraId="0569B8C4"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t-count</w:t>
            </w:r>
          </w:p>
        </w:tc>
        <w:tc>
          <w:tcPr>
            <w:tcW w:w="1980" w:type="dxa"/>
            <w:tcBorders>
              <w:bottom w:val="single" w:sz="4" w:space="0" w:color="000000"/>
            </w:tcBorders>
          </w:tcPr>
          <w:p w14:paraId="43E1F1A6"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Sig.</w:t>
            </w:r>
          </w:p>
        </w:tc>
        <w:tc>
          <w:tcPr>
            <w:tcW w:w="2364" w:type="dxa"/>
            <w:tcBorders>
              <w:bottom w:val="single" w:sz="4" w:space="0" w:color="000000"/>
            </w:tcBorders>
          </w:tcPr>
          <w:p w14:paraId="4E003ADB"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Information</w:t>
            </w:r>
          </w:p>
        </w:tc>
      </w:tr>
      <w:tr w:rsidR="00B961F7" w:rsidRPr="00B961F7" w14:paraId="0E28ABA0" w14:textId="77777777" w:rsidTr="004D1711">
        <w:trPr>
          <w:jc w:val="center"/>
        </w:trPr>
        <w:tc>
          <w:tcPr>
            <w:tcW w:w="1885" w:type="dxa"/>
            <w:tcBorders>
              <w:right w:val="single" w:sz="4" w:space="0" w:color="000000"/>
            </w:tcBorders>
            <w:vAlign w:val="center"/>
          </w:tcPr>
          <w:p w14:paraId="7111E3D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F262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0.519</w:t>
            </w:r>
          </w:p>
        </w:tc>
        <w:tc>
          <w:tcPr>
            <w:tcW w:w="1980" w:type="dxa"/>
            <w:tcBorders>
              <w:top w:val="single" w:sz="4" w:space="0" w:color="000000"/>
              <w:bottom w:val="single" w:sz="4" w:space="0" w:color="000000"/>
              <w:right w:val="single" w:sz="4" w:space="0" w:color="000000"/>
            </w:tcBorders>
            <w:shd w:val="clear" w:color="auto" w:fill="FFFFFF"/>
            <w:vAlign w:val="center"/>
          </w:tcPr>
          <w:p w14:paraId="1B472E5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0.631</w:t>
            </w:r>
          </w:p>
        </w:tc>
        <w:tc>
          <w:tcPr>
            <w:tcW w:w="2364" w:type="dxa"/>
            <w:tcBorders>
              <w:top w:val="single" w:sz="4" w:space="0" w:color="000000"/>
              <w:bottom w:val="single" w:sz="4" w:space="0" w:color="000000"/>
              <w:right w:val="single" w:sz="4" w:space="0" w:color="000000"/>
            </w:tcBorders>
            <w:shd w:val="clear" w:color="auto" w:fill="FFFFFF"/>
          </w:tcPr>
          <w:p w14:paraId="14C96B5E"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denied</w:t>
            </w:r>
          </w:p>
        </w:tc>
      </w:tr>
      <w:tr w:rsidR="00B961F7" w:rsidRPr="00B961F7" w14:paraId="61900563" w14:textId="77777777" w:rsidTr="004D1711">
        <w:trPr>
          <w:jc w:val="center"/>
        </w:trPr>
        <w:tc>
          <w:tcPr>
            <w:tcW w:w="1885" w:type="dxa"/>
            <w:tcBorders>
              <w:right w:val="single" w:sz="4" w:space="0" w:color="000000"/>
            </w:tcBorders>
            <w:vAlign w:val="center"/>
          </w:tcPr>
          <w:p w14:paraId="494CCEA0"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9E2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-0.385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0ED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0.720</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78800014"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4C34BF3A" w14:textId="77777777" w:rsidTr="004D1711">
        <w:trPr>
          <w:jc w:val="center"/>
        </w:trPr>
        <w:tc>
          <w:tcPr>
            <w:tcW w:w="1885" w:type="dxa"/>
            <w:tcBorders>
              <w:right w:val="single" w:sz="4" w:space="0" w:color="000000"/>
            </w:tcBorders>
            <w:vAlign w:val="center"/>
          </w:tcPr>
          <w:p w14:paraId="6D2B863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273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-0.359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8CE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0.737</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33EDFDF7"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was rejected</w:t>
            </w:r>
          </w:p>
        </w:tc>
      </w:tr>
      <w:tr w:rsidR="00B961F7" w:rsidRPr="00B961F7" w14:paraId="7E272513" w14:textId="77777777" w:rsidTr="004D1711">
        <w:trPr>
          <w:jc w:val="center"/>
        </w:trPr>
        <w:tc>
          <w:tcPr>
            <w:tcW w:w="1885" w:type="dxa"/>
            <w:tcBorders>
              <w:right w:val="single" w:sz="4" w:space="0" w:color="000000"/>
            </w:tcBorders>
            <w:vAlign w:val="center"/>
          </w:tcPr>
          <w:p w14:paraId="1E98ED63"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in 2013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B638"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0.659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6789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0.546</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54FCB7E1"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The hypothesis</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734310A0" w14:textId="77777777" w:rsidTr="004D1711">
        <w:trPr>
          <w:jc w:val="center"/>
        </w:trPr>
        <w:tc>
          <w:tcPr>
            <w:tcW w:w="1885" w:type="dxa"/>
            <w:tcBorders>
              <w:right w:val="single" w:sz="4" w:space="0" w:color="000000"/>
            </w:tcBorders>
            <w:vAlign w:val="center"/>
          </w:tcPr>
          <w:p w14:paraId="3EC6512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F36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6CA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0.968</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767EA313"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193FEF54" w14:textId="77777777" w:rsidTr="004D1711">
        <w:trPr>
          <w:jc w:val="center"/>
        </w:trPr>
        <w:tc>
          <w:tcPr>
            <w:tcW w:w="1885" w:type="dxa"/>
            <w:tcBorders>
              <w:right w:val="single" w:sz="4" w:space="0" w:color="000000"/>
            </w:tcBorders>
            <w:vAlign w:val="center"/>
          </w:tcPr>
          <w:p w14:paraId="6EE1CCB9"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C61F"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-0,852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8945"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0,442</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71B71F7D"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7D6F7ECE" w14:textId="77777777" w:rsidTr="004D1711">
        <w:trPr>
          <w:jc w:val="center"/>
        </w:trPr>
        <w:tc>
          <w:tcPr>
            <w:tcW w:w="1885" w:type="dxa"/>
            <w:tcBorders>
              <w:right w:val="single" w:sz="4" w:space="0" w:color="000000"/>
            </w:tcBorders>
            <w:vAlign w:val="center"/>
          </w:tcPr>
          <w:p w14:paraId="44CD392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6DD5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-0.321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55D3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0.764</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124508CE"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4C533FDC" w14:textId="77777777" w:rsidTr="004D1711">
        <w:trPr>
          <w:jc w:val="center"/>
        </w:trPr>
        <w:tc>
          <w:tcPr>
            <w:tcW w:w="1885" w:type="dxa"/>
            <w:tcBorders>
              <w:right w:val="single" w:sz="4" w:space="0" w:color="000000"/>
            </w:tcBorders>
            <w:vAlign w:val="center"/>
          </w:tcPr>
          <w:p w14:paraId="396098F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97747"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0.500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AB12"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0.643</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3ECCA7EF"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50B90D9D" w14:textId="77777777" w:rsidTr="004D1711">
        <w:trPr>
          <w:jc w:val="center"/>
        </w:trPr>
        <w:tc>
          <w:tcPr>
            <w:tcW w:w="1885" w:type="dxa"/>
            <w:tcBorders>
              <w:right w:val="single" w:sz="4" w:space="0" w:color="000000"/>
            </w:tcBorders>
            <w:vAlign w:val="center"/>
          </w:tcPr>
          <w:p w14:paraId="30C5B211"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F32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-0.169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98CEA"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0.874</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693FD41B"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r w:rsidR="00B961F7" w:rsidRPr="00B961F7" w14:paraId="18B39EDB" w14:textId="77777777" w:rsidTr="004D1711">
        <w:trPr>
          <w:jc w:val="center"/>
        </w:trPr>
        <w:tc>
          <w:tcPr>
            <w:tcW w:w="1885" w:type="dxa"/>
            <w:tcBorders>
              <w:right w:val="single" w:sz="4" w:space="0" w:color="000000"/>
            </w:tcBorders>
            <w:vAlign w:val="center"/>
          </w:tcPr>
          <w:p w14:paraId="664C18E6"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2019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19B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0.044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DD2B" w14:textId="77777777" w:rsidR="00B961F7" w:rsidRPr="00B961F7" w:rsidRDefault="00B961F7" w:rsidP="00B961F7">
            <w:pPr>
              <w:spacing w:after="0" w:line="240" w:lineRule="auto"/>
              <w:ind w:left="60" w:right="60"/>
              <w:jc w:val="center"/>
              <w:rPr>
                <w:rFonts w:ascii="Cambria" w:eastAsia="Calibri" w:hAnsi="Cambria" w:cs="Calibri"/>
                <w:color w:val="000000"/>
                <w:sz w:val="20"/>
                <w:szCs w:val="20"/>
                <w:lang w:val="en"/>
              </w:rPr>
            </w:pPr>
            <w:r w:rsidRPr="00B961F7">
              <w:rPr>
                <w:rFonts w:ascii="Cambria" w:eastAsia="Calibri" w:hAnsi="Cambria" w:cs="Calibri"/>
                <w:color w:val="000000"/>
                <w:sz w:val="20"/>
                <w:szCs w:val="20"/>
                <w:lang w:val="en"/>
              </w:rPr>
              <w:t>0.967</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72A0AA56"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color w:val="000000"/>
                <w:sz w:val="20"/>
                <w:szCs w:val="20"/>
                <w:lang w:val="en"/>
              </w:rPr>
              <w:t>Hypothesis II</w:t>
            </w:r>
            <w:r w:rsidRPr="00B961F7">
              <w:rPr>
                <w:rFonts w:ascii="Cambria" w:eastAsia="Calibri" w:hAnsi="Cambria" w:cs="Calibri"/>
                <w:color w:val="000000"/>
                <w:sz w:val="20"/>
                <w:szCs w:val="20"/>
                <w:vertAlign w:val="subscript"/>
                <w:lang w:val="en"/>
              </w:rPr>
              <w:t xml:space="preserve"> </w:t>
            </w:r>
            <w:r w:rsidRPr="00B961F7">
              <w:rPr>
                <w:rFonts w:ascii="Cambria" w:eastAsia="Calibri" w:hAnsi="Cambria" w:cs="Calibri"/>
                <w:color w:val="000000"/>
                <w:sz w:val="20"/>
                <w:szCs w:val="20"/>
                <w:lang w:val="en"/>
              </w:rPr>
              <w:t>rejected</w:t>
            </w:r>
          </w:p>
        </w:tc>
      </w:tr>
    </w:tbl>
    <w:p w14:paraId="3DE1E38B"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processed by the author</w:t>
      </w:r>
    </w:p>
    <w:p w14:paraId="1DE316E0" w14:textId="77777777" w:rsidR="00B961F7" w:rsidRPr="00B961F7" w:rsidRDefault="00B961F7" w:rsidP="00B961F7">
      <w:pPr>
        <w:pBdr>
          <w:top w:val="nil"/>
          <w:left w:val="nil"/>
          <w:bottom w:val="nil"/>
          <w:right w:val="nil"/>
          <w:between w:val="nil"/>
        </w:pBdr>
        <w:spacing w:after="0" w:line="240" w:lineRule="auto"/>
        <w:rPr>
          <w:rFonts w:ascii="Cambria" w:eastAsia="Calibri" w:hAnsi="Cambria" w:cs="Calibri"/>
          <w:b/>
          <w:color w:val="000000"/>
          <w:sz w:val="20"/>
          <w:szCs w:val="20"/>
          <w:lang w:val="en"/>
        </w:rPr>
      </w:pPr>
    </w:p>
    <w:p w14:paraId="2BF15EE0" w14:textId="77777777" w:rsidR="00B961F7" w:rsidRPr="00B961F7" w:rsidRDefault="00B961F7" w:rsidP="00B961F7">
      <w:pPr>
        <w:numPr>
          <w:ilvl w:val="2"/>
          <w:numId w:val="2"/>
        </w:numPr>
        <w:pBdr>
          <w:top w:val="nil"/>
          <w:left w:val="nil"/>
          <w:bottom w:val="nil"/>
          <w:right w:val="nil"/>
          <w:between w:val="nil"/>
        </w:pBdr>
        <w:spacing w:after="0" w:line="240" w:lineRule="auto"/>
        <w:ind w:left="540" w:hanging="540"/>
        <w:rPr>
          <w:rFonts w:ascii="Cambria" w:eastAsia="Calibri" w:hAnsi="Cambria" w:cs="Calibri"/>
          <w:color w:val="000000"/>
          <w:sz w:val="20"/>
          <w:szCs w:val="20"/>
          <w:lang w:val="en"/>
        </w:rPr>
      </w:pPr>
      <w:r w:rsidRPr="00B961F7">
        <w:rPr>
          <w:rFonts w:ascii="Cambria" w:eastAsia="Calibri" w:hAnsi="Cambria" w:cs="Calibri"/>
          <w:b/>
          <w:color w:val="000000"/>
          <w:sz w:val="20"/>
          <w:szCs w:val="20"/>
          <w:lang w:val="en"/>
        </w:rPr>
        <w:t>Hypothesis III Testing The third</w:t>
      </w:r>
    </w:p>
    <w:p w14:paraId="65D1867F"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proofErr w:type="gramStart"/>
      <w:r w:rsidRPr="00B961F7">
        <w:rPr>
          <w:rFonts w:ascii="Cambria" w:eastAsia="Calibri" w:hAnsi="Cambria" w:cs="Calibri"/>
          <w:sz w:val="20"/>
          <w:szCs w:val="20"/>
          <w:lang w:val="en"/>
        </w:rPr>
        <w:t>the</w:t>
      </w:r>
      <w:proofErr w:type="gramEnd"/>
      <w:r w:rsidRPr="00B961F7">
        <w:rPr>
          <w:rFonts w:ascii="Cambria" w:eastAsia="Calibri" w:hAnsi="Cambria" w:cs="Calibri"/>
          <w:sz w:val="20"/>
          <w:szCs w:val="20"/>
          <w:lang w:val="en"/>
        </w:rPr>
        <w:t xml:space="preserve"> hypothesis of this study is that there is a significant difference in the average</w:t>
      </w:r>
      <w:r w:rsidRPr="00B961F7">
        <w:rPr>
          <w:rFonts w:ascii="Cambria" w:eastAsia="Calibri" w:hAnsi="Cambria" w:cs="Calibri"/>
          <w:i/>
          <w:sz w:val="20"/>
          <w:szCs w:val="20"/>
          <w:lang w:val="en"/>
        </w:rPr>
        <w:t xml:space="preserve"> trading volume activity</w:t>
      </w:r>
      <w:r w:rsidRPr="00B961F7">
        <w:rPr>
          <w:rFonts w:ascii="Cambria" w:eastAsia="Calibri" w:hAnsi="Cambria" w:cs="Calibri"/>
          <w:sz w:val="20"/>
          <w:szCs w:val="20"/>
          <w:lang w:val="en"/>
        </w:rPr>
        <w:t xml:space="preserve"> before and after the event of the ratification of the State Revenue and Expenditure Budget (APBN). Testing of this hypothesis is done by looking for the </w:t>
      </w:r>
      <w:r w:rsidRPr="00B961F7">
        <w:rPr>
          <w:rFonts w:ascii="Cambria" w:eastAsia="Calibri" w:hAnsi="Cambria" w:cs="Calibri"/>
          <w:i/>
          <w:sz w:val="20"/>
          <w:szCs w:val="20"/>
          <w:lang w:val="en"/>
        </w:rPr>
        <w:t xml:space="preserve">average trading volume activity </w:t>
      </w:r>
      <w:r w:rsidRPr="00B961F7">
        <w:rPr>
          <w:rFonts w:ascii="Cambria" w:eastAsia="Calibri" w:hAnsi="Cambria" w:cs="Calibri"/>
          <w:sz w:val="20"/>
          <w:szCs w:val="20"/>
          <w:lang w:val="en"/>
        </w:rPr>
        <w:t xml:space="preserve">(ATVA) of all stock samples for 5 days before and 5 days after the event of budgeting. The </w:t>
      </w:r>
      <w:r w:rsidRPr="00B961F7">
        <w:rPr>
          <w:rFonts w:ascii="Cambria" w:eastAsia="Calibri" w:hAnsi="Cambria" w:cs="Calibri"/>
          <w:i/>
          <w:sz w:val="20"/>
          <w:szCs w:val="20"/>
          <w:lang w:val="en"/>
        </w:rPr>
        <w:t xml:space="preserve">average trading volume activity </w:t>
      </w:r>
      <w:r w:rsidRPr="00B961F7">
        <w:rPr>
          <w:rFonts w:ascii="Cambria" w:eastAsia="Calibri" w:hAnsi="Cambria" w:cs="Calibri"/>
          <w:sz w:val="20"/>
          <w:szCs w:val="20"/>
          <w:lang w:val="en"/>
        </w:rPr>
        <w:t xml:space="preserve">(ATVA) value between before and after the event is then analyzed using the </w:t>
      </w:r>
      <w:r w:rsidRPr="00B961F7">
        <w:rPr>
          <w:rFonts w:ascii="Cambria" w:eastAsia="Calibri" w:hAnsi="Cambria" w:cs="Calibri"/>
          <w:i/>
          <w:sz w:val="20"/>
          <w:szCs w:val="20"/>
          <w:lang w:val="en"/>
        </w:rPr>
        <w:t xml:space="preserve">paired-sample t-test </w:t>
      </w:r>
      <w:r w:rsidRPr="00B961F7">
        <w:rPr>
          <w:rFonts w:ascii="Cambria" w:eastAsia="Calibri" w:hAnsi="Cambria" w:cs="Calibri"/>
          <w:sz w:val="20"/>
          <w:szCs w:val="20"/>
          <w:lang w:val="en"/>
        </w:rPr>
        <w:t>in the SPSS version 20 application.</w:t>
      </w:r>
    </w:p>
    <w:p w14:paraId="3221AF26"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Before testing the </w:t>
      </w:r>
      <w:r w:rsidRPr="00B961F7">
        <w:rPr>
          <w:rFonts w:ascii="Cambria" w:eastAsia="Calibri" w:hAnsi="Cambria" w:cs="Calibri"/>
          <w:i/>
          <w:sz w:val="20"/>
          <w:szCs w:val="20"/>
          <w:lang w:val="en"/>
        </w:rPr>
        <w:t xml:space="preserve">paired-sample t-test, </w:t>
      </w:r>
      <w:r w:rsidRPr="00B961F7">
        <w:rPr>
          <w:rFonts w:ascii="Cambria" w:eastAsia="Calibri" w:hAnsi="Cambria" w:cs="Calibri"/>
          <w:sz w:val="20"/>
          <w:szCs w:val="20"/>
          <w:lang w:val="en"/>
        </w:rPr>
        <w:t xml:space="preserve">such as in the testing stages of hypotheses I and II, data </w:t>
      </w:r>
      <w:r w:rsidRPr="00B961F7">
        <w:rPr>
          <w:rFonts w:ascii="Cambria" w:eastAsia="Calibri" w:hAnsi="Cambria" w:cs="Calibri"/>
          <w:i/>
          <w:sz w:val="20"/>
          <w:szCs w:val="20"/>
          <w:lang w:val="en"/>
        </w:rPr>
        <w:t xml:space="preserve">average trading volume activity </w:t>
      </w:r>
      <w:r w:rsidRPr="00B961F7">
        <w:rPr>
          <w:rFonts w:ascii="Cambria" w:eastAsia="Calibri" w:hAnsi="Cambria" w:cs="Calibri"/>
          <w:sz w:val="20"/>
          <w:szCs w:val="20"/>
          <w:lang w:val="en"/>
        </w:rPr>
        <w:t xml:space="preserve">(ATVA) needs to be tested for normality using the </w:t>
      </w:r>
      <w:r w:rsidRPr="00B961F7">
        <w:rPr>
          <w:rFonts w:ascii="Cambria" w:eastAsia="Calibri" w:hAnsi="Cambria" w:cs="Calibri"/>
          <w:i/>
          <w:sz w:val="20"/>
          <w:szCs w:val="20"/>
          <w:lang w:val="en"/>
        </w:rPr>
        <w:t>Kolmogorov Smirnov.</w:t>
      </w:r>
      <w:r w:rsidRPr="00B961F7">
        <w:rPr>
          <w:rFonts w:ascii="Cambria" w:eastAsia="Calibri" w:hAnsi="Cambria" w:cs="Calibri"/>
          <w:sz w:val="20"/>
          <w:szCs w:val="20"/>
          <w:lang w:val="en"/>
        </w:rPr>
        <w:t xml:space="preserve"> The provision in the normality test with a confidence level of 5 percent is that if the sig value ≤ 0.05, the data is not normally distributed. Meanwhile, if the sig value is&gt; 0.05, the data is normally distributed. The results of testing the normality of </w:t>
      </w:r>
      <w:r w:rsidRPr="00B961F7">
        <w:rPr>
          <w:rFonts w:ascii="Cambria" w:eastAsia="Calibri" w:hAnsi="Cambria" w:cs="Calibri"/>
          <w:i/>
          <w:sz w:val="20"/>
          <w:szCs w:val="20"/>
          <w:lang w:val="en"/>
        </w:rPr>
        <w:t xml:space="preserve">average trading volume activity </w:t>
      </w:r>
      <w:r w:rsidRPr="00B961F7">
        <w:rPr>
          <w:rFonts w:ascii="Cambria" w:eastAsia="Calibri" w:hAnsi="Cambria" w:cs="Calibri"/>
          <w:sz w:val="20"/>
          <w:szCs w:val="20"/>
          <w:lang w:val="en"/>
        </w:rPr>
        <w:t xml:space="preserve">(ATVA) using </w:t>
      </w:r>
      <w:r w:rsidRPr="00B961F7">
        <w:rPr>
          <w:rFonts w:ascii="Cambria" w:eastAsia="Calibri" w:hAnsi="Cambria" w:cs="Calibri"/>
          <w:i/>
          <w:sz w:val="20"/>
          <w:szCs w:val="20"/>
          <w:lang w:val="en"/>
        </w:rPr>
        <w:t xml:space="preserve">Kolmogorov Smirnov </w:t>
      </w:r>
      <w:r w:rsidRPr="00B961F7">
        <w:rPr>
          <w:rFonts w:ascii="Cambria" w:eastAsia="Calibri" w:hAnsi="Cambria" w:cs="Calibri"/>
          <w:sz w:val="20"/>
          <w:szCs w:val="20"/>
          <w:lang w:val="en"/>
        </w:rPr>
        <w:t>can be seen in the following table.</w:t>
      </w:r>
    </w:p>
    <w:p w14:paraId="514905B1"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lastRenderedPageBreak/>
        <w:t xml:space="preserve">Table 8. Normality Test of Variable Data </w:t>
      </w:r>
      <w:r w:rsidRPr="00B961F7">
        <w:rPr>
          <w:rFonts w:ascii="Cambria" w:eastAsia="Calibri" w:hAnsi="Cambria" w:cs="Calibri"/>
          <w:b/>
          <w:i/>
          <w:sz w:val="20"/>
          <w:szCs w:val="20"/>
          <w:lang w:val="en"/>
        </w:rPr>
        <w:t>Average Trading Volume Activity</w:t>
      </w:r>
    </w:p>
    <w:tbl>
      <w:tblPr>
        <w:tblStyle w:val="a"/>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7"/>
        <w:gridCol w:w="2188"/>
        <w:gridCol w:w="2250"/>
        <w:gridCol w:w="2094"/>
      </w:tblGrid>
      <w:tr w:rsidR="00B961F7" w:rsidRPr="00B961F7" w14:paraId="68429087" w14:textId="77777777" w:rsidTr="004D1711">
        <w:trPr>
          <w:jc w:val="center"/>
        </w:trPr>
        <w:tc>
          <w:tcPr>
            <w:tcW w:w="1767" w:type="dxa"/>
            <w:vMerge w:val="restart"/>
            <w:vAlign w:val="center"/>
          </w:tcPr>
          <w:p w14:paraId="796C3CAD"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APBN</w:t>
            </w:r>
          </w:p>
        </w:tc>
        <w:tc>
          <w:tcPr>
            <w:tcW w:w="4438" w:type="dxa"/>
            <w:gridSpan w:val="2"/>
          </w:tcPr>
          <w:p w14:paraId="4860AFD5" w14:textId="77777777" w:rsidR="00B961F7" w:rsidRPr="00B961F7" w:rsidRDefault="00B961F7" w:rsidP="00B961F7">
            <w:pPr>
              <w:jc w:val="center"/>
              <w:rPr>
                <w:rFonts w:ascii="Cambria" w:eastAsia="Calibri" w:hAnsi="Cambria" w:cs="Calibri"/>
                <w:b/>
                <w:i/>
              </w:rPr>
            </w:pPr>
            <w:proofErr w:type="spellStart"/>
            <w:r w:rsidRPr="00B961F7">
              <w:rPr>
                <w:rFonts w:ascii="Cambria" w:eastAsia="Calibri" w:hAnsi="Cambria" w:cs="Calibri"/>
                <w:b/>
                <w:i/>
              </w:rPr>
              <w:t>Asymp</w:t>
            </w:r>
            <w:proofErr w:type="spellEnd"/>
            <w:r w:rsidRPr="00B961F7">
              <w:rPr>
                <w:rFonts w:ascii="Cambria" w:eastAsia="Calibri" w:hAnsi="Cambria" w:cs="Calibri"/>
                <w:b/>
                <w:i/>
              </w:rPr>
              <w:t>. Sig. (2-tailed)</w:t>
            </w:r>
          </w:p>
        </w:tc>
        <w:tc>
          <w:tcPr>
            <w:tcW w:w="2094" w:type="dxa"/>
            <w:vMerge w:val="restart"/>
            <w:vAlign w:val="center"/>
          </w:tcPr>
          <w:p w14:paraId="4046694D"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Description</w:t>
            </w:r>
          </w:p>
        </w:tc>
      </w:tr>
      <w:tr w:rsidR="00B961F7" w:rsidRPr="00B961F7" w14:paraId="2DF248EF" w14:textId="77777777" w:rsidTr="004D1711">
        <w:trPr>
          <w:jc w:val="center"/>
        </w:trPr>
        <w:tc>
          <w:tcPr>
            <w:tcW w:w="1767" w:type="dxa"/>
            <w:vMerge/>
            <w:vAlign w:val="center"/>
          </w:tcPr>
          <w:p w14:paraId="5CAF77EA" w14:textId="77777777" w:rsidR="00B961F7" w:rsidRPr="00B961F7" w:rsidRDefault="00B961F7" w:rsidP="00B961F7">
            <w:pPr>
              <w:widowControl w:val="0"/>
              <w:pBdr>
                <w:top w:val="nil"/>
                <w:left w:val="nil"/>
                <w:bottom w:val="nil"/>
                <w:right w:val="nil"/>
                <w:between w:val="nil"/>
              </w:pBdr>
              <w:rPr>
                <w:rFonts w:ascii="Cambria" w:eastAsia="Calibri" w:hAnsi="Cambria" w:cs="Calibri"/>
                <w:b/>
              </w:rPr>
            </w:pPr>
          </w:p>
        </w:tc>
        <w:tc>
          <w:tcPr>
            <w:tcW w:w="2188" w:type="dxa"/>
            <w:tcBorders>
              <w:bottom w:val="single" w:sz="4" w:space="0" w:color="000000"/>
            </w:tcBorders>
          </w:tcPr>
          <w:p w14:paraId="529822EC"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Before</w:t>
            </w:r>
          </w:p>
        </w:tc>
        <w:tc>
          <w:tcPr>
            <w:tcW w:w="2250" w:type="dxa"/>
            <w:tcBorders>
              <w:bottom w:val="single" w:sz="4" w:space="0" w:color="000000"/>
            </w:tcBorders>
          </w:tcPr>
          <w:p w14:paraId="3180AC8C"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After</w:t>
            </w:r>
          </w:p>
        </w:tc>
        <w:tc>
          <w:tcPr>
            <w:tcW w:w="2094" w:type="dxa"/>
            <w:vMerge/>
            <w:vAlign w:val="center"/>
          </w:tcPr>
          <w:p w14:paraId="30685785" w14:textId="77777777" w:rsidR="00B961F7" w:rsidRPr="00B961F7" w:rsidRDefault="00B961F7" w:rsidP="00B961F7">
            <w:pPr>
              <w:widowControl w:val="0"/>
              <w:pBdr>
                <w:top w:val="nil"/>
                <w:left w:val="nil"/>
                <w:bottom w:val="nil"/>
                <w:right w:val="nil"/>
                <w:between w:val="nil"/>
              </w:pBdr>
              <w:rPr>
                <w:rFonts w:ascii="Cambria" w:eastAsia="Calibri" w:hAnsi="Cambria" w:cs="Calibri"/>
                <w:b/>
              </w:rPr>
            </w:pPr>
          </w:p>
        </w:tc>
      </w:tr>
      <w:tr w:rsidR="00B961F7" w:rsidRPr="00B961F7" w14:paraId="78F3A7C7" w14:textId="77777777" w:rsidTr="004D1711">
        <w:trPr>
          <w:jc w:val="center"/>
        </w:trPr>
        <w:tc>
          <w:tcPr>
            <w:tcW w:w="1767" w:type="dxa"/>
            <w:tcBorders>
              <w:right w:val="single" w:sz="4" w:space="0" w:color="000000"/>
            </w:tcBorders>
            <w:vAlign w:val="center"/>
          </w:tcPr>
          <w:p w14:paraId="42E4B478"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2010</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C298C"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0.710</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2C46A"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0.912</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235E734"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Normal</w:t>
            </w:r>
          </w:p>
        </w:tc>
      </w:tr>
      <w:tr w:rsidR="00B961F7" w:rsidRPr="00B961F7" w14:paraId="2C058E4C" w14:textId="77777777" w:rsidTr="004D1711">
        <w:trPr>
          <w:jc w:val="center"/>
        </w:trPr>
        <w:tc>
          <w:tcPr>
            <w:tcW w:w="1767" w:type="dxa"/>
            <w:tcBorders>
              <w:right w:val="single" w:sz="4" w:space="0" w:color="000000"/>
            </w:tcBorders>
            <w:vAlign w:val="center"/>
          </w:tcPr>
          <w:p w14:paraId="36788118"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2011</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D3CAD"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0.878</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D9336"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0.897</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8D55AB3"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4A4C1416" w14:textId="77777777" w:rsidTr="004D1711">
        <w:trPr>
          <w:jc w:val="center"/>
        </w:trPr>
        <w:tc>
          <w:tcPr>
            <w:tcW w:w="1767" w:type="dxa"/>
            <w:tcBorders>
              <w:right w:val="single" w:sz="4" w:space="0" w:color="000000"/>
            </w:tcBorders>
            <w:vAlign w:val="center"/>
          </w:tcPr>
          <w:p w14:paraId="6C30CA74"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2012</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C3F8"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0.950</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D670"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0.946</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85C5C42"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0DCA5CA1" w14:textId="77777777" w:rsidTr="004D1711">
        <w:trPr>
          <w:jc w:val="center"/>
        </w:trPr>
        <w:tc>
          <w:tcPr>
            <w:tcW w:w="1767" w:type="dxa"/>
            <w:tcBorders>
              <w:right w:val="single" w:sz="4" w:space="0" w:color="000000"/>
            </w:tcBorders>
            <w:vAlign w:val="center"/>
          </w:tcPr>
          <w:p w14:paraId="63AB6E1A"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2013</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BBAA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0,990</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79E1"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0.582</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5C19052"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747F00C6" w14:textId="77777777" w:rsidTr="004D1711">
        <w:trPr>
          <w:jc w:val="center"/>
        </w:trPr>
        <w:tc>
          <w:tcPr>
            <w:tcW w:w="1767" w:type="dxa"/>
            <w:tcBorders>
              <w:right w:val="single" w:sz="4" w:space="0" w:color="000000"/>
            </w:tcBorders>
            <w:vAlign w:val="center"/>
          </w:tcPr>
          <w:p w14:paraId="275040DD"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2014</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536DA"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0.487</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6177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0.845</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40E035DC"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730B6E64" w14:textId="77777777" w:rsidTr="004D1711">
        <w:trPr>
          <w:jc w:val="center"/>
        </w:trPr>
        <w:tc>
          <w:tcPr>
            <w:tcW w:w="1767" w:type="dxa"/>
            <w:tcBorders>
              <w:right w:val="single" w:sz="4" w:space="0" w:color="000000"/>
            </w:tcBorders>
            <w:vAlign w:val="center"/>
          </w:tcPr>
          <w:p w14:paraId="474DB38D"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2015</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F960"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0.930</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4807C"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0.982</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04420020"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40417FE2" w14:textId="77777777" w:rsidTr="004D1711">
        <w:trPr>
          <w:jc w:val="center"/>
        </w:trPr>
        <w:tc>
          <w:tcPr>
            <w:tcW w:w="1767" w:type="dxa"/>
            <w:tcBorders>
              <w:right w:val="single" w:sz="4" w:space="0" w:color="000000"/>
            </w:tcBorders>
            <w:vAlign w:val="center"/>
          </w:tcPr>
          <w:p w14:paraId="1896D6F6"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2016</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14CB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0.798</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A09C3"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0.943</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54557AE"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6C3ED81B" w14:textId="77777777" w:rsidTr="004D1711">
        <w:trPr>
          <w:jc w:val="center"/>
        </w:trPr>
        <w:tc>
          <w:tcPr>
            <w:tcW w:w="1767" w:type="dxa"/>
            <w:tcBorders>
              <w:right w:val="single" w:sz="4" w:space="0" w:color="000000"/>
            </w:tcBorders>
            <w:vAlign w:val="center"/>
          </w:tcPr>
          <w:p w14:paraId="2BD3DA7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2017</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E1F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0.869</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7E5C1"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0.823</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6135E92A"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4BE4A55C" w14:textId="77777777" w:rsidTr="004D1711">
        <w:trPr>
          <w:jc w:val="center"/>
        </w:trPr>
        <w:tc>
          <w:tcPr>
            <w:tcW w:w="1767" w:type="dxa"/>
            <w:tcBorders>
              <w:right w:val="single" w:sz="4" w:space="0" w:color="000000"/>
            </w:tcBorders>
            <w:vAlign w:val="center"/>
          </w:tcPr>
          <w:p w14:paraId="41F57A92"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2018</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C0923"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0.919</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2BE1"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1000</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04B1801"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r w:rsidR="00B961F7" w:rsidRPr="00B961F7" w14:paraId="1FE81A47" w14:textId="77777777" w:rsidTr="004D1711">
        <w:trPr>
          <w:jc w:val="center"/>
        </w:trPr>
        <w:tc>
          <w:tcPr>
            <w:tcW w:w="1767" w:type="dxa"/>
            <w:tcBorders>
              <w:right w:val="single" w:sz="4" w:space="0" w:color="000000"/>
            </w:tcBorders>
            <w:vAlign w:val="center"/>
          </w:tcPr>
          <w:p w14:paraId="1DA88517"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2019</w:t>
            </w:r>
          </w:p>
        </w:tc>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8A3C"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0.942</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2198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0.947</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0CB3CCB"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Normal</w:t>
            </w:r>
          </w:p>
        </w:tc>
      </w:tr>
    </w:tbl>
    <w:p w14:paraId="2644EA2A" w14:textId="77777777" w:rsidR="00B961F7" w:rsidRPr="00B961F7" w:rsidRDefault="00B961F7" w:rsidP="00B961F7">
      <w:pPr>
        <w:spacing w:after="0" w:line="240" w:lineRule="auto"/>
        <w:jc w:val="center"/>
        <w:rPr>
          <w:rFonts w:ascii="Cambria" w:eastAsia="Calibri" w:hAnsi="Cambria" w:cs="Calibri"/>
          <w:sz w:val="20"/>
          <w:szCs w:val="20"/>
          <w:lang w:val="en"/>
        </w:rPr>
      </w:pPr>
      <w:r w:rsidRPr="00B961F7">
        <w:rPr>
          <w:rFonts w:ascii="Cambria" w:eastAsia="Calibri" w:hAnsi="Cambria" w:cs="Calibri"/>
          <w:sz w:val="20"/>
          <w:szCs w:val="20"/>
          <w:lang w:val="en"/>
        </w:rPr>
        <w:t>Source: processed by the author</w:t>
      </w:r>
    </w:p>
    <w:p w14:paraId="3CD814F7"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Based on the results of normality testing using </w:t>
      </w:r>
      <w:r w:rsidRPr="00B961F7">
        <w:rPr>
          <w:rFonts w:ascii="Cambria" w:eastAsia="Calibri" w:hAnsi="Cambria" w:cs="Calibri"/>
          <w:i/>
          <w:sz w:val="20"/>
          <w:szCs w:val="20"/>
          <w:lang w:val="en"/>
        </w:rPr>
        <w:t xml:space="preserve">Kolmogorov Smirnov, it </w:t>
      </w:r>
      <w:r w:rsidRPr="00B961F7">
        <w:rPr>
          <w:rFonts w:ascii="Cambria" w:eastAsia="Calibri" w:hAnsi="Cambria" w:cs="Calibri"/>
          <w:sz w:val="20"/>
          <w:szCs w:val="20"/>
          <w:lang w:val="en"/>
        </w:rPr>
        <w:t xml:space="preserve">can be concluded that the overall data </w:t>
      </w:r>
      <w:r w:rsidRPr="00B961F7">
        <w:rPr>
          <w:rFonts w:ascii="Cambria" w:eastAsia="Calibri" w:hAnsi="Cambria" w:cs="Calibri"/>
          <w:i/>
          <w:sz w:val="20"/>
          <w:szCs w:val="20"/>
          <w:lang w:val="en"/>
        </w:rPr>
        <w:t>average trading volume activity</w:t>
      </w:r>
      <w:r w:rsidRPr="00B961F7">
        <w:rPr>
          <w:rFonts w:ascii="Cambria" w:eastAsia="Calibri" w:hAnsi="Cambria" w:cs="Calibri"/>
          <w:sz w:val="20"/>
          <w:szCs w:val="20"/>
          <w:lang w:val="en"/>
        </w:rPr>
        <w:t xml:space="preserve"> (ATVA</w:t>
      </w:r>
      <w:proofErr w:type="gramStart"/>
      <w:r w:rsidRPr="00B961F7">
        <w:rPr>
          <w:rFonts w:ascii="Cambria" w:eastAsia="Calibri" w:hAnsi="Cambria" w:cs="Calibri"/>
          <w:sz w:val="20"/>
          <w:szCs w:val="20"/>
          <w:lang w:val="en"/>
        </w:rPr>
        <w:t>)has</w:t>
      </w:r>
      <w:proofErr w:type="gramEnd"/>
      <w:r w:rsidRPr="00B961F7">
        <w:rPr>
          <w:rFonts w:ascii="Cambria" w:eastAsia="Calibri" w:hAnsi="Cambria" w:cs="Calibri"/>
          <w:sz w:val="20"/>
          <w:szCs w:val="20"/>
          <w:lang w:val="en"/>
        </w:rPr>
        <w:t xml:space="preserve"> a normal distribution with a sig&gt; 0.05. Therefore, these data can then be performed parametric statistical testing using the </w:t>
      </w:r>
      <w:r w:rsidRPr="00B961F7">
        <w:rPr>
          <w:rFonts w:ascii="Cambria" w:eastAsia="Calibri" w:hAnsi="Cambria" w:cs="Calibri"/>
          <w:i/>
          <w:sz w:val="20"/>
          <w:szCs w:val="20"/>
          <w:lang w:val="en"/>
        </w:rPr>
        <w:t xml:space="preserve">paired sample t-test. </w:t>
      </w:r>
      <w:r w:rsidRPr="00B961F7">
        <w:rPr>
          <w:rFonts w:ascii="Cambria" w:eastAsia="Calibri" w:hAnsi="Cambria" w:cs="Calibri"/>
          <w:sz w:val="20"/>
          <w:szCs w:val="20"/>
          <w:lang w:val="en"/>
        </w:rPr>
        <w:t xml:space="preserve">Apart from determining the t-count and Sig. through the method </w:t>
      </w:r>
      <w:r w:rsidRPr="00B961F7">
        <w:rPr>
          <w:rFonts w:ascii="Cambria" w:eastAsia="Calibri" w:hAnsi="Cambria" w:cs="Calibri"/>
          <w:i/>
          <w:sz w:val="20"/>
          <w:szCs w:val="20"/>
          <w:lang w:val="en"/>
        </w:rPr>
        <w:t>paired sample t-test</w:t>
      </w:r>
      <w:r w:rsidRPr="00B961F7">
        <w:rPr>
          <w:rFonts w:ascii="Cambria" w:eastAsia="Calibri" w:hAnsi="Cambria" w:cs="Calibri"/>
          <w:sz w:val="20"/>
          <w:szCs w:val="20"/>
          <w:lang w:val="en"/>
        </w:rPr>
        <w:t>, the t-table value also needs to be calculated to determine whether a hypothesis is accepted or not. The t-table value is calculated using Ms. Excel with the formula = TINV (0.05</w:t>
      </w:r>
      <w:proofErr w:type="gramStart"/>
      <w:r w:rsidRPr="00B961F7">
        <w:rPr>
          <w:rFonts w:ascii="Cambria" w:eastAsia="Calibri" w:hAnsi="Cambria" w:cs="Calibri"/>
          <w:sz w:val="20"/>
          <w:szCs w:val="20"/>
          <w:lang w:val="en"/>
        </w:rPr>
        <w:t>,4</w:t>
      </w:r>
      <w:proofErr w:type="gramEnd"/>
      <w:r w:rsidRPr="00B961F7">
        <w:rPr>
          <w:rFonts w:ascii="Cambria" w:eastAsia="Calibri" w:hAnsi="Cambria" w:cs="Calibri"/>
          <w:sz w:val="20"/>
          <w:szCs w:val="20"/>
          <w:lang w:val="en"/>
        </w:rPr>
        <w:t xml:space="preserve">) and produces the at-table value of 2.776. The results of the </w:t>
      </w:r>
      <w:r w:rsidRPr="00B961F7">
        <w:rPr>
          <w:rFonts w:ascii="Cambria" w:eastAsia="Calibri" w:hAnsi="Cambria" w:cs="Calibri"/>
          <w:i/>
          <w:sz w:val="20"/>
          <w:szCs w:val="20"/>
          <w:lang w:val="en"/>
        </w:rPr>
        <w:t xml:space="preserve">paired sample t-test average trading volume activity </w:t>
      </w:r>
      <w:r w:rsidRPr="00B961F7">
        <w:rPr>
          <w:rFonts w:ascii="Cambria" w:eastAsia="Calibri" w:hAnsi="Cambria" w:cs="Calibri"/>
          <w:sz w:val="20"/>
          <w:szCs w:val="20"/>
          <w:lang w:val="en"/>
        </w:rPr>
        <w:t>(ATVA) of the ratification of the State Revenue and Expenditure Budget (APBN) for the Fiscal Year 2010 - 2019</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by using the SPSS Version 20 application can be seen in the following table.</w:t>
      </w:r>
    </w:p>
    <w:p w14:paraId="48A91B0D" w14:textId="77777777" w:rsidR="00B961F7" w:rsidRPr="00B961F7" w:rsidRDefault="00B961F7" w:rsidP="00B961F7">
      <w:pPr>
        <w:spacing w:after="0" w:line="240" w:lineRule="auto"/>
        <w:jc w:val="center"/>
        <w:rPr>
          <w:rFonts w:ascii="Cambria" w:eastAsia="Calibri" w:hAnsi="Cambria" w:cs="Calibri"/>
          <w:b/>
          <w:sz w:val="20"/>
          <w:szCs w:val="20"/>
          <w:lang w:val="en"/>
        </w:rPr>
      </w:pPr>
      <w:r w:rsidRPr="00B961F7">
        <w:rPr>
          <w:rFonts w:ascii="Cambria" w:eastAsia="Calibri" w:hAnsi="Cambria" w:cs="Calibri"/>
          <w:b/>
          <w:sz w:val="20"/>
          <w:szCs w:val="20"/>
          <w:lang w:val="en"/>
        </w:rPr>
        <w:t xml:space="preserve">Table 9. Results of </w:t>
      </w:r>
      <w:r w:rsidRPr="00B961F7">
        <w:rPr>
          <w:rFonts w:ascii="Cambria" w:eastAsia="Calibri" w:hAnsi="Cambria" w:cs="Calibri"/>
          <w:b/>
          <w:i/>
          <w:sz w:val="20"/>
          <w:szCs w:val="20"/>
          <w:lang w:val="en"/>
        </w:rPr>
        <w:t xml:space="preserve">Paired Sample t-Test Average Trading Volume Activity </w:t>
      </w:r>
      <w:r w:rsidRPr="00B961F7">
        <w:rPr>
          <w:rFonts w:ascii="Cambria" w:eastAsia="Calibri" w:hAnsi="Cambria" w:cs="Calibri"/>
          <w:b/>
          <w:sz w:val="20"/>
          <w:szCs w:val="20"/>
          <w:lang w:val="en"/>
        </w:rPr>
        <w:t>(ATVA) Events Endorsement of APBN</w:t>
      </w:r>
    </w:p>
    <w:tbl>
      <w:tblPr>
        <w:tblStyle w:val="a0"/>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4"/>
        <w:gridCol w:w="1831"/>
        <w:gridCol w:w="1890"/>
        <w:gridCol w:w="2454"/>
      </w:tblGrid>
      <w:tr w:rsidR="00B961F7" w:rsidRPr="00B961F7" w14:paraId="1F128450" w14:textId="77777777" w:rsidTr="004D1711">
        <w:trPr>
          <w:jc w:val="center"/>
        </w:trPr>
        <w:tc>
          <w:tcPr>
            <w:tcW w:w="2124" w:type="dxa"/>
          </w:tcPr>
          <w:p w14:paraId="1A7F9AF7"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APBN</w:t>
            </w:r>
          </w:p>
        </w:tc>
        <w:tc>
          <w:tcPr>
            <w:tcW w:w="1831" w:type="dxa"/>
            <w:tcBorders>
              <w:bottom w:val="single" w:sz="4" w:space="0" w:color="000000"/>
            </w:tcBorders>
          </w:tcPr>
          <w:p w14:paraId="2C68B605"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t-count</w:t>
            </w:r>
          </w:p>
        </w:tc>
        <w:tc>
          <w:tcPr>
            <w:tcW w:w="1890" w:type="dxa"/>
            <w:tcBorders>
              <w:bottom w:val="single" w:sz="4" w:space="0" w:color="000000"/>
            </w:tcBorders>
          </w:tcPr>
          <w:p w14:paraId="481BB1D0"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Sig.</w:t>
            </w:r>
          </w:p>
        </w:tc>
        <w:tc>
          <w:tcPr>
            <w:tcW w:w="2454" w:type="dxa"/>
            <w:tcBorders>
              <w:bottom w:val="single" w:sz="4" w:space="0" w:color="000000"/>
            </w:tcBorders>
          </w:tcPr>
          <w:p w14:paraId="698143CA" w14:textId="77777777" w:rsidR="00B961F7" w:rsidRPr="00B961F7" w:rsidRDefault="00B961F7" w:rsidP="00B961F7">
            <w:pPr>
              <w:jc w:val="center"/>
              <w:rPr>
                <w:rFonts w:ascii="Cambria" w:eastAsia="Calibri" w:hAnsi="Cambria" w:cs="Calibri"/>
                <w:b/>
              </w:rPr>
            </w:pPr>
            <w:r w:rsidRPr="00B961F7">
              <w:rPr>
                <w:rFonts w:ascii="Cambria" w:eastAsia="Calibri" w:hAnsi="Cambria" w:cs="Calibri"/>
                <w:b/>
              </w:rPr>
              <w:t>Information</w:t>
            </w:r>
          </w:p>
        </w:tc>
      </w:tr>
      <w:tr w:rsidR="00B961F7" w:rsidRPr="00B961F7" w14:paraId="2F1C6630" w14:textId="77777777" w:rsidTr="004D1711">
        <w:trPr>
          <w:jc w:val="center"/>
        </w:trPr>
        <w:tc>
          <w:tcPr>
            <w:tcW w:w="2124" w:type="dxa"/>
            <w:tcBorders>
              <w:right w:val="single" w:sz="4" w:space="0" w:color="000000"/>
            </w:tcBorders>
            <w:vAlign w:val="center"/>
          </w:tcPr>
          <w:p w14:paraId="246AA211"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2010</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3813"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3.790</w:t>
            </w:r>
          </w:p>
        </w:tc>
        <w:tc>
          <w:tcPr>
            <w:tcW w:w="1890" w:type="dxa"/>
            <w:tcBorders>
              <w:top w:val="single" w:sz="4" w:space="0" w:color="000000"/>
              <w:bottom w:val="single" w:sz="4" w:space="0" w:color="000000"/>
              <w:right w:val="single" w:sz="4" w:space="0" w:color="000000"/>
            </w:tcBorders>
            <w:shd w:val="clear" w:color="auto" w:fill="D9E2F3"/>
            <w:vAlign w:val="center"/>
          </w:tcPr>
          <w:p w14:paraId="66EBF8D5"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0.019</w:t>
            </w:r>
          </w:p>
        </w:tc>
        <w:tc>
          <w:tcPr>
            <w:tcW w:w="2454" w:type="dxa"/>
            <w:tcBorders>
              <w:top w:val="single" w:sz="4" w:space="0" w:color="000000"/>
              <w:bottom w:val="single" w:sz="4" w:space="0" w:color="000000"/>
              <w:right w:val="single" w:sz="4" w:space="0" w:color="000000"/>
            </w:tcBorders>
            <w:shd w:val="clear" w:color="auto" w:fill="D9E2F3"/>
          </w:tcPr>
          <w:p w14:paraId="05B5EB9C"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Hypothesis III accepted</w:t>
            </w:r>
          </w:p>
        </w:tc>
      </w:tr>
      <w:tr w:rsidR="00B961F7" w:rsidRPr="00B961F7" w14:paraId="5BFE2050" w14:textId="77777777" w:rsidTr="004D1711">
        <w:trPr>
          <w:jc w:val="center"/>
        </w:trPr>
        <w:tc>
          <w:tcPr>
            <w:tcW w:w="2124" w:type="dxa"/>
            <w:tcBorders>
              <w:right w:val="single" w:sz="4" w:space="0" w:color="000000"/>
            </w:tcBorders>
            <w:vAlign w:val="center"/>
          </w:tcPr>
          <w:p w14:paraId="6F8900D9"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2011</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749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-0.613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F843"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0.573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15F10FF6"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Hypothesis III rejected</w:t>
            </w:r>
          </w:p>
        </w:tc>
      </w:tr>
      <w:tr w:rsidR="00B961F7" w:rsidRPr="00B961F7" w14:paraId="7EF3746B" w14:textId="77777777" w:rsidTr="004D1711">
        <w:trPr>
          <w:jc w:val="center"/>
        </w:trPr>
        <w:tc>
          <w:tcPr>
            <w:tcW w:w="2124" w:type="dxa"/>
            <w:tcBorders>
              <w:right w:val="single" w:sz="4" w:space="0" w:color="000000"/>
            </w:tcBorders>
            <w:vAlign w:val="center"/>
          </w:tcPr>
          <w:p w14:paraId="3F2A95F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2012</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937EB"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2.039</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31BD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0.111</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6C010A42"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267F03B5" w14:textId="77777777" w:rsidTr="004D1711">
        <w:trPr>
          <w:jc w:val="center"/>
        </w:trPr>
        <w:tc>
          <w:tcPr>
            <w:tcW w:w="2124" w:type="dxa"/>
            <w:tcBorders>
              <w:right w:val="single" w:sz="4" w:space="0" w:color="000000"/>
            </w:tcBorders>
            <w:vAlign w:val="center"/>
          </w:tcPr>
          <w:p w14:paraId="5CC6232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2013</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94B9"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0.803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3E19"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0.467</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3ED90419"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164AE9EE" w14:textId="77777777" w:rsidTr="004D1711">
        <w:trPr>
          <w:jc w:val="center"/>
        </w:trPr>
        <w:tc>
          <w:tcPr>
            <w:tcW w:w="2124" w:type="dxa"/>
            <w:tcBorders>
              <w:right w:val="single" w:sz="4" w:space="0" w:color="000000"/>
            </w:tcBorders>
            <w:vAlign w:val="center"/>
          </w:tcPr>
          <w:p w14:paraId="71BDFB50"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2014</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F0D9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-1.090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A536A"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0.337</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307F14BA"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7163B789" w14:textId="77777777" w:rsidTr="004D1711">
        <w:trPr>
          <w:jc w:val="center"/>
        </w:trPr>
        <w:tc>
          <w:tcPr>
            <w:tcW w:w="2124" w:type="dxa"/>
            <w:tcBorders>
              <w:right w:val="single" w:sz="4" w:space="0" w:color="000000"/>
            </w:tcBorders>
            <w:vAlign w:val="center"/>
          </w:tcPr>
          <w:p w14:paraId="52FD1871"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2015</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7DB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-1.810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C1E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0.145</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7DC7B47A"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75AF7F3E" w14:textId="77777777" w:rsidTr="004D1711">
        <w:trPr>
          <w:jc w:val="center"/>
        </w:trPr>
        <w:tc>
          <w:tcPr>
            <w:tcW w:w="2124" w:type="dxa"/>
            <w:tcBorders>
              <w:right w:val="single" w:sz="4" w:space="0" w:color="000000"/>
            </w:tcBorders>
            <w:vAlign w:val="center"/>
          </w:tcPr>
          <w:p w14:paraId="1984EF7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2016</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47DD5"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0.654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0BA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0.549</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7418C7A2"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1ABAEA65" w14:textId="77777777" w:rsidTr="004D1711">
        <w:trPr>
          <w:jc w:val="center"/>
        </w:trPr>
        <w:tc>
          <w:tcPr>
            <w:tcW w:w="2124" w:type="dxa"/>
            <w:tcBorders>
              <w:right w:val="single" w:sz="4" w:space="0" w:color="000000"/>
            </w:tcBorders>
            <w:vAlign w:val="center"/>
          </w:tcPr>
          <w:p w14:paraId="68B17537"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2017</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BD62"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1.074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2DA"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0.343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5FC16E8C"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22C79E25" w14:textId="77777777" w:rsidTr="004D1711">
        <w:trPr>
          <w:jc w:val="center"/>
        </w:trPr>
        <w:tc>
          <w:tcPr>
            <w:tcW w:w="2124" w:type="dxa"/>
            <w:tcBorders>
              <w:right w:val="single" w:sz="4" w:space="0" w:color="000000"/>
            </w:tcBorders>
            <w:vAlign w:val="center"/>
          </w:tcPr>
          <w:p w14:paraId="0FBEEFF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2018</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9D22B"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-1,241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08EDE"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0.282</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0605ACEC"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r w:rsidR="00B961F7" w:rsidRPr="00B961F7" w14:paraId="36C868DA" w14:textId="77777777" w:rsidTr="004D1711">
        <w:trPr>
          <w:jc w:val="center"/>
        </w:trPr>
        <w:tc>
          <w:tcPr>
            <w:tcW w:w="2124" w:type="dxa"/>
            <w:tcBorders>
              <w:right w:val="single" w:sz="4" w:space="0" w:color="000000"/>
            </w:tcBorders>
            <w:vAlign w:val="center"/>
          </w:tcPr>
          <w:p w14:paraId="5F0AC50F"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2019</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6C590"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-2,753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FB7B" w14:textId="77777777" w:rsidR="00B961F7" w:rsidRPr="00B961F7" w:rsidRDefault="00B961F7" w:rsidP="00B961F7">
            <w:pPr>
              <w:ind w:left="60" w:right="60"/>
              <w:jc w:val="center"/>
              <w:rPr>
                <w:rFonts w:ascii="Cambria" w:eastAsia="Calibri" w:hAnsi="Cambria" w:cs="Calibri"/>
                <w:color w:val="000000"/>
              </w:rPr>
            </w:pPr>
            <w:r w:rsidRPr="00B961F7">
              <w:rPr>
                <w:rFonts w:ascii="Cambria" w:eastAsia="Calibri" w:hAnsi="Cambria" w:cs="Calibri"/>
                <w:color w:val="000000"/>
              </w:rPr>
              <w:t>0.051</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7ACD732C" w14:textId="77777777" w:rsidR="00B961F7" w:rsidRPr="00B961F7" w:rsidRDefault="00B961F7" w:rsidP="00B961F7">
            <w:pPr>
              <w:jc w:val="center"/>
              <w:rPr>
                <w:rFonts w:ascii="Cambria" w:eastAsia="Calibri" w:hAnsi="Cambria" w:cs="Calibri"/>
              </w:rPr>
            </w:pPr>
            <w:r w:rsidRPr="00B961F7">
              <w:rPr>
                <w:rFonts w:ascii="Cambria" w:eastAsia="Calibri" w:hAnsi="Cambria" w:cs="Calibri"/>
                <w:color w:val="000000"/>
              </w:rPr>
              <w:t>Hypothesis III rejected</w:t>
            </w:r>
          </w:p>
        </w:tc>
      </w:tr>
    </w:tbl>
    <w:p w14:paraId="416B556D" w14:textId="77777777" w:rsidR="00B961F7" w:rsidRPr="00B961F7" w:rsidRDefault="00B961F7" w:rsidP="00B961F7">
      <w:pPr>
        <w:spacing w:after="0" w:line="240" w:lineRule="auto"/>
        <w:rPr>
          <w:rFonts w:ascii="Cambria" w:eastAsia="Calibri" w:hAnsi="Cambria" w:cs="Calibri"/>
          <w:sz w:val="20"/>
          <w:szCs w:val="20"/>
          <w:lang w:val="en"/>
        </w:rPr>
      </w:pPr>
      <w:r w:rsidRPr="00B961F7">
        <w:rPr>
          <w:rFonts w:ascii="Cambria" w:eastAsia="Calibri" w:hAnsi="Cambria" w:cs="Calibri"/>
          <w:sz w:val="20"/>
          <w:szCs w:val="20"/>
          <w:lang w:val="en"/>
        </w:rPr>
        <w:t>Source: processed by the author</w:t>
      </w:r>
    </w:p>
    <w:p w14:paraId="4DB91575"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Table 9 presents the results of the analysis </w:t>
      </w:r>
      <w:r w:rsidRPr="00B961F7">
        <w:rPr>
          <w:rFonts w:ascii="Cambria" w:eastAsia="Calibri" w:hAnsi="Cambria" w:cs="Calibri"/>
          <w:i/>
          <w:sz w:val="20"/>
          <w:szCs w:val="20"/>
          <w:lang w:val="en"/>
        </w:rPr>
        <w:t xml:space="preserve">paired sample t-test </w:t>
      </w:r>
      <w:r w:rsidRPr="00B961F7">
        <w:rPr>
          <w:rFonts w:ascii="Cambria" w:eastAsia="Calibri" w:hAnsi="Cambria" w:cs="Calibri"/>
          <w:sz w:val="20"/>
          <w:szCs w:val="20"/>
          <w:lang w:val="en"/>
        </w:rPr>
        <w:t xml:space="preserve">on </w:t>
      </w:r>
      <w:r w:rsidRPr="00B961F7">
        <w:rPr>
          <w:rFonts w:ascii="Cambria" w:eastAsia="Calibri" w:hAnsi="Cambria" w:cs="Calibri"/>
          <w:i/>
          <w:sz w:val="20"/>
          <w:szCs w:val="20"/>
          <w:lang w:val="en"/>
        </w:rPr>
        <w:t>average trading volume activity</w:t>
      </w:r>
      <w:r w:rsidRPr="00B961F7">
        <w:rPr>
          <w:rFonts w:ascii="Cambria" w:eastAsia="Calibri" w:hAnsi="Cambria" w:cs="Calibri"/>
          <w:sz w:val="20"/>
          <w:szCs w:val="20"/>
          <w:lang w:val="en"/>
        </w:rPr>
        <w:t xml:space="preserve"> (ATVA) between before and after the event of the ratification of the State Revenue and Expenditure Budget </w:t>
      </w:r>
      <w:proofErr w:type="gramStart"/>
      <w:r w:rsidRPr="00B961F7">
        <w:rPr>
          <w:rFonts w:ascii="Cambria" w:eastAsia="Calibri" w:hAnsi="Cambria" w:cs="Calibri"/>
          <w:sz w:val="20"/>
          <w:szCs w:val="20"/>
          <w:lang w:val="en"/>
        </w:rPr>
        <w:t>( STATE</w:t>
      </w:r>
      <w:proofErr w:type="gramEnd"/>
      <w:r w:rsidRPr="00B961F7">
        <w:rPr>
          <w:rFonts w:ascii="Cambria" w:eastAsia="Calibri" w:hAnsi="Cambria" w:cs="Calibri"/>
          <w:sz w:val="20"/>
          <w:szCs w:val="20"/>
          <w:lang w:val="en"/>
        </w:rPr>
        <w:t xml:space="preserve"> BUDGET). Based on Table 9, the t-count value for the ten events of the ratification of the State Revenue and Expenditure Budget (APBN) ranges from -2,753 - 2,039 or less than the t-table value of 2.776, except for the event of ratification of the Year State Revenue and Expenditure Budget (APBN) 2010 budget which has an at-count value of 3,790. In addition, the test results also show the sig value. </w:t>
      </w:r>
      <w:proofErr w:type="gramStart"/>
      <w:r w:rsidRPr="00B961F7">
        <w:rPr>
          <w:rFonts w:ascii="Cambria" w:eastAsia="Calibri" w:hAnsi="Cambria" w:cs="Calibri"/>
          <w:sz w:val="20"/>
          <w:szCs w:val="20"/>
          <w:lang w:val="en"/>
        </w:rPr>
        <w:t>the</w:t>
      </w:r>
      <w:proofErr w:type="gramEnd"/>
      <w:r w:rsidRPr="00B961F7">
        <w:rPr>
          <w:rFonts w:ascii="Cambria" w:eastAsia="Calibri" w:hAnsi="Cambria" w:cs="Calibri"/>
          <w:sz w:val="20"/>
          <w:szCs w:val="20"/>
          <w:lang w:val="en"/>
        </w:rPr>
        <w:t xml:space="preserve"> range is between 0.051 - 0.573 or greater than 0.05, except for the event of ratification of the 2010 State Budget (APBN) which has a sig value. </w:t>
      </w:r>
      <w:proofErr w:type="gramStart"/>
      <w:r w:rsidRPr="00B961F7">
        <w:rPr>
          <w:rFonts w:ascii="Cambria" w:eastAsia="Calibri" w:hAnsi="Cambria" w:cs="Calibri"/>
          <w:sz w:val="20"/>
          <w:szCs w:val="20"/>
          <w:lang w:val="en"/>
        </w:rPr>
        <w:t>amounting</w:t>
      </w:r>
      <w:proofErr w:type="gramEnd"/>
      <w:r w:rsidRPr="00B961F7">
        <w:rPr>
          <w:rFonts w:ascii="Cambria" w:eastAsia="Calibri" w:hAnsi="Cambria" w:cs="Calibri"/>
          <w:sz w:val="20"/>
          <w:szCs w:val="20"/>
          <w:lang w:val="en"/>
        </w:rPr>
        <w:t xml:space="preserve"> to 0.019. </w:t>
      </w:r>
    </w:p>
    <w:p w14:paraId="4C3FBC25" w14:textId="32B7CA45" w:rsidR="00A57078"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Based on the results of the </w:t>
      </w:r>
      <w:r w:rsidRPr="00B961F7">
        <w:rPr>
          <w:rFonts w:ascii="Cambria" w:eastAsia="Calibri" w:hAnsi="Cambria" w:cs="Calibri"/>
          <w:i/>
          <w:sz w:val="20"/>
          <w:szCs w:val="20"/>
          <w:lang w:val="en"/>
        </w:rPr>
        <w:t>paired sample t-test, it</w:t>
      </w:r>
      <w:r w:rsidRPr="00B961F7">
        <w:rPr>
          <w:rFonts w:ascii="Cambria" w:eastAsia="Calibri" w:hAnsi="Cambria" w:cs="Calibri"/>
          <w:sz w:val="20"/>
          <w:szCs w:val="20"/>
          <w:lang w:val="en"/>
        </w:rPr>
        <w:t xml:space="preserve"> can be concluded that in the ratification of the State Revenue and Expenditure Budget (APBN) for the Fiscal Year 2010 there is a significant difference in the</w:t>
      </w:r>
      <w:r w:rsidRPr="00B961F7">
        <w:rPr>
          <w:rFonts w:ascii="Cambria" w:eastAsia="Calibri" w:hAnsi="Cambria" w:cs="Calibri"/>
          <w:i/>
          <w:sz w:val="20"/>
          <w:szCs w:val="20"/>
          <w:lang w:val="en"/>
        </w:rPr>
        <w:t xml:space="preserve"> average trading volume activity</w:t>
      </w:r>
      <w:r w:rsidRPr="00B961F7">
        <w:rPr>
          <w:rFonts w:ascii="Cambria" w:eastAsia="Calibri" w:hAnsi="Cambria" w:cs="Calibri"/>
          <w:sz w:val="20"/>
          <w:szCs w:val="20"/>
          <w:lang w:val="en"/>
        </w:rPr>
        <w:t xml:space="preserve"> before and after the event of ratification of the Income and Expenditure Budget. State (APBN) or receive H</w:t>
      </w:r>
      <w:r w:rsidRPr="00B961F7">
        <w:rPr>
          <w:rFonts w:ascii="Cambria" w:eastAsia="Calibri" w:hAnsi="Cambria" w:cs="Calibri"/>
          <w:sz w:val="20"/>
          <w:szCs w:val="20"/>
          <w:vertAlign w:val="subscript"/>
          <w:lang w:val="en"/>
        </w:rPr>
        <w:t>0</w:t>
      </w:r>
      <w:r w:rsidRPr="00B961F7">
        <w:rPr>
          <w:rFonts w:ascii="Cambria" w:eastAsia="Calibri" w:hAnsi="Cambria" w:cs="Calibri"/>
          <w:sz w:val="20"/>
          <w:szCs w:val="20"/>
          <w:lang w:val="en"/>
        </w:rPr>
        <w:t>. However, for the 2011–2019 fiscal year there was no significant difference in the average</w:t>
      </w:r>
      <w:r w:rsidRPr="00B961F7">
        <w:rPr>
          <w:rFonts w:ascii="Cambria" w:eastAsia="Calibri" w:hAnsi="Cambria" w:cs="Calibri"/>
          <w:i/>
          <w:sz w:val="20"/>
          <w:szCs w:val="20"/>
          <w:lang w:val="en"/>
        </w:rPr>
        <w:t xml:space="preserve"> trading volume activity</w:t>
      </w:r>
      <w:r w:rsidRPr="00B961F7">
        <w:rPr>
          <w:rFonts w:ascii="Cambria" w:eastAsia="Calibri" w:hAnsi="Cambria" w:cs="Calibri"/>
          <w:sz w:val="20"/>
          <w:szCs w:val="20"/>
          <w:lang w:val="en"/>
        </w:rPr>
        <w:t xml:space="preserve"> before and after the event of the ratification of the State Revenue and Expenditure Budget (APBN) or rejecting Hypothesis III.</w:t>
      </w:r>
    </w:p>
    <w:p w14:paraId="4FD78AD0"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p>
    <w:p w14:paraId="4421B195" w14:textId="77777777" w:rsidR="00A57078" w:rsidRPr="008A00D4" w:rsidRDefault="00A57078" w:rsidP="003830D1">
      <w:pPr>
        <w:pStyle w:val="ListParagraph"/>
        <w:numPr>
          <w:ilvl w:val="0"/>
          <w:numId w:val="2"/>
        </w:numPr>
        <w:spacing w:before="120" w:after="120" w:line="240" w:lineRule="auto"/>
        <w:ind w:left="567" w:hanging="567"/>
        <w:jc w:val="both"/>
        <w:rPr>
          <w:rFonts w:eastAsia="Times New Roman" w:cstheme="minorHAnsi"/>
          <w:b/>
          <w:sz w:val="24"/>
          <w:szCs w:val="24"/>
        </w:rPr>
      </w:pPr>
      <w:r w:rsidRPr="008A00D4">
        <w:rPr>
          <w:rFonts w:eastAsia="Times New Roman" w:cstheme="minorHAnsi"/>
          <w:b/>
          <w:color w:val="000000"/>
          <w:sz w:val="24"/>
          <w:szCs w:val="24"/>
        </w:rPr>
        <w:t>Discussion</w:t>
      </w:r>
    </w:p>
    <w:p w14:paraId="7838385B" w14:textId="7014D0AF" w:rsidR="00B961F7" w:rsidRPr="00B961F7" w:rsidRDefault="00B961F7" w:rsidP="00B961F7">
      <w:pPr>
        <w:pStyle w:val="ListParagraph"/>
        <w:numPr>
          <w:ilvl w:val="1"/>
          <w:numId w:val="2"/>
        </w:numPr>
        <w:pBdr>
          <w:top w:val="nil"/>
          <w:left w:val="nil"/>
          <w:bottom w:val="nil"/>
          <w:right w:val="nil"/>
          <w:between w:val="nil"/>
        </w:pBdr>
        <w:spacing w:after="0" w:line="240" w:lineRule="auto"/>
        <w:ind w:left="993" w:hanging="426"/>
        <w:rPr>
          <w:rFonts w:ascii="Cambria" w:eastAsia="Calibri" w:hAnsi="Cambria" w:cs="Calibri"/>
          <w:b/>
          <w:color w:val="000000"/>
          <w:sz w:val="20"/>
          <w:szCs w:val="20"/>
          <w:lang w:val="en"/>
        </w:rPr>
      </w:pPr>
      <w:r>
        <w:rPr>
          <w:rFonts w:ascii="Cambria" w:eastAsia="Calibri" w:hAnsi="Cambria" w:cs="Calibri"/>
          <w:b/>
          <w:color w:val="000000"/>
          <w:sz w:val="20"/>
          <w:szCs w:val="20"/>
          <w:lang w:val="en"/>
        </w:rPr>
        <w:t>Discussion Hypothesis I</w:t>
      </w:r>
    </w:p>
    <w:p w14:paraId="252E15B7"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The research using the event study approach on ten events of the ratification of the State Revenue and Expenditure Budget (APBN) shows that this event contains information that causes the Indonesian capital market to react. From a number of incidents of ratification of the State Revenue and Expenditure Budget (APBN) under study, there were abnormal returns with significant positive and negative values. </w:t>
      </w:r>
      <w:proofErr w:type="spellStart"/>
      <w:r w:rsidRPr="00B961F7">
        <w:rPr>
          <w:rFonts w:ascii="Cambria" w:eastAsia="Calibri" w:hAnsi="Cambria" w:cs="Calibri"/>
          <w:sz w:val="20"/>
          <w:szCs w:val="20"/>
          <w:lang w:val="en"/>
        </w:rPr>
        <w:t>Manurung</w:t>
      </w:r>
      <w:proofErr w:type="spellEnd"/>
      <w:r w:rsidRPr="00B961F7">
        <w:rPr>
          <w:rFonts w:ascii="Cambria" w:eastAsia="Calibri" w:hAnsi="Cambria" w:cs="Calibri"/>
          <w:sz w:val="20"/>
          <w:szCs w:val="20"/>
          <w:lang w:val="en"/>
        </w:rPr>
        <w:t xml:space="preserve"> (2005) explains that the market reaction in an event study is measured by using an abnormal return, which is an excess of the real yield against normal returns. Normal returns are the returns that investors expect (expectations) and occur when an event does not occur. With certain events, the yield will increase if the event is information that investors perceive as good (good news) and will decrease if it is bad news.</w:t>
      </w:r>
    </w:p>
    <w:p w14:paraId="7403CC0B"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The existence of a positive abnormal return indicates that some market players consider this information on the ratification of the State Revenue and Expenditure Budget (APBN) to be good news. On the other hand, abnormal returns that have a negative value are a reflection of the opinion of some market players that the information on the ratification of the State Revenue and Expenditure Budget (APBN) is bad news. However, the emergence of significant abnormal returns, both positive and negative values, can be caused by profit-taking by market players to gain profits on share prices on the Indonesia Stock Exchange (IDX) around the ratification of the State Revenue and Expenditure Budget (APBN). . This condition is in accordance with the signaling theory which states that signals from information can change stock price movements. Signaling theory argues that in evaluating situations that have risk and asymmetric information, market participants will consider signals or attributes from other parties before making a decision.</w:t>
      </w:r>
    </w:p>
    <w:p w14:paraId="50B7B589"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During the ratification of the 2018 State Budget (APBN), there was no significant abnormal return. This result is thought to be caused by the actions of Indonesian capital market players who carry out speculation that could benefit them on the days surrounding the ratification of the State Budget (APBN). Moreover, the </w:t>
      </w:r>
      <w:r w:rsidRPr="00B961F7">
        <w:rPr>
          <w:rFonts w:ascii="Cambria" w:eastAsia="Calibri" w:hAnsi="Cambria" w:cs="Calibri"/>
          <w:sz w:val="20"/>
          <w:szCs w:val="20"/>
          <w:lang w:val="en"/>
        </w:rPr>
        <w:lastRenderedPageBreak/>
        <w:t>absence of significant abnormal return can also be caused by the actions of market participants who are still waiting for the ratification of the continued policy of the Government on the policy plan outlined in the State Budget (APBN) for the Fiscal Year 2018.</w:t>
      </w:r>
    </w:p>
    <w:p w14:paraId="32BC2635" w14:textId="77777777" w:rsidR="00B961F7" w:rsidRPr="00B961F7" w:rsidRDefault="00B961F7" w:rsidP="00B961F7">
      <w:pPr>
        <w:pStyle w:val="ListParagraph"/>
        <w:numPr>
          <w:ilvl w:val="1"/>
          <w:numId w:val="2"/>
        </w:numPr>
        <w:pBdr>
          <w:top w:val="nil"/>
          <w:left w:val="nil"/>
          <w:bottom w:val="nil"/>
          <w:right w:val="nil"/>
          <w:between w:val="nil"/>
        </w:pBdr>
        <w:spacing w:after="0" w:line="240" w:lineRule="auto"/>
        <w:ind w:left="993" w:hanging="426"/>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Discussion Hypothesis II</w:t>
      </w:r>
    </w:p>
    <w:p w14:paraId="77128622"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test results of the different reactions given by the market through the average </w:t>
      </w:r>
      <w:r w:rsidRPr="00B961F7">
        <w:rPr>
          <w:rFonts w:ascii="Cambria" w:eastAsia="Calibri" w:hAnsi="Cambria" w:cs="Calibri"/>
          <w:i/>
          <w:sz w:val="20"/>
          <w:szCs w:val="20"/>
          <w:lang w:val="en"/>
        </w:rPr>
        <w:t xml:space="preserve">abnormal return </w:t>
      </w:r>
      <w:r w:rsidRPr="00B961F7">
        <w:rPr>
          <w:rFonts w:ascii="Cambria" w:eastAsia="Calibri" w:hAnsi="Cambria" w:cs="Calibri"/>
          <w:sz w:val="20"/>
          <w:szCs w:val="20"/>
          <w:lang w:val="en"/>
        </w:rPr>
        <w:t>between before and after the event of the ratification of the State Revenue and Expenditure Budget (APBN), it shows insignificant results at α = 5 percent. Based on the test results, H</w:t>
      </w:r>
      <w:r w:rsidRPr="00B961F7">
        <w:rPr>
          <w:rFonts w:ascii="Cambria" w:eastAsia="Calibri" w:hAnsi="Cambria" w:cs="Calibri"/>
          <w:sz w:val="20"/>
          <w:szCs w:val="20"/>
          <w:vertAlign w:val="subscript"/>
          <w:lang w:val="en"/>
        </w:rPr>
        <w:t xml:space="preserve">0 is </w:t>
      </w:r>
      <w:r w:rsidRPr="00B961F7">
        <w:rPr>
          <w:rFonts w:ascii="Cambria" w:eastAsia="Calibri" w:hAnsi="Cambria" w:cs="Calibri"/>
          <w:sz w:val="20"/>
          <w:szCs w:val="20"/>
          <w:lang w:val="en"/>
        </w:rPr>
        <w:t>rejected or accepts H</w:t>
      </w:r>
      <w:r w:rsidRPr="00B961F7">
        <w:rPr>
          <w:rFonts w:ascii="Cambria" w:eastAsia="Calibri" w:hAnsi="Cambria" w:cs="Calibri"/>
          <w:sz w:val="20"/>
          <w:szCs w:val="20"/>
          <w:vertAlign w:val="subscript"/>
          <w:lang w:val="en"/>
        </w:rPr>
        <w:t>1</w:t>
      </w:r>
      <w:r w:rsidRPr="00B961F7">
        <w:rPr>
          <w:rFonts w:ascii="Cambria" w:eastAsia="Calibri" w:hAnsi="Cambria" w:cs="Calibri"/>
          <w:sz w:val="20"/>
          <w:szCs w:val="20"/>
          <w:lang w:val="en"/>
        </w:rPr>
        <w:t xml:space="preserve">. A difference in </w:t>
      </w:r>
      <w:r w:rsidRPr="00B961F7">
        <w:rPr>
          <w:rFonts w:ascii="Cambria" w:eastAsia="Calibri" w:hAnsi="Cambria" w:cs="Calibri"/>
          <w:i/>
          <w:sz w:val="20"/>
          <w:szCs w:val="20"/>
          <w:lang w:val="en"/>
        </w:rPr>
        <w:t xml:space="preserve">average abnormal return </w:t>
      </w:r>
      <w:proofErr w:type="gramStart"/>
      <w:r w:rsidRPr="00B961F7">
        <w:rPr>
          <w:rFonts w:ascii="Cambria" w:eastAsia="Calibri" w:hAnsi="Cambria" w:cs="Calibri"/>
          <w:sz w:val="20"/>
          <w:szCs w:val="20"/>
          <w:lang w:val="en"/>
        </w:rPr>
        <w:t>significant(</w:t>
      </w:r>
      <w:proofErr w:type="gramEnd"/>
      <w:r w:rsidRPr="00B961F7">
        <w:rPr>
          <w:rFonts w:ascii="Cambria" w:eastAsia="Calibri" w:hAnsi="Cambria" w:cs="Calibri"/>
          <w:sz w:val="20"/>
          <w:szCs w:val="20"/>
          <w:lang w:val="en"/>
        </w:rPr>
        <w:t xml:space="preserve">AAR) did not occur in the ten events of the ratification of the State Revenue and Expenditure Budget (APBN) because market players had predicted the policy information contained in the State Revenue and Expenditure Budget (APBN) to be ratified. In this case, the signal possessed by budget information has been caught by market players long before the date of its approval. </w:t>
      </w:r>
    </w:p>
    <w:p w14:paraId="1CB0C01D"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The results of this study support previous research conducted by </w:t>
      </w:r>
      <w:proofErr w:type="spellStart"/>
      <w:r w:rsidRPr="00B961F7">
        <w:rPr>
          <w:rFonts w:ascii="Cambria" w:eastAsia="Calibri" w:hAnsi="Cambria" w:cs="Calibri"/>
          <w:sz w:val="20"/>
          <w:szCs w:val="20"/>
          <w:lang w:val="en"/>
        </w:rPr>
        <w:t>Nascimento</w:t>
      </w:r>
      <w:proofErr w:type="spellEnd"/>
      <w:r w:rsidRPr="00B961F7">
        <w:rPr>
          <w:rFonts w:ascii="Cambria" w:eastAsia="Calibri" w:hAnsi="Cambria" w:cs="Calibri"/>
          <w:sz w:val="20"/>
          <w:szCs w:val="20"/>
          <w:lang w:val="en"/>
        </w:rPr>
        <w:t xml:space="preserve"> (2015) on the influence of the United States Federal Government's budget on the country's capital market reaction, particularly on the S &amp; P500 Index. This research shows that the budget approval event does not affect </w:t>
      </w:r>
      <w:r w:rsidRPr="00B961F7">
        <w:rPr>
          <w:rFonts w:ascii="Cambria" w:eastAsia="Calibri" w:hAnsi="Cambria" w:cs="Calibri"/>
          <w:i/>
          <w:sz w:val="20"/>
          <w:szCs w:val="20"/>
          <w:lang w:val="en"/>
        </w:rPr>
        <w:t xml:space="preserve">returns </w:t>
      </w:r>
      <w:r w:rsidRPr="00B961F7">
        <w:rPr>
          <w:rFonts w:ascii="Cambria" w:eastAsia="Calibri" w:hAnsi="Cambria" w:cs="Calibri"/>
          <w:sz w:val="20"/>
          <w:szCs w:val="20"/>
          <w:lang w:val="en"/>
        </w:rPr>
        <w:t xml:space="preserve">stock because market players have reacted first. The market tries to reduce the influence of the budget approval event so that the longer the fluctuation </w:t>
      </w:r>
      <w:r w:rsidRPr="00B961F7">
        <w:rPr>
          <w:rFonts w:ascii="Cambria" w:eastAsia="Calibri" w:hAnsi="Cambria" w:cs="Calibri"/>
          <w:i/>
          <w:sz w:val="20"/>
          <w:szCs w:val="20"/>
          <w:lang w:val="en"/>
        </w:rPr>
        <w:t xml:space="preserve">return </w:t>
      </w:r>
      <w:r w:rsidRPr="00B961F7">
        <w:rPr>
          <w:rFonts w:ascii="Cambria" w:eastAsia="Calibri" w:hAnsi="Cambria" w:cs="Calibri"/>
          <w:sz w:val="20"/>
          <w:szCs w:val="20"/>
          <w:lang w:val="en"/>
        </w:rPr>
        <w:t>will be</w:t>
      </w:r>
      <w:r w:rsidRPr="00B961F7">
        <w:rPr>
          <w:rFonts w:ascii="Cambria" w:eastAsia="Calibri" w:hAnsi="Cambria" w:cs="Calibri"/>
          <w:i/>
          <w:sz w:val="20"/>
          <w:szCs w:val="20"/>
          <w:lang w:val="en"/>
        </w:rPr>
        <w:t xml:space="preserve"> </w:t>
      </w:r>
      <w:r w:rsidRPr="00B961F7">
        <w:rPr>
          <w:rFonts w:ascii="Cambria" w:eastAsia="Calibri" w:hAnsi="Cambria" w:cs="Calibri"/>
          <w:sz w:val="20"/>
          <w:szCs w:val="20"/>
          <w:lang w:val="en"/>
        </w:rPr>
        <w:t>weakened. The United States Federal Government budgeting process is itself a complex and unique process. Several stages that must be passed are:</w:t>
      </w:r>
    </w:p>
    <w:p w14:paraId="43C6D274" w14:textId="77777777" w:rsidR="00B961F7" w:rsidRPr="00B961F7" w:rsidRDefault="00B961F7" w:rsidP="00B961F7">
      <w:pPr>
        <w:numPr>
          <w:ilvl w:val="0"/>
          <w:numId w:val="20"/>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submission of a budget proposal from the President to the Congress, </w:t>
      </w:r>
    </w:p>
    <w:p w14:paraId="3D8495A4" w14:textId="77777777" w:rsidR="00B961F7" w:rsidRPr="00B961F7" w:rsidRDefault="00B961F7" w:rsidP="00B961F7">
      <w:pPr>
        <w:numPr>
          <w:ilvl w:val="0"/>
          <w:numId w:val="20"/>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budget approval by Congress after going through various debates and discussions, and</w:t>
      </w:r>
    </w:p>
    <w:p w14:paraId="226D84D4" w14:textId="77777777" w:rsidR="00B961F7" w:rsidRPr="00B961F7" w:rsidRDefault="00B961F7" w:rsidP="00B961F7">
      <w:pPr>
        <w:numPr>
          <w:ilvl w:val="0"/>
          <w:numId w:val="20"/>
        </w:numPr>
        <w:spacing w:after="0" w:line="240" w:lineRule="auto"/>
        <w:ind w:left="360"/>
        <w:jc w:val="both"/>
        <w:rPr>
          <w:rFonts w:ascii="Cambria" w:eastAsia="Calibri" w:hAnsi="Cambria" w:cs="Calibri"/>
          <w:sz w:val="20"/>
          <w:szCs w:val="20"/>
          <w:lang w:val="en"/>
        </w:rPr>
      </w:pPr>
      <w:proofErr w:type="gramStart"/>
      <w:r w:rsidRPr="00B961F7">
        <w:rPr>
          <w:rFonts w:ascii="Cambria" w:eastAsia="Calibri" w:hAnsi="Cambria" w:cs="Calibri"/>
          <w:sz w:val="20"/>
          <w:szCs w:val="20"/>
          <w:lang w:val="en"/>
        </w:rPr>
        <w:t>final</w:t>
      </w:r>
      <w:proofErr w:type="gramEnd"/>
      <w:r w:rsidRPr="00B961F7">
        <w:rPr>
          <w:rFonts w:ascii="Cambria" w:eastAsia="Calibri" w:hAnsi="Cambria" w:cs="Calibri"/>
          <w:sz w:val="20"/>
          <w:szCs w:val="20"/>
          <w:lang w:val="en"/>
        </w:rPr>
        <w:t xml:space="preserve"> approval by the President. </w:t>
      </w:r>
    </w:p>
    <w:p w14:paraId="5E8D8118" w14:textId="77777777" w:rsidR="00B961F7" w:rsidRPr="00B961F7" w:rsidRDefault="00B961F7" w:rsidP="00B961F7">
      <w:pPr>
        <w:spacing w:after="0" w:line="240" w:lineRule="auto"/>
        <w:jc w:val="both"/>
        <w:rPr>
          <w:rFonts w:ascii="Cambria" w:eastAsia="Calibri" w:hAnsi="Cambria" w:cs="Calibri"/>
          <w:sz w:val="20"/>
          <w:szCs w:val="20"/>
          <w:lang w:val="en"/>
        </w:rPr>
      </w:pPr>
      <w:r w:rsidRPr="00B961F7">
        <w:rPr>
          <w:rFonts w:ascii="Cambria" w:eastAsia="Calibri" w:hAnsi="Cambria" w:cs="Calibri"/>
          <w:sz w:val="20"/>
          <w:szCs w:val="20"/>
          <w:lang w:val="en"/>
        </w:rPr>
        <w:t>The budget preparation process will be even more complex if the elected president does not come from the same party as the majority of members of congress.</w:t>
      </w:r>
    </w:p>
    <w:p w14:paraId="759E6BE1" w14:textId="77777777" w:rsidR="00B961F7" w:rsidRPr="00B961F7" w:rsidRDefault="00B961F7" w:rsidP="00B961F7">
      <w:pPr>
        <w:spacing w:after="0" w:line="240" w:lineRule="auto"/>
        <w:jc w:val="both"/>
        <w:rPr>
          <w:rFonts w:ascii="Cambria" w:eastAsia="Calibri" w:hAnsi="Cambria" w:cs="Calibri"/>
          <w:sz w:val="20"/>
          <w:szCs w:val="20"/>
          <w:lang w:val="en"/>
        </w:rPr>
      </w:pPr>
      <w:r w:rsidRPr="00B961F7">
        <w:rPr>
          <w:rFonts w:ascii="Cambria" w:eastAsia="Calibri" w:hAnsi="Cambria" w:cs="Calibri"/>
          <w:sz w:val="20"/>
          <w:szCs w:val="20"/>
          <w:lang w:val="en"/>
        </w:rPr>
        <w:tab/>
        <w:t>For the budget preparation process in Indonesia, Law Number 17 of 2003 states the steps for preparing and determining the State Revenue and Expenditure Budget (APBN) as follows.</w:t>
      </w:r>
    </w:p>
    <w:p w14:paraId="599D81BC" w14:textId="77777777" w:rsidR="00B961F7" w:rsidRPr="00B961F7" w:rsidRDefault="00B961F7" w:rsidP="00B961F7">
      <w:pPr>
        <w:numPr>
          <w:ilvl w:val="2"/>
          <w:numId w:val="19"/>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The central government submits the main points of fiscal policy and macroeconomic framework for the following fiscal year to the House of Representatives (DPR) by mid-May of the current year.</w:t>
      </w:r>
    </w:p>
    <w:p w14:paraId="0A86F1D3" w14:textId="77777777" w:rsidR="00B961F7" w:rsidRPr="00B961F7" w:rsidRDefault="00B961F7" w:rsidP="00B961F7">
      <w:pPr>
        <w:numPr>
          <w:ilvl w:val="2"/>
          <w:numId w:val="19"/>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The central government and the House of Representatives (DPR) discussed the macroeconomic framework and the main points of fiscal policies proposed by the Central Government in the preliminary discussions on the draft State Revenue and Expenditure Budget (APBN) for the following fiscal year.</w:t>
      </w:r>
    </w:p>
    <w:p w14:paraId="75F7EE09" w14:textId="77777777" w:rsidR="00B961F7" w:rsidRPr="00B961F7" w:rsidRDefault="00B961F7" w:rsidP="00B961F7">
      <w:pPr>
        <w:numPr>
          <w:ilvl w:val="2"/>
          <w:numId w:val="19"/>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The Central Government submitted a Draft Law on State Revenue and Expenditure Budget (APBN) along with financial notes and supporting documents to the House of Representatives (DPR) in August of the previous year.</w:t>
      </w:r>
    </w:p>
    <w:p w14:paraId="4373CCED" w14:textId="77777777" w:rsidR="00B961F7" w:rsidRPr="00B961F7" w:rsidRDefault="00B961F7" w:rsidP="00B961F7">
      <w:pPr>
        <w:numPr>
          <w:ilvl w:val="2"/>
          <w:numId w:val="19"/>
        </w:numPr>
        <w:spacing w:after="0" w:line="240" w:lineRule="auto"/>
        <w:ind w:left="360"/>
        <w:jc w:val="both"/>
        <w:rPr>
          <w:rFonts w:ascii="Cambria" w:eastAsia="Calibri" w:hAnsi="Cambria" w:cs="Calibri"/>
          <w:sz w:val="20"/>
          <w:szCs w:val="20"/>
          <w:lang w:val="en"/>
        </w:rPr>
      </w:pPr>
      <w:r w:rsidRPr="00B961F7">
        <w:rPr>
          <w:rFonts w:ascii="Cambria" w:eastAsia="Calibri" w:hAnsi="Cambria" w:cs="Calibri"/>
          <w:sz w:val="20"/>
          <w:szCs w:val="20"/>
          <w:lang w:val="en"/>
        </w:rPr>
        <w:t>Decision making by the House of Representatives (DPR) regarding the Draft Law on the State Revenue and Expenditure Budget (APBN) is carried out no later than two months before the implementation of the relevant fiscal year.</w:t>
      </w:r>
    </w:p>
    <w:p w14:paraId="4C896B1A" w14:textId="77777777" w:rsidR="00B961F7" w:rsidRPr="00B961F7" w:rsidRDefault="00B961F7" w:rsidP="00B961F7">
      <w:pPr>
        <w:spacing w:after="0" w:line="240" w:lineRule="auto"/>
        <w:jc w:val="both"/>
        <w:rPr>
          <w:rFonts w:ascii="Cambria" w:eastAsia="Calibri" w:hAnsi="Cambria" w:cs="Calibri"/>
          <w:sz w:val="20"/>
          <w:szCs w:val="20"/>
          <w:lang w:val="en"/>
        </w:rPr>
      </w:pPr>
      <w:r w:rsidRPr="00B961F7">
        <w:rPr>
          <w:rFonts w:ascii="Cambria" w:eastAsia="Calibri" w:hAnsi="Cambria" w:cs="Calibri"/>
          <w:sz w:val="20"/>
          <w:szCs w:val="20"/>
          <w:lang w:val="en"/>
        </w:rPr>
        <w:tab/>
        <w:t>Looking at the stages of formulating and stipulating the State Budget (APBN), it is possible that market players have committed speculation during the initial drafting stage prior to the passage of the current year's APBN. Apart from that, market players are also waiting for the government's continued policy on the State Budget (APBN) which has been passed to make investment decisions that are profitable for them.</w:t>
      </w:r>
    </w:p>
    <w:p w14:paraId="4EDE9777" w14:textId="77777777" w:rsidR="00B961F7" w:rsidRPr="00B961F7" w:rsidRDefault="00B961F7" w:rsidP="00B961F7">
      <w:pPr>
        <w:pStyle w:val="ListParagraph"/>
        <w:numPr>
          <w:ilvl w:val="1"/>
          <w:numId w:val="2"/>
        </w:numPr>
        <w:pBdr>
          <w:top w:val="nil"/>
          <w:left w:val="nil"/>
          <w:bottom w:val="nil"/>
          <w:right w:val="nil"/>
          <w:between w:val="nil"/>
        </w:pBdr>
        <w:spacing w:after="0" w:line="240" w:lineRule="auto"/>
        <w:ind w:left="993" w:hanging="426"/>
        <w:rPr>
          <w:rFonts w:ascii="Cambria" w:eastAsia="Calibri" w:hAnsi="Cambria" w:cs="Calibri"/>
          <w:b/>
          <w:color w:val="000000"/>
          <w:sz w:val="20"/>
          <w:szCs w:val="20"/>
          <w:lang w:val="en"/>
        </w:rPr>
      </w:pPr>
      <w:r w:rsidRPr="00B961F7">
        <w:rPr>
          <w:rFonts w:ascii="Cambria" w:eastAsia="Calibri" w:hAnsi="Cambria" w:cs="Calibri"/>
          <w:b/>
          <w:color w:val="000000"/>
          <w:sz w:val="20"/>
          <w:szCs w:val="20"/>
          <w:lang w:val="en"/>
        </w:rPr>
        <w:t>Discussion of Hypothesis III</w:t>
      </w:r>
    </w:p>
    <w:p w14:paraId="4C6593F6"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Testing the different reactions given by the capital market through the average trading volume activity between before and after the event of the ratification of the State Budget (APBN) mostly shows insignificant results at α = 5 percent. The insignificant difference in average trading volume activity (ATVA) is probably caused by market players who have anticipated the information contained in the ratification of the State Revenue and Expenditure Budget (APBN) in the early stages of its preparation. </w:t>
      </w:r>
    </w:p>
    <w:p w14:paraId="6FEA1523"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 xml:space="preserve">Oliveira (2014) in his research on the influence of the government budget on the Portuguese capital market states that the existing empirical evidence shows that the government budget affects stock returns not only at the time of publication or publication to the public but also when determining various decisions in the process to compile a document. </w:t>
      </w:r>
      <w:proofErr w:type="gramStart"/>
      <w:r w:rsidRPr="00B961F7">
        <w:rPr>
          <w:rFonts w:ascii="Cambria" w:eastAsia="Calibri" w:hAnsi="Cambria" w:cs="Calibri"/>
          <w:sz w:val="20"/>
          <w:szCs w:val="20"/>
          <w:lang w:val="en"/>
        </w:rPr>
        <w:t>budget</w:t>
      </w:r>
      <w:proofErr w:type="gramEnd"/>
      <w:r w:rsidRPr="00B961F7">
        <w:rPr>
          <w:rFonts w:ascii="Cambria" w:eastAsia="Calibri" w:hAnsi="Cambria" w:cs="Calibri"/>
          <w:sz w:val="20"/>
          <w:szCs w:val="20"/>
          <w:lang w:val="en"/>
        </w:rPr>
        <w:t>. In addition, in responding to information related to the ratification of the State Revenue and Expenditure Budget (APBN), market players tend to take a wait and see action on follow-up policies formulated in the State Revenue and Expenditure Budget (APBN). Therefore, the transactions carried out by market participants after the event tend not to experience significant movements.</w:t>
      </w:r>
    </w:p>
    <w:p w14:paraId="0239D894" w14:textId="77777777" w:rsidR="00B961F7" w:rsidRPr="00B961F7" w:rsidRDefault="00B961F7" w:rsidP="00B961F7">
      <w:pPr>
        <w:spacing w:after="0" w:line="240" w:lineRule="auto"/>
        <w:ind w:firstLine="720"/>
        <w:jc w:val="both"/>
        <w:rPr>
          <w:rFonts w:ascii="Cambria" w:eastAsia="Calibri" w:hAnsi="Cambria" w:cs="Calibri"/>
          <w:sz w:val="20"/>
          <w:szCs w:val="20"/>
          <w:lang w:val="en"/>
        </w:rPr>
      </w:pPr>
      <w:r w:rsidRPr="00B961F7">
        <w:rPr>
          <w:rFonts w:ascii="Cambria" w:eastAsia="Calibri" w:hAnsi="Cambria" w:cs="Calibri"/>
          <w:sz w:val="20"/>
          <w:szCs w:val="20"/>
          <w:lang w:val="en"/>
        </w:rPr>
        <w:t>For the event of ratification of the State Budget (APBN) for Fiscal Year 2010, the test results show that there is a significant difference between the average trading volume activity (ATVA) before and after the event. This means that market players consider that the event of the ratification of the State Budget (APBN) for Fiscal Year 2010 contains an informative value in the form of good news so that the number of traded shares (share trading volume) has increased compared to before.</w:t>
      </w:r>
    </w:p>
    <w:p w14:paraId="19FC8DF8" w14:textId="77777777" w:rsidR="00A57078" w:rsidRPr="00BD6CA4" w:rsidRDefault="00A57078" w:rsidP="006F084E">
      <w:pPr>
        <w:spacing w:before="120" w:after="120" w:line="240" w:lineRule="auto"/>
        <w:ind w:firstLine="567"/>
        <w:jc w:val="both"/>
        <w:rPr>
          <w:rFonts w:ascii="Book Antiqua" w:eastAsia="Times New Roman" w:hAnsi="Book Antiqua" w:cs="Times New Roman"/>
          <w:color w:val="000000"/>
        </w:rPr>
      </w:pPr>
    </w:p>
    <w:p w14:paraId="08DF32D2" w14:textId="77777777" w:rsidR="00A57078" w:rsidRPr="008A00D4" w:rsidRDefault="00A57078" w:rsidP="003830D1">
      <w:pPr>
        <w:pStyle w:val="ListParagraph"/>
        <w:numPr>
          <w:ilvl w:val="0"/>
          <w:numId w:val="2"/>
        </w:numPr>
        <w:spacing w:before="120" w:after="120" w:line="240" w:lineRule="auto"/>
        <w:ind w:left="567" w:hanging="567"/>
        <w:jc w:val="both"/>
        <w:rPr>
          <w:rFonts w:eastAsia="Times New Roman" w:cstheme="minorHAnsi"/>
          <w:b/>
          <w:sz w:val="24"/>
          <w:szCs w:val="24"/>
        </w:rPr>
      </w:pPr>
      <w:r w:rsidRPr="008A00D4">
        <w:rPr>
          <w:rFonts w:eastAsia="Times New Roman" w:cstheme="minorHAnsi"/>
          <w:b/>
          <w:color w:val="000000"/>
          <w:sz w:val="24"/>
          <w:szCs w:val="24"/>
        </w:rPr>
        <w:t>Conclusion, Limitations, and Suggestions</w:t>
      </w:r>
    </w:p>
    <w:p w14:paraId="75AD5FF4" w14:textId="77777777" w:rsidR="00B136FE" w:rsidRPr="008A00D4" w:rsidRDefault="00644504" w:rsidP="00B35125">
      <w:pPr>
        <w:spacing w:before="120" w:after="120" w:line="240" w:lineRule="auto"/>
        <w:jc w:val="both"/>
        <w:outlineLvl w:val="0"/>
        <w:rPr>
          <w:rFonts w:eastAsia="Times New Roman" w:cstheme="minorHAnsi"/>
          <w:b/>
          <w:bCs/>
          <w:kern w:val="36"/>
        </w:rPr>
      </w:pPr>
      <w:r w:rsidRPr="008A00D4">
        <w:rPr>
          <w:rFonts w:eastAsia="Times New Roman" w:cstheme="minorHAnsi"/>
          <w:b/>
          <w:bCs/>
          <w:kern w:val="36"/>
        </w:rPr>
        <w:t>Conclusion</w:t>
      </w:r>
    </w:p>
    <w:p w14:paraId="5DBD9F41" w14:textId="77777777" w:rsidR="004D1711" w:rsidRPr="004D1711" w:rsidRDefault="004D1711" w:rsidP="004D1711">
      <w:pPr>
        <w:spacing w:before="120" w:after="120" w:line="240" w:lineRule="auto"/>
        <w:ind w:firstLine="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Based on the results of the testing and discussion that have been presented in the previous section, the conclusions of this study are as follows.</w:t>
      </w:r>
    </w:p>
    <w:p w14:paraId="4E937427" w14:textId="77777777" w:rsidR="004D1711" w:rsidRPr="004D1711" w:rsidRDefault="004D1711" w:rsidP="004D1711">
      <w:pPr>
        <w:spacing w:before="120" w:after="12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1.</w:t>
      </w:r>
      <w:r w:rsidRPr="004D1711">
        <w:rPr>
          <w:rFonts w:ascii="Cambria" w:eastAsia="Times New Roman" w:hAnsi="Cambria" w:cs="Times New Roman"/>
          <w:color w:val="000000"/>
          <w:sz w:val="20"/>
          <w:szCs w:val="20"/>
        </w:rPr>
        <w:tab/>
        <w:t>The ratification of the State Revenue and Expenditure Budget (APBN) for the 2010–2019 fiscal year gave abnormal return market players an. Thus, the Indonesian capital market can be said to be a capital market with a semi-strong form because the reaction of the capital market through the abnormal returns received by market players around the ratification of the State Budget (APBN) shows the speed of the market in absorbing information received. However, the test results of the 2018 State Revenue and Expenditure Budget (APBN) did not show any abnormal returns significant around the day the State Revenue and Expenditure Budget (APBN) was ratified.</w:t>
      </w:r>
    </w:p>
    <w:p w14:paraId="09DBD975" w14:textId="77777777" w:rsidR="004D1711" w:rsidRPr="004D1711" w:rsidRDefault="004D1711" w:rsidP="004D1711">
      <w:pPr>
        <w:spacing w:before="120" w:after="12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2.</w:t>
      </w:r>
      <w:r w:rsidRPr="004D1711">
        <w:rPr>
          <w:rFonts w:ascii="Cambria" w:eastAsia="Times New Roman" w:hAnsi="Cambria" w:cs="Times New Roman"/>
          <w:color w:val="000000"/>
          <w:sz w:val="20"/>
          <w:szCs w:val="20"/>
        </w:rPr>
        <w:tab/>
        <w:t xml:space="preserve">There is no significant difference in average abnormal return (AAR) between before and after the event of ratification of the State Revenue and Expenditure Budget (APBN) for the 2010–2019 fiscal year. The absence of a significant difference between the average abnormal return (AAR) before and after the event </w:t>
      </w:r>
      <w:r w:rsidRPr="004D1711">
        <w:rPr>
          <w:rFonts w:ascii="Cambria" w:eastAsia="Times New Roman" w:hAnsi="Cambria" w:cs="Times New Roman"/>
          <w:color w:val="000000"/>
          <w:sz w:val="20"/>
          <w:szCs w:val="20"/>
        </w:rPr>
        <w:lastRenderedPageBreak/>
        <w:t>led to allegations of speculative action by market players during the other State Revenue and Expenditure Budget (APBN) preparation stages prior to its approval.</w:t>
      </w:r>
    </w:p>
    <w:p w14:paraId="1747004A" w14:textId="5A0662F7" w:rsidR="00B136FE" w:rsidRPr="008A00D4" w:rsidRDefault="004D1711" w:rsidP="004D1711">
      <w:pPr>
        <w:spacing w:before="120" w:after="120" w:line="240" w:lineRule="auto"/>
        <w:ind w:left="567" w:hanging="567"/>
        <w:jc w:val="both"/>
        <w:rPr>
          <w:rFonts w:ascii="Cambria" w:eastAsia="Times New Roman" w:hAnsi="Cambria" w:cs="Times New Roman"/>
          <w:sz w:val="20"/>
          <w:szCs w:val="20"/>
        </w:rPr>
      </w:pPr>
      <w:r w:rsidRPr="004D1711">
        <w:rPr>
          <w:rFonts w:ascii="Cambria" w:eastAsia="Times New Roman" w:hAnsi="Cambria" w:cs="Times New Roman"/>
          <w:color w:val="000000"/>
          <w:sz w:val="20"/>
          <w:szCs w:val="20"/>
        </w:rPr>
        <w:t>3.</w:t>
      </w:r>
      <w:r w:rsidRPr="004D1711">
        <w:rPr>
          <w:rFonts w:ascii="Cambria" w:eastAsia="Times New Roman" w:hAnsi="Cambria" w:cs="Times New Roman"/>
          <w:color w:val="000000"/>
          <w:sz w:val="20"/>
          <w:szCs w:val="20"/>
        </w:rPr>
        <w:tab/>
        <w:t>There is no difference in average trading volume activity (ATVA) between before and after the event of the ratification of the State Revenue and Expenditure Budget (APBN) for the 2011–2019 fiscal year. This is due to the fact that some market players have made their investment decisions at the State Budget preparation stage prior to the endorsement and some other market players have taken action wait and see on further policies to be implemented by the Government. However, for the State Budget (APBN) for the Fiscal Year 2010, there is a difference in average trading volume activity (ATVA) between before and after the event of ratification</w:t>
      </w:r>
      <w:r>
        <w:rPr>
          <w:rFonts w:ascii="Cambria" w:eastAsia="Times New Roman" w:hAnsi="Cambria" w:cs="Times New Roman"/>
          <w:color w:val="000000"/>
          <w:sz w:val="20"/>
          <w:szCs w:val="20"/>
        </w:rPr>
        <w:t>.</w:t>
      </w:r>
    </w:p>
    <w:p w14:paraId="19E2D90C" w14:textId="77777777" w:rsidR="00644504" w:rsidRPr="008A00D4" w:rsidRDefault="003830D1" w:rsidP="00644504">
      <w:pPr>
        <w:spacing w:before="120" w:after="120" w:line="240" w:lineRule="auto"/>
        <w:jc w:val="both"/>
        <w:outlineLvl w:val="0"/>
        <w:rPr>
          <w:rFonts w:eastAsia="Times New Roman" w:cstheme="minorHAnsi"/>
          <w:b/>
          <w:bCs/>
          <w:kern w:val="36"/>
        </w:rPr>
      </w:pPr>
      <w:r>
        <w:rPr>
          <w:rFonts w:eastAsia="Times New Roman" w:cstheme="minorHAnsi"/>
          <w:b/>
          <w:bCs/>
          <w:kern w:val="36"/>
        </w:rPr>
        <w:t>Limitation and s</w:t>
      </w:r>
      <w:r w:rsidR="00644504" w:rsidRPr="008A00D4">
        <w:rPr>
          <w:rFonts w:eastAsia="Times New Roman" w:cstheme="minorHAnsi"/>
          <w:b/>
          <w:bCs/>
          <w:kern w:val="36"/>
        </w:rPr>
        <w:t>uggestions</w:t>
      </w:r>
    </w:p>
    <w:p w14:paraId="33C47F85" w14:textId="31E474E3" w:rsidR="004D1711" w:rsidRPr="004D1711" w:rsidRDefault="004D1711" w:rsidP="004D1711">
      <w:pPr>
        <w:spacing w:after="0" w:line="240" w:lineRule="auto"/>
        <w:ind w:firstLine="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Based on the research results that have been presented in the previous section, the following things can be taken i</w:t>
      </w:r>
      <w:r w:rsidR="00945F26">
        <w:rPr>
          <w:rFonts w:ascii="Cambria" w:eastAsia="Times New Roman" w:hAnsi="Cambria" w:cs="Times New Roman"/>
          <w:color w:val="000000"/>
          <w:sz w:val="20"/>
          <w:szCs w:val="20"/>
        </w:rPr>
        <w:t xml:space="preserve">nto consideration, </w:t>
      </w:r>
      <w:proofErr w:type="gramStart"/>
      <w:r w:rsidR="00945F26">
        <w:rPr>
          <w:rFonts w:ascii="Cambria" w:eastAsia="Times New Roman" w:hAnsi="Cambria" w:cs="Times New Roman"/>
          <w:color w:val="000000"/>
          <w:sz w:val="20"/>
          <w:szCs w:val="20"/>
        </w:rPr>
        <w:t>including :</w:t>
      </w:r>
      <w:proofErr w:type="gramEnd"/>
    </w:p>
    <w:p w14:paraId="145CDAE6" w14:textId="673043E8" w:rsidR="004D1711" w:rsidRPr="004D1711" w:rsidRDefault="004D1711" w:rsidP="00945F26">
      <w:pPr>
        <w:spacing w:after="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1.</w:t>
      </w:r>
      <w:r w:rsidRPr="004D1711">
        <w:rPr>
          <w:rFonts w:ascii="Cambria" w:eastAsia="Times New Roman" w:hAnsi="Cambria" w:cs="Times New Roman"/>
          <w:color w:val="000000"/>
          <w:sz w:val="20"/>
          <w:szCs w:val="20"/>
        </w:rPr>
        <w:tab/>
      </w:r>
      <w:r w:rsidR="00945F26">
        <w:rPr>
          <w:rFonts w:ascii="Cambria" w:eastAsia="Times New Roman" w:hAnsi="Cambria" w:cs="Times New Roman"/>
          <w:color w:val="000000"/>
          <w:sz w:val="20"/>
          <w:szCs w:val="20"/>
        </w:rPr>
        <w:t xml:space="preserve">The </w:t>
      </w:r>
      <w:r w:rsidRPr="004D1711">
        <w:rPr>
          <w:rFonts w:ascii="Cambria" w:eastAsia="Times New Roman" w:hAnsi="Cambria" w:cs="Times New Roman"/>
          <w:color w:val="000000"/>
          <w:sz w:val="20"/>
          <w:szCs w:val="20"/>
        </w:rPr>
        <w:t xml:space="preserve">government, especially the Ministry of Finance should prevent confusion in budget-related information that can lead to negative assumptions of market players that tend to encourage pessimism. </w:t>
      </w:r>
      <w:proofErr w:type="gramStart"/>
      <w:r w:rsidRPr="004D1711">
        <w:rPr>
          <w:rFonts w:ascii="Cambria" w:eastAsia="Times New Roman" w:hAnsi="Cambria" w:cs="Times New Roman"/>
          <w:color w:val="000000"/>
          <w:sz w:val="20"/>
          <w:szCs w:val="20"/>
        </w:rPr>
        <w:t>in</w:t>
      </w:r>
      <w:proofErr w:type="gramEnd"/>
      <w:r w:rsidRPr="004D1711">
        <w:rPr>
          <w:rFonts w:ascii="Cambria" w:eastAsia="Times New Roman" w:hAnsi="Cambria" w:cs="Times New Roman"/>
          <w:color w:val="000000"/>
          <w:sz w:val="20"/>
          <w:szCs w:val="20"/>
        </w:rPr>
        <w:t xml:space="preserve"> the capital market. Information that has not been verified should be clarified immediately in order to prevent further weakening of the stock price index.</w:t>
      </w:r>
    </w:p>
    <w:p w14:paraId="49466B44" w14:textId="77777777" w:rsidR="004D1711" w:rsidRPr="004D1711" w:rsidRDefault="004D1711" w:rsidP="00945F26">
      <w:pPr>
        <w:spacing w:after="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2.</w:t>
      </w:r>
      <w:r w:rsidRPr="004D1711">
        <w:rPr>
          <w:rFonts w:ascii="Cambria" w:eastAsia="Times New Roman" w:hAnsi="Cambria" w:cs="Times New Roman"/>
          <w:color w:val="000000"/>
          <w:sz w:val="20"/>
          <w:szCs w:val="20"/>
        </w:rPr>
        <w:tab/>
        <w:t>The government, particularly the Ministry of Finance, also needs to formulate advanced policies from the various policies that have been outlined in the State Revenue and Expenditure Budget (APBN) quickly and accurately in order to reduce the uncertainty of market players.</w:t>
      </w:r>
    </w:p>
    <w:p w14:paraId="2D8DF502" w14:textId="77777777" w:rsidR="004D1711" w:rsidRPr="004D1711" w:rsidRDefault="004D1711" w:rsidP="00945F26">
      <w:pPr>
        <w:spacing w:after="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3.</w:t>
      </w:r>
      <w:r w:rsidRPr="004D1711">
        <w:rPr>
          <w:rFonts w:ascii="Cambria" w:eastAsia="Times New Roman" w:hAnsi="Cambria" w:cs="Times New Roman"/>
          <w:color w:val="000000"/>
          <w:sz w:val="20"/>
          <w:szCs w:val="20"/>
        </w:rPr>
        <w:tab/>
        <w:t>In addition, it is hoped that the government (Ministry of Finance) will further increase the socialization of various advanced policies that have been described in the State Revenue and Expenditure Budget (APBN) in order to encourage investment in the capital market in line with the reduced uncertainty related to these policies.</w:t>
      </w:r>
      <w:bookmarkStart w:id="0" w:name="_GoBack"/>
      <w:bookmarkEnd w:id="0"/>
    </w:p>
    <w:p w14:paraId="39FD1762" w14:textId="77777777" w:rsidR="004D1711" w:rsidRPr="004D1711" w:rsidRDefault="004D1711" w:rsidP="00945F26">
      <w:pPr>
        <w:spacing w:after="0" w:line="240" w:lineRule="auto"/>
        <w:ind w:left="567" w:hanging="567"/>
        <w:jc w:val="both"/>
        <w:rPr>
          <w:rFonts w:ascii="Cambria" w:eastAsia="Times New Roman" w:hAnsi="Cambria" w:cs="Times New Roman"/>
          <w:color w:val="000000"/>
          <w:sz w:val="20"/>
          <w:szCs w:val="20"/>
        </w:rPr>
      </w:pPr>
      <w:r w:rsidRPr="004D1711">
        <w:rPr>
          <w:rFonts w:ascii="Cambria" w:eastAsia="Times New Roman" w:hAnsi="Cambria" w:cs="Times New Roman"/>
          <w:color w:val="000000"/>
          <w:sz w:val="20"/>
          <w:szCs w:val="20"/>
        </w:rPr>
        <w:t>4.</w:t>
      </w:r>
      <w:r w:rsidRPr="004D1711">
        <w:rPr>
          <w:rFonts w:ascii="Cambria" w:eastAsia="Times New Roman" w:hAnsi="Cambria" w:cs="Times New Roman"/>
          <w:color w:val="000000"/>
          <w:sz w:val="20"/>
          <w:szCs w:val="20"/>
        </w:rPr>
        <w:tab/>
        <w:t xml:space="preserve">Market players on the Indonesia Stock Exchange (IDX) can make the event of the ratification of the State Revenue and Expenditure Budget (APBN) as information in making decisions on their investment by remaining careful in analyzing relevant information and conditions of the Indonesian capital market so that the decisions taken are accurate. </w:t>
      </w:r>
    </w:p>
    <w:p w14:paraId="35C015D7" w14:textId="31C22B33" w:rsidR="00A57078" w:rsidRDefault="004D1711" w:rsidP="00945F26">
      <w:pPr>
        <w:spacing w:after="0" w:line="240" w:lineRule="auto"/>
        <w:ind w:left="567" w:hanging="567"/>
        <w:jc w:val="both"/>
        <w:rPr>
          <w:rFonts w:ascii="Cambria" w:eastAsia="Times New Roman" w:hAnsi="Cambria" w:cs="Times New Roman"/>
          <w:sz w:val="20"/>
          <w:szCs w:val="20"/>
        </w:rPr>
      </w:pPr>
      <w:r w:rsidRPr="004D1711">
        <w:rPr>
          <w:rFonts w:ascii="Cambria" w:eastAsia="Times New Roman" w:hAnsi="Cambria" w:cs="Times New Roman"/>
          <w:color w:val="000000"/>
          <w:sz w:val="20"/>
          <w:szCs w:val="20"/>
        </w:rPr>
        <w:t>5.</w:t>
      </w:r>
      <w:r w:rsidRPr="004D1711">
        <w:rPr>
          <w:rFonts w:ascii="Cambria" w:eastAsia="Times New Roman" w:hAnsi="Cambria" w:cs="Times New Roman"/>
          <w:color w:val="000000"/>
          <w:sz w:val="20"/>
          <w:szCs w:val="20"/>
        </w:rPr>
        <w:tab/>
        <w:t>Issuers listed on the Indonesia Stock Exchange can make the event of ratification of the State Budget (APBN) as information in making wise decisions related to finance, company work processes, business expansion, and other decisions that are closely related to the company's business continuity.</w:t>
      </w:r>
    </w:p>
    <w:p w14:paraId="0100004C" w14:textId="77777777" w:rsidR="00945F26" w:rsidRPr="00945F26" w:rsidRDefault="00945F26" w:rsidP="00945F26">
      <w:pPr>
        <w:spacing w:after="0" w:line="240" w:lineRule="auto"/>
        <w:ind w:left="567" w:hanging="567"/>
        <w:jc w:val="both"/>
        <w:rPr>
          <w:rFonts w:ascii="Cambria" w:eastAsia="Times New Roman" w:hAnsi="Cambria" w:cs="Times New Roman"/>
          <w:sz w:val="20"/>
          <w:szCs w:val="20"/>
        </w:rPr>
      </w:pPr>
    </w:p>
    <w:p w14:paraId="2512A981" w14:textId="781822FF" w:rsidR="00A57078" w:rsidRDefault="00A57078" w:rsidP="00A57078">
      <w:pPr>
        <w:spacing w:before="120" w:after="120" w:line="240" w:lineRule="auto"/>
        <w:jc w:val="both"/>
        <w:rPr>
          <w:rFonts w:eastAsia="Times New Roman" w:cstheme="minorHAnsi"/>
          <w:b/>
          <w:color w:val="000000"/>
          <w:sz w:val="24"/>
          <w:szCs w:val="24"/>
        </w:rPr>
      </w:pPr>
      <w:r w:rsidRPr="008A00D4">
        <w:rPr>
          <w:rFonts w:eastAsia="Times New Roman" w:cstheme="minorHAnsi"/>
          <w:b/>
          <w:color w:val="000000"/>
          <w:sz w:val="24"/>
          <w:szCs w:val="24"/>
        </w:rPr>
        <w:t>Ref</w:t>
      </w:r>
      <w:r w:rsidR="008A00D4" w:rsidRPr="008A00D4">
        <w:rPr>
          <w:rFonts w:eastAsia="Times New Roman" w:cstheme="minorHAnsi"/>
          <w:b/>
          <w:color w:val="000000"/>
          <w:sz w:val="24"/>
          <w:szCs w:val="24"/>
        </w:rPr>
        <w:t>e</w:t>
      </w:r>
      <w:r w:rsidRPr="008A00D4">
        <w:rPr>
          <w:rFonts w:eastAsia="Times New Roman" w:cstheme="minorHAnsi"/>
          <w:b/>
          <w:color w:val="000000"/>
          <w:sz w:val="24"/>
          <w:szCs w:val="24"/>
        </w:rPr>
        <w:t>rences</w:t>
      </w:r>
    </w:p>
    <w:p w14:paraId="6004028B" w14:textId="3CE4A924" w:rsidR="00945F26" w:rsidRPr="00945F26" w:rsidRDefault="00945F26" w:rsidP="00945F26">
      <w:pPr>
        <w:spacing w:after="0" w:line="360" w:lineRule="auto"/>
        <w:ind w:left="360" w:hanging="360"/>
        <w:jc w:val="both"/>
        <w:rPr>
          <w:rFonts w:ascii="Calibri" w:eastAsia="Times New Roman" w:hAnsi="Calibri" w:cs="Calibri"/>
          <w:b/>
          <w:sz w:val="20"/>
          <w:szCs w:val="20"/>
        </w:rPr>
      </w:pPr>
      <w:r w:rsidRPr="00945F26">
        <w:rPr>
          <w:rFonts w:ascii="Calibri" w:eastAsia="Times New Roman" w:hAnsi="Calibri" w:cs="Calibri"/>
          <w:b/>
          <w:sz w:val="20"/>
          <w:szCs w:val="20"/>
          <w:lang w:val="en"/>
        </w:rPr>
        <w:t>Books and Other Resources</w:t>
      </w:r>
    </w:p>
    <w:p w14:paraId="14E26651" w14:textId="77777777" w:rsidR="00945F26" w:rsidRPr="00945F26" w:rsidRDefault="00945F26" w:rsidP="00945F26">
      <w:pPr>
        <w:spacing w:after="0" w:line="240" w:lineRule="auto"/>
        <w:ind w:left="567" w:hanging="567"/>
        <w:jc w:val="both"/>
        <w:rPr>
          <w:rFonts w:ascii="Cambria" w:eastAsia="Times New Roman" w:hAnsi="Cambria" w:cs="Calibri"/>
          <w:i/>
          <w:sz w:val="20"/>
          <w:szCs w:val="20"/>
          <w:lang w:val="en"/>
        </w:rPr>
      </w:pPr>
      <w:r w:rsidRPr="00945F26">
        <w:rPr>
          <w:rFonts w:ascii="Cambria" w:eastAsia="Times New Roman" w:hAnsi="Cambria" w:cs="Times New Roman"/>
          <w:sz w:val="20"/>
          <w:szCs w:val="20"/>
        </w:rPr>
        <w:t>Brown</w:t>
      </w:r>
      <w:r w:rsidRPr="00945F26">
        <w:rPr>
          <w:rFonts w:ascii="Cambria" w:eastAsia="Times New Roman" w:hAnsi="Cambria" w:cs="Calibri"/>
          <w:sz w:val="20"/>
          <w:szCs w:val="20"/>
          <w:lang w:val="en"/>
        </w:rPr>
        <w:t xml:space="preserve">, S.J.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Warner, J.B. 1985. Using Daily Stock Returns The Case of Event Studies. </w:t>
      </w:r>
      <w:r w:rsidRPr="00945F26">
        <w:rPr>
          <w:rFonts w:ascii="Cambria" w:eastAsia="Times New Roman" w:hAnsi="Cambria" w:cs="Calibri"/>
          <w:i/>
          <w:sz w:val="20"/>
          <w:szCs w:val="20"/>
          <w:lang w:val="en"/>
        </w:rPr>
        <w:t xml:space="preserve">Journal of Financial Economics, Vol. </w:t>
      </w:r>
      <w:proofErr w:type="gramStart"/>
      <w:r w:rsidRPr="00945F26">
        <w:rPr>
          <w:rFonts w:ascii="Cambria" w:eastAsia="Times New Roman" w:hAnsi="Cambria" w:cs="Calibri"/>
          <w:i/>
          <w:sz w:val="20"/>
          <w:szCs w:val="20"/>
          <w:lang w:val="en"/>
        </w:rPr>
        <w:t>14 :</w:t>
      </w:r>
      <w:proofErr w:type="gramEnd"/>
      <w:r w:rsidRPr="00945F26">
        <w:rPr>
          <w:rFonts w:ascii="Cambria" w:eastAsia="Times New Roman" w:hAnsi="Cambria" w:cs="Calibri"/>
          <w:i/>
          <w:sz w:val="20"/>
          <w:szCs w:val="20"/>
          <w:lang w:val="en"/>
        </w:rPr>
        <w:t xml:space="preserve"> 3 – 31 </w:t>
      </w:r>
    </w:p>
    <w:p w14:paraId="4C7BE068"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r w:rsidRPr="00945F26">
        <w:rPr>
          <w:rFonts w:ascii="Cambria" w:eastAsia="Times New Roman" w:hAnsi="Cambria" w:cs="Times New Roman"/>
          <w:sz w:val="20"/>
          <w:szCs w:val="20"/>
        </w:rPr>
        <w:t>Connelly</w:t>
      </w:r>
      <w:r w:rsidRPr="00945F26">
        <w:rPr>
          <w:rFonts w:ascii="Cambria" w:eastAsia="Times New Roman" w:hAnsi="Cambria" w:cs="Calibri"/>
          <w:sz w:val="20"/>
          <w:szCs w:val="20"/>
          <w:lang w:val="en"/>
        </w:rPr>
        <w:t xml:space="preserve">, B.L., </w:t>
      </w:r>
      <w:proofErr w:type="spellStart"/>
      <w:r w:rsidRPr="00945F26">
        <w:rPr>
          <w:rFonts w:ascii="Cambria" w:eastAsia="Times New Roman" w:hAnsi="Cambria" w:cs="Calibri"/>
          <w:sz w:val="20"/>
          <w:szCs w:val="20"/>
          <w:lang w:val="en"/>
        </w:rPr>
        <w:t>Certo</w:t>
      </w:r>
      <w:proofErr w:type="spellEnd"/>
      <w:r w:rsidRPr="00945F26">
        <w:rPr>
          <w:rFonts w:ascii="Cambria" w:eastAsia="Times New Roman" w:hAnsi="Cambria" w:cs="Calibri"/>
          <w:sz w:val="20"/>
          <w:szCs w:val="20"/>
          <w:lang w:val="en"/>
        </w:rPr>
        <w:t xml:space="preserve">, S.T., Ireland, R.D.,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Reutzel</w:t>
      </w:r>
      <w:proofErr w:type="spellEnd"/>
      <w:r w:rsidRPr="00945F26">
        <w:rPr>
          <w:rFonts w:ascii="Cambria" w:eastAsia="Times New Roman" w:hAnsi="Cambria" w:cs="Calibri"/>
          <w:sz w:val="20"/>
          <w:szCs w:val="20"/>
          <w:lang w:val="en"/>
        </w:rPr>
        <w:t xml:space="preserve">, C.R., 2010. Signaling theory: A review and assessment. </w:t>
      </w:r>
      <w:r w:rsidRPr="00945F26">
        <w:rPr>
          <w:rFonts w:ascii="Cambria" w:eastAsia="Times New Roman" w:hAnsi="Cambria" w:cs="Calibri"/>
          <w:i/>
          <w:iCs/>
          <w:sz w:val="20"/>
          <w:szCs w:val="20"/>
          <w:lang w:val="en"/>
        </w:rPr>
        <w:t>Journal of Management</w:t>
      </w:r>
      <w:r w:rsidRPr="00945F26">
        <w:rPr>
          <w:rFonts w:ascii="Cambria" w:eastAsia="Times New Roman" w:hAnsi="Cambria" w:cs="Calibri"/>
          <w:sz w:val="20"/>
          <w:szCs w:val="20"/>
          <w:lang w:val="en"/>
        </w:rPr>
        <w:t xml:space="preserve">, </w:t>
      </w:r>
      <w:r w:rsidRPr="00945F26">
        <w:rPr>
          <w:rFonts w:ascii="Cambria" w:eastAsia="Times New Roman" w:hAnsi="Cambria" w:cs="Calibri"/>
          <w:i/>
          <w:sz w:val="20"/>
          <w:szCs w:val="20"/>
          <w:lang w:val="en"/>
        </w:rPr>
        <w:t xml:space="preserve">Vol. </w:t>
      </w:r>
      <w:r w:rsidRPr="00945F26">
        <w:rPr>
          <w:rFonts w:ascii="Cambria" w:eastAsia="Times New Roman" w:hAnsi="Cambria" w:cs="Calibri"/>
          <w:i/>
          <w:iCs/>
          <w:sz w:val="20"/>
          <w:szCs w:val="20"/>
          <w:lang w:val="en"/>
        </w:rPr>
        <w:t xml:space="preserve">37 </w:t>
      </w:r>
      <w:r w:rsidRPr="00945F26">
        <w:rPr>
          <w:rFonts w:ascii="Cambria" w:eastAsia="Times New Roman" w:hAnsi="Cambria" w:cs="Calibri"/>
          <w:i/>
          <w:sz w:val="20"/>
          <w:szCs w:val="20"/>
          <w:lang w:val="en"/>
        </w:rPr>
        <w:t>(1): 39 – 67</w:t>
      </w:r>
      <w:r w:rsidRPr="00945F26">
        <w:rPr>
          <w:rFonts w:ascii="Cambria" w:eastAsia="Times New Roman" w:hAnsi="Cambria" w:cs="Calibri"/>
          <w:sz w:val="20"/>
          <w:szCs w:val="20"/>
          <w:lang w:val="en"/>
        </w:rPr>
        <w:t>.</w:t>
      </w:r>
    </w:p>
    <w:p w14:paraId="475CCB59"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proofErr w:type="spellStart"/>
      <w:r w:rsidRPr="00945F26">
        <w:rPr>
          <w:rFonts w:ascii="Cambria" w:eastAsia="Times New Roman" w:hAnsi="Cambria" w:cs="Times New Roman"/>
          <w:sz w:val="20"/>
          <w:szCs w:val="20"/>
        </w:rPr>
        <w:t>Darmadji</w:t>
      </w:r>
      <w:proofErr w:type="spellEnd"/>
      <w:r w:rsidRPr="00945F26">
        <w:rPr>
          <w:rFonts w:ascii="Cambria" w:eastAsia="Times New Roman" w:hAnsi="Cambria" w:cs="Calibri"/>
          <w:sz w:val="20"/>
          <w:szCs w:val="20"/>
          <w:lang w:val="en"/>
        </w:rPr>
        <w:t xml:space="preserve">, T.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Fakhruddin</w:t>
      </w:r>
      <w:proofErr w:type="spellEnd"/>
      <w:r w:rsidRPr="00945F26">
        <w:rPr>
          <w:rFonts w:ascii="Cambria" w:eastAsia="Times New Roman" w:hAnsi="Cambria" w:cs="Calibri"/>
          <w:sz w:val="20"/>
          <w:szCs w:val="20"/>
          <w:lang w:val="en"/>
        </w:rPr>
        <w:t xml:space="preserve">, H.M. 2012. </w:t>
      </w:r>
      <w:proofErr w:type="spellStart"/>
      <w:r w:rsidRPr="00945F26">
        <w:rPr>
          <w:rFonts w:ascii="Cambria" w:eastAsia="Times New Roman" w:hAnsi="Cambria" w:cs="Calibri"/>
          <w:i/>
          <w:sz w:val="20"/>
          <w:szCs w:val="20"/>
          <w:lang w:val="en"/>
        </w:rPr>
        <w:t>Pasar</w:t>
      </w:r>
      <w:proofErr w:type="spellEnd"/>
      <w:r w:rsidRPr="00945F26">
        <w:rPr>
          <w:rFonts w:ascii="Cambria" w:eastAsia="Times New Roman" w:hAnsi="Cambria" w:cs="Calibri"/>
          <w:i/>
          <w:sz w:val="20"/>
          <w:szCs w:val="20"/>
          <w:lang w:val="en"/>
        </w:rPr>
        <w:t xml:space="preserve"> Modal di </w:t>
      </w:r>
      <w:proofErr w:type="gramStart"/>
      <w:r w:rsidRPr="00945F26">
        <w:rPr>
          <w:rFonts w:ascii="Cambria" w:eastAsia="Times New Roman" w:hAnsi="Cambria" w:cs="Calibri"/>
          <w:i/>
          <w:sz w:val="20"/>
          <w:szCs w:val="20"/>
          <w:lang w:val="en"/>
        </w:rPr>
        <w:t>Indonesia :</w:t>
      </w:r>
      <w:proofErr w:type="gram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Pendekatan</w:t>
      </w:r>
      <w:proofErr w:type="spellEnd"/>
      <w:r w:rsidRPr="00945F26">
        <w:rPr>
          <w:rFonts w:ascii="Cambria" w:eastAsia="Times New Roman" w:hAnsi="Cambria" w:cs="Calibri"/>
          <w:i/>
          <w:sz w:val="20"/>
          <w:szCs w:val="20"/>
          <w:lang w:val="en"/>
        </w:rPr>
        <w:t xml:space="preserve"> Tanya </w:t>
      </w:r>
      <w:proofErr w:type="spellStart"/>
      <w:r w:rsidRPr="00945F26">
        <w:rPr>
          <w:rFonts w:ascii="Cambria" w:eastAsia="Times New Roman" w:hAnsi="Cambria" w:cs="Calibri"/>
          <w:i/>
          <w:sz w:val="20"/>
          <w:szCs w:val="20"/>
          <w:lang w:val="en"/>
        </w:rPr>
        <w:t>Jawab</w:t>
      </w:r>
      <w:proofErr w:type="spellEnd"/>
      <w:r w:rsidRPr="00945F26">
        <w:rPr>
          <w:rFonts w:ascii="Cambria" w:eastAsia="Times New Roman" w:hAnsi="Cambria" w:cs="Calibri"/>
          <w:sz w:val="20"/>
          <w:szCs w:val="20"/>
          <w:lang w:val="en"/>
        </w:rPr>
        <w:t xml:space="preserve">. </w:t>
      </w:r>
      <w:proofErr w:type="gramStart"/>
      <w:r w:rsidRPr="00945F26">
        <w:rPr>
          <w:rFonts w:ascii="Cambria" w:eastAsia="Times New Roman" w:hAnsi="Cambria" w:cs="Calibri"/>
          <w:sz w:val="20"/>
          <w:szCs w:val="20"/>
          <w:lang w:val="en"/>
        </w:rPr>
        <w:t>Jakarta :</w:t>
      </w:r>
      <w:proofErr w:type="gram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Salemba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Empat</w:t>
      </w:r>
      <w:proofErr w:type="spellEnd"/>
      <w:r w:rsidRPr="00945F26">
        <w:rPr>
          <w:rFonts w:ascii="Cambria" w:eastAsia="Times New Roman" w:hAnsi="Cambria" w:cs="Calibri"/>
          <w:sz w:val="20"/>
          <w:szCs w:val="20"/>
          <w:lang w:val="en"/>
        </w:rPr>
        <w:t>.</w:t>
      </w:r>
    </w:p>
    <w:p w14:paraId="4DF1FFCE" w14:textId="77777777" w:rsidR="00945F26" w:rsidRPr="00945F26" w:rsidRDefault="00945F26" w:rsidP="00945F26">
      <w:pPr>
        <w:spacing w:after="0" w:line="240" w:lineRule="auto"/>
        <w:ind w:left="567" w:hanging="567"/>
        <w:jc w:val="both"/>
        <w:rPr>
          <w:rFonts w:ascii="Cambria" w:eastAsia="Times New Roman" w:hAnsi="Cambria" w:cs="Calibri"/>
          <w:i/>
          <w:sz w:val="20"/>
          <w:szCs w:val="20"/>
          <w:lang w:val="en"/>
        </w:rPr>
      </w:pPr>
      <w:proofErr w:type="spellStart"/>
      <w:r w:rsidRPr="00945F26">
        <w:rPr>
          <w:rFonts w:ascii="Cambria" w:eastAsia="Times New Roman" w:hAnsi="Cambria" w:cs="Times New Roman"/>
          <w:sz w:val="20"/>
          <w:szCs w:val="20"/>
        </w:rPr>
        <w:t>Edirisinghe</w:t>
      </w:r>
      <w:proofErr w:type="spellEnd"/>
      <w:r w:rsidRPr="00945F26">
        <w:rPr>
          <w:rFonts w:ascii="Cambria" w:eastAsia="Times New Roman" w:hAnsi="Cambria" w:cs="Calibri"/>
          <w:sz w:val="20"/>
          <w:szCs w:val="20"/>
          <w:lang w:val="en"/>
        </w:rPr>
        <w:t xml:space="preserve">, C. 2017. Impact of Government Budget Announcement on Stock Market Sector Indices: Evidence from Colombo Stock Exchange. </w:t>
      </w:r>
      <w:r w:rsidRPr="00945F26">
        <w:rPr>
          <w:rFonts w:ascii="Cambria" w:eastAsia="Times New Roman" w:hAnsi="Cambria" w:cs="Calibri"/>
          <w:i/>
          <w:sz w:val="20"/>
          <w:szCs w:val="20"/>
          <w:lang w:val="en"/>
        </w:rPr>
        <w:t>Journal of Finance and Accounting, Vol. 5 (6): 214 – 218.</w:t>
      </w:r>
    </w:p>
    <w:p w14:paraId="57EF5FF2" w14:textId="77777777" w:rsidR="00945F26" w:rsidRPr="00945F26" w:rsidRDefault="00945F26" w:rsidP="00945F26">
      <w:pPr>
        <w:spacing w:after="0" w:line="240" w:lineRule="auto"/>
        <w:ind w:left="567" w:hanging="567"/>
        <w:jc w:val="both"/>
        <w:rPr>
          <w:rFonts w:ascii="Cambria" w:eastAsia="Times New Roman" w:hAnsi="Cambria" w:cs="Calibri"/>
          <w:bCs/>
          <w:sz w:val="20"/>
          <w:szCs w:val="20"/>
          <w:lang w:val="en"/>
        </w:rPr>
      </w:pPr>
      <w:r w:rsidRPr="00945F26">
        <w:rPr>
          <w:rFonts w:ascii="Cambria" w:eastAsia="Times New Roman" w:hAnsi="Cambria" w:cs="Calibri"/>
          <w:sz w:val="20"/>
          <w:szCs w:val="20"/>
          <w:lang w:val="en"/>
        </w:rPr>
        <w:t xml:space="preserve">Elton, E. J., </w:t>
      </w:r>
      <w:proofErr w:type="spellStart"/>
      <w:r w:rsidRPr="00945F26">
        <w:rPr>
          <w:rFonts w:ascii="Cambria" w:eastAsia="Times New Roman" w:hAnsi="Cambria" w:cs="Times New Roman"/>
          <w:sz w:val="20"/>
          <w:szCs w:val="20"/>
        </w:rPr>
        <w:t>dkk</w:t>
      </w:r>
      <w:proofErr w:type="spellEnd"/>
      <w:r w:rsidRPr="00945F26">
        <w:rPr>
          <w:rFonts w:ascii="Cambria" w:eastAsia="Times New Roman" w:hAnsi="Cambria" w:cs="Calibri"/>
          <w:sz w:val="20"/>
          <w:szCs w:val="20"/>
          <w:lang w:val="en"/>
        </w:rPr>
        <w:t xml:space="preserve">. 1995. </w:t>
      </w:r>
      <w:r w:rsidRPr="00945F26">
        <w:rPr>
          <w:rFonts w:ascii="Cambria" w:eastAsia="Times New Roman" w:hAnsi="Cambria" w:cs="Calibri"/>
          <w:bCs/>
          <w:i/>
          <w:sz w:val="20"/>
          <w:szCs w:val="20"/>
          <w:lang w:val="en"/>
        </w:rPr>
        <w:t xml:space="preserve">Modern Portfolio Theory </w:t>
      </w:r>
      <w:proofErr w:type="gramStart"/>
      <w:r w:rsidRPr="00945F26">
        <w:rPr>
          <w:rFonts w:ascii="Cambria" w:eastAsia="Times New Roman" w:hAnsi="Cambria" w:cs="Calibri"/>
          <w:bCs/>
          <w:i/>
          <w:sz w:val="20"/>
          <w:szCs w:val="20"/>
          <w:lang w:val="en"/>
        </w:rPr>
        <w:t>And</w:t>
      </w:r>
      <w:proofErr w:type="gramEnd"/>
      <w:r w:rsidRPr="00945F26">
        <w:rPr>
          <w:rFonts w:ascii="Cambria" w:eastAsia="Times New Roman" w:hAnsi="Cambria" w:cs="Calibri"/>
          <w:bCs/>
          <w:i/>
          <w:sz w:val="20"/>
          <w:szCs w:val="20"/>
          <w:lang w:val="en"/>
        </w:rPr>
        <w:t xml:space="preserve"> Investment. </w:t>
      </w:r>
      <w:r w:rsidRPr="00945F26">
        <w:rPr>
          <w:rFonts w:ascii="Cambria" w:eastAsia="Times New Roman" w:hAnsi="Cambria" w:cs="Calibri"/>
          <w:bCs/>
          <w:sz w:val="20"/>
          <w:szCs w:val="20"/>
          <w:lang w:val="en"/>
        </w:rPr>
        <w:t>Toronto: John Wiley and Sons.</w:t>
      </w:r>
    </w:p>
    <w:p w14:paraId="1540A627" w14:textId="77777777" w:rsidR="00945F26" w:rsidRPr="00945F26" w:rsidRDefault="00945F26" w:rsidP="00945F26">
      <w:pPr>
        <w:spacing w:after="0" w:line="240" w:lineRule="auto"/>
        <w:ind w:left="567" w:hanging="567"/>
        <w:jc w:val="both"/>
        <w:rPr>
          <w:rFonts w:ascii="Cambria" w:eastAsia="Times New Roman" w:hAnsi="Cambria" w:cs="Calibri"/>
          <w:bCs/>
          <w:sz w:val="20"/>
          <w:szCs w:val="20"/>
          <w:lang w:val="en"/>
        </w:rPr>
      </w:pPr>
      <w:proofErr w:type="spellStart"/>
      <w:r w:rsidRPr="00945F26">
        <w:rPr>
          <w:rFonts w:ascii="Cambria" w:eastAsia="Times New Roman" w:hAnsi="Cambria" w:cs="Calibri"/>
          <w:bCs/>
          <w:sz w:val="20"/>
          <w:szCs w:val="20"/>
          <w:lang w:val="en"/>
        </w:rPr>
        <w:t>Fama</w:t>
      </w:r>
      <w:proofErr w:type="spellEnd"/>
      <w:r w:rsidRPr="00945F26">
        <w:rPr>
          <w:rFonts w:ascii="Cambria" w:eastAsia="Times New Roman" w:hAnsi="Cambria" w:cs="Calibri"/>
          <w:bCs/>
          <w:sz w:val="20"/>
          <w:szCs w:val="20"/>
          <w:lang w:val="en"/>
        </w:rPr>
        <w:t xml:space="preserve">, E. F. 1970. Efficient Capital Markets: A Review of Theory and Empirical Work. </w:t>
      </w:r>
      <w:r w:rsidRPr="00945F26">
        <w:rPr>
          <w:rFonts w:ascii="Cambria" w:eastAsia="Times New Roman" w:hAnsi="Cambria" w:cs="Calibri"/>
          <w:bCs/>
          <w:i/>
          <w:iCs/>
          <w:sz w:val="20"/>
          <w:szCs w:val="20"/>
          <w:lang w:val="en"/>
        </w:rPr>
        <w:t>The Journal of Finance, Vol. 25 (2):</w:t>
      </w:r>
      <w:r w:rsidRPr="00945F26">
        <w:rPr>
          <w:rFonts w:ascii="Cambria" w:eastAsia="Times New Roman" w:hAnsi="Cambria" w:cs="Calibri"/>
          <w:bCs/>
          <w:sz w:val="20"/>
          <w:szCs w:val="20"/>
          <w:lang w:val="en"/>
        </w:rPr>
        <w:t xml:space="preserve"> 383-417.</w:t>
      </w:r>
    </w:p>
    <w:p w14:paraId="6C32D479" w14:textId="77777777" w:rsidR="00945F26" w:rsidRPr="00945F26" w:rsidRDefault="00945F26" w:rsidP="00945F26">
      <w:pPr>
        <w:spacing w:after="0" w:line="240" w:lineRule="auto"/>
        <w:ind w:left="567" w:hanging="567"/>
        <w:jc w:val="both"/>
        <w:rPr>
          <w:rFonts w:ascii="Cambria" w:eastAsia="Times New Roman" w:hAnsi="Cambria" w:cs="Calibri"/>
          <w:bCs/>
          <w:sz w:val="20"/>
          <w:szCs w:val="20"/>
          <w:lang w:val="en"/>
        </w:rPr>
      </w:pPr>
      <w:r w:rsidRPr="00945F26">
        <w:rPr>
          <w:rFonts w:ascii="Cambria" w:eastAsia="Times New Roman" w:hAnsi="Cambria" w:cs="Calibri"/>
          <w:bCs/>
          <w:sz w:val="20"/>
          <w:szCs w:val="20"/>
          <w:lang w:val="en"/>
        </w:rPr>
        <w:t xml:space="preserve">-------------. 1991. Efficient Capital Markets: II. </w:t>
      </w:r>
      <w:r w:rsidRPr="00945F26">
        <w:rPr>
          <w:rFonts w:ascii="Cambria" w:eastAsia="Times New Roman" w:hAnsi="Cambria" w:cs="Calibri"/>
          <w:bCs/>
          <w:i/>
          <w:iCs/>
          <w:sz w:val="20"/>
          <w:szCs w:val="20"/>
          <w:lang w:val="en"/>
        </w:rPr>
        <w:t>The Journal of Finance, Vol. 46 (5):</w:t>
      </w:r>
      <w:r w:rsidRPr="00945F26">
        <w:rPr>
          <w:rFonts w:ascii="Cambria" w:eastAsia="Times New Roman" w:hAnsi="Cambria" w:cs="Calibri"/>
          <w:bCs/>
          <w:sz w:val="20"/>
          <w:szCs w:val="20"/>
          <w:lang w:val="en"/>
        </w:rPr>
        <w:t xml:space="preserve"> 1575 – 1617.</w:t>
      </w:r>
    </w:p>
    <w:p w14:paraId="750E0989"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Gumanti</w:t>
      </w:r>
      <w:proofErr w:type="spellEnd"/>
      <w:r w:rsidRPr="00945F26">
        <w:rPr>
          <w:rFonts w:ascii="Cambria" w:eastAsia="Times New Roman" w:hAnsi="Cambria" w:cs="Calibri"/>
          <w:sz w:val="20"/>
          <w:szCs w:val="20"/>
          <w:lang w:val="en"/>
        </w:rPr>
        <w:t xml:space="preserve">, T.A.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Utami</w:t>
      </w:r>
      <w:proofErr w:type="spellEnd"/>
      <w:r w:rsidRPr="00945F26">
        <w:rPr>
          <w:rFonts w:ascii="Cambria" w:eastAsia="Times New Roman" w:hAnsi="Cambria" w:cs="Calibri"/>
          <w:sz w:val="20"/>
          <w:szCs w:val="20"/>
          <w:lang w:val="en"/>
        </w:rPr>
        <w:t xml:space="preserve">, E.S. 2004. </w:t>
      </w:r>
      <w:proofErr w:type="spellStart"/>
      <w:r w:rsidRPr="00945F26">
        <w:rPr>
          <w:rFonts w:ascii="Cambria" w:eastAsia="Times New Roman" w:hAnsi="Cambria" w:cs="Calibri"/>
          <w:sz w:val="20"/>
          <w:szCs w:val="20"/>
          <w:lang w:val="en"/>
        </w:rPr>
        <w:t>Bentuk</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Pasar</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Efisiensi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Pengujiannya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i/>
          <w:sz w:val="20"/>
          <w:szCs w:val="20"/>
          <w:lang w:val="en"/>
        </w:rPr>
        <w:t>Jurnal</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Akuntansi</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dan</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Keuangan</w:t>
      </w:r>
      <w:proofErr w:type="spellEnd"/>
      <w:r w:rsidRPr="00945F26">
        <w:rPr>
          <w:rFonts w:ascii="Cambria" w:eastAsia="Times New Roman" w:hAnsi="Cambria" w:cs="Calibri"/>
          <w:i/>
          <w:sz w:val="20"/>
          <w:szCs w:val="20"/>
          <w:lang w:val="en"/>
        </w:rPr>
        <w:t>, Vol. 4(1</w:t>
      </w:r>
      <w:proofErr w:type="gramStart"/>
      <w:r w:rsidRPr="00945F26">
        <w:rPr>
          <w:rFonts w:ascii="Cambria" w:eastAsia="Times New Roman" w:hAnsi="Cambria" w:cs="Calibri"/>
          <w:i/>
          <w:sz w:val="20"/>
          <w:szCs w:val="20"/>
          <w:lang w:val="en"/>
        </w:rPr>
        <w:t>) :</w:t>
      </w:r>
      <w:proofErr w:type="gramEnd"/>
      <w:r w:rsidRPr="00945F26">
        <w:rPr>
          <w:rFonts w:ascii="Cambria" w:eastAsia="Times New Roman" w:hAnsi="Cambria" w:cs="Calibri"/>
          <w:i/>
          <w:sz w:val="20"/>
          <w:szCs w:val="20"/>
          <w:lang w:val="en"/>
        </w:rPr>
        <w:t xml:space="preserve"> 54 – 68</w:t>
      </w:r>
      <w:r w:rsidRPr="00945F26">
        <w:rPr>
          <w:rFonts w:ascii="Cambria" w:eastAsia="Times New Roman" w:hAnsi="Cambria" w:cs="Calibri"/>
          <w:sz w:val="20"/>
          <w:szCs w:val="20"/>
          <w:lang w:val="en"/>
        </w:rPr>
        <w:t xml:space="preserve">. </w:t>
      </w:r>
    </w:p>
    <w:p w14:paraId="3690B60B"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Henderson, </w:t>
      </w:r>
      <w:proofErr w:type="spellStart"/>
      <w:r w:rsidRPr="00945F26">
        <w:rPr>
          <w:rFonts w:ascii="Cambria" w:eastAsia="Times New Roman" w:hAnsi="Cambria" w:cs="Calibri"/>
          <w:sz w:val="20"/>
          <w:szCs w:val="20"/>
          <w:lang w:val="en"/>
        </w:rPr>
        <w:t>Jr.G.V</w:t>
      </w:r>
      <w:proofErr w:type="spellEnd"/>
      <w:r w:rsidRPr="00945F26">
        <w:rPr>
          <w:rFonts w:ascii="Cambria" w:eastAsia="Times New Roman" w:hAnsi="Cambria" w:cs="Calibri"/>
          <w:sz w:val="20"/>
          <w:szCs w:val="20"/>
          <w:lang w:val="en"/>
        </w:rPr>
        <w:t xml:space="preserve">. 1990. Problems and Solutions in Conducting Event Studies. </w:t>
      </w:r>
      <w:r w:rsidRPr="00945F26">
        <w:rPr>
          <w:rFonts w:ascii="Cambria" w:eastAsia="Times New Roman" w:hAnsi="Cambria" w:cs="Calibri"/>
          <w:i/>
          <w:iCs/>
          <w:sz w:val="20"/>
          <w:szCs w:val="20"/>
          <w:lang w:val="en"/>
        </w:rPr>
        <w:t xml:space="preserve">Journal of Risk and Insurance, </w:t>
      </w:r>
      <w:r w:rsidRPr="00945F26">
        <w:rPr>
          <w:rFonts w:ascii="Cambria" w:eastAsia="Times New Roman" w:hAnsi="Cambria" w:cs="Calibri"/>
          <w:i/>
          <w:sz w:val="20"/>
          <w:szCs w:val="20"/>
          <w:lang w:val="en"/>
        </w:rPr>
        <w:t>Vol. 57(2): 282 – 306</w:t>
      </w:r>
      <w:r w:rsidRPr="00945F26">
        <w:rPr>
          <w:rFonts w:ascii="Cambria" w:eastAsia="Times New Roman" w:hAnsi="Cambria" w:cs="Calibri"/>
          <w:sz w:val="20"/>
          <w:szCs w:val="20"/>
          <w:lang w:val="en"/>
        </w:rPr>
        <w:t xml:space="preserve">. </w:t>
      </w:r>
    </w:p>
    <w:p w14:paraId="68A4A5C6"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Jogiyanto</w:t>
      </w:r>
      <w:proofErr w:type="spellEnd"/>
      <w:r w:rsidRPr="00945F26">
        <w:rPr>
          <w:rFonts w:ascii="Cambria" w:eastAsia="Times New Roman" w:hAnsi="Cambria" w:cs="Calibri"/>
          <w:sz w:val="20"/>
          <w:szCs w:val="20"/>
          <w:lang w:val="en"/>
        </w:rPr>
        <w:t xml:space="preserve">, H. M. 2010. </w:t>
      </w:r>
      <w:proofErr w:type="spellStart"/>
      <w:r w:rsidRPr="00945F26">
        <w:rPr>
          <w:rFonts w:ascii="Cambria" w:eastAsia="Times New Roman" w:hAnsi="Cambria" w:cs="Calibri"/>
          <w:i/>
          <w:sz w:val="20"/>
          <w:szCs w:val="20"/>
          <w:lang w:val="en"/>
        </w:rPr>
        <w:t>Studi</w:t>
      </w:r>
      <w:proofErr w:type="spellEnd"/>
      <w:r w:rsidRPr="00945F26">
        <w:rPr>
          <w:rFonts w:ascii="Cambria" w:eastAsia="Times New Roman" w:hAnsi="Cambria" w:cs="Calibri"/>
          <w:i/>
          <w:sz w:val="20"/>
          <w:szCs w:val="20"/>
          <w:lang w:val="en"/>
        </w:rPr>
        <w:t xml:space="preserve"> </w:t>
      </w:r>
      <w:proofErr w:type="spellStart"/>
      <w:proofErr w:type="gramStart"/>
      <w:r w:rsidRPr="00945F26">
        <w:rPr>
          <w:rFonts w:ascii="Cambria" w:eastAsia="Times New Roman" w:hAnsi="Cambria" w:cs="Calibri"/>
          <w:i/>
          <w:sz w:val="20"/>
          <w:szCs w:val="20"/>
          <w:lang w:val="en"/>
        </w:rPr>
        <w:t>Peristiwa</w:t>
      </w:r>
      <w:proofErr w:type="spellEnd"/>
      <w:r w:rsidRPr="00945F26">
        <w:rPr>
          <w:rFonts w:ascii="Cambria" w:eastAsia="Times New Roman" w:hAnsi="Cambria" w:cs="Calibri"/>
          <w:i/>
          <w:sz w:val="20"/>
          <w:szCs w:val="20"/>
          <w:lang w:val="en"/>
        </w:rPr>
        <w:t xml:space="preserve"> :</w:t>
      </w:r>
      <w:proofErr w:type="gram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Menguji</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Reaksi</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Pasar</w:t>
      </w:r>
      <w:proofErr w:type="spellEnd"/>
      <w:r w:rsidRPr="00945F26">
        <w:rPr>
          <w:rFonts w:ascii="Cambria" w:eastAsia="Times New Roman" w:hAnsi="Cambria" w:cs="Calibri"/>
          <w:i/>
          <w:sz w:val="20"/>
          <w:szCs w:val="20"/>
          <w:lang w:val="en"/>
        </w:rPr>
        <w:t xml:space="preserve"> Modal </w:t>
      </w:r>
      <w:proofErr w:type="spellStart"/>
      <w:r w:rsidRPr="00945F26">
        <w:rPr>
          <w:rFonts w:ascii="Cambria" w:eastAsia="Times New Roman" w:hAnsi="Cambria" w:cs="Calibri"/>
          <w:i/>
          <w:sz w:val="20"/>
          <w:szCs w:val="20"/>
          <w:lang w:val="en"/>
        </w:rPr>
        <w:t>Akibat</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Suatu</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Peristiwa</w:t>
      </w:r>
      <w:proofErr w:type="spellEnd"/>
      <w:r w:rsidRPr="00945F26">
        <w:rPr>
          <w:rFonts w:ascii="Cambria" w:eastAsia="Times New Roman" w:hAnsi="Cambria" w:cs="Calibri"/>
          <w:i/>
          <w:sz w:val="20"/>
          <w:szCs w:val="20"/>
          <w:lang w:val="en"/>
        </w:rPr>
        <w:t>.</w:t>
      </w:r>
      <w:r w:rsidRPr="00945F26">
        <w:rPr>
          <w:rFonts w:ascii="Cambria" w:eastAsia="Times New Roman" w:hAnsi="Cambria" w:cs="Calibri"/>
          <w:sz w:val="20"/>
          <w:szCs w:val="20"/>
          <w:lang w:val="en"/>
        </w:rPr>
        <w:t xml:space="preserve"> </w:t>
      </w:r>
      <w:proofErr w:type="gramStart"/>
      <w:r w:rsidRPr="00945F26">
        <w:rPr>
          <w:rFonts w:ascii="Cambria" w:eastAsia="Times New Roman" w:hAnsi="Cambria" w:cs="Calibri"/>
          <w:sz w:val="20"/>
          <w:szCs w:val="20"/>
          <w:lang w:val="en"/>
        </w:rPr>
        <w:t>Yogyakarta :</w:t>
      </w:r>
      <w:proofErr w:type="gramEnd"/>
      <w:r w:rsidRPr="00945F26">
        <w:rPr>
          <w:rFonts w:ascii="Cambria" w:eastAsia="Times New Roman" w:hAnsi="Cambria" w:cs="Calibri"/>
          <w:sz w:val="20"/>
          <w:szCs w:val="20"/>
          <w:lang w:val="en"/>
        </w:rPr>
        <w:t xml:space="preserve"> BPFE </w:t>
      </w:r>
      <w:proofErr w:type="spellStart"/>
      <w:r w:rsidRPr="00945F26">
        <w:rPr>
          <w:rFonts w:ascii="Cambria" w:eastAsia="Times New Roman" w:hAnsi="Cambria" w:cs="Calibri"/>
          <w:sz w:val="20"/>
          <w:szCs w:val="20"/>
          <w:lang w:val="en"/>
        </w:rPr>
        <w:t>Universitas</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Gadjah</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Mada</w:t>
      </w:r>
      <w:proofErr w:type="spellEnd"/>
      <w:r w:rsidRPr="00945F26">
        <w:rPr>
          <w:rFonts w:ascii="Cambria" w:eastAsia="Times New Roman" w:hAnsi="Cambria" w:cs="Calibri"/>
          <w:sz w:val="20"/>
          <w:szCs w:val="20"/>
          <w:lang w:val="en"/>
        </w:rPr>
        <w:t>.</w:t>
      </w:r>
    </w:p>
    <w:p w14:paraId="0F789EB5"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Jogiyanto</w:t>
      </w:r>
      <w:proofErr w:type="spellEnd"/>
      <w:r w:rsidRPr="00945F26">
        <w:rPr>
          <w:rFonts w:ascii="Cambria" w:eastAsia="Times New Roman" w:hAnsi="Cambria" w:cs="Calibri"/>
          <w:sz w:val="20"/>
          <w:szCs w:val="20"/>
          <w:lang w:val="en"/>
        </w:rPr>
        <w:t xml:space="preserve">, H.M. 2017. </w:t>
      </w:r>
      <w:proofErr w:type="spellStart"/>
      <w:r w:rsidRPr="00945F26">
        <w:rPr>
          <w:rFonts w:ascii="Cambria" w:eastAsia="Times New Roman" w:hAnsi="Cambria" w:cs="Calibri"/>
          <w:i/>
          <w:sz w:val="20"/>
          <w:szCs w:val="20"/>
          <w:lang w:val="en"/>
        </w:rPr>
        <w:t>Teori</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Portofolio</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dan</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Analisis</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Investasi</w:t>
      </w:r>
      <w:proofErr w:type="spellEnd"/>
      <w:r w:rsidRPr="00945F26">
        <w:rPr>
          <w:rFonts w:ascii="Cambria" w:eastAsia="Times New Roman" w:hAnsi="Cambria" w:cs="Calibri"/>
          <w:i/>
          <w:sz w:val="20"/>
          <w:szCs w:val="20"/>
          <w:lang w:val="en"/>
        </w:rPr>
        <w:t xml:space="preserve">. </w:t>
      </w:r>
      <w:proofErr w:type="gramStart"/>
      <w:r w:rsidRPr="00945F26">
        <w:rPr>
          <w:rFonts w:ascii="Cambria" w:eastAsia="Times New Roman" w:hAnsi="Cambria" w:cs="Calibri"/>
          <w:sz w:val="20"/>
          <w:szCs w:val="20"/>
          <w:lang w:val="en"/>
        </w:rPr>
        <w:t>Yogyakarta :</w:t>
      </w:r>
      <w:proofErr w:type="gramEnd"/>
      <w:r w:rsidRPr="00945F26">
        <w:rPr>
          <w:rFonts w:ascii="Cambria" w:eastAsia="Times New Roman" w:hAnsi="Cambria" w:cs="Calibri"/>
          <w:sz w:val="20"/>
          <w:szCs w:val="20"/>
          <w:lang w:val="en"/>
        </w:rPr>
        <w:t xml:space="preserve"> BPFE </w:t>
      </w:r>
      <w:proofErr w:type="spellStart"/>
      <w:r w:rsidRPr="00945F26">
        <w:rPr>
          <w:rFonts w:ascii="Cambria" w:eastAsia="Times New Roman" w:hAnsi="Cambria" w:cs="Calibri"/>
          <w:sz w:val="20"/>
          <w:szCs w:val="20"/>
          <w:lang w:val="en"/>
        </w:rPr>
        <w:t>Universitas</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Gadjah</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Mada</w:t>
      </w:r>
      <w:proofErr w:type="spellEnd"/>
      <w:r w:rsidRPr="00945F26">
        <w:rPr>
          <w:rFonts w:ascii="Cambria" w:eastAsia="Times New Roman" w:hAnsi="Cambria" w:cs="Calibri"/>
          <w:sz w:val="20"/>
          <w:szCs w:val="20"/>
          <w:lang w:val="en"/>
        </w:rPr>
        <w:t>.</w:t>
      </w:r>
    </w:p>
    <w:p w14:paraId="216D504F" w14:textId="77777777" w:rsidR="00945F26" w:rsidRPr="00945F26" w:rsidRDefault="00945F26" w:rsidP="00945F26">
      <w:pPr>
        <w:spacing w:after="0" w:line="240" w:lineRule="auto"/>
        <w:ind w:left="567" w:hanging="567"/>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Khanna, K.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Gogia</w:t>
      </w:r>
      <w:proofErr w:type="spellEnd"/>
      <w:r w:rsidRPr="00945F26">
        <w:rPr>
          <w:rFonts w:ascii="Cambria" w:eastAsia="Times New Roman" w:hAnsi="Cambria" w:cs="Calibri"/>
          <w:sz w:val="20"/>
          <w:szCs w:val="20"/>
          <w:lang w:val="en"/>
        </w:rPr>
        <w:t xml:space="preserve">, N. 2014. A Pragmatic Study of Budget Announcements and Stock Market Performance: India, US, and UK Panorama. </w:t>
      </w:r>
      <w:r w:rsidRPr="00945F26">
        <w:rPr>
          <w:rFonts w:ascii="Cambria" w:eastAsia="Times New Roman" w:hAnsi="Cambria" w:cs="Calibri"/>
          <w:i/>
          <w:iCs/>
          <w:sz w:val="20"/>
          <w:szCs w:val="20"/>
          <w:lang w:val="en"/>
        </w:rPr>
        <w:t>VSRD International Journal of Business and Management Research, Vol. 4 (2): 35 – 38.</w:t>
      </w:r>
    </w:p>
    <w:p w14:paraId="79AEB645" w14:textId="77777777" w:rsidR="00945F26" w:rsidRPr="00945F26" w:rsidRDefault="00945F26" w:rsidP="00945F26">
      <w:pPr>
        <w:spacing w:after="0" w:line="240" w:lineRule="auto"/>
        <w:ind w:left="360" w:hanging="360"/>
        <w:jc w:val="both"/>
        <w:rPr>
          <w:rFonts w:ascii="Cambria" w:eastAsia="Times New Roman" w:hAnsi="Cambria" w:cs="Calibri"/>
          <w:b/>
          <w:bCs/>
          <w:sz w:val="20"/>
          <w:szCs w:val="20"/>
          <w:lang w:val="en"/>
        </w:rPr>
      </w:pPr>
      <w:proofErr w:type="spellStart"/>
      <w:r w:rsidRPr="00945F26">
        <w:rPr>
          <w:rFonts w:ascii="Cambria" w:eastAsia="Times New Roman" w:hAnsi="Cambria" w:cs="Calibri"/>
          <w:sz w:val="20"/>
          <w:szCs w:val="20"/>
          <w:lang w:val="en"/>
        </w:rPr>
        <w:t>Kritzman</w:t>
      </w:r>
      <w:proofErr w:type="spellEnd"/>
      <w:r w:rsidRPr="00945F26">
        <w:rPr>
          <w:rFonts w:ascii="Cambria" w:eastAsia="Times New Roman" w:hAnsi="Cambria" w:cs="Calibri"/>
          <w:sz w:val="20"/>
          <w:szCs w:val="20"/>
          <w:lang w:val="en"/>
        </w:rPr>
        <w:t xml:space="preserve">, M.P. 1994. What Practitioners Need to Know About Event </w:t>
      </w:r>
      <w:proofErr w:type="gramStart"/>
      <w:r w:rsidRPr="00945F26">
        <w:rPr>
          <w:rFonts w:ascii="Cambria" w:eastAsia="Times New Roman" w:hAnsi="Cambria" w:cs="Calibri"/>
          <w:sz w:val="20"/>
          <w:szCs w:val="20"/>
          <w:lang w:val="en"/>
        </w:rPr>
        <w:t>Study.</w:t>
      </w:r>
      <w:proofErr w:type="gramEnd"/>
      <w:r w:rsidRPr="00945F26">
        <w:rPr>
          <w:rFonts w:ascii="Cambria" w:eastAsia="Times New Roman" w:hAnsi="Cambria" w:cs="Calibri"/>
          <w:sz w:val="20"/>
          <w:szCs w:val="20"/>
          <w:lang w:val="en"/>
        </w:rPr>
        <w:t xml:space="preserve"> </w:t>
      </w:r>
      <w:r w:rsidRPr="00945F26">
        <w:rPr>
          <w:rFonts w:ascii="Cambria" w:eastAsia="Times New Roman" w:hAnsi="Cambria" w:cs="Calibri"/>
          <w:bCs/>
          <w:i/>
          <w:sz w:val="20"/>
          <w:szCs w:val="20"/>
          <w:lang w:val="en"/>
        </w:rPr>
        <w:t>Financial Analysis Journal, 17 – 20.</w:t>
      </w:r>
    </w:p>
    <w:p w14:paraId="3E937186" w14:textId="77777777" w:rsidR="00945F26" w:rsidRPr="00945F26" w:rsidRDefault="00945F26" w:rsidP="00945F26">
      <w:pPr>
        <w:spacing w:after="0" w:line="240" w:lineRule="auto"/>
        <w:ind w:left="360" w:hanging="360"/>
        <w:jc w:val="both"/>
        <w:rPr>
          <w:rFonts w:ascii="Cambria" w:eastAsia="Times New Roman" w:hAnsi="Cambria" w:cs="Calibri"/>
          <w:bCs/>
          <w:i/>
          <w:sz w:val="20"/>
          <w:szCs w:val="20"/>
          <w:lang w:val="en"/>
        </w:rPr>
      </w:pPr>
      <w:proofErr w:type="spellStart"/>
      <w:r w:rsidRPr="00945F26">
        <w:rPr>
          <w:rFonts w:ascii="Cambria" w:eastAsia="Times New Roman" w:hAnsi="Cambria" w:cs="Calibri"/>
          <w:sz w:val="20"/>
          <w:szCs w:val="20"/>
          <w:lang w:val="en"/>
        </w:rPr>
        <w:t>Mackinlay</w:t>
      </w:r>
      <w:proofErr w:type="spellEnd"/>
      <w:r w:rsidRPr="00945F26">
        <w:rPr>
          <w:rFonts w:ascii="Cambria" w:eastAsia="Times New Roman" w:hAnsi="Cambria" w:cs="Calibri"/>
          <w:sz w:val="20"/>
          <w:szCs w:val="20"/>
          <w:lang w:val="en"/>
        </w:rPr>
        <w:t xml:space="preserve">, A.C. 1997. Event Studies in Economics and Finance. </w:t>
      </w:r>
      <w:r w:rsidRPr="00945F26">
        <w:rPr>
          <w:rFonts w:ascii="Cambria" w:eastAsia="Times New Roman" w:hAnsi="Cambria" w:cs="Calibri"/>
          <w:bCs/>
          <w:i/>
          <w:sz w:val="20"/>
          <w:szCs w:val="20"/>
          <w:lang w:val="en"/>
        </w:rPr>
        <w:t>Journal of Economic Literature, Vol. 35 (1): 13 – 39.</w:t>
      </w:r>
    </w:p>
    <w:p w14:paraId="3976F048" w14:textId="77777777" w:rsidR="00945F26" w:rsidRPr="00945F26" w:rsidRDefault="00945F26" w:rsidP="00945F26">
      <w:pPr>
        <w:spacing w:after="0" w:line="240" w:lineRule="auto"/>
        <w:ind w:left="360" w:hanging="360"/>
        <w:jc w:val="both"/>
        <w:rPr>
          <w:rFonts w:ascii="Cambria" w:eastAsia="Times New Roman" w:hAnsi="Cambria" w:cs="Calibri"/>
          <w:i/>
          <w:sz w:val="20"/>
          <w:szCs w:val="20"/>
          <w:lang w:val="en"/>
        </w:rPr>
      </w:pPr>
      <w:proofErr w:type="spellStart"/>
      <w:r w:rsidRPr="00945F26">
        <w:rPr>
          <w:rFonts w:ascii="Cambria" w:eastAsia="Times New Roman" w:hAnsi="Cambria" w:cs="Calibri"/>
          <w:sz w:val="20"/>
          <w:szCs w:val="20"/>
          <w:lang w:val="en"/>
        </w:rPr>
        <w:t>Manurung</w:t>
      </w:r>
      <w:proofErr w:type="spellEnd"/>
      <w:r w:rsidRPr="00945F26">
        <w:rPr>
          <w:rFonts w:ascii="Cambria" w:eastAsia="Times New Roman" w:hAnsi="Cambria" w:cs="Calibri"/>
          <w:sz w:val="20"/>
          <w:szCs w:val="20"/>
          <w:lang w:val="en"/>
        </w:rPr>
        <w:t xml:space="preserve">, A.H. 2005. </w:t>
      </w:r>
      <w:proofErr w:type="spellStart"/>
      <w:r w:rsidRPr="00945F26">
        <w:rPr>
          <w:rFonts w:ascii="Cambria" w:eastAsia="Times New Roman" w:hAnsi="Cambria" w:cs="Calibri"/>
          <w:sz w:val="20"/>
          <w:szCs w:val="20"/>
          <w:lang w:val="en"/>
        </w:rPr>
        <w:t>Pengaruh</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Peristiwa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Politik</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Pengumuman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Hasil</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Pemilu</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Legislatif</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Pengumuman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Hasil</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Pemilihan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Presiden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Pengumuman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Susunan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Kabinet</w:t>
      </w:r>
      <w:proofErr w:type="spellEnd"/>
      <w:r w:rsidRPr="00945F26">
        <w:rPr>
          <w:rFonts w:ascii="Cambria" w:eastAsia="Times New Roman" w:hAnsi="Cambria" w:cs="Calibri"/>
          <w:sz w:val="20"/>
          <w:szCs w:val="20"/>
          <w:lang w:val="en"/>
        </w:rPr>
        <w:t xml:space="preserve">, Reshuffle </w:t>
      </w:r>
      <w:proofErr w:type="spellStart"/>
      <w:r w:rsidRPr="00945F26">
        <w:rPr>
          <w:rFonts w:ascii="Cambria" w:eastAsia="Times New Roman" w:hAnsi="Cambria" w:cs="Calibri"/>
          <w:sz w:val="20"/>
          <w:szCs w:val="20"/>
          <w:lang w:val="en"/>
        </w:rPr>
        <w:t>Kabinet</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terhadap</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Sektor-Sektor</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Industri</w:t>
      </w:r>
      <w:proofErr w:type="spellEnd"/>
      <w:r w:rsidRPr="00945F26">
        <w:rPr>
          <w:rFonts w:ascii="Cambria" w:eastAsia="Times New Roman" w:hAnsi="Cambria" w:cs="Calibri"/>
          <w:sz w:val="20"/>
          <w:szCs w:val="20"/>
          <w:lang w:val="en"/>
        </w:rPr>
        <w:t xml:space="preserve"> di Bursa </w:t>
      </w:r>
      <w:proofErr w:type="spellStart"/>
      <w:r w:rsidRPr="00945F26">
        <w:rPr>
          <w:rFonts w:ascii="Cambria" w:eastAsia="Times New Roman" w:hAnsi="Cambria" w:cs="Calibri"/>
          <w:sz w:val="20"/>
          <w:szCs w:val="20"/>
          <w:lang w:val="en"/>
        </w:rPr>
        <w:t>Efek</w:t>
      </w:r>
      <w:proofErr w:type="spellEnd"/>
      <w:r w:rsidRPr="00945F26">
        <w:rPr>
          <w:rFonts w:ascii="Cambria" w:eastAsia="Times New Roman" w:hAnsi="Cambria" w:cs="Calibri"/>
          <w:sz w:val="20"/>
          <w:szCs w:val="20"/>
          <w:lang w:val="en"/>
        </w:rPr>
        <w:t xml:space="preserve"> Jakarta. </w:t>
      </w:r>
      <w:proofErr w:type="spellStart"/>
      <w:r w:rsidRPr="00945F26">
        <w:rPr>
          <w:rFonts w:ascii="Cambria" w:eastAsia="Times New Roman" w:hAnsi="Cambria" w:cs="Calibri"/>
          <w:i/>
          <w:sz w:val="20"/>
          <w:szCs w:val="20"/>
          <w:lang w:val="en"/>
        </w:rPr>
        <w:t>Jurnal</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Perbankan</w:t>
      </w:r>
      <w:proofErr w:type="spellEnd"/>
      <w:r w:rsidRPr="00945F26">
        <w:rPr>
          <w:rFonts w:ascii="Cambria" w:eastAsia="Times New Roman" w:hAnsi="Cambria" w:cs="Calibri"/>
          <w:i/>
          <w:sz w:val="20"/>
          <w:szCs w:val="20"/>
          <w:lang w:val="en"/>
        </w:rPr>
        <w:t>.</w:t>
      </w:r>
    </w:p>
    <w:p w14:paraId="22ECC264"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Nascimento</w:t>
      </w:r>
      <w:proofErr w:type="spellEnd"/>
      <w:r w:rsidRPr="00945F26">
        <w:rPr>
          <w:rFonts w:ascii="Cambria" w:eastAsia="Times New Roman" w:hAnsi="Cambria" w:cs="Calibri"/>
          <w:sz w:val="20"/>
          <w:szCs w:val="20"/>
          <w:lang w:val="en"/>
        </w:rPr>
        <w:t>, D.P.G.R. 2015. Effect of U.S. Federal Budget on S&amp;P500 Index [</w:t>
      </w:r>
      <w:proofErr w:type="spellStart"/>
      <w:r w:rsidRPr="00945F26">
        <w:rPr>
          <w:rFonts w:ascii="Cambria" w:eastAsia="Times New Roman" w:hAnsi="Cambria" w:cs="Calibri"/>
          <w:sz w:val="20"/>
          <w:szCs w:val="20"/>
          <w:lang w:val="en"/>
        </w:rPr>
        <w:t>Disertasi</w:t>
      </w:r>
      <w:proofErr w:type="spellEnd"/>
      <w:r w:rsidRPr="00945F26">
        <w:rPr>
          <w:rFonts w:ascii="Cambria" w:eastAsia="Times New Roman" w:hAnsi="Cambria" w:cs="Calibri"/>
          <w:sz w:val="20"/>
          <w:szCs w:val="20"/>
          <w:lang w:val="en"/>
        </w:rPr>
        <w:t xml:space="preserve">]. Lisbon (PR): School of Business and Economic </w:t>
      </w:r>
      <w:proofErr w:type="spellStart"/>
      <w:r w:rsidRPr="00945F26">
        <w:rPr>
          <w:rFonts w:ascii="Cambria" w:eastAsia="Times New Roman" w:hAnsi="Cambria" w:cs="Calibri"/>
          <w:sz w:val="20"/>
          <w:szCs w:val="20"/>
          <w:lang w:val="en"/>
        </w:rPr>
        <w:t>Catolica</w:t>
      </w:r>
      <w:proofErr w:type="spellEnd"/>
      <w:r w:rsidRPr="00945F26">
        <w:rPr>
          <w:rFonts w:ascii="Cambria" w:eastAsia="Times New Roman" w:hAnsi="Cambria" w:cs="Calibri"/>
          <w:sz w:val="20"/>
          <w:szCs w:val="20"/>
          <w:lang w:val="en"/>
        </w:rPr>
        <w:t xml:space="preserve"> Lisbon.</w:t>
      </w:r>
    </w:p>
    <w:p w14:paraId="6FEA2DB3"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Oliveira, A.S.D. 2014. The Effect of Government Budget on the Portuguese Stock Market [</w:t>
      </w:r>
      <w:proofErr w:type="spellStart"/>
      <w:r w:rsidRPr="00945F26">
        <w:rPr>
          <w:rFonts w:ascii="Cambria" w:eastAsia="Times New Roman" w:hAnsi="Cambria" w:cs="Calibri"/>
          <w:sz w:val="20"/>
          <w:szCs w:val="20"/>
          <w:lang w:val="en"/>
        </w:rPr>
        <w:t>Disertasi</w:t>
      </w:r>
      <w:proofErr w:type="spellEnd"/>
      <w:r w:rsidRPr="00945F26">
        <w:rPr>
          <w:rFonts w:ascii="Cambria" w:eastAsia="Times New Roman" w:hAnsi="Cambria" w:cs="Calibri"/>
          <w:sz w:val="20"/>
          <w:szCs w:val="20"/>
          <w:lang w:val="en"/>
        </w:rPr>
        <w:t xml:space="preserve">]. Lisbon (PR): School of Business and Economic </w:t>
      </w:r>
      <w:proofErr w:type="spellStart"/>
      <w:r w:rsidRPr="00945F26">
        <w:rPr>
          <w:rFonts w:ascii="Cambria" w:eastAsia="Times New Roman" w:hAnsi="Cambria" w:cs="Calibri"/>
          <w:sz w:val="20"/>
          <w:szCs w:val="20"/>
          <w:lang w:val="en"/>
        </w:rPr>
        <w:t>Catolica</w:t>
      </w:r>
      <w:proofErr w:type="spellEnd"/>
      <w:r w:rsidRPr="00945F26">
        <w:rPr>
          <w:rFonts w:ascii="Cambria" w:eastAsia="Times New Roman" w:hAnsi="Cambria" w:cs="Calibri"/>
          <w:sz w:val="20"/>
          <w:szCs w:val="20"/>
          <w:lang w:val="en"/>
        </w:rPr>
        <w:t xml:space="preserve"> Lisbon.</w:t>
      </w:r>
    </w:p>
    <w:p w14:paraId="05E80EC9" w14:textId="77777777" w:rsidR="00945F26" w:rsidRPr="00945F26" w:rsidRDefault="00945F26" w:rsidP="00945F26">
      <w:pPr>
        <w:spacing w:after="0" w:line="240" w:lineRule="auto"/>
        <w:ind w:left="360" w:hanging="360"/>
        <w:jc w:val="both"/>
        <w:rPr>
          <w:rFonts w:ascii="Cambria" w:eastAsia="Times New Roman" w:hAnsi="Cambria" w:cs="Calibri"/>
          <w:i/>
          <w:sz w:val="20"/>
          <w:szCs w:val="20"/>
          <w:lang w:val="en"/>
        </w:rPr>
      </w:pPr>
      <w:proofErr w:type="spellStart"/>
      <w:r w:rsidRPr="00945F26">
        <w:rPr>
          <w:rFonts w:ascii="Cambria" w:eastAsia="Times New Roman" w:hAnsi="Cambria" w:cs="Calibri"/>
          <w:sz w:val="20"/>
          <w:szCs w:val="20"/>
          <w:lang w:val="en"/>
        </w:rPr>
        <w:t>Saraswati</w:t>
      </w:r>
      <w:proofErr w:type="spellEnd"/>
      <w:r w:rsidRPr="00945F26">
        <w:rPr>
          <w:rFonts w:ascii="Cambria" w:eastAsia="Times New Roman" w:hAnsi="Cambria" w:cs="Calibri"/>
          <w:sz w:val="20"/>
          <w:szCs w:val="20"/>
          <w:lang w:val="en"/>
        </w:rPr>
        <w:t xml:space="preserve">, N.M.A.W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Mustanda</w:t>
      </w:r>
      <w:proofErr w:type="spellEnd"/>
      <w:r w:rsidRPr="00945F26">
        <w:rPr>
          <w:rFonts w:ascii="Cambria" w:eastAsia="Times New Roman" w:hAnsi="Cambria" w:cs="Calibri"/>
          <w:sz w:val="20"/>
          <w:szCs w:val="20"/>
          <w:lang w:val="en"/>
        </w:rPr>
        <w:t xml:space="preserve">, I.K. 2018. </w:t>
      </w:r>
      <w:proofErr w:type="spellStart"/>
      <w:r w:rsidRPr="00945F26">
        <w:rPr>
          <w:rFonts w:ascii="Cambria" w:eastAsia="Times New Roman" w:hAnsi="Cambria" w:cs="Calibri"/>
          <w:sz w:val="20"/>
          <w:szCs w:val="20"/>
          <w:lang w:val="en"/>
        </w:rPr>
        <w:t>Reaksi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Pasar</w:t>
      </w:r>
      <w:proofErr w:type="spellEnd"/>
      <w:r w:rsidRPr="00945F26">
        <w:rPr>
          <w:rFonts w:ascii="Cambria" w:eastAsia="Times New Roman" w:hAnsi="Cambria" w:cs="Calibri"/>
          <w:sz w:val="20"/>
          <w:szCs w:val="20"/>
          <w:lang w:val="en"/>
        </w:rPr>
        <w:t xml:space="preserve"> Modal Indonesia </w:t>
      </w:r>
      <w:proofErr w:type="spellStart"/>
      <w:r w:rsidRPr="00945F26">
        <w:rPr>
          <w:rFonts w:ascii="Cambria" w:eastAsia="Times New Roman" w:hAnsi="Cambria" w:cs="Calibri"/>
          <w:sz w:val="20"/>
          <w:szCs w:val="20"/>
          <w:lang w:val="en"/>
        </w:rPr>
        <w:t>terhadap</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Peristiwa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Pengumuman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Hasil</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Perhitungan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Suara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Pemilihan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Umum</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Pelantikan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Presiden</w:t>
      </w:r>
      <w:proofErr w:type="spellEnd"/>
      <w:r w:rsidRPr="00945F26">
        <w:rPr>
          <w:rFonts w:ascii="Cambria" w:eastAsia="Times New Roman" w:hAnsi="Cambria" w:cs="Calibri"/>
          <w:sz w:val="20"/>
          <w:szCs w:val="20"/>
          <w:lang w:val="en"/>
        </w:rPr>
        <w:t xml:space="preserve"> Amerika </w:t>
      </w:r>
      <w:proofErr w:type="spellStart"/>
      <w:r w:rsidRPr="00945F26">
        <w:rPr>
          <w:rFonts w:ascii="Cambria" w:eastAsia="Times New Roman" w:hAnsi="Cambria" w:cs="Calibri"/>
          <w:sz w:val="20"/>
          <w:szCs w:val="20"/>
          <w:lang w:val="en"/>
        </w:rPr>
        <w:t>Serikat</w:t>
      </w:r>
      <w:proofErr w:type="spellEnd"/>
      <w:r w:rsidRPr="00945F26">
        <w:rPr>
          <w:rFonts w:ascii="Cambria" w:eastAsia="Times New Roman" w:hAnsi="Cambria" w:cs="Calibri"/>
          <w:sz w:val="20"/>
          <w:szCs w:val="20"/>
          <w:lang w:val="en"/>
        </w:rPr>
        <w:t xml:space="preserve">. </w:t>
      </w:r>
      <w:r w:rsidRPr="00945F26">
        <w:rPr>
          <w:rFonts w:ascii="Cambria" w:eastAsia="Times New Roman" w:hAnsi="Cambria" w:cs="Calibri"/>
          <w:i/>
          <w:sz w:val="20"/>
          <w:szCs w:val="20"/>
          <w:lang w:val="en"/>
        </w:rPr>
        <w:t>E-</w:t>
      </w:r>
      <w:proofErr w:type="spellStart"/>
      <w:r w:rsidRPr="00945F26">
        <w:rPr>
          <w:rFonts w:ascii="Cambria" w:eastAsia="Times New Roman" w:hAnsi="Cambria" w:cs="Calibri"/>
          <w:i/>
          <w:sz w:val="20"/>
          <w:szCs w:val="20"/>
          <w:lang w:val="en"/>
        </w:rPr>
        <w:t>Jurnal</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Manajemen</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Universitas</w:t>
      </w:r>
      <w:proofErr w:type="spellEnd"/>
      <w:r w:rsidRPr="00945F26">
        <w:rPr>
          <w:rFonts w:ascii="Cambria" w:eastAsia="Times New Roman" w:hAnsi="Cambria" w:cs="Calibri"/>
          <w:i/>
          <w:sz w:val="20"/>
          <w:szCs w:val="20"/>
          <w:lang w:val="en"/>
        </w:rPr>
        <w:t xml:space="preserve"> </w:t>
      </w:r>
      <w:proofErr w:type="spellStart"/>
      <w:r w:rsidRPr="00945F26">
        <w:rPr>
          <w:rFonts w:ascii="Cambria" w:eastAsia="Times New Roman" w:hAnsi="Cambria" w:cs="Calibri"/>
          <w:i/>
          <w:sz w:val="20"/>
          <w:szCs w:val="20"/>
          <w:lang w:val="en"/>
        </w:rPr>
        <w:t>Udayana</w:t>
      </w:r>
      <w:proofErr w:type="spellEnd"/>
      <w:r w:rsidRPr="00945F26">
        <w:rPr>
          <w:rFonts w:ascii="Cambria" w:eastAsia="Times New Roman" w:hAnsi="Cambria" w:cs="Calibri"/>
          <w:i/>
          <w:sz w:val="20"/>
          <w:szCs w:val="20"/>
          <w:lang w:val="en"/>
        </w:rPr>
        <w:t>, Vol. 7 (6).</w:t>
      </w:r>
    </w:p>
    <w:p w14:paraId="328BF815"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Sekaran</w:t>
      </w:r>
      <w:proofErr w:type="spellEnd"/>
      <w:r w:rsidRPr="00945F26">
        <w:rPr>
          <w:rFonts w:ascii="Cambria" w:eastAsia="Times New Roman" w:hAnsi="Cambria" w:cs="Calibri"/>
          <w:sz w:val="20"/>
          <w:szCs w:val="20"/>
          <w:lang w:val="en"/>
        </w:rPr>
        <w:t xml:space="preserve">, Uma. 2006. </w:t>
      </w:r>
      <w:proofErr w:type="spellStart"/>
      <w:r w:rsidRPr="00945F26">
        <w:rPr>
          <w:rFonts w:ascii="Cambria" w:eastAsia="Times New Roman" w:hAnsi="Cambria" w:cs="Calibri"/>
          <w:i/>
          <w:iCs/>
          <w:sz w:val="20"/>
          <w:szCs w:val="20"/>
          <w:lang w:val="en"/>
        </w:rPr>
        <w:t>Metodologi</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Penelitian</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untuk</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Bisnis</w:t>
      </w:r>
      <w:proofErr w:type="spellEnd"/>
      <w:r w:rsidRPr="00945F26">
        <w:rPr>
          <w:rFonts w:ascii="Cambria" w:eastAsia="Times New Roman" w:hAnsi="Cambria" w:cs="Calibri"/>
          <w:i/>
          <w:iCs/>
          <w:sz w:val="20"/>
          <w:szCs w:val="20"/>
          <w:lang w:val="en"/>
        </w:rPr>
        <w:t xml:space="preserve">. </w:t>
      </w:r>
      <w:proofErr w:type="gramStart"/>
      <w:r w:rsidRPr="00945F26">
        <w:rPr>
          <w:rFonts w:ascii="Cambria" w:eastAsia="Times New Roman" w:hAnsi="Cambria" w:cs="Calibri"/>
          <w:sz w:val="20"/>
          <w:szCs w:val="20"/>
          <w:lang w:val="en"/>
        </w:rPr>
        <w:t>Jakarta :</w:t>
      </w:r>
      <w:proofErr w:type="gram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Salemba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Empat</w:t>
      </w:r>
      <w:proofErr w:type="spellEnd"/>
      <w:r w:rsidRPr="00945F26">
        <w:rPr>
          <w:rFonts w:ascii="Cambria" w:eastAsia="Times New Roman" w:hAnsi="Cambria" w:cs="Calibri"/>
          <w:sz w:val="20"/>
          <w:szCs w:val="20"/>
          <w:lang w:val="en"/>
        </w:rPr>
        <w:t>.</w:t>
      </w:r>
    </w:p>
    <w:p w14:paraId="3EB906E9"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Spence, M. 1973. Job Market </w:t>
      </w:r>
      <w:proofErr w:type="spellStart"/>
      <w:r w:rsidRPr="00945F26">
        <w:rPr>
          <w:rFonts w:ascii="Cambria" w:eastAsia="Times New Roman" w:hAnsi="Cambria" w:cs="Calibri"/>
          <w:sz w:val="20"/>
          <w:szCs w:val="20"/>
          <w:lang w:val="en"/>
        </w:rPr>
        <w:t>Signalling</w:t>
      </w:r>
      <w:proofErr w:type="spellEnd"/>
      <w:r w:rsidRPr="00945F26">
        <w:rPr>
          <w:rFonts w:ascii="Cambria" w:eastAsia="Times New Roman" w:hAnsi="Cambria" w:cs="Calibri"/>
          <w:sz w:val="20"/>
          <w:szCs w:val="20"/>
          <w:lang w:val="en"/>
        </w:rPr>
        <w:t xml:space="preserve">. </w:t>
      </w:r>
      <w:r w:rsidRPr="00945F26">
        <w:rPr>
          <w:rFonts w:ascii="Cambria" w:eastAsia="Times New Roman" w:hAnsi="Cambria" w:cs="Calibri"/>
          <w:i/>
          <w:sz w:val="20"/>
          <w:szCs w:val="20"/>
          <w:lang w:val="en"/>
        </w:rPr>
        <w:t xml:space="preserve">The Quarterly Journal of Economics, Vol. 87 </w:t>
      </w:r>
      <w:proofErr w:type="gramStart"/>
      <w:r w:rsidRPr="00945F26">
        <w:rPr>
          <w:rFonts w:ascii="Cambria" w:eastAsia="Times New Roman" w:hAnsi="Cambria" w:cs="Calibri"/>
          <w:i/>
          <w:sz w:val="20"/>
          <w:szCs w:val="20"/>
          <w:lang w:val="en"/>
        </w:rPr>
        <w:t>(</w:t>
      </w:r>
      <w:r w:rsidRPr="00945F26">
        <w:rPr>
          <w:rFonts w:ascii="Cambria" w:eastAsia="Times New Roman" w:hAnsi="Cambria" w:cs="Calibri"/>
          <w:sz w:val="20"/>
          <w:szCs w:val="20"/>
          <w:lang w:val="en"/>
        </w:rPr>
        <w:t xml:space="preserve"> 3</w:t>
      </w:r>
      <w:proofErr w:type="gramEnd"/>
      <w:r w:rsidRPr="00945F26">
        <w:rPr>
          <w:rFonts w:ascii="Cambria" w:eastAsia="Times New Roman" w:hAnsi="Cambria" w:cs="Calibri"/>
          <w:i/>
          <w:sz w:val="20"/>
          <w:szCs w:val="20"/>
          <w:lang w:val="en"/>
        </w:rPr>
        <w:t>) : 355 – 374</w:t>
      </w:r>
      <w:r w:rsidRPr="00945F26">
        <w:rPr>
          <w:rFonts w:ascii="Cambria" w:eastAsia="Times New Roman" w:hAnsi="Cambria" w:cs="Calibri"/>
          <w:sz w:val="20"/>
          <w:szCs w:val="20"/>
          <w:lang w:val="en"/>
        </w:rPr>
        <w:t>.</w:t>
      </w:r>
    </w:p>
    <w:p w14:paraId="5B4AE4D8"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Sugiyono</w:t>
      </w:r>
      <w:proofErr w:type="spellEnd"/>
      <w:r w:rsidRPr="00945F26">
        <w:rPr>
          <w:rFonts w:ascii="Cambria" w:eastAsia="Times New Roman" w:hAnsi="Cambria" w:cs="Calibri"/>
          <w:sz w:val="20"/>
          <w:szCs w:val="20"/>
          <w:lang w:val="en"/>
        </w:rPr>
        <w:t xml:space="preserve">. 2009. </w:t>
      </w:r>
      <w:proofErr w:type="spellStart"/>
      <w:r w:rsidRPr="00945F26">
        <w:rPr>
          <w:rFonts w:ascii="Cambria" w:eastAsia="Times New Roman" w:hAnsi="Cambria" w:cs="Calibri"/>
          <w:i/>
          <w:iCs/>
          <w:sz w:val="20"/>
          <w:szCs w:val="20"/>
          <w:lang w:val="en"/>
        </w:rPr>
        <w:t>Metode</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Penelitian</w:t>
      </w:r>
      <w:proofErr w:type="spellEnd"/>
      <w:r w:rsidRPr="00945F26">
        <w:rPr>
          <w:rFonts w:ascii="Cambria" w:eastAsia="Times New Roman" w:hAnsi="Cambria" w:cs="Calibri"/>
          <w:i/>
          <w:iCs/>
          <w:sz w:val="20"/>
          <w:szCs w:val="20"/>
          <w:lang w:val="en"/>
        </w:rPr>
        <w:t xml:space="preserve"> </w:t>
      </w:r>
      <w:proofErr w:type="spellStart"/>
      <w:proofErr w:type="gramStart"/>
      <w:r w:rsidRPr="00945F26">
        <w:rPr>
          <w:rFonts w:ascii="Cambria" w:eastAsia="Times New Roman" w:hAnsi="Cambria" w:cs="Calibri"/>
          <w:i/>
          <w:iCs/>
          <w:sz w:val="20"/>
          <w:szCs w:val="20"/>
          <w:lang w:val="en"/>
        </w:rPr>
        <w:t>Pendidikan</w:t>
      </w:r>
      <w:proofErr w:type="spellEnd"/>
      <w:r w:rsidRPr="00945F26">
        <w:rPr>
          <w:rFonts w:ascii="Cambria" w:eastAsia="Times New Roman" w:hAnsi="Cambria" w:cs="Calibri"/>
          <w:i/>
          <w:iCs/>
          <w:sz w:val="20"/>
          <w:szCs w:val="20"/>
          <w:lang w:val="en"/>
        </w:rPr>
        <w:t xml:space="preserve"> :</w:t>
      </w:r>
      <w:proofErr w:type="gram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Pendekatan</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Kualitatif</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Kuantitatif</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dan</w:t>
      </w:r>
      <w:proofErr w:type="spellEnd"/>
      <w:r w:rsidRPr="00945F26">
        <w:rPr>
          <w:rFonts w:ascii="Cambria" w:eastAsia="Times New Roman" w:hAnsi="Cambria" w:cs="Calibri"/>
          <w:i/>
          <w:iCs/>
          <w:sz w:val="20"/>
          <w:szCs w:val="20"/>
          <w:lang w:val="en"/>
        </w:rPr>
        <w:t xml:space="preserve"> R&amp;D. </w:t>
      </w:r>
      <w:r w:rsidRPr="00945F26">
        <w:rPr>
          <w:rFonts w:ascii="Cambria" w:eastAsia="Times New Roman" w:hAnsi="Cambria" w:cs="Calibri"/>
          <w:sz w:val="20"/>
          <w:szCs w:val="20"/>
          <w:lang w:val="en"/>
        </w:rPr>
        <w:t xml:space="preserve">Bandung : </w:t>
      </w:r>
      <w:proofErr w:type="spellStart"/>
      <w:r w:rsidRPr="00945F26">
        <w:rPr>
          <w:rFonts w:ascii="Cambria" w:eastAsia="Times New Roman" w:hAnsi="Cambria" w:cs="Calibri"/>
          <w:sz w:val="20"/>
          <w:szCs w:val="20"/>
          <w:lang w:val="en"/>
        </w:rPr>
        <w:t>Alfabeta</w:t>
      </w:r>
      <w:proofErr w:type="spellEnd"/>
      <w:r w:rsidRPr="00945F26">
        <w:rPr>
          <w:rFonts w:ascii="Cambria" w:eastAsia="Times New Roman" w:hAnsi="Cambria" w:cs="Calibri"/>
          <w:sz w:val="20"/>
          <w:szCs w:val="20"/>
          <w:lang w:val="en"/>
        </w:rPr>
        <w:t>.</w:t>
      </w:r>
    </w:p>
    <w:p w14:paraId="633A2841"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proofErr w:type="spellStart"/>
      <w:r w:rsidRPr="00945F26">
        <w:rPr>
          <w:rFonts w:ascii="Cambria" w:eastAsia="Times New Roman" w:hAnsi="Cambria" w:cs="Calibri"/>
          <w:sz w:val="20"/>
          <w:szCs w:val="20"/>
          <w:lang w:val="en"/>
        </w:rPr>
        <w:t>Sugiyono</w:t>
      </w:r>
      <w:proofErr w:type="spellEnd"/>
      <w:r w:rsidRPr="00945F26">
        <w:rPr>
          <w:rFonts w:ascii="Cambria" w:eastAsia="Times New Roman" w:hAnsi="Cambria" w:cs="Calibri"/>
          <w:sz w:val="20"/>
          <w:szCs w:val="20"/>
          <w:lang w:val="en"/>
        </w:rPr>
        <w:t xml:space="preserve">. 2011. </w:t>
      </w:r>
      <w:proofErr w:type="spellStart"/>
      <w:r w:rsidRPr="00945F26">
        <w:rPr>
          <w:rFonts w:ascii="Cambria" w:eastAsia="Times New Roman" w:hAnsi="Cambria" w:cs="Calibri"/>
          <w:i/>
          <w:iCs/>
          <w:sz w:val="20"/>
          <w:szCs w:val="20"/>
          <w:lang w:val="en"/>
        </w:rPr>
        <w:t>Metode</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Penelitian</w:t>
      </w:r>
      <w:proofErr w:type="spellEnd"/>
      <w:r w:rsidRPr="00945F26">
        <w:rPr>
          <w:rFonts w:ascii="Cambria" w:eastAsia="Times New Roman" w:hAnsi="Cambria" w:cs="Calibri"/>
          <w:i/>
          <w:iCs/>
          <w:sz w:val="20"/>
          <w:szCs w:val="20"/>
          <w:lang w:val="en"/>
        </w:rPr>
        <w:t xml:space="preserve"> </w:t>
      </w:r>
      <w:proofErr w:type="spellStart"/>
      <w:proofErr w:type="gramStart"/>
      <w:r w:rsidRPr="00945F26">
        <w:rPr>
          <w:rFonts w:ascii="Cambria" w:eastAsia="Times New Roman" w:hAnsi="Cambria" w:cs="Calibri"/>
          <w:i/>
          <w:iCs/>
          <w:sz w:val="20"/>
          <w:szCs w:val="20"/>
          <w:lang w:val="en"/>
        </w:rPr>
        <w:t>Bisnis</w:t>
      </w:r>
      <w:proofErr w:type="spellEnd"/>
      <w:r w:rsidRPr="00945F26">
        <w:rPr>
          <w:rFonts w:ascii="Cambria" w:eastAsia="Times New Roman" w:hAnsi="Cambria" w:cs="Calibri"/>
          <w:i/>
          <w:iCs/>
          <w:sz w:val="20"/>
          <w:szCs w:val="20"/>
          <w:lang w:val="en"/>
        </w:rPr>
        <w:t xml:space="preserve"> :</w:t>
      </w:r>
      <w:proofErr w:type="gram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Pendekatan</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Kualitatif</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Kuantitatif</w:t>
      </w:r>
      <w:proofErr w:type="spellEnd"/>
      <w:r w:rsidRPr="00945F26">
        <w:rPr>
          <w:rFonts w:ascii="Cambria" w:eastAsia="Times New Roman" w:hAnsi="Cambria" w:cs="Calibri"/>
          <w:i/>
          <w:iCs/>
          <w:sz w:val="20"/>
          <w:szCs w:val="20"/>
          <w:lang w:val="en"/>
        </w:rPr>
        <w:t xml:space="preserve">, </w:t>
      </w:r>
      <w:proofErr w:type="spellStart"/>
      <w:r w:rsidRPr="00945F26">
        <w:rPr>
          <w:rFonts w:ascii="Cambria" w:eastAsia="Times New Roman" w:hAnsi="Cambria" w:cs="Calibri"/>
          <w:i/>
          <w:iCs/>
          <w:sz w:val="20"/>
          <w:szCs w:val="20"/>
          <w:lang w:val="en"/>
        </w:rPr>
        <w:t>dan</w:t>
      </w:r>
      <w:proofErr w:type="spellEnd"/>
      <w:r w:rsidRPr="00945F26">
        <w:rPr>
          <w:rFonts w:ascii="Cambria" w:eastAsia="Times New Roman" w:hAnsi="Cambria" w:cs="Calibri"/>
          <w:i/>
          <w:iCs/>
          <w:sz w:val="20"/>
          <w:szCs w:val="20"/>
          <w:lang w:val="en"/>
        </w:rPr>
        <w:t xml:space="preserve"> R&amp;D. </w:t>
      </w:r>
      <w:r w:rsidRPr="00945F26">
        <w:rPr>
          <w:rFonts w:ascii="Cambria" w:eastAsia="Times New Roman" w:hAnsi="Cambria" w:cs="Calibri"/>
          <w:sz w:val="20"/>
          <w:szCs w:val="20"/>
          <w:lang w:val="en"/>
        </w:rPr>
        <w:t xml:space="preserve">Bandung : </w:t>
      </w:r>
      <w:proofErr w:type="spellStart"/>
      <w:r w:rsidRPr="00945F26">
        <w:rPr>
          <w:rFonts w:ascii="Cambria" w:eastAsia="Times New Roman" w:hAnsi="Cambria" w:cs="Calibri"/>
          <w:sz w:val="20"/>
          <w:szCs w:val="20"/>
          <w:lang w:val="en"/>
        </w:rPr>
        <w:t>Alfabeta</w:t>
      </w:r>
      <w:proofErr w:type="spellEnd"/>
      <w:r w:rsidRPr="00945F26">
        <w:rPr>
          <w:rFonts w:ascii="Cambria" w:eastAsia="Times New Roman" w:hAnsi="Cambria" w:cs="Calibri"/>
          <w:sz w:val="20"/>
          <w:szCs w:val="20"/>
          <w:lang w:val="en"/>
        </w:rPr>
        <w:t xml:space="preserve">. </w:t>
      </w:r>
    </w:p>
    <w:p w14:paraId="49273422" w14:textId="77777777" w:rsidR="00945F26" w:rsidRPr="00945F26" w:rsidRDefault="00945F26" w:rsidP="00945F26">
      <w:pPr>
        <w:spacing w:after="0" w:line="240" w:lineRule="auto"/>
        <w:ind w:left="360" w:hanging="360"/>
        <w:jc w:val="both"/>
        <w:rPr>
          <w:rFonts w:ascii="Cambria" w:eastAsia="Times New Roman" w:hAnsi="Cambria" w:cs="Calibri"/>
          <w:b/>
          <w:bCs/>
          <w:sz w:val="20"/>
          <w:szCs w:val="20"/>
          <w:lang w:val="en"/>
        </w:rPr>
      </w:pPr>
      <w:proofErr w:type="spellStart"/>
      <w:r w:rsidRPr="00945F26">
        <w:rPr>
          <w:rFonts w:ascii="Cambria" w:eastAsia="Times New Roman" w:hAnsi="Cambria" w:cs="Calibri"/>
          <w:sz w:val="20"/>
          <w:szCs w:val="20"/>
          <w:lang w:val="en"/>
        </w:rPr>
        <w:lastRenderedPageBreak/>
        <w:t>Suryawijaya</w:t>
      </w:r>
      <w:proofErr w:type="spellEnd"/>
      <w:r w:rsidRPr="00945F26">
        <w:rPr>
          <w:rFonts w:ascii="Cambria" w:eastAsia="Times New Roman" w:hAnsi="Cambria" w:cs="Calibri"/>
          <w:sz w:val="20"/>
          <w:szCs w:val="20"/>
          <w:lang w:val="en"/>
        </w:rPr>
        <w:t xml:space="preserve">, M.A.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Setiawan</w:t>
      </w:r>
      <w:proofErr w:type="spellEnd"/>
      <w:r w:rsidRPr="00945F26">
        <w:rPr>
          <w:rFonts w:ascii="Cambria" w:eastAsia="Times New Roman" w:hAnsi="Cambria" w:cs="Calibri"/>
          <w:sz w:val="20"/>
          <w:szCs w:val="20"/>
          <w:lang w:val="en"/>
        </w:rPr>
        <w:t xml:space="preserve">, F. A. 1998. </w:t>
      </w:r>
      <w:proofErr w:type="spellStart"/>
      <w:r w:rsidRPr="00945F26">
        <w:rPr>
          <w:rFonts w:ascii="Cambria" w:eastAsia="Times New Roman" w:hAnsi="Cambria" w:cs="Calibri"/>
          <w:sz w:val="20"/>
          <w:szCs w:val="20"/>
          <w:lang w:val="en"/>
        </w:rPr>
        <w:t>Reaksi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Pasar</w:t>
      </w:r>
      <w:proofErr w:type="spellEnd"/>
      <w:r w:rsidRPr="00945F26">
        <w:rPr>
          <w:rFonts w:ascii="Cambria" w:eastAsia="Times New Roman" w:hAnsi="Cambria" w:cs="Calibri"/>
          <w:sz w:val="20"/>
          <w:szCs w:val="20"/>
          <w:lang w:val="en"/>
        </w:rPr>
        <w:t xml:space="preserve"> Modal Indonesia </w:t>
      </w:r>
      <w:proofErr w:type="spellStart"/>
      <w:r w:rsidRPr="00945F26">
        <w:rPr>
          <w:rFonts w:ascii="Cambria" w:eastAsia="Times New Roman" w:hAnsi="Cambria" w:cs="Calibri"/>
          <w:sz w:val="20"/>
          <w:szCs w:val="20"/>
          <w:lang w:val="en"/>
        </w:rPr>
        <w:t>Terhadap</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Peristiwa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Politik</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Dalam</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Negeri</w:t>
      </w:r>
      <w:proofErr w:type="spellEnd"/>
      <w:r w:rsidRPr="00945F26">
        <w:rPr>
          <w:rFonts w:ascii="Cambria" w:eastAsia="Times New Roman" w:hAnsi="Cambria" w:cs="Calibri"/>
          <w:sz w:val="20"/>
          <w:szCs w:val="20"/>
          <w:lang w:val="en"/>
        </w:rPr>
        <w:t xml:space="preserve"> (Event Study </w:t>
      </w:r>
      <w:proofErr w:type="spellStart"/>
      <w:r w:rsidRPr="00945F26">
        <w:rPr>
          <w:rFonts w:ascii="Cambria" w:eastAsia="Times New Roman" w:hAnsi="Cambria" w:cs="Calibri"/>
          <w:sz w:val="20"/>
          <w:szCs w:val="20"/>
          <w:lang w:val="en"/>
        </w:rPr>
        <w:t>pada</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Peristiwa</w:t>
      </w:r>
      <w:proofErr w:type="spellEnd"/>
      <w:r w:rsidRPr="00945F26">
        <w:rPr>
          <w:rFonts w:ascii="Cambria" w:eastAsia="Times New Roman" w:hAnsi="Cambria" w:cs="Calibri"/>
          <w:sz w:val="20"/>
          <w:szCs w:val="20"/>
          <w:lang w:val="en"/>
        </w:rPr>
        <w:t xml:space="preserve"> 27 </w:t>
      </w:r>
      <w:proofErr w:type="spellStart"/>
      <w:r w:rsidRPr="00945F26">
        <w:rPr>
          <w:rFonts w:ascii="Cambria" w:eastAsia="Times New Roman" w:hAnsi="Cambria" w:cs="Calibri"/>
          <w:sz w:val="20"/>
          <w:szCs w:val="20"/>
          <w:lang w:val="en"/>
        </w:rPr>
        <w:t>Juli</w:t>
      </w:r>
      <w:proofErr w:type="spellEnd"/>
      <w:r w:rsidRPr="00945F26">
        <w:rPr>
          <w:rFonts w:ascii="Cambria" w:eastAsia="Times New Roman" w:hAnsi="Cambria" w:cs="Calibri"/>
          <w:sz w:val="20"/>
          <w:szCs w:val="20"/>
          <w:lang w:val="en"/>
        </w:rPr>
        <w:t xml:space="preserve"> 1996). </w:t>
      </w:r>
      <w:proofErr w:type="spellStart"/>
      <w:r w:rsidRPr="00945F26">
        <w:rPr>
          <w:rFonts w:ascii="Cambria" w:eastAsia="Times New Roman" w:hAnsi="Cambria" w:cs="Calibri"/>
          <w:bCs/>
          <w:i/>
          <w:sz w:val="20"/>
          <w:szCs w:val="20"/>
          <w:lang w:val="en"/>
        </w:rPr>
        <w:t>Kelola</w:t>
      </w:r>
      <w:proofErr w:type="spellEnd"/>
      <w:r w:rsidRPr="00945F26">
        <w:rPr>
          <w:rFonts w:ascii="Cambria" w:eastAsia="Times New Roman" w:hAnsi="Cambria" w:cs="Calibri"/>
          <w:bCs/>
          <w:i/>
          <w:sz w:val="20"/>
          <w:szCs w:val="20"/>
          <w:lang w:val="en"/>
        </w:rPr>
        <w:t>, Vol. 7(18).</w:t>
      </w:r>
      <w:r w:rsidRPr="00945F26">
        <w:rPr>
          <w:rFonts w:ascii="Cambria" w:eastAsia="Times New Roman" w:hAnsi="Cambria" w:cs="Calibri"/>
          <w:b/>
          <w:bCs/>
          <w:sz w:val="20"/>
          <w:szCs w:val="20"/>
          <w:lang w:val="en"/>
        </w:rPr>
        <w:t xml:space="preserve"> </w:t>
      </w:r>
    </w:p>
    <w:p w14:paraId="0007D31F"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bCs/>
          <w:sz w:val="20"/>
          <w:szCs w:val="20"/>
          <w:lang w:val="en"/>
        </w:rPr>
        <w:t xml:space="preserve">Thomas, S. </w:t>
      </w:r>
      <w:proofErr w:type="spellStart"/>
      <w:r w:rsidRPr="00945F26">
        <w:rPr>
          <w:rFonts w:ascii="Cambria" w:eastAsia="Times New Roman" w:hAnsi="Cambria" w:cs="Calibri"/>
          <w:bCs/>
          <w:sz w:val="20"/>
          <w:szCs w:val="20"/>
          <w:lang w:val="en"/>
        </w:rPr>
        <w:t>dan</w:t>
      </w:r>
      <w:proofErr w:type="spellEnd"/>
      <w:r w:rsidRPr="00945F26">
        <w:rPr>
          <w:rFonts w:ascii="Cambria" w:eastAsia="Times New Roman" w:hAnsi="Cambria" w:cs="Calibri"/>
          <w:bCs/>
          <w:sz w:val="20"/>
          <w:szCs w:val="20"/>
          <w:lang w:val="en"/>
        </w:rPr>
        <w:t xml:space="preserve"> Shah, A. 2002. Stock Market Response to Union Budget</w:t>
      </w:r>
      <w:r w:rsidRPr="00945F26">
        <w:rPr>
          <w:rFonts w:ascii="Cambria" w:eastAsia="Times New Roman" w:hAnsi="Cambria" w:cs="Calibri"/>
          <w:bCs/>
          <w:i/>
          <w:sz w:val="20"/>
          <w:szCs w:val="20"/>
          <w:lang w:val="en"/>
        </w:rPr>
        <w:t>. Economic and Political Weekly, Vol. 37 (5): 455-458.</w:t>
      </w:r>
    </w:p>
    <w:p w14:paraId="473B0CC6" w14:textId="77777777" w:rsidR="00945F26" w:rsidRPr="00945F26" w:rsidRDefault="00945F26" w:rsidP="00945F26">
      <w:pPr>
        <w:spacing w:after="0" w:line="240" w:lineRule="auto"/>
        <w:ind w:left="360" w:hanging="360"/>
        <w:jc w:val="both"/>
        <w:rPr>
          <w:rFonts w:ascii="Cambria" w:eastAsia="Times New Roman" w:hAnsi="Cambria" w:cs="Calibri"/>
          <w:b/>
          <w:sz w:val="20"/>
          <w:szCs w:val="20"/>
        </w:rPr>
      </w:pPr>
      <w:r w:rsidRPr="00945F26">
        <w:rPr>
          <w:rFonts w:ascii="Cambria" w:eastAsia="Times New Roman" w:hAnsi="Cambria" w:cs="Calibri"/>
          <w:b/>
          <w:sz w:val="20"/>
          <w:szCs w:val="20"/>
          <w:lang w:val="en"/>
        </w:rPr>
        <w:t>Public Documents and Legislation</w:t>
      </w:r>
    </w:p>
    <w:p w14:paraId="3F65F0D5" w14:textId="77777777" w:rsidR="00945F26" w:rsidRPr="00945F26" w:rsidRDefault="00945F26" w:rsidP="00945F26">
      <w:pPr>
        <w:spacing w:after="0" w:line="240" w:lineRule="auto"/>
        <w:ind w:left="360" w:hanging="360"/>
        <w:jc w:val="both"/>
        <w:rPr>
          <w:rFonts w:ascii="Cambria" w:eastAsia="Times New Roman" w:hAnsi="Cambria" w:cs="Calibri"/>
          <w:b/>
          <w:sz w:val="20"/>
          <w:szCs w:val="20"/>
          <w:lang w:val="en"/>
        </w:rPr>
      </w:pPr>
      <w:proofErr w:type="spellStart"/>
      <w:r w:rsidRPr="00945F26">
        <w:rPr>
          <w:rFonts w:ascii="Cambria" w:eastAsia="Times New Roman" w:hAnsi="Cambria" w:cs="Calibri"/>
          <w:sz w:val="20"/>
          <w:szCs w:val="20"/>
          <w:lang w:val="en"/>
        </w:rPr>
        <w:t>Republik</w:t>
      </w:r>
      <w:proofErr w:type="spellEnd"/>
      <w:r w:rsidRPr="00945F26">
        <w:rPr>
          <w:rFonts w:ascii="Cambria" w:eastAsia="Times New Roman" w:hAnsi="Cambria" w:cs="Calibri"/>
          <w:sz w:val="20"/>
          <w:szCs w:val="20"/>
          <w:lang w:val="en"/>
        </w:rPr>
        <w:t xml:space="preserve"> Indonesia. 1995. </w:t>
      </w:r>
      <w:proofErr w:type="spellStart"/>
      <w:r w:rsidRPr="00945F26">
        <w:rPr>
          <w:rFonts w:ascii="Cambria" w:eastAsia="Times New Roman" w:hAnsi="Cambria" w:cs="Calibri"/>
          <w:sz w:val="20"/>
          <w:szCs w:val="20"/>
          <w:lang w:val="en"/>
        </w:rPr>
        <w:t>Undang-Undang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8 </w:t>
      </w:r>
      <w:proofErr w:type="spellStart"/>
      <w:r w:rsidRPr="00945F26">
        <w:rPr>
          <w:rFonts w:ascii="Cambria" w:eastAsia="Times New Roman" w:hAnsi="Cambria" w:cs="Calibri"/>
          <w:sz w:val="20"/>
          <w:szCs w:val="20"/>
          <w:lang w:val="en"/>
        </w:rPr>
        <w:t>Tahun</w:t>
      </w:r>
      <w:proofErr w:type="spellEnd"/>
      <w:r w:rsidRPr="00945F26">
        <w:rPr>
          <w:rFonts w:ascii="Cambria" w:eastAsia="Times New Roman" w:hAnsi="Cambria" w:cs="Calibri"/>
          <w:sz w:val="20"/>
          <w:szCs w:val="20"/>
          <w:lang w:val="en"/>
        </w:rPr>
        <w:t xml:space="preserve"> 1995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Pasar</w:t>
      </w:r>
      <w:proofErr w:type="spellEnd"/>
      <w:r w:rsidRPr="00945F26">
        <w:rPr>
          <w:rFonts w:ascii="Cambria" w:eastAsia="Times New Roman" w:hAnsi="Cambria" w:cs="Calibri"/>
          <w:sz w:val="20"/>
          <w:szCs w:val="20"/>
          <w:lang w:val="en"/>
        </w:rPr>
        <w:t xml:space="preserve"> Modal.</w:t>
      </w:r>
    </w:p>
    <w:p w14:paraId="44D4E7E1"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 2003. </w:t>
      </w:r>
      <w:proofErr w:type="spellStart"/>
      <w:r w:rsidRPr="00945F26">
        <w:rPr>
          <w:rFonts w:ascii="Cambria" w:eastAsia="Times New Roman" w:hAnsi="Cambria" w:cs="Calibri"/>
          <w:sz w:val="20"/>
          <w:szCs w:val="20"/>
          <w:lang w:val="en"/>
        </w:rPr>
        <w:t>Undang-Undang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17 </w:t>
      </w:r>
      <w:proofErr w:type="spellStart"/>
      <w:r w:rsidRPr="00945F26">
        <w:rPr>
          <w:rFonts w:ascii="Cambria" w:eastAsia="Times New Roman" w:hAnsi="Cambria" w:cs="Calibri"/>
          <w:sz w:val="20"/>
          <w:szCs w:val="20"/>
          <w:lang w:val="en"/>
        </w:rPr>
        <w:t>Tahun</w:t>
      </w:r>
      <w:proofErr w:type="spellEnd"/>
      <w:r w:rsidRPr="00945F26">
        <w:rPr>
          <w:rFonts w:ascii="Cambria" w:eastAsia="Times New Roman" w:hAnsi="Cambria" w:cs="Calibri"/>
          <w:sz w:val="20"/>
          <w:szCs w:val="20"/>
          <w:lang w:val="en"/>
        </w:rPr>
        <w:t xml:space="preserve"> 2003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 xml:space="preserve"> Negara.</w:t>
      </w:r>
    </w:p>
    <w:p w14:paraId="36D08E09"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 2016. </w:t>
      </w:r>
      <w:proofErr w:type="spellStart"/>
      <w:r w:rsidRPr="00945F26">
        <w:rPr>
          <w:rFonts w:ascii="Cambria" w:eastAsia="Times New Roman" w:hAnsi="Cambria" w:cs="Calibri"/>
          <w:sz w:val="20"/>
          <w:szCs w:val="20"/>
          <w:lang w:val="en"/>
        </w:rPr>
        <w:t>Undang-Undang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9 </w:t>
      </w:r>
      <w:proofErr w:type="spellStart"/>
      <w:r w:rsidRPr="00945F26">
        <w:rPr>
          <w:rFonts w:ascii="Cambria" w:eastAsia="Times New Roman" w:hAnsi="Cambria" w:cs="Calibri"/>
          <w:sz w:val="20"/>
          <w:szCs w:val="20"/>
          <w:lang w:val="en"/>
        </w:rPr>
        <w:t>Tahun</w:t>
      </w:r>
      <w:proofErr w:type="spellEnd"/>
      <w:r w:rsidRPr="00945F26">
        <w:rPr>
          <w:rFonts w:ascii="Cambria" w:eastAsia="Times New Roman" w:hAnsi="Cambria" w:cs="Calibri"/>
          <w:sz w:val="20"/>
          <w:szCs w:val="20"/>
          <w:lang w:val="en"/>
        </w:rPr>
        <w:t xml:space="preserve"> 2016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Pencegahan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Penanganan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Krisis</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Sistem</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w:t>
      </w:r>
    </w:p>
    <w:p w14:paraId="79E5CD4D"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 2017. </w:t>
      </w:r>
      <w:proofErr w:type="spellStart"/>
      <w:r w:rsidRPr="00945F26">
        <w:rPr>
          <w:rFonts w:ascii="Cambria" w:eastAsia="Times New Roman" w:hAnsi="Cambria" w:cs="Calibri"/>
          <w:sz w:val="20"/>
          <w:szCs w:val="20"/>
          <w:lang w:val="en"/>
        </w:rPr>
        <w:t>Undang-Undang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15 </w:t>
      </w:r>
      <w:proofErr w:type="spellStart"/>
      <w:r w:rsidRPr="00945F26">
        <w:rPr>
          <w:rFonts w:ascii="Cambria" w:eastAsia="Times New Roman" w:hAnsi="Cambria" w:cs="Calibri"/>
          <w:sz w:val="20"/>
          <w:szCs w:val="20"/>
          <w:lang w:val="en"/>
        </w:rPr>
        <w:t>Tahun</w:t>
      </w:r>
      <w:proofErr w:type="spellEnd"/>
      <w:r w:rsidRPr="00945F26">
        <w:rPr>
          <w:rFonts w:ascii="Cambria" w:eastAsia="Times New Roman" w:hAnsi="Cambria" w:cs="Calibri"/>
          <w:sz w:val="20"/>
          <w:szCs w:val="20"/>
          <w:lang w:val="en"/>
        </w:rPr>
        <w:t xml:space="preserve"> 2017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Anggaran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Pendapatan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dan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Belanja</w:t>
      </w:r>
      <w:proofErr w:type="spellEnd"/>
      <w:r w:rsidRPr="00945F26">
        <w:rPr>
          <w:rFonts w:ascii="Cambria" w:eastAsia="Times New Roman" w:hAnsi="Cambria" w:cs="Calibri"/>
          <w:sz w:val="20"/>
          <w:szCs w:val="20"/>
          <w:lang w:val="en"/>
        </w:rPr>
        <w:t xml:space="preserve"> Negara.</w:t>
      </w:r>
    </w:p>
    <w:p w14:paraId="0002019B"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 2015. </w:t>
      </w:r>
      <w:proofErr w:type="spellStart"/>
      <w:r w:rsidRPr="00945F26">
        <w:rPr>
          <w:rFonts w:ascii="Cambria" w:eastAsia="Times New Roman" w:hAnsi="Cambria" w:cs="Calibri"/>
          <w:sz w:val="20"/>
          <w:szCs w:val="20"/>
          <w:lang w:val="en"/>
        </w:rPr>
        <w:t>Peraturan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Menteri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234/PMK.01/2015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Tata </w:t>
      </w:r>
      <w:proofErr w:type="spellStart"/>
      <w:r w:rsidRPr="00945F26">
        <w:rPr>
          <w:rFonts w:ascii="Cambria" w:eastAsia="Times New Roman" w:hAnsi="Cambria" w:cs="Calibri"/>
          <w:sz w:val="20"/>
          <w:szCs w:val="20"/>
          <w:lang w:val="en"/>
        </w:rPr>
        <w:t>Organisasi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Kementerian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w:t>
      </w:r>
    </w:p>
    <w:p w14:paraId="680449E2" w14:textId="77777777" w:rsidR="00945F26" w:rsidRPr="00945F26" w:rsidRDefault="00945F26" w:rsidP="00945F26">
      <w:pPr>
        <w:spacing w:after="0" w:line="240" w:lineRule="auto"/>
        <w:ind w:left="360" w:hanging="360"/>
        <w:jc w:val="both"/>
        <w:rPr>
          <w:rFonts w:ascii="Cambria" w:eastAsia="Times New Roman" w:hAnsi="Cambria" w:cs="Calibri"/>
          <w:sz w:val="20"/>
          <w:szCs w:val="20"/>
          <w:lang w:val="en"/>
        </w:rPr>
      </w:pPr>
      <w:r w:rsidRPr="00945F26">
        <w:rPr>
          <w:rFonts w:ascii="Cambria" w:eastAsia="Times New Roman" w:hAnsi="Cambria" w:cs="Calibri"/>
          <w:sz w:val="20"/>
          <w:szCs w:val="20"/>
          <w:lang w:val="en"/>
        </w:rPr>
        <w:t xml:space="preserve">-----------------------. 2015. </w:t>
      </w:r>
      <w:proofErr w:type="spellStart"/>
      <w:r w:rsidRPr="00945F26">
        <w:rPr>
          <w:rFonts w:ascii="Cambria" w:eastAsia="Times New Roman" w:hAnsi="Cambria" w:cs="Calibri"/>
          <w:sz w:val="20"/>
          <w:szCs w:val="20"/>
          <w:lang w:val="en"/>
        </w:rPr>
        <w:t>Peraturan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Menteri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212/PMK.01/2017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Perubahan</w:t>
      </w:r>
      <w:proofErr w:type="spellEnd"/>
      <w:r w:rsidRPr="00945F26">
        <w:rPr>
          <w:rFonts w:ascii="Cambria" w:eastAsia="Times New Roman" w:hAnsi="Cambria" w:cs="Calibri"/>
          <w:sz w:val="20"/>
          <w:szCs w:val="20"/>
          <w:lang w:val="en"/>
        </w:rPr>
        <w:t xml:space="preserve"> </w:t>
      </w:r>
      <w:proofErr w:type="spellStart"/>
      <w:proofErr w:type="gramStart"/>
      <w:r w:rsidRPr="00945F26">
        <w:rPr>
          <w:rFonts w:ascii="Cambria" w:eastAsia="Times New Roman" w:hAnsi="Cambria" w:cs="Calibri"/>
          <w:sz w:val="20"/>
          <w:szCs w:val="20"/>
          <w:lang w:val="en"/>
        </w:rPr>
        <w:t>atas</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Peraturan</w:t>
      </w:r>
      <w:proofErr w:type="spellEnd"/>
      <w:proofErr w:type="gram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Menteri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Nomor</w:t>
      </w:r>
      <w:proofErr w:type="spellEnd"/>
      <w:r w:rsidRPr="00945F26">
        <w:rPr>
          <w:rFonts w:ascii="Cambria" w:eastAsia="Times New Roman" w:hAnsi="Cambria" w:cs="Calibri"/>
          <w:sz w:val="20"/>
          <w:szCs w:val="20"/>
          <w:lang w:val="en"/>
        </w:rPr>
        <w:t xml:space="preserve"> 234/PMK.01/2015 </w:t>
      </w:r>
      <w:proofErr w:type="spellStart"/>
      <w:r w:rsidRPr="00945F26">
        <w:rPr>
          <w:rFonts w:ascii="Cambria" w:eastAsia="Times New Roman" w:hAnsi="Cambria" w:cs="Calibri"/>
          <w:sz w:val="20"/>
          <w:szCs w:val="20"/>
          <w:lang w:val="en"/>
        </w:rPr>
        <w:t>tentang</w:t>
      </w:r>
      <w:proofErr w:type="spellEnd"/>
      <w:r w:rsidRPr="00945F26">
        <w:rPr>
          <w:rFonts w:ascii="Cambria" w:eastAsia="Times New Roman" w:hAnsi="Cambria" w:cs="Calibri"/>
          <w:sz w:val="20"/>
          <w:szCs w:val="20"/>
          <w:lang w:val="en"/>
        </w:rPr>
        <w:t xml:space="preserve"> Tata </w:t>
      </w:r>
      <w:proofErr w:type="spellStart"/>
      <w:r w:rsidRPr="00945F26">
        <w:rPr>
          <w:rFonts w:ascii="Cambria" w:eastAsia="Times New Roman" w:hAnsi="Cambria" w:cs="Calibri"/>
          <w:sz w:val="20"/>
          <w:szCs w:val="20"/>
          <w:lang w:val="en"/>
        </w:rPr>
        <w:t>Organisasi</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Kementerian</w:t>
      </w:r>
      <w:proofErr w:type="spellEnd"/>
      <w:r w:rsidRPr="00945F26">
        <w:rPr>
          <w:rFonts w:ascii="Cambria" w:eastAsia="Times New Roman" w:hAnsi="Cambria" w:cs="Calibri"/>
          <w:sz w:val="20"/>
          <w:szCs w:val="20"/>
          <w:lang w:val="en"/>
        </w:rPr>
        <w:t xml:space="preserve"> </w:t>
      </w:r>
      <w:proofErr w:type="spellStart"/>
      <w:r w:rsidRPr="00945F26">
        <w:rPr>
          <w:rFonts w:ascii="Cambria" w:eastAsia="Times New Roman" w:hAnsi="Cambria" w:cs="Calibri"/>
          <w:sz w:val="20"/>
          <w:szCs w:val="20"/>
          <w:lang w:val="en"/>
        </w:rPr>
        <w:t>Keuangan</w:t>
      </w:r>
      <w:proofErr w:type="spellEnd"/>
      <w:r w:rsidRPr="00945F26">
        <w:rPr>
          <w:rFonts w:ascii="Cambria" w:eastAsia="Times New Roman" w:hAnsi="Cambria" w:cs="Calibri"/>
          <w:sz w:val="20"/>
          <w:szCs w:val="20"/>
          <w:lang w:val="en"/>
        </w:rPr>
        <w:t>.</w:t>
      </w:r>
    </w:p>
    <w:p w14:paraId="54857450" w14:textId="77777777" w:rsidR="007B472D" w:rsidRDefault="007B472D"/>
    <w:sectPr w:rsidR="007B472D"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44D3"/>
    <w:multiLevelType w:val="multilevel"/>
    <w:tmpl w:val="0D32A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F762C"/>
    <w:multiLevelType w:val="multilevel"/>
    <w:tmpl w:val="93A21E0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298A"/>
    <w:multiLevelType w:val="multilevel"/>
    <w:tmpl w:val="7B389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90819"/>
    <w:multiLevelType w:val="multilevel"/>
    <w:tmpl w:val="AB3243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915CCD"/>
    <w:multiLevelType w:val="multilevel"/>
    <w:tmpl w:val="C6E85B02"/>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22C35D43"/>
    <w:multiLevelType w:val="multilevel"/>
    <w:tmpl w:val="24C85D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B692E"/>
    <w:multiLevelType w:val="multilevel"/>
    <w:tmpl w:val="B66A7A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63967"/>
    <w:multiLevelType w:val="multilevel"/>
    <w:tmpl w:val="D62E5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965E8E"/>
    <w:multiLevelType w:val="multilevel"/>
    <w:tmpl w:val="79065210"/>
    <w:lvl w:ilvl="0">
      <w:start w:val="1"/>
      <w:numFmt w:val="lowerLetter"/>
      <w:lvlText w:val="%1."/>
      <w:lvlJc w:val="left"/>
      <w:pPr>
        <w:ind w:left="720" w:hanging="360"/>
      </w:pPr>
      <w:rPr>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A4879"/>
    <w:multiLevelType w:val="multilevel"/>
    <w:tmpl w:val="2BC6AF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5A38ED"/>
    <w:multiLevelType w:val="multilevel"/>
    <w:tmpl w:val="3E26C41C"/>
    <w:lvl w:ilvl="0">
      <w:start w:val="1"/>
      <w:numFmt w:val="decimal"/>
      <w:lvlText w:val="%1."/>
      <w:lvlJc w:val="left"/>
      <w:pPr>
        <w:ind w:left="720" w:hanging="360"/>
      </w:pPr>
      <w:rPr>
        <w:rFonts w:ascii="Arial" w:hAnsi="Arial" w:hint="default"/>
        <w:b/>
        <w:i w:val="0"/>
        <w:sz w:val="20"/>
      </w:r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D92B9C"/>
    <w:multiLevelType w:val="hybridMultilevel"/>
    <w:tmpl w:val="6C1031A4"/>
    <w:lvl w:ilvl="0" w:tplc="CCA67E96">
      <w:start w:val="1"/>
      <w:numFmt w:val="decimal"/>
      <w:lvlText w:val="%1."/>
      <w:lvlJc w:val="left"/>
      <w:pPr>
        <w:ind w:left="1440" w:hanging="360"/>
      </w:pPr>
      <w:rPr>
        <w:b/>
      </w:rPr>
    </w:lvl>
    <w:lvl w:ilvl="1" w:tplc="B4106D36" w:tentative="1">
      <w:start w:val="1"/>
      <w:numFmt w:val="lowerLetter"/>
      <w:lvlText w:val="%2."/>
      <w:lvlJc w:val="left"/>
      <w:pPr>
        <w:ind w:left="1440" w:hanging="360"/>
      </w:pPr>
    </w:lvl>
    <w:lvl w:ilvl="2" w:tplc="0ED8B6E6" w:tentative="1">
      <w:start w:val="1"/>
      <w:numFmt w:val="lowerRoman"/>
      <w:lvlText w:val="%3."/>
      <w:lvlJc w:val="right"/>
      <w:pPr>
        <w:ind w:left="2160" w:hanging="180"/>
      </w:pPr>
    </w:lvl>
    <w:lvl w:ilvl="3" w:tplc="0EAC2E2E" w:tentative="1">
      <w:start w:val="1"/>
      <w:numFmt w:val="decimal"/>
      <w:lvlText w:val="%4."/>
      <w:lvlJc w:val="left"/>
      <w:pPr>
        <w:ind w:left="2880" w:hanging="360"/>
      </w:pPr>
    </w:lvl>
    <w:lvl w:ilvl="4" w:tplc="EFD2E704" w:tentative="1">
      <w:start w:val="1"/>
      <w:numFmt w:val="lowerLetter"/>
      <w:lvlText w:val="%5."/>
      <w:lvlJc w:val="left"/>
      <w:pPr>
        <w:ind w:left="3600" w:hanging="360"/>
      </w:pPr>
    </w:lvl>
    <w:lvl w:ilvl="5" w:tplc="3566E4C4" w:tentative="1">
      <w:start w:val="1"/>
      <w:numFmt w:val="lowerRoman"/>
      <w:lvlText w:val="%6."/>
      <w:lvlJc w:val="right"/>
      <w:pPr>
        <w:ind w:left="4320" w:hanging="180"/>
      </w:pPr>
    </w:lvl>
    <w:lvl w:ilvl="6" w:tplc="EEB8B97E" w:tentative="1">
      <w:start w:val="1"/>
      <w:numFmt w:val="decimal"/>
      <w:lvlText w:val="%7."/>
      <w:lvlJc w:val="left"/>
      <w:pPr>
        <w:ind w:left="5040" w:hanging="360"/>
      </w:pPr>
    </w:lvl>
    <w:lvl w:ilvl="7" w:tplc="CC30E63C" w:tentative="1">
      <w:start w:val="1"/>
      <w:numFmt w:val="lowerLetter"/>
      <w:lvlText w:val="%8."/>
      <w:lvlJc w:val="left"/>
      <w:pPr>
        <w:ind w:left="5760" w:hanging="360"/>
      </w:pPr>
    </w:lvl>
    <w:lvl w:ilvl="8" w:tplc="3A902B04" w:tentative="1">
      <w:start w:val="1"/>
      <w:numFmt w:val="lowerRoman"/>
      <w:lvlText w:val="%9."/>
      <w:lvlJc w:val="right"/>
      <w:pPr>
        <w:ind w:left="6480" w:hanging="180"/>
      </w:pPr>
    </w:lvl>
  </w:abstractNum>
  <w:abstractNum w:abstractNumId="16" w15:restartNumberingAfterBreak="0">
    <w:nsid w:val="4FF54013"/>
    <w:multiLevelType w:val="multilevel"/>
    <w:tmpl w:val="922AC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87415"/>
    <w:multiLevelType w:val="multilevel"/>
    <w:tmpl w:val="59E4F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2748D2"/>
    <w:multiLevelType w:val="multilevel"/>
    <w:tmpl w:val="BC86E1DC"/>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7BE713B7"/>
    <w:multiLevelType w:val="multilevel"/>
    <w:tmpl w:val="2812B41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5F6C7E"/>
    <w:multiLevelType w:val="hybridMultilevel"/>
    <w:tmpl w:val="1E80612A"/>
    <w:lvl w:ilvl="0" w:tplc="282A37D2">
      <w:start w:val="1"/>
      <w:numFmt w:val="upperLetter"/>
      <w:lvlText w:val="%1."/>
      <w:lvlJc w:val="left"/>
      <w:pPr>
        <w:ind w:left="720" w:hanging="360"/>
      </w:pPr>
    </w:lvl>
    <w:lvl w:ilvl="1" w:tplc="C4685706">
      <w:start w:val="1"/>
      <w:numFmt w:val="decimal"/>
      <w:lvlText w:val="%2."/>
      <w:lvlJc w:val="left"/>
      <w:pPr>
        <w:ind w:left="1440" w:hanging="360"/>
      </w:pPr>
      <w:rPr>
        <w:b/>
      </w:rPr>
    </w:lvl>
    <w:lvl w:ilvl="2" w:tplc="FD2403E0">
      <w:start w:val="1"/>
      <w:numFmt w:val="decimal"/>
      <w:lvlText w:val="%3."/>
      <w:lvlJc w:val="left"/>
      <w:pPr>
        <w:ind w:left="2340" w:hanging="360"/>
      </w:pPr>
    </w:lvl>
    <w:lvl w:ilvl="3" w:tplc="FC668B68">
      <w:start w:val="1"/>
      <w:numFmt w:val="bullet"/>
      <w:lvlText w:val=""/>
      <w:lvlJc w:val="left"/>
      <w:pPr>
        <w:ind w:left="2880" w:hanging="360"/>
      </w:pPr>
      <w:rPr>
        <w:rFonts w:ascii="Symbol" w:hAnsi="Symbol" w:hint="default"/>
      </w:rPr>
    </w:lvl>
    <w:lvl w:ilvl="4" w:tplc="A44EE416">
      <w:start w:val="1"/>
      <w:numFmt w:val="lowerLetter"/>
      <w:lvlText w:val="%5."/>
      <w:lvlJc w:val="left"/>
      <w:pPr>
        <w:ind w:left="3600" w:hanging="360"/>
      </w:pPr>
    </w:lvl>
    <w:lvl w:ilvl="5" w:tplc="DBDC4A7C">
      <w:start w:val="1"/>
      <w:numFmt w:val="lowerRoman"/>
      <w:lvlText w:val="%6."/>
      <w:lvlJc w:val="right"/>
      <w:pPr>
        <w:ind w:left="4320" w:hanging="180"/>
      </w:pPr>
    </w:lvl>
    <w:lvl w:ilvl="6" w:tplc="F52EAD38">
      <w:start w:val="1"/>
      <w:numFmt w:val="decimal"/>
      <w:lvlText w:val="%7."/>
      <w:lvlJc w:val="left"/>
      <w:pPr>
        <w:ind w:left="5040" w:hanging="360"/>
      </w:pPr>
    </w:lvl>
    <w:lvl w:ilvl="7" w:tplc="F32C6C90">
      <w:start w:val="1"/>
      <w:numFmt w:val="lowerLetter"/>
      <w:lvlText w:val="%8."/>
      <w:lvlJc w:val="left"/>
      <w:pPr>
        <w:ind w:left="5760" w:hanging="360"/>
      </w:pPr>
    </w:lvl>
    <w:lvl w:ilvl="8" w:tplc="4770E144">
      <w:start w:val="1"/>
      <w:numFmt w:val="lowerRoman"/>
      <w:lvlText w:val="%9."/>
      <w:lvlJc w:val="right"/>
      <w:pPr>
        <w:ind w:left="6480" w:hanging="180"/>
      </w:pPr>
    </w:lvl>
  </w:abstractNum>
  <w:num w:numId="1">
    <w:abstractNumId w:val="17"/>
  </w:num>
  <w:num w:numId="2">
    <w:abstractNumId w:val="14"/>
  </w:num>
  <w:num w:numId="3">
    <w:abstractNumId w:val="12"/>
  </w:num>
  <w:num w:numId="4">
    <w:abstractNumId w:val="0"/>
  </w:num>
  <w:num w:numId="5">
    <w:abstractNumId w:val="3"/>
  </w:num>
  <w:num w:numId="6">
    <w:abstractNumId w:val="9"/>
  </w:num>
  <w:num w:numId="7">
    <w:abstractNumId w:val="6"/>
  </w:num>
  <w:num w:numId="8">
    <w:abstractNumId w:val="20"/>
  </w:num>
  <w:num w:numId="9">
    <w:abstractNumId w:val="10"/>
  </w:num>
  <w:num w:numId="10">
    <w:abstractNumId w:val="18"/>
  </w:num>
  <w:num w:numId="11">
    <w:abstractNumId w:val="4"/>
  </w:num>
  <w:num w:numId="12">
    <w:abstractNumId w:val="5"/>
  </w:num>
  <w:num w:numId="13">
    <w:abstractNumId w:val="7"/>
  </w:num>
  <w:num w:numId="14">
    <w:abstractNumId w:val="13"/>
  </w:num>
  <w:num w:numId="15">
    <w:abstractNumId w:val="11"/>
  </w:num>
  <w:num w:numId="16">
    <w:abstractNumId w:val="19"/>
  </w:num>
  <w:num w:numId="17">
    <w:abstractNumId w:val="1"/>
  </w:num>
  <w:num w:numId="18">
    <w:abstractNumId w:val="16"/>
  </w:num>
  <w:num w:numId="19">
    <w:abstractNumId w:val="2"/>
  </w:num>
  <w:num w:numId="20">
    <w:abstractNumId w:val="8"/>
  </w:num>
  <w:num w:numId="2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yMjA1NjI3sjQzNDZV0lEKTi0uzszPAykwrwUAPW9o4SwAAAA="/>
  </w:docVars>
  <w:rsids>
    <w:rsidRoot w:val="00B136FE"/>
    <w:rsid w:val="000A28A0"/>
    <w:rsid w:val="000C005D"/>
    <w:rsid w:val="00247CFE"/>
    <w:rsid w:val="00381861"/>
    <w:rsid w:val="003830D1"/>
    <w:rsid w:val="0048236D"/>
    <w:rsid w:val="004C4E70"/>
    <w:rsid w:val="004D1711"/>
    <w:rsid w:val="00644504"/>
    <w:rsid w:val="006F084E"/>
    <w:rsid w:val="00720A04"/>
    <w:rsid w:val="00737665"/>
    <w:rsid w:val="00783D49"/>
    <w:rsid w:val="007B472D"/>
    <w:rsid w:val="00821980"/>
    <w:rsid w:val="008A00D4"/>
    <w:rsid w:val="008C510F"/>
    <w:rsid w:val="008F6794"/>
    <w:rsid w:val="00906D72"/>
    <w:rsid w:val="00945F26"/>
    <w:rsid w:val="009D5576"/>
    <w:rsid w:val="00A12B7D"/>
    <w:rsid w:val="00A44E34"/>
    <w:rsid w:val="00A51782"/>
    <w:rsid w:val="00A57078"/>
    <w:rsid w:val="00A75041"/>
    <w:rsid w:val="00AA50F9"/>
    <w:rsid w:val="00B136FE"/>
    <w:rsid w:val="00B35125"/>
    <w:rsid w:val="00B961F7"/>
    <w:rsid w:val="00BC083B"/>
    <w:rsid w:val="00BD6CA4"/>
    <w:rsid w:val="00C17C5D"/>
    <w:rsid w:val="00C86258"/>
    <w:rsid w:val="00D617A0"/>
    <w:rsid w:val="00DC5BEB"/>
    <w:rsid w:val="00E03B64"/>
    <w:rsid w:val="00EB03E7"/>
    <w:rsid w:val="00ED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318A"/>
  <w15:chartTrackingRefBased/>
  <w15:docId w15:val="{09B5FBDB-1DE9-4F6E-98FD-8F9036E0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FE"/>
  </w:style>
  <w:style w:type="paragraph" w:styleId="Heading1">
    <w:name w:val="heading 1"/>
    <w:basedOn w:val="Normal"/>
    <w:next w:val="Normal"/>
    <w:link w:val="Heading1Char"/>
    <w:rsid w:val="00B961F7"/>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Heading2">
    <w:name w:val="heading 2"/>
    <w:basedOn w:val="Normal"/>
    <w:next w:val="Normal"/>
    <w:link w:val="Heading2Char"/>
    <w:rsid w:val="00B961F7"/>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Heading3">
    <w:name w:val="heading 3"/>
    <w:basedOn w:val="Normal"/>
    <w:next w:val="Normal"/>
    <w:link w:val="Heading3Char"/>
    <w:rsid w:val="00B961F7"/>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Heading4">
    <w:name w:val="heading 4"/>
    <w:basedOn w:val="Normal"/>
    <w:next w:val="Normal"/>
    <w:link w:val="Heading4Char"/>
    <w:rsid w:val="00B961F7"/>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Heading5">
    <w:name w:val="heading 5"/>
    <w:basedOn w:val="Normal"/>
    <w:next w:val="Normal"/>
    <w:link w:val="Heading5Char"/>
    <w:rsid w:val="00B961F7"/>
    <w:pPr>
      <w:keepNext/>
      <w:keepLines/>
      <w:spacing w:before="220" w:after="40" w:line="240" w:lineRule="auto"/>
      <w:outlineLvl w:val="4"/>
    </w:pPr>
    <w:rPr>
      <w:rFonts w:ascii="Times New Roman" w:eastAsia="Times New Roman" w:hAnsi="Times New Roman" w:cs="Times New Roman"/>
      <w:b/>
      <w:lang w:val="en"/>
    </w:rPr>
  </w:style>
  <w:style w:type="paragraph" w:styleId="Heading6">
    <w:name w:val="heading 6"/>
    <w:basedOn w:val="Normal"/>
    <w:next w:val="Normal"/>
    <w:link w:val="Heading6Char"/>
    <w:rsid w:val="00B961F7"/>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961F7"/>
    <w:rPr>
      <w:rFonts w:ascii="Times New Roman" w:eastAsia="Times New Roman" w:hAnsi="Times New Roman" w:cs="Times New Roman"/>
      <w:b/>
      <w:sz w:val="48"/>
      <w:szCs w:val="48"/>
      <w:lang w:val="en"/>
    </w:rPr>
  </w:style>
  <w:style w:type="character" w:customStyle="1" w:styleId="Heading2Char">
    <w:name w:val="Heading 2 Char"/>
    <w:basedOn w:val="DefaultParagraphFont"/>
    <w:link w:val="Heading2"/>
    <w:rsid w:val="00B961F7"/>
    <w:rPr>
      <w:rFonts w:ascii="Times New Roman" w:eastAsia="Times New Roman" w:hAnsi="Times New Roman" w:cs="Times New Roman"/>
      <w:b/>
      <w:sz w:val="36"/>
      <w:szCs w:val="36"/>
      <w:lang w:val="en"/>
    </w:rPr>
  </w:style>
  <w:style w:type="character" w:customStyle="1" w:styleId="Heading3Char">
    <w:name w:val="Heading 3 Char"/>
    <w:basedOn w:val="DefaultParagraphFont"/>
    <w:link w:val="Heading3"/>
    <w:rsid w:val="00B961F7"/>
    <w:rPr>
      <w:rFonts w:ascii="Times New Roman" w:eastAsia="Times New Roman" w:hAnsi="Times New Roman" w:cs="Times New Roman"/>
      <w:b/>
      <w:sz w:val="28"/>
      <w:szCs w:val="28"/>
      <w:lang w:val="en"/>
    </w:rPr>
  </w:style>
  <w:style w:type="character" w:customStyle="1" w:styleId="Heading4Char">
    <w:name w:val="Heading 4 Char"/>
    <w:basedOn w:val="DefaultParagraphFont"/>
    <w:link w:val="Heading4"/>
    <w:rsid w:val="00B961F7"/>
    <w:rPr>
      <w:rFonts w:ascii="Times New Roman" w:eastAsia="Times New Roman" w:hAnsi="Times New Roman" w:cs="Times New Roman"/>
      <w:b/>
      <w:sz w:val="24"/>
      <w:szCs w:val="24"/>
      <w:lang w:val="en"/>
    </w:rPr>
  </w:style>
  <w:style w:type="character" w:customStyle="1" w:styleId="Heading5Char">
    <w:name w:val="Heading 5 Char"/>
    <w:basedOn w:val="DefaultParagraphFont"/>
    <w:link w:val="Heading5"/>
    <w:rsid w:val="00B961F7"/>
    <w:rPr>
      <w:rFonts w:ascii="Times New Roman" w:eastAsia="Times New Roman" w:hAnsi="Times New Roman" w:cs="Times New Roman"/>
      <w:b/>
      <w:lang w:val="en"/>
    </w:rPr>
  </w:style>
  <w:style w:type="character" w:customStyle="1" w:styleId="Heading6Char">
    <w:name w:val="Heading 6 Char"/>
    <w:basedOn w:val="DefaultParagraphFont"/>
    <w:link w:val="Heading6"/>
    <w:rsid w:val="00B961F7"/>
    <w:rPr>
      <w:rFonts w:ascii="Times New Roman" w:eastAsia="Times New Roman" w:hAnsi="Times New Roman" w:cs="Times New Roman"/>
      <w:b/>
      <w:sz w:val="20"/>
      <w:szCs w:val="20"/>
      <w:lang w:val="en"/>
    </w:rPr>
  </w:style>
  <w:style w:type="numbering" w:customStyle="1" w:styleId="NoList1">
    <w:name w:val="No List1"/>
    <w:next w:val="NoList"/>
    <w:uiPriority w:val="99"/>
    <w:semiHidden/>
    <w:unhideWhenUsed/>
    <w:rsid w:val="00B961F7"/>
  </w:style>
  <w:style w:type="paragraph" w:styleId="Title">
    <w:name w:val="Title"/>
    <w:basedOn w:val="Normal"/>
    <w:next w:val="Normal"/>
    <w:link w:val="TitleChar"/>
    <w:rsid w:val="00B961F7"/>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TitleChar">
    <w:name w:val="Title Char"/>
    <w:basedOn w:val="DefaultParagraphFont"/>
    <w:link w:val="Title"/>
    <w:rsid w:val="00B961F7"/>
    <w:rPr>
      <w:rFonts w:ascii="Times New Roman" w:eastAsia="Times New Roman" w:hAnsi="Times New Roman" w:cs="Times New Roman"/>
      <w:b/>
      <w:sz w:val="72"/>
      <w:szCs w:val="72"/>
      <w:lang w:val="en"/>
    </w:rPr>
  </w:style>
  <w:style w:type="paragraph" w:styleId="Subtitle">
    <w:name w:val="Subtitle"/>
    <w:basedOn w:val="Normal"/>
    <w:next w:val="Normal"/>
    <w:link w:val="SubtitleChar"/>
    <w:rsid w:val="00B961F7"/>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rsid w:val="00B961F7"/>
    <w:rPr>
      <w:rFonts w:ascii="Georgia" w:eastAsia="Georgia" w:hAnsi="Georgia" w:cs="Georgia"/>
      <w:i/>
      <w:color w:val="666666"/>
      <w:sz w:val="48"/>
      <w:szCs w:val="48"/>
      <w:lang w:val="en"/>
    </w:rPr>
  </w:style>
  <w:style w:type="table" w:customStyle="1" w:styleId="a">
    <w:name w:val="a"/>
    <w:basedOn w:val="TableNormal"/>
    <w:rsid w:val="00B961F7"/>
    <w:pPr>
      <w:spacing w:after="0" w:line="240" w:lineRule="auto"/>
    </w:pPr>
    <w:rPr>
      <w:rFonts w:ascii="Times New Roman" w:eastAsia="Times New Roman" w:hAnsi="Times New Roman" w:cs="Times New Roman"/>
      <w:sz w:val="20"/>
      <w:szCs w:val="20"/>
      <w:lang w:val="en"/>
    </w:rPr>
    <w:tblPr>
      <w:tblStyleRowBandSize w:val="1"/>
      <w:tblStyleColBandSize w:val="1"/>
    </w:tblPr>
  </w:style>
  <w:style w:type="table" w:customStyle="1" w:styleId="a0">
    <w:name w:val="a0"/>
    <w:basedOn w:val="TableNormal"/>
    <w:rsid w:val="00B961F7"/>
    <w:pPr>
      <w:spacing w:after="0" w:line="240" w:lineRule="auto"/>
    </w:pPr>
    <w:rPr>
      <w:rFonts w:ascii="Times New Roman" w:eastAsia="Times New Roman" w:hAnsi="Times New Roman" w:cs="Times New Roman"/>
      <w:sz w:val="20"/>
      <w:szCs w:val="20"/>
      <w:lang w:val="en"/>
    </w:rPr>
    <w:tblPr>
      <w:tblStyleRowBandSize w:val="1"/>
      <w:tblStyleColBandSize w:val="1"/>
    </w:tblPr>
  </w:style>
  <w:style w:type="table" w:customStyle="1" w:styleId="TableGrid1">
    <w:name w:val="Table Grid1"/>
    <w:basedOn w:val="TableNormal"/>
    <w:next w:val="TableGrid"/>
    <w:uiPriority w:val="39"/>
    <w:rsid w:val="00B9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61F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961F7"/>
    <w:rPr>
      <w:rFonts w:ascii="Times New Roman" w:eastAsia="Times New Roman" w:hAnsi="Times New Roman" w:cs="Times New Roman"/>
      <w:sz w:val="20"/>
      <w:szCs w:val="20"/>
    </w:rPr>
  </w:style>
  <w:style w:type="paragraph" w:customStyle="1" w:styleId="Header1">
    <w:name w:val="Header1"/>
    <w:basedOn w:val="Normal"/>
    <w:next w:val="Header"/>
    <w:link w:val="HeaderChar"/>
    <w:uiPriority w:val="99"/>
    <w:unhideWhenUsed/>
    <w:rsid w:val="00B961F7"/>
    <w:pPr>
      <w:tabs>
        <w:tab w:val="center" w:pos="4680"/>
        <w:tab w:val="right" w:pos="9360"/>
      </w:tabs>
      <w:spacing w:after="0" w:line="240" w:lineRule="auto"/>
    </w:pPr>
    <w:rPr>
      <w:rFonts w:ascii="Cambria" w:eastAsia="Cambria" w:hAnsi="Cambria" w:cs="Times New Roman"/>
    </w:rPr>
  </w:style>
  <w:style w:type="character" w:customStyle="1" w:styleId="HeaderChar">
    <w:name w:val="Header Char"/>
    <w:basedOn w:val="DefaultParagraphFont"/>
    <w:link w:val="Header1"/>
    <w:uiPriority w:val="99"/>
    <w:rsid w:val="00B961F7"/>
    <w:rPr>
      <w:rFonts w:ascii="Cambria" w:eastAsia="Cambria" w:hAnsi="Cambria" w:cs="Times New Roman"/>
      <w:sz w:val="22"/>
      <w:szCs w:val="22"/>
      <w:lang w:val="en-US"/>
    </w:rPr>
  </w:style>
  <w:style w:type="table" w:styleId="TableGrid">
    <w:name w:val="Table Grid"/>
    <w:basedOn w:val="TableNormal"/>
    <w:uiPriority w:val="39"/>
    <w:rsid w:val="00B9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B961F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B9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aweb.org/jel/guide/jel.ph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8371</Words>
  <Characters>47716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agus</cp:lastModifiedBy>
  <cp:revision>7</cp:revision>
  <cp:lastPrinted>2019-02-09T11:46:00Z</cp:lastPrinted>
  <dcterms:created xsi:type="dcterms:W3CDTF">2020-11-11T06:42:00Z</dcterms:created>
  <dcterms:modified xsi:type="dcterms:W3CDTF">2020-12-09T05:08:00Z</dcterms:modified>
</cp:coreProperties>
</file>