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6A4E0" w14:textId="0B4CA3F2" w:rsidR="009D5576" w:rsidRPr="00682141" w:rsidRDefault="00B136FE" w:rsidP="00682141">
      <w:pPr>
        <w:jc w:val="center"/>
        <w:rPr>
          <w:rFonts w:ascii="Cambria" w:eastAsiaTheme="minorHAnsi" w:hAnsi="Cambria"/>
          <w:b/>
          <w:sz w:val="28"/>
          <w:szCs w:val="28"/>
        </w:rPr>
      </w:pPr>
      <w:r w:rsidRPr="008A00D4">
        <w:rPr>
          <w:rFonts w:ascii="Cambria" w:hAnsi="Cambria"/>
          <w:sz w:val="20"/>
          <w:szCs w:val="20"/>
        </w:rPr>
        <w:br/>
      </w:r>
      <w:r w:rsidR="00682141" w:rsidRPr="00682141">
        <w:rPr>
          <w:rFonts w:ascii="Cambria" w:hAnsi="Cambria"/>
          <w:b/>
          <w:sz w:val="28"/>
          <w:szCs w:val="28"/>
        </w:rPr>
        <w:t>THE EFFECT OF TRUST AND BRAND IMAGE ON CUSTOMER RETENTION WITH CUSTOMER LOYALTY AS INTERVENING VARIABLES TO CUSTOMERS OF SHARIA COMMERCIAL BANKS</w:t>
      </w:r>
    </w:p>
    <w:p w14:paraId="73FFD481" w14:textId="42219C6E" w:rsidR="00B136FE" w:rsidRPr="008A00D4" w:rsidRDefault="00682141" w:rsidP="009D5576">
      <w:pPr>
        <w:spacing w:after="240"/>
        <w:jc w:val="center"/>
        <w:rPr>
          <w:rFonts w:ascii="Cambria" w:hAnsi="Cambria"/>
          <w:b/>
          <w:bCs/>
          <w:color w:val="000000"/>
        </w:rPr>
      </w:pPr>
      <w:r>
        <w:rPr>
          <w:rFonts w:ascii="Cambria" w:hAnsi="Cambria"/>
          <w:b/>
          <w:bCs/>
          <w:color w:val="000000"/>
        </w:rPr>
        <w:t xml:space="preserve">Nadia Adriane </w:t>
      </w:r>
      <w:proofErr w:type="spellStart"/>
      <w:r>
        <w:rPr>
          <w:rFonts w:ascii="Cambria" w:hAnsi="Cambria"/>
          <w:b/>
          <w:bCs/>
          <w:color w:val="000000"/>
        </w:rPr>
        <w:t>Ricadonna</w:t>
      </w:r>
      <w:proofErr w:type="spellEnd"/>
      <w:r w:rsidR="00B136FE" w:rsidRPr="008A00D4">
        <w:rPr>
          <w:rFonts w:ascii="Cambria" w:hAnsi="Cambria"/>
          <w:b/>
          <w:bCs/>
          <w:color w:val="000000"/>
        </w:rPr>
        <w:t xml:space="preserve">, </w:t>
      </w:r>
      <w:r>
        <w:rPr>
          <w:rFonts w:ascii="Cambria" w:hAnsi="Cambria"/>
          <w:b/>
          <w:bCs/>
          <w:color w:val="000000"/>
        </w:rPr>
        <w:t>Muhammad Saifullah</w:t>
      </w:r>
      <w:r w:rsidR="00B136FE" w:rsidRPr="008A00D4">
        <w:rPr>
          <w:rFonts w:ascii="Cambria" w:hAnsi="Cambria"/>
          <w:b/>
          <w:bCs/>
          <w:color w:val="000000"/>
        </w:rPr>
        <w:t xml:space="preserve">, </w:t>
      </w:r>
      <w:r>
        <w:rPr>
          <w:rFonts w:ascii="Cambria" w:hAnsi="Cambria"/>
          <w:b/>
          <w:bCs/>
          <w:color w:val="000000"/>
        </w:rPr>
        <w:t>Ari Kristin P</w:t>
      </w:r>
      <w:r w:rsidR="002D3798">
        <w:rPr>
          <w:rFonts w:ascii="Cambria" w:hAnsi="Cambria"/>
          <w:b/>
          <w:bCs/>
          <w:color w:val="000000"/>
        </w:rPr>
        <w:t>rasetyoningrum</w:t>
      </w:r>
      <w:bookmarkStart w:id="0" w:name="_GoBack"/>
      <w:bookmarkEnd w:id="0"/>
    </w:p>
    <w:p w14:paraId="1C1BCE25" w14:textId="0F937391" w:rsidR="00682141" w:rsidRDefault="00B136FE" w:rsidP="00B136FE">
      <w:pPr>
        <w:jc w:val="center"/>
        <w:rPr>
          <w:rFonts w:ascii="Cambria" w:hAnsi="Cambria"/>
          <w:bCs/>
          <w:color w:val="000000"/>
          <w:sz w:val="20"/>
          <w:szCs w:val="20"/>
        </w:rPr>
      </w:pPr>
      <w:r w:rsidRPr="008A00D4">
        <w:rPr>
          <w:rFonts w:ascii="Cambria" w:hAnsi="Cambria"/>
          <w:bCs/>
          <w:color w:val="000000"/>
          <w:sz w:val="20"/>
          <w:szCs w:val="20"/>
        </w:rPr>
        <w:t>F</w:t>
      </w:r>
      <w:r w:rsidR="00682141">
        <w:rPr>
          <w:rFonts w:ascii="Cambria" w:hAnsi="Cambria"/>
          <w:bCs/>
          <w:color w:val="000000"/>
          <w:sz w:val="20"/>
          <w:szCs w:val="20"/>
        </w:rPr>
        <w:t xml:space="preserve">aculty of Economics and Islamic Business UIN </w:t>
      </w:r>
      <w:proofErr w:type="spellStart"/>
      <w:r w:rsidR="00682141">
        <w:rPr>
          <w:rFonts w:ascii="Cambria" w:hAnsi="Cambria"/>
          <w:bCs/>
          <w:color w:val="000000"/>
          <w:sz w:val="20"/>
          <w:szCs w:val="20"/>
        </w:rPr>
        <w:t>Walisongo</w:t>
      </w:r>
      <w:proofErr w:type="spellEnd"/>
      <w:r w:rsidR="00682141">
        <w:rPr>
          <w:rFonts w:ascii="Cambria" w:hAnsi="Cambria"/>
          <w:bCs/>
          <w:color w:val="000000"/>
          <w:sz w:val="20"/>
          <w:szCs w:val="20"/>
        </w:rPr>
        <w:t xml:space="preserve"> Semarang</w:t>
      </w:r>
    </w:p>
    <w:p w14:paraId="26C5311B" w14:textId="1F70122F" w:rsidR="00682141" w:rsidRDefault="00682141" w:rsidP="00B136FE">
      <w:pPr>
        <w:jc w:val="center"/>
        <w:rPr>
          <w:rFonts w:ascii="Cambria" w:hAnsi="Cambria"/>
          <w:bCs/>
          <w:color w:val="000000"/>
          <w:sz w:val="20"/>
          <w:szCs w:val="20"/>
        </w:rPr>
      </w:pPr>
      <w:r>
        <w:rPr>
          <w:rFonts w:ascii="Cambria" w:hAnsi="Cambria"/>
          <w:bCs/>
          <w:color w:val="000000"/>
          <w:sz w:val="20"/>
          <w:szCs w:val="20"/>
        </w:rPr>
        <w:t xml:space="preserve">Jl. Prof. Dr. </w:t>
      </w:r>
      <w:proofErr w:type="spellStart"/>
      <w:r>
        <w:rPr>
          <w:rFonts w:ascii="Cambria" w:hAnsi="Cambria"/>
          <w:bCs/>
          <w:color w:val="000000"/>
          <w:sz w:val="20"/>
          <w:szCs w:val="20"/>
        </w:rPr>
        <w:t>Hamka</w:t>
      </w:r>
      <w:proofErr w:type="spellEnd"/>
      <w:r>
        <w:rPr>
          <w:rFonts w:ascii="Cambria" w:hAnsi="Cambria"/>
          <w:bCs/>
          <w:color w:val="000000"/>
          <w:sz w:val="20"/>
          <w:szCs w:val="20"/>
        </w:rPr>
        <w:t xml:space="preserve"> No 3-5, </w:t>
      </w:r>
      <w:proofErr w:type="spellStart"/>
      <w:r>
        <w:rPr>
          <w:rFonts w:ascii="Cambria" w:hAnsi="Cambria"/>
          <w:bCs/>
          <w:color w:val="000000"/>
          <w:sz w:val="20"/>
          <w:szCs w:val="20"/>
        </w:rPr>
        <w:t>Tambakaji</w:t>
      </w:r>
      <w:proofErr w:type="spellEnd"/>
      <w:r>
        <w:rPr>
          <w:rFonts w:ascii="Cambria" w:hAnsi="Cambria"/>
          <w:bCs/>
          <w:color w:val="000000"/>
          <w:sz w:val="20"/>
          <w:szCs w:val="20"/>
        </w:rPr>
        <w:t xml:space="preserve">, </w:t>
      </w:r>
      <w:proofErr w:type="spellStart"/>
      <w:r>
        <w:rPr>
          <w:rFonts w:ascii="Cambria" w:hAnsi="Cambria"/>
          <w:bCs/>
          <w:color w:val="000000"/>
          <w:sz w:val="20"/>
          <w:szCs w:val="20"/>
        </w:rPr>
        <w:t>Kec</w:t>
      </w:r>
      <w:proofErr w:type="spellEnd"/>
      <w:r>
        <w:rPr>
          <w:rFonts w:ascii="Cambria" w:hAnsi="Cambria"/>
          <w:bCs/>
          <w:color w:val="000000"/>
          <w:sz w:val="20"/>
          <w:szCs w:val="20"/>
        </w:rPr>
        <w:t xml:space="preserve">. </w:t>
      </w:r>
      <w:proofErr w:type="spellStart"/>
      <w:r>
        <w:rPr>
          <w:rFonts w:ascii="Cambria" w:hAnsi="Cambria"/>
          <w:bCs/>
          <w:color w:val="000000"/>
          <w:sz w:val="20"/>
          <w:szCs w:val="20"/>
        </w:rPr>
        <w:t>Ngaliyan</w:t>
      </w:r>
      <w:proofErr w:type="spellEnd"/>
      <w:r>
        <w:rPr>
          <w:rFonts w:ascii="Cambria" w:hAnsi="Cambria"/>
          <w:bCs/>
          <w:color w:val="000000"/>
          <w:sz w:val="20"/>
          <w:szCs w:val="20"/>
        </w:rPr>
        <w:t>, Semarang</w:t>
      </w:r>
    </w:p>
    <w:p w14:paraId="129EF670" w14:textId="0902AE81" w:rsidR="00B136FE" w:rsidRPr="008A00D4" w:rsidRDefault="00B136FE" w:rsidP="00682141">
      <w:pPr>
        <w:jc w:val="center"/>
        <w:rPr>
          <w:rFonts w:ascii="Cambria" w:hAnsi="Cambria"/>
          <w:bCs/>
          <w:color w:val="000000"/>
          <w:sz w:val="20"/>
          <w:szCs w:val="20"/>
        </w:rPr>
      </w:pPr>
    </w:p>
    <w:p w14:paraId="7760E579" w14:textId="77777777" w:rsidR="00B136FE" w:rsidRPr="008A00D4" w:rsidRDefault="00B136FE" w:rsidP="00B136FE">
      <w:pPr>
        <w:rPr>
          <w:rFonts w:ascii="Cambria" w:hAnsi="Cambria"/>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8A00D4" w14:paraId="2C668CF7" w14:textId="77777777" w:rsidTr="008A00D4">
        <w:trPr>
          <w:trHeight w:val="870"/>
        </w:trPr>
        <w:tc>
          <w:tcPr>
            <w:tcW w:w="2410" w:type="dxa"/>
            <w:shd w:val="clear" w:color="auto" w:fill="auto"/>
          </w:tcPr>
          <w:p w14:paraId="5B505B66" w14:textId="77777777" w:rsidR="00B136FE" w:rsidRPr="008A00D4" w:rsidRDefault="00B136FE" w:rsidP="00B136FE">
            <w:pPr>
              <w:rPr>
                <w:rFonts w:ascii="Cambria" w:eastAsia="Calibri" w:hAnsi="Cambria"/>
                <w:b/>
                <w:color w:val="000000"/>
                <w:sz w:val="18"/>
                <w:szCs w:val="18"/>
              </w:rPr>
            </w:pPr>
            <w:r w:rsidRPr="008A00D4">
              <w:rPr>
                <w:rFonts w:ascii="Cambria" w:eastAsia="Calibri" w:hAnsi="Cambria"/>
                <w:b/>
                <w:color w:val="000000"/>
                <w:sz w:val="18"/>
                <w:szCs w:val="18"/>
              </w:rPr>
              <w:t>Article history:</w:t>
            </w:r>
          </w:p>
          <w:p w14:paraId="34CF4F6B" w14:textId="67B914DA" w:rsidR="00B136FE" w:rsidRPr="008A00D4" w:rsidRDefault="00B136FE" w:rsidP="00B136FE">
            <w:pPr>
              <w:rPr>
                <w:rFonts w:ascii="Cambria" w:eastAsia="Calibri" w:hAnsi="Cambria"/>
                <w:color w:val="000000"/>
                <w:sz w:val="18"/>
                <w:szCs w:val="18"/>
              </w:rPr>
            </w:pPr>
            <w:r w:rsidRPr="008A00D4">
              <w:rPr>
                <w:rFonts w:ascii="Cambria" w:eastAsia="Calibri" w:hAnsi="Cambria"/>
                <w:color w:val="000000"/>
                <w:sz w:val="18"/>
                <w:szCs w:val="18"/>
              </w:rPr>
              <w:t xml:space="preserve">Received: </w:t>
            </w:r>
            <w:r w:rsidR="00E03B64" w:rsidRPr="008A00D4">
              <w:rPr>
                <w:rFonts w:ascii="Cambria" w:hAnsi="Cambria" w:cs="Tahoma"/>
                <w:color w:val="222222"/>
                <w:sz w:val="18"/>
                <w:szCs w:val="18"/>
                <w:shd w:val="clear" w:color="auto" w:fill="FFFFFF"/>
              </w:rPr>
              <w:t>20</w:t>
            </w:r>
            <w:r w:rsidR="00DC5BEB">
              <w:rPr>
                <w:rFonts w:ascii="Cambria" w:hAnsi="Cambria" w:cs="Tahoma"/>
                <w:color w:val="222222"/>
                <w:sz w:val="18"/>
                <w:szCs w:val="18"/>
                <w:shd w:val="clear" w:color="auto" w:fill="FFFFFF"/>
              </w:rPr>
              <w:t>20</w:t>
            </w:r>
            <w:r w:rsidR="00E03B64" w:rsidRPr="008A00D4">
              <w:rPr>
                <w:rFonts w:ascii="Cambria" w:hAnsi="Cambria" w:cs="Tahoma"/>
                <w:color w:val="222222"/>
                <w:sz w:val="18"/>
                <w:szCs w:val="18"/>
                <w:shd w:val="clear" w:color="auto" w:fill="FFFFFF"/>
              </w:rPr>
              <w:t>-</w:t>
            </w:r>
            <w:r w:rsidR="00DC5BEB">
              <w:rPr>
                <w:rFonts w:ascii="Cambria" w:hAnsi="Cambria" w:cs="Tahoma"/>
                <w:color w:val="222222"/>
                <w:sz w:val="18"/>
                <w:szCs w:val="18"/>
                <w:shd w:val="clear" w:color="auto" w:fill="FFFFFF"/>
              </w:rPr>
              <w:t>12</w:t>
            </w:r>
            <w:r w:rsidR="00E03B64" w:rsidRPr="008A00D4">
              <w:rPr>
                <w:rFonts w:ascii="Cambria" w:hAnsi="Cambria" w:cs="Tahoma"/>
                <w:color w:val="222222"/>
                <w:sz w:val="18"/>
                <w:szCs w:val="18"/>
                <w:shd w:val="clear" w:color="auto" w:fill="FFFFFF"/>
              </w:rPr>
              <w:t>-</w:t>
            </w:r>
            <w:r w:rsidR="00DC5BEB">
              <w:rPr>
                <w:rFonts w:ascii="Cambria" w:hAnsi="Cambria" w:cs="Tahoma"/>
                <w:color w:val="222222"/>
                <w:sz w:val="18"/>
                <w:szCs w:val="18"/>
                <w:shd w:val="clear" w:color="auto" w:fill="FFFFFF"/>
              </w:rPr>
              <w:t>31</w:t>
            </w:r>
          </w:p>
          <w:p w14:paraId="10267CE9" w14:textId="69C99233" w:rsidR="00B136FE" w:rsidRPr="008A00D4" w:rsidRDefault="00B136FE" w:rsidP="00B136FE">
            <w:pPr>
              <w:rPr>
                <w:rFonts w:ascii="Cambria" w:eastAsia="Calibri" w:hAnsi="Cambria"/>
                <w:color w:val="000000"/>
                <w:sz w:val="18"/>
                <w:szCs w:val="18"/>
              </w:rPr>
            </w:pPr>
            <w:r w:rsidRPr="008A00D4">
              <w:rPr>
                <w:rFonts w:ascii="Cambria" w:eastAsia="Calibri" w:hAnsi="Cambria"/>
                <w:color w:val="000000"/>
                <w:sz w:val="18"/>
                <w:szCs w:val="18"/>
              </w:rPr>
              <w:t xml:space="preserve">Revised: </w:t>
            </w:r>
            <w:r w:rsidRPr="008A00D4">
              <w:rPr>
                <w:rFonts w:ascii="Cambria" w:hAnsi="Cambria" w:cs="Tahoma"/>
                <w:color w:val="222222"/>
                <w:sz w:val="18"/>
                <w:szCs w:val="18"/>
                <w:shd w:val="clear" w:color="auto" w:fill="FFFFFF"/>
              </w:rPr>
              <w:t>20</w:t>
            </w:r>
            <w:r w:rsidR="00DC5BEB">
              <w:rPr>
                <w:rFonts w:ascii="Cambria" w:hAnsi="Cambria" w:cs="Tahoma"/>
                <w:color w:val="222222"/>
                <w:sz w:val="18"/>
                <w:szCs w:val="18"/>
                <w:shd w:val="clear" w:color="auto" w:fill="FFFFFF"/>
              </w:rPr>
              <w:t>20</w:t>
            </w:r>
            <w:r w:rsidRPr="008A00D4">
              <w:rPr>
                <w:rFonts w:ascii="Cambria" w:hAnsi="Cambria" w:cs="Tahoma"/>
                <w:color w:val="222222"/>
                <w:sz w:val="18"/>
                <w:szCs w:val="18"/>
                <w:shd w:val="clear" w:color="auto" w:fill="FFFFFF"/>
              </w:rPr>
              <w:t>-</w:t>
            </w:r>
            <w:r w:rsidR="00DC5BEB">
              <w:rPr>
                <w:rFonts w:ascii="Cambria" w:hAnsi="Cambria" w:cs="Tahoma"/>
                <w:color w:val="222222"/>
                <w:sz w:val="18"/>
                <w:szCs w:val="18"/>
                <w:shd w:val="clear" w:color="auto" w:fill="FFFFFF"/>
              </w:rPr>
              <w:t>12</w:t>
            </w:r>
            <w:r w:rsidRPr="008A00D4">
              <w:rPr>
                <w:rFonts w:ascii="Cambria" w:hAnsi="Cambria" w:cs="Tahoma"/>
                <w:color w:val="222222"/>
                <w:sz w:val="18"/>
                <w:szCs w:val="18"/>
                <w:shd w:val="clear" w:color="auto" w:fill="FFFFFF"/>
              </w:rPr>
              <w:t>-</w:t>
            </w:r>
            <w:r w:rsidR="00DC5BEB">
              <w:rPr>
                <w:rFonts w:ascii="Cambria" w:hAnsi="Cambria" w:cs="Tahoma"/>
                <w:color w:val="222222"/>
                <w:sz w:val="18"/>
                <w:szCs w:val="18"/>
                <w:shd w:val="clear" w:color="auto" w:fill="FFFFFF"/>
              </w:rPr>
              <w:t>31</w:t>
            </w:r>
          </w:p>
          <w:p w14:paraId="2F92C399" w14:textId="052085FB" w:rsidR="00B136FE" w:rsidRPr="008A00D4" w:rsidRDefault="00B136FE" w:rsidP="00B136FE">
            <w:pPr>
              <w:rPr>
                <w:rFonts w:ascii="Cambria" w:eastAsia="Calibri" w:hAnsi="Cambria"/>
                <w:color w:val="000000"/>
                <w:sz w:val="18"/>
                <w:szCs w:val="18"/>
              </w:rPr>
            </w:pPr>
            <w:r w:rsidRPr="008A00D4">
              <w:rPr>
                <w:rFonts w:ascii="Cambria" w:eastAsia="Calibri" w:hAnsi="Cambria"/>
                <w:color w:val="000000"/>
                <w:sz w:val="18"/>
                <w:szCs w:val="18"/>
              </w:rPr>
              <w:t>Accepted: 20</w:t>
            </w:r>
            <w:r w:rsidR="00DC5BEB">
              <w:rPr>
                <w:rFonts w:ascii="Cambria" w:eastAsia="Calibri" w:hAnsi="Cambria"/>
                <w:color w:val="000000"/>
                <w:sz w:val="18"/>
                <w:szCs w:val="18"/>
              </w:rPr>
              <w:t>20</w:t>
            </w:r>
            <w:r w:rsidRPr="008A00D4">
              <w:rPr>
                <w:rFonts w:ascii="Cambria" w:eastAsia="Calibri" w:hAnsi="Cambria"/>
                <w:color w:val="000000"/>
                <w:sz w:val="18"/>
                <w:szCs w:val="18"/>
              </w:rPr>
              <w:t>-</w:t>
            </w:r>
            <w:r w:rsidR="00DC5BEB">
              <w:rPr>
                <w:rFonts w:ascii="Cambria" w:eastAsia="Calibri" w:hAnsi="Cambria"/>
                <w:color w:val="000000"/>
                <w:sz w:val="18"/>
                <w:szCs w:val="18"/>
              </w:rPr>
              <w:t>12</w:t>
            </w:r>
            <w:r w:rsidRPr="008A00D4">
              <w:rPr>
                <w:rFonts w:ascii="Cambria" w:eastAsia="Calibri" w:hAnsi="Cambria"/>
                <w:color w:val="000000"/>
                <w:sz w:val="18"/>
                <w:szCs w:val="18"/>
              </w:rPr>
              <w:t>-</w:t>
            </w:r>
            <w:r w:rsidR="00DC5BEB">
              <w:rPr>
                <w:rFonts w:ascii="Cambria" w:eastAsia="Calibri" w:hAnsi="Cambria"/>
                <w:color w:val="000000"/>
                <w:sz w:val="18"/>
                <w:szCs w:val="18"/>
              </w:rPr>
              <w:t>31</w:t>
            </w:r>
          </w:p>
        </w:tc>
      </w:tr>
    </w:tbl>
    <w:p w14:paraId="753AA509" w14:textId="77777777" w:rsidR="00B136FE" w:rsidRPr="008A00D4" w:rsidRDefault="00B136FE" w:rsidP="00B136FE">
      <w:pPr>
        <w:pStyle w:val="Ventura-AuthorAddress"/>
        <w:rPr>
          <w:rFonts w:ascii="Cambria" w:hAnsi="Cambria"/>
          <w:i w:val="0"/>
        </w:rPr>
      </w:pPr>
    </w:p>
    <w:p w14:paraId="65DA4B25" w14:textId="77777777" w:rsidR="00B136FE" w:rsidRPr="008A00D4" w:rsidRDefault="00B136FE" w:rsidP="00B136FE">
      <w:pPr>
        <w:rPr>
          <w:rFonts w:ascii="Cambria" w:hAnsi="Cambria" w:cs="Arial"/>
          <w:color w:val="FF0000"/>
          <w:sz w:val="20"/>
          <w:szCs w:val="20"/>
        </w:rPr>
      </w:pPr>
      <w:r w:rsidRPr="008A00D4">
        <w:rPr>
          <w:rFonts w:ascii="Cambria" w:hAnsi="Cambria"/>
          <w:noProof/>
          <w:sz w:val="20"/>
          <w:szCs w:val="20"/>
        </w:rPr>
        <w:drawing>
          <wp:inline distT="0" distB="0" distL="0" distR="0" wp14:anchorId="1ECC10C8" wp14:editId="15AC9BD4">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8A00D4">
        <w:rPr>
          <w:rFonts w:ascii="Cambria" w:hAnsi="Cambria" w:cs="Arial"/>
          <w:sz w:val="20"/>
          <w:szCs w:val="20"/>
        </w:rPr>
        <w:t xml:space="preserve"> Corresponding Author:</w:t>
      </w:r>
    </w:p>
    <w:p w14:paraId="0281B478" w14:textId="33EB7971" w:rsidR="00B136FE" w:rsidRPr="008A00D4" w:rsidRDefault="00B136FE" w:rsidP="00B136FE">
      <w:pPr>
        <w:rPr>
          <w:rFonts w:ascii="Cambria" w:hAnsi="Cambria"/>
          <w:sz w:val="20"/>
          <w:szCs w:val="20"/>
          <w:lang w:val="id-ID"/>
        </w:rPr>
      </w:pPr>
      <w:r w:rsidRPr="008A00D4">
        <w:rPr>
          <w:rFonts w:ascii="Cambria" w:hAnsi="Cambria" w:cs="Arial"/>
          <w:b/>
          <w:sz w:val="20"/>
          <w:szCs w:val="20"/>
        </w:rPr>
        <w:t>Name author</w:t>
      </w:r>
      <w:r w:rsidRPr="008A00D4">
        <w:rPr>
          <w:rFonts w:ascii="Cambria" w:hAnsi="Cambria" w:cs="Arial"/>
          <w:sz w:val="20"/>
          <w:szCs w:val="20"/>
        </w:rPr>
        <w:t>: Tel</w:t>
      </w:r>
      <w:r w:rsidR="00ED3C18">
        <w:rPr>
          <w:rFonts w:ascii="Cambria" w:hAnsi="Cambria" w:cs="Arial"/>
          <w:sz w:val="20"/>
          <w:szCs w:val="20"/>
        </w:rPr>
        <w:t xml:space="preserve"> +6282138255677</w:t>
      </w:r>
    </w:p>
    <w:p w14:paraId="44F513E5" w14:textId="5AC9C59F" w:rsidR="00B136FE" w:rsidRPr="008A00D4" w:rsidRDefault="00B136FE" w:rsidP="00B136FE">
      <w:pPr>
        <w:rPr>
          <w:rFonts w:ascii="Cambria" w:hAnsi="Cambria"/>
          <w:color w:val="000000"/>
          <w:sz w:val="20"/>
          <w:szCs w:val="20"/>
        </w:rPr>
      </w:pPr>
      <w:r w:rsidRPr="008A00D4">
        <w:rPr>
          <w:rFonts w:ascii="Cambria" w:hAnsi="Cambria"/>
          <w:sz w:val="20"/>
          <w:szCs w:val="20"/>
        </w:rPr>
        <w:t>E-mail:</w:t>
      </w:r>
      <w:r w:rsidR="00ED3C18">
        <w:rPr>
          <w:rFonts w:ascii="Cambria" w:hAnsi="Cambria"/>
          <w:sz w:val="20"/>
          <w:szCs w:val="20"/>
        </w:rPr>
        <w:t xml:space="preserve"> nadiaadrianer@yahoo.com</w:t>
      </w:r>
    </w:p>
    <w:p w14:paraId="090909CB" w14:textId="77777777" w:rsidR="00B136FE" w:rsidRPr="008A00D4" w:rsidRDefault="00B136FE" w:rsidP="00B136FE">
      <w:pPr>
        <w:rPr>
          <w:rFonts w:ascii="Cambria" w:hAnsi="Cambria"/>
        </w:rPr>
      </w:pPr>
    </w:p>
    <w:p w14:paraId="3AC973CF" w14:textId="77777777" w:rsidR="00B136FE" w:rsidRPr="008A00D4" w:rsidRDefault="00B136FE" w:rsidP="00B136FE">
      <w:pPr>
        <w:jc w:val="center"/>
        <w:rPr>
          <w:rFonts w:ascii="Cambria" w:hAnsi="Cambria"/>
          <w:b/>
          <w:sz w:val="48"/>
          <w:szCs w:val="48"/>
        </w:rPr>
      </w:pPr>
      <w:r w:rsidRPr="008A00D4">
        <w:rPr>
          <w:rFonts w:ascii="Cambria" w:hAnsi="Cambria"/>
          <w:b/>
        </w:rPr>
        <w:t>Abstract</w:t>
      </w:r>
    </w:p>
    <w:p w14:paraId="363732EB" w14:textId="77777777" w:rsidR="00405B07" w:rsidRPr="00ED3C18" w:rsidRDefault="00405B07" w:rsidP="00405B07">
      <w:pPr>
        <w:jc w:val="both"/>
        <w:rPr>
          <w:rFonts w:ascii="Cambria" w:hAnsi="Cambria"/>
          <w:i/>
          <w:iCs/>
          <w:sz w:val="20"/>
          <w:szCs w:val="20"/>
        </w:rPr>
      </w:pPr>
      <w:r w:rsidRPr="00ED3C18">
        <w:rPr>
          <w:rFonts w:ascii="Cambria" w:hAnsi="Cambria"/>
          <w:i/>
          <w:iCs/>
          <w:sz w:val="20"/>
          <w:szCs w:val="20"/>
        </w:rPr>
        <w:t>Sharia banking is currently facing a very competitive industry era. Customer retention is one of the phenomena being faced by Islamic banks in Indonesia. Therefore, the problem in this research is how to increase customer retention in the Islamic banking sector. This study also aims to test and analyze the effect of Trust and Brand Image on Customer Retention with Customer Loyalty as an intervening variable.</w:t>
      </w:r>
    </w:p>
    <w:p w14:paraId="5CFAFE4C" w14:textId="1575910B" w:rsidR="00405B07" w:rsidRPr="00502C75" w:rsidRDefault="00405B07" w:rsidP="00405B07">
      <w:pPr>
        <w:jc w:val="both"/>
        <w:rPr>
          <w:rFonts w:ascii="Cambria" w:hAnsi="Cambria"/>
          <w:b/>
          <w:bCs/>
          <w:i/>
          <w:iCs/>
          <w:sz w:val="20"/>
          <w:szCs w:val="20"/>
        </w:rPr>
      </w:pPr>
      <w:r w:rsidRPr="00ED3C18">
        <w:rPr>
          <w:rFonts w:ascii="Cambria" w:hAnsi="Cambria"/>
          <w:i/>
          <w:iCs/>
          <w:sz w:val="20"/>
          <w:szCs w:val="20"/>
        </w:rPr>
        <w:t>A total of 100 Islamic Bank customer respondents who filled out the questionnaire in this study. The collected data were processed using the Smart PLS program with measurements of the inner model test and outer model test. The test results prove that Trust, Brand Image, Customer Loyalty has a positive and significant effect on Customer Retention in Islamic Commercial Banks. Meanwhile, indirect testing proves that the Customer Loyalty variable is able to mediate between the Customer Trust and Retention variables. But it is unable to mediate between the Brand Image variables on Customer Retention.</w:t>
      </w:r>
    </w:p>
    <w:p w14:paraId="5A4A1C5A" w14:textId="3F3FD500" w:rsidR="00ED3C18" w:rsidRPr="00502C75" w:rsidRDefault="00ED3C18" w:rsidP="00ED3C18">
      <w:pPr>
        <w:jc w:val="center"/>
        <w:rPr>
          <w:rFonts w:ascii="Cambria" w:hAnsi="Cambria"/>
          <w:b/>
          <w:bCs/>
        </w:rPr>
      </w:pPr>
      <w:proofErr w:type="spellStart"/>
      <w:r w:rsidRPr="00502C75">
        <w:rPr>
          <w:rFonts w:ascii="Cambria" w:hAnsi="Cambria"/>
          <w:b/>
          <w:bCs/>
        </w:rPr>
        <w:t>Abstrak</w:t>
      </w:r>
      <w:proofErr w:type="spellEnd"/>
    </w:p>
    <w:p w14:paraId="0EDB2A48" w14:textId="7ED8C63D" w:rsidR="00ED3C18" w:rsidRDefault="00ED3C18" w:rsidP="00ED3C18">
      <w:pPr>
        <w:jc w:val="both"/>
        <w:rPr>
          <w:rFonts w:ascii="Cambria" w:hAnsi="Cambria"/>
          <w:sz w:val="20"/>
          <w:szCs w:val="20"/>
        </w:rPr>
      </w:pPr>
      <w:r w:rsidRPr="00ED3C18">
        <w:rPr>
          <w:rFonts w:ascii="Cambria" w:hAnsi="Cambria"/>
          <w:sz w:val="20"/>
          <w:szCs w:val="20"/>
        </w:rPr>
        <w:tab/>
      </w:r>
      <w:proofErr w:type="spellStart"/>
      <w:r w:rsidRPr="00ED3C18">
        <w:rPr>
          <w:rFonts w:ascii="Cambria" w:hAnsi="Cambria"/>
          <w:sz w:val="20"/>
          <w:szCs w:val="20"/>
        </w:rPr>
        <w:t>Perbankan</w:t>
      </w:r>
      <w:proofErr w:type="spellEnd"/>
      <w:r w:rsidRPr="00ED3C18">
        <w:rPr>
          <w:rFonts w:ascii="Cambria" w:hAnsi="Cambria"/>
          <w:sz w:val="20"/>
          <w:szCs w:val="20"/>
        </w:rPr>
        <w:t xml:space="preserve"> Syariah </w:t>
      </w:r>
      <w:proofErr w:type="spellStart"/>
      <w:r w:rsidRPr="00ED3C18">
        <w:rPr>
          <w:rFonts w:ascii="Cambria" w:hAnsi="Cambria"/>
          <w:sz w:val="20"/>
          <w:szCs w:val="20"/>
        </w:rPr>
        <w:t>saat</w:t>
      </w:r>
      <w:proofErr w:type="spellEnd"/>
      <w:r w:rsidRPr="00ED3C18">
        <w:rPr>
          <w:rFonts w:ascii="Cambria" w:hAnsi="Cambria"/>
          <w:sz w:val="20"/>
          <w:szCs w:val="20"/>
        </w:rPr>
        <w:t xml:space="preserve"> </w:t>
      </w:r>
      <w:proofErr w:type="spellStart"/>
      <w:r w:rsidRPr="00ED3C18">
        <w:rPr>
          <w:rFonts w:ascii="Cambria" w:hAnsi="Cambria"/>
          <w:sz w:val="20"/>
          <w:szCs w:val="20"/>
        </w:rPr>
        <w:t>ini</w:t>
      </w:r>
      <w:proofErr w:type="spellEnd"/>
      <w:r w:rsidRPr="00ED3C18">
        <w:rPr>
          <w:rFonts w:ascii="Cambria" w:hAnsi="Cambria"/>
          <w:sz w:val="20"/>
          <w:szCs w:val="20"/>
        </w:rPr>
        <w:t xml:space="preserve"> </w:t>
      </w:r>
      <w:proofErr w:type="spellStart"/>
      <w:r w:rsidRPr="00ED3C18">
        <w:rPr>
          <w:rFonts w:ascii="Cambria" w:hAnsi="Cambria"/>
          <w:sz w:val="20"/>
          <w:szCs w:val="20"/>
        </w:rPr>
        <w:t>menghadapi</w:t>
      </w:r>
      <w:proofErr w:type="spellEnd"/>
      <w:r w:rsidRPr="00ED3C18">
        <w:rPr>
          <w:rFonts w:ascii="Cambria" w:hAnsi="Cambria"/>
          <w:sz w:val="20"/>
          <w:szCs w:val="20"/>
        </w:rPr>
        <w:t xml:space="preserve"> era </w:t>
      </w:r>
      <w:proofErr w:type="spellStart"/>
      <w:r w:rsidRPr="00ED3C18">
        <w:rPr>
          <w:rFonts w:ascii="Cambria" w:hAnsi="Cambria"/>
          <w:sz w:val="20"/>
          <w:szCs w:val="20"/>
        </w:rPr>
        <w:t>industri</w:t>
      </w:r>
      <w:proofErr w:type="spellEnd"/>
      <w:r w:rsidRPr="00ED3C18">
        <w:rPr>
          <w:rFonts w:ascii="Cambria" w:hAnsi="Cambria"/>
          <w:sz w:val="20"/>
          <w:szCs w:val="20"/>
        </w:rPr>
        <w:t xml:space="preserve"> yang </w:t>
      </w:r>
      <w:proofErr w:type="spellStart"/>
      <w:r w:rsidRPr="00ED3C18">
        <w:rPr>
          <w:rFonts w:ascii="Cambria" w:hAnsi="Cambria"/>
          <w:sz w:val="20"/>
          <w:szCs w:val="20"/>
        </w:rPr>
        <w:t>sangat</w:t>
      </w:r>
      <w:proofErr w:type="spellEnd"/>
      <w:r w:rsidRPr="00ED3C18">
        <w:rPr>
          <w:rFonts w:ascii="Cambria" w:hAnsi="Cambria"/>
          <w:sz w:val="20"/>
          <w:szCs w:val="20"/>
        </w:rPr>
        <w:t xml:space="preserve"> </w:t>
      </w:r>
      <w:proofErr w:type="spellStart"/>
      <w:r w:rsidRPr="00ED3C18">
        <w:rPr>
          <w:rFonts w:ascii="Cambria" w:hAnsi="Cambria"/>
          <w:sz w:val="20"/>
          <w:szCs w:val="20"/>
        </w:rPr>
        <w:t>kompetitif</w:t>
      </w:r>
      <w:proofErr w:type="spellEnd"/>
      <w:r w:rsidRPr="00ED3C18">
        <w:rPr>
          <w:rFonts w:ascii="Cambria" w:hAnsi="Cambria"/>
          <w:sz w:val="20"/>
          <w:szCs w:val="20"/>
        </w:rPr>
        <w:t xml:space="preserve">. </w:t>
      </w:r>
      <w:proofErr w:type="spellStart"/>
      <w:r w:rsidRPr="00ED3C18">
        <w:rPr>
          <w:rFonts w:ascii="Cambria" w:hAnsi="Cambria"/>
          <w:sz w:val="20"/>
          <w:szCs w:val="20"/>
        </w:rPr>
        <w:t>Retensi</w:t>
      </w:r>
      <w:proofErr w:type="spellEnd"/>
      <w:r w:rsidRPr="00ED3C18">
        <w:rPr>
          <w:rFonts w:ascii="Cambria" w:hAnsi="Cambria"/>
          <w:sz w:val="20"/>
          <w:szCs w:val="20"/>
        </w:rPr>
        <w:t xml:space="preserve"> </w:t>
      </w:r>
      <w:proofErr w:type="spellStart"/>
      <w:r w:rsidRPr="00ED3C18">
        <w:rPr>
          <w:rFonts w:ascii="Cambria" w:hAnsi="Cambria"/>
          <w:sz w:val="20"/>
          <w:szCs w:val="20"/>
        </w:rPr>
        <w:t>Pelanggan</w:t>
      </w:r>
      <w:proofErr w:type="spellEnd"/>
      <w:r w:rsidRPr="00ED3C18">
        <w:rPr>
          <w:rFonts w:ascii="Cambria" w:hAnsi="Cambria"/>
          <w:sz w:val="20"/>
          <w:szCs w:val="20"/>
        </w:rPr>
        <w:t xml:space="preserve"> </w:t>
      </w:r>
      <w:proofErr w:type="spellStart"/>
      <w:r w:rsidRPr="00ED3C18">
        <w:rPr>
          <w:rFonts w:ascii="Cambria" w:hAnsi="Cambria"/>
          <w:sz w:val="20"/>
          <w:szCs w:val="20"/>
        </w:rPr>
        <w:t>merupakan</w:t>
      </w:r>
      <w:proofErr w:type="spellEnd"/>
      <w:r w:rsidRPr="00ED3C18">
        <w:rPr>
          <w:rFonts w:ascii="Cambria" w:hAnsi="Cambria"/>
          <w:sz w:val="20"/>
          <w:szCs w:val="20"/>
        </w:rPr>
        <w:t xml:space="preserve"> salah </w:t>
      </w:r>
      <w:proofErr w:type="spellStart"/>
      <w:r w:rsidRPr="00ED3C18">
        <w:rPr>
          <w:rFonts w:ascii="Cambria" w:hAnsi="Cambria"/>
          <w:sz w:val="20"/>
          <w:szCs w:val="20"/>
        </w:rPr>
        <w:t>satu</w:t>
      </w:r>
      <w:proofErr w:type="spellEnd"/>
      <w:r w:rsidRPr="00ED3C18">
        <w:rPr>
          <w:rFonts w:ascii="Cambria" w:hAnsi="Cambria"/>
          <w:sz w:val="20"/>
          <w:szCs w:val="20"/>
        </w:rPr>
        <w:t xml:space="preserve"> </w:t>
      </w:r>
      <w:proofErr w:type="spellStart"/>
      <w:r w:rsidRPr="00ED3C18">
        <w:rPr>
          <w:rFonts w:ascii="Cambria" w:hAnsi="Cambria"/>
          <w:sz w:val="20"/>
          <w:szCs w:val="20"/>
        </w:rPr>
        <w:t>fenomena</w:t>
      </w:r>
      <w:proofErr w:type="spellEnd"/>
      <w:r w:rsidRPr="00ED3C18">
        <w:rPr>
          <w:rFonts w:ascii="Cambria" w:hAnsi="Cambria"/>
          <w:sz w:val="20"/>
          <w:szCs w:val="20"/>
        </w:rPr>
        <w:t xml:space="preserve"> yang </w:t>
      </w:r>
      <w:proofErr w:type="spellStart"/>
      <w:r w:rsidRPr="00ED3C18">
        <w:rPr>
          <w:rFonts w:ascii="Cambria" w:hAnsi="Cambria"/>
          <w:sz w:val="20"/>
          <w:szCs w:val="20"/>
        </w:rPr>
        <w:t>dihadapi</w:t>
      </w:r>
      <w:proofErr w:type="spellEnd"/>
      <w:r w:rsidRPr="00ED3C18">
        <w:rPr>
          <w:rFonts w:ascii="Cambria" w:hAnsi="Cambria"/>
          <w:sz w:val="20"/>
          <w:szCs w:val="20"/>
        </w:rPr>
        <w:t xml:space="preserve"> Bank Syariah di Indonesia. Oleh </w:t>
      </w:r>
      <w:proofErr w:type="spellStart"/>
      <w:r w:rsidRPr="00ED3C18">
        <w:rPr>
          <w:rFonts w:ascii="Cambria" w:hAnsi="Cambria"/>
          <w:sz w:val="20"/>
          <w:szCs w:val="20"/>
        </w:rPr>
        <w:t>karena</w:t>
      </w:r>
      <w:proofErr w:type="spellEnd"/>
      <w:r w:rsidRPr="00ED3C18">
        <w:rPr>
          <w:rFonts w:ascii="Cambria" w:hAnsi="Cambria"/>
          <w:sz w:val="20"/>
          <w:szCs w:val="20"/>
        </w:rPr>
        <w:t xml:space="preserve"> </w:t>
      </w:r>
      <w:proofErr w:type="spellStart"/>
      <w:r w:rsidRPr="00ED3C18">
        <w:rPr>
          <w:rFonts w:ascii="Cambria" w:hAnsi="Cambria"/>
          <w:sz w:val="20"/>
          <w:szCs w:val="20"/>
        </w:rPr>
        <w:t>itu</w:t>
      </w:r>
      <w:proofErr w:type="spellEnd"/>
      <w:r w:rsidRPr="00ED3C18">
        <w:rPr>
          <w:rFonts w:ascii="Cambria" w:hAnsi="Cambria"/>
          <w:sz w:val="20"/>
          <w:szCs w:val="20"/>
        </w:rPr>
        <w:t xml:space="preserve">, </w:t>
      </w:r>
      <w:proofErr w:type="spellStart"/>
      <w:r w:rsidRPr="00ED3C18">
        <w:rPr>
          <w:rFonts w:ascii="Cambria" w:hAnsi="Cambria"/>
          <w:sz w:val="20"/>
          <w:szCs w:val="20"/>
        </w:rPr>
        <w:t>permasalahan</w:t>
      </w:r>
      <w:proofErr w:type="spellEnd"/>
      <w:r w:rsidRPr="00ED3C18">
        <w:rPr>
          <w:rFonts w:ascii="Cambria" w:hAnsi="Cambria"/>
          <w:sz w:val="20"/>
          <w:szCs w:val="20"/>
        </w:rPr>
        <w:t xml:space="preserve"> </w:t>
      </w:r>
      <w:proofErr w:type="spellStart"/>
      <w:r w:rsidRPr="00ED3C18">
        <w:rPr>
          <w:rFonts w:ascii="Cambria" w:hAnsi="Cambria"/>
          <w:sz w:val="20"/>
          <w:szCs w:val="20"/>
        </w:rPr>
        <w:t>dalam</w:t>
      </w:r>
      <w:proofErr w:type="spellEnd"/>
      <w:r w:rsidRPr="00ED3C18">
        <w:rPr>
          <w:rFonts w:ascii="Cambria" w:hAnsi="Cambria"/>
          <w:sz w:val="20"/>
          <w:szCs w:val="20"/>
        </w:rPr>
        <w:t xml:space="preserve"> </w:t>
      </w:r>
      <w:proofErr w:type="spellStart"/>
      <w:r w:rsidRPr="00ED3C18">
        <w:rPr>
          <w:rFonts w:ascii="Cambria" w:hAnsi="Cambria"/>
          <w:sz w:val="20"/>
          <w:szCs w:val="20"/>
        </w:rPr>
        <w:t>penelitian</w:t>
      </w:r>
      <w:proofErr w:type="spellEnd"/>
      <w:r w:rsidRPr="00ED3C18">
        <w:rPr>
          <w:rFonts w:ascii="Cambria" w:hAnsi="Cambria"/>
          <w:sz w:val="20"/>
          <w:szCs w:val="20"/>
        </w:rPr>
        <w:t xml:space="preserve"> </w:t>
      </w:r>
      <w:proofErr w:type="spellStart"/>
      <w:r w:rsidRPr="00ED3C18">
        <w:rPr>
          <w:rFonts w:ascii="Cambria" w:hAnsi="Cambria"/>
          <w:sz w:val="20"/>
          <w:szCs w:val="20"/>
        </w:rPr>
        <w:t>ini</w:t>
      </w:r>
      <w:proofErr w:type="spellEnd"/>
      <w:r w:rsidRPr="00ED3C18">
        <w:rPr>
          <w:rFonts w:ascii="Cambria" w:hAnsi="Cambria"/>
          <w:sz w:val="20"/>
          <w:szCs w:val="20"/>
        </w:rPr>
        <w:t xml:space="preserve"> </w:t>
      </w:r>
      <w:proofErr w:type="spellStart"/>
      <w:r w:rsidRPr="00ED3C18">
        <w:rPr>
          <w:rFonts w:ascii="Cambria" w:hAnsi="Cambria"/>
          <w:sz w:val="20"/>
          <w:szCs w:val="20"/>
        </w:rPr>
        <w:t>adalah</w:t>
      </w:r>
      <w:proofErr w:type="spellEnd"/>
      <w:r w:rsidRPr="00ED3C18">
        <w:rPr>
          <w:rFonts w:ascii="Cambria" w:hAnsi="Cambria"/>
          <w:sz w:val="20"/>
          <w:szCs w:val="20"/>
        </w:rPr>
        <w:t xml:space="preserve"> </w:t>
      </w:r>
      <w:proofErr w:type="spellStart"/>
      <w:r w:rsidRPr="00ED3C18">
        <w:rPr>
          <w:rFonts w:ascii="Cambria" w:hAnsi="Cambria"/>
          <w:sz w:val="20"/>
          <w:szCs w:val="20"/>
        </w:rPr>
        <w:t>bagaimana</w:t>
      </w:r>
      <w:proofErr w:type="spellEnd"/>
      <w:r w:rsidRPr="00ED3C18">
        <w:rPr>
          <w:rFonts w:ascii="Cambria" w:hAnsi="Cambria"/>
          <w:sz w:val="20"/>
          <w:szCs w:val="20"/>
        </w:rPr>
        <w:t xml:space="preserve"> </w:t>
      </w:r>
      <w:proofErr w:type="spellStart"/>
      <w:r w:rsidRPr="00ED3C18">
        <w:rPr>
          <w:rFonts w:ascii="Cambria" w:hAnsi="Cambria"/>
          <w:sz w:val="20"/>
          <w:szCs w:val="20"/>
        </w:rPr>
        <w:t>meningkatkan</w:t>
      </w:r>
      <w:proofErr w:type="spellEnd"/>
      <w:r w:rsidRPr="00ED3C18">
        <w:rPr>
          <w:rFonts w:ascii="Cambria" w:hAnsi="Cambria"/>
          <w:sz w:val="20"/>
          <w:szCs w:val="20"/>
        </w:rPr>
        <w:t xml:space="preserve"> </w:t>
      </w:r>
      <w:proofErr w:type="spellStart"/>
      <w:r w:rsidRPr="00ED3C18">
        <w:rPr>
          <w:rFonts w:ascii="Cambria" w:hAnsi="Cambria"/>
          <w:sz w:val="20"/>
          <w:szCs w:val="20"/>
        </w:rPr>
        <w:t>Retensi</w:t>
      </w:r>
      <w:proofErr w:type="spellEnd"/>
      <w:r w:rsidRPr="00ED3C18">
        <w:rPr>
          <w:rFonts w:ascii="Cambria" w:hAnsi="Cambria"/>
          <w:sz w:val="20"/>
          <w:szCs w:val="20"/>
        </w:rPr>
        <w:t xml:space="preserve"> </w:t>
      </w:r>
      <w:proofErr w:type="spellStart"/>
      <w:r w:rsidRPr="00ED3C18">
        <w:rPr>
          <w:rFonts w:ascii="Cambria" w:hAnsi="Cambria"/>
          <w:sz w:val="20"/>
          <w:szCs w:val="20"/>
        </w:rPr>
        <w:t>Pelanggan</w:t>
      </w:r>
      <w:proofErr w:type="spellEnd"/>
      <w:r w:rsidRPr="00ED3C18">
        <w:rPr>
          <w:rFonts w:ascii="Cambria" w:hAnsi="Cambria"/>
          <w:sz w:val="20"/>
          <w:szCs w:val="20"/>
        </w:rPr>
        <w:t xml:space="preserve"> pada </w:t>
      </w:r>
      <w:proofErr w:type="spellStart"/>
      <w:r w:rsidRPr="00ED3C18">
        <w:rPr>
          <w:rFonts w:ascii="Cambria" w:hAnsi="Cambria"/>
          <w:sz w:val="20"/>
          <w:szCs w:val="20"/>
        </w:rPr>
        <w:t>sektor</w:t>
      </w:r>
      <w:proofErr w:type="spellEnd"/>
      <w:r w:rsidRPr="00ED3C18">
        <w:rPr>
          <w:rFonts w:ascii="Cambria" w:hAnsi="Cambria"/>
          <w:sz w:val="20"/>
          <w:szCs w:val="20"/>
        </w:rPr>
        <w:t xml:space="preserve"> </w:t>
      </w:r>
      <w:proofErr w:type="spellStart"/>
      <w:r w:rsidRPr="00ED3C18">
        <w:rPr>
          <w:rFonts w:ascii="Cambria" w:hAnsi="Cambria"/>
          <w:sz w:val="20"/>
          <w:szCs w:val="20"/>
        </w:rPr>
        <w:t>Perbankan</w:t>
      </w:r>
      <w:proofErr w:type="spellEnd"/>
      <w:r w:rsidRPr="00ED3C18">
        <w:rPr>
          <w:rFonts w:ascii="Cambria" w:hAnsi="Cambria"/>
          <w:sz w:val="20"/>
          <w:szCs w:val="20"/>
        </w:rPr>
        <w:t xml:space="preserve"> Syariah. </w:t>
      </w:r>
      <w:proofErr w:type="spellStart"/>
      <w:r w:rsidRPr="00ED3C18">
        <w:rPr>
          <w:rFonts w:ascii="Cambria" w:hAnsi="Cambria"/>
          <w:sz w:val="20"/>
          <w:szCs w:val="20"/>
        </w:rPr>
        <w:t>Penelitian</w:t>
      </w:r>
      <w:proofErr w:type="spellEnd"/>
      <w:r w:rsidRPr="00ED3C18">
        <w:rPr>
          <w:rFonts w:ascii="Cambria" w:hAnsi="Cambria"/>
          <w:sz w:val="20"/>
          <w:szCs w:val="20"/>
        </w:rPr>
        <w:t xml:space="preserve"> </w:t>
      </w:r>
      <w:proofErr w:type="spellStart"/>
      <w:r w:rsidRPr="00ED3C18">
        <w:rPr>
          <w:rFonts w:ascii="Cambria" w:hAnsi="Cambria"/>
          <w:sz w:val="20"/>
          <w:szCs w:val="20"/>
        </w:rPr>
        <w:t>ini</w:t>
      </w:r>
      <w:proofErr w:type="spellEnd"/>
      <w:r w:rsidRPr="00ED3C18">
        <w:rPr>
          <w:rFonts w:ascii="Cambria" w:hAnsi="Cambria"/>
          <w:sz w:val="20"/>
          <w:szCs w:val="20"/>
        </w:rPr>
        <w:t xml:space="preserve"> </w:t>
      </w:r>
      <w:proofErr w:type="spellStart"/>
      <w:r w:rsidRPr="00ED3C18">
        <w:rPr>
          <w:rFonts w:ascii="Cambria" w:hAnsi="Cambria"/>
          <w:sz w:val="20"/>
          <w:szCs w:val="20"/>
        </w:rPr>
        <w:t>bertujuan</w:t>
      </w:r>
      <w:proofErr w:type="spellEnd"/>
      <w:r w:rsidRPr="00ED3C18">
        <w:rPr>
          <w:rFonts w:ascii="Cambria" w:hAnsi="Cambria"/>
          <w:sz w:val="20"/>
          <w:szCs w:val="20"/>
        </w:rPr>
        <w:t xml:space="preserve"> </w:t>
      </w:r>
      <w:proofErr w:type="spellStart"/>
      <w:r w:rsidRPr="00ED3C18">
        <w:rPr>
          <w:rFonts w:ascii="Cambria" w:hAnsi="Cambria"/>
          <w:sz w:val="20"/>
          <w:szCs w:val="20"/>
        </w:rPr>
        <w:t>untuk</w:t>
      </w:r>
      <w:proofErr w:type="spellEnd"/>
      <w:r w:rsidRPr="00ED3C18">
        <w:rPr>
          <w:rFonts w:ascii="Cambria" w:hAnsi="Cambria"/>
          <w:sz w:val="20"/>
          <w:szCs w:val="20"/>
        </w:rPr>
        <w:t xml:space="preserve"> </w:t>
      </w:r>
      <w:proofErr w:type="spellStart"/>
      <w:r w:rsidRPr="00ED3C18">
        <w:rPr>
          <w:rFonts w:ascii="Cambria" w:hAnsi="Cambria"/>
          <w:sz w:val="20"/>
          <w:szCs w:val="20"/>
        </w:rPr>
        <w:t>menguji</w:t>
      </w:r>
      <w:proofErr w:type="spellEnd"/>
      <w:r w:rsidRPr="00ED3C18">
        <w:rPr>
          <w:rFonts w:ascii="Cambria" w:hAnsi="Cambria"/>
          <w:sz w:val="20"/>
          <w:szCs w:val="20"/>
        </w:rPr>
        <w:t xml:space="preserve"> dan </w:t>
      </w:r>
      <w:proofErr w:type="spellStart"/>
      <w:r w:rsidRPr="00ED3C18">
        <w:rPr>
          <w:rFonts w:ascii="Cambria" w:hAnsi="Cambria"/>
          <w:sz w:val="20"/>
          <w:szCs w:val="20"/>
        </w:rPr>
        <w:t>menganalisis</w:t>
      </w:r>
      <w:proofErr w:type="spellEnd"/>
      <w:r w:rsidRPr="00ED3C18">
        <w:rPr>
          <w:rFonts w:ascii="Cambria" w:hAnsi="Cambria"/>
          <w:sz w:val="20"/>
          <w:szCs w:val="20"/>
        </w:rPr>
        <w:t xml:space="preserve"> </w:t>
      </w:r>
      <w:proofErr w:type="spellStart"/>
      <w:r w:rsidRPr="00ED3C18">
        <w:rPr>
          <w:rFonts w:ascii="Cambria" w:hAnsi="Cambria"/>
          <w:sz w:val="20"/>
          <w:szCs w:val="20"/>
        </w:rPr>
        <w:t>pengaruh</w:t>
      </w:r>
      <w:proofErr w:type="spellEnd"/>
      <w:r w:rsidRPr="00ED3C18">
        <w:rPr>
          <w:rFonts w:ascii="Cambria" w:hAnsi="Cambria"/>
          <w:sz w:val="20"/>
          <w:szCs w:val="20"/>
        </w:rPr>
        <w:t xml:space="preserve"> </w:t>
      </w:r>
      <w:proofErr w:type="spellStart"/>
      <w:r w:rsidRPr="00ED3C18">
        <w:rPr>
          <w:rFonts w:ascii="Cambria" w:hAnsi="Cambria"/>
          <w:sz w:val="20"/>
          <w:szCs w:val="20"/>
        </w:rPr>
        <w:t>Kepercayaan</w:t>
      </w:r>
      <w:proofErr w:type="spellEnd"/>
      <w:r w:rsidRPr="00ED3C18">
        <w:rPr>
          <w:rFonts w:ascii="Cambria" w:hAnsi="Cambria"/>
          <w:sz w:val="20"/>
          <w:szCs w:val="20"/>
        </w:rPr>
        <w:t xml:space="preserve"> dan Citra </w:t>
      </w:r>
      <w:proofErr w:type="spellStart"/>
      <w:r w:rsidRPr="00ED3C18">
        <w:rPr>
          <w:rFonts w:ascii="Cambria" w:hAnsi="Cambria"/>
          <w:sz w:val="20"/>
          <w:szCs w:val="20"/>
        </w:rPr>
        <w:t>Merek</w:t>
      </w:r>
      <w:proofErr w:type="spellEnd"/>
      <w:r w:rsidRPr="00ED3C18">
        <w:rPr>
          <w:rFonts w:ascii="Cambria" w:hAnsi="Cambria"/>
          <w:sz w:val="20"/>
          <w:szCs w:val="20"/>
        </w:rPr>
        <w:t xml:space="preserve"> </w:t>
      </w:r>
      <w:proofErr w:type="spellStart"/>
      <w:r w:rsidRPr="00ED3C18">
        <w:rPr>
          <w:rFonts w:ascii="Cambria" w:hAnsi="Cambria"/>
          <w:sz w:val="20"/>
          <w:szCs w:val="20"/>
        </w:rPr>
        <w:t>terhadap</w:t>
      </w:r>
      <w:proofErr w:type="spellEnd"/>
      <w:r w:rsidRPr="00ED3C18">
        <w:rPr>
          <w:rFonts w:ascii="Cambria" w:hAnsi="Cambria"/>
          <w:sz w:val="20"/>
          <w:szCs w:val="20"/>
        </w:rPr>
        <w:t xml:space="preserve"> </w:t>
      </w:r>
      <w:proofErr w:type="spellStart"/>
      <w:r w:rsidRPr="00ED3C18">
        <w:rPr>
          <w:rFonts w:ascii="Cambria" w:hAnsi="Cambria"/>
          <w:sz w:val="20"/>
          <w:szCs w:val="20"/>
        </w:rPr>
        <w:t>Retensi</w:t>
      </w:r>
      <w:proofErr w:type="spellEnd"/>
      <w:r w:rsidRPr="00ED3C18">
        <w:rPr>
          <w:rFonts w:ascii="Cambria" w:hAnsi="Cambria"/>
          <w:sz w:val="20"/>
          <w:szCs w:val="20"/>
        </w:rPr>
        <w:t xml:space="preserve"> </w:t>
      </w:r>
      <w:proofErr w:type="spellStart"/>
      <w:r w:rsidRPr="00ED3C18">
        <w:rPr>
          <w:rFonts w:ascii="Cambria" w:hAnsi="Cambria"/>
          <w:sz w:val="20"/>
          <w:szCs w:val="20"/>
        </w:rPr>
        <w:t>Pelanggan</w:t>
      </w:r>
      <w:proofErr w:type="spellEnd"/>
      <w:r w:rsidRPr="00ED3C18">
        <w:rPr>
          <w:rFonts w:ascii="Cambria" w:hAnsi="Cambria"/>
          <w:sz w:val="20"/>
          <w:szCs w:val="20"/>
        </w:rPr>
        <w:t xml:space="preserve"> </w:t>
      </w:r>
      <w:proofErr w:type="spellStart"/>
      <w:r w:rsidRPr="00ED3C18">
        <w:rPr>
          <w:rFonts w:ascii="Cambria" w:hAnsi="Cambria"/>
          <w:sz w:val="20"/>
          <w:szCs w:val="20"/>
        </w:rPr>
        <w:t>dengan</w:t>
      </w:r>
      <w:proofErr w:type="spellEnd"/>
      <w:r w:rsidRPr="00ED3C18">
        <w:rPr>
          <w:rFonts w:ascii="Cambria" w:hAnsi="Cambria"/>
          <w:sz w:val="20"/>
          <w:szCs w:val="20"/>
        </w:rPr>
        <w:t xml:space="preserve"> </w:t>
      </w:r>
      <w:proofErr w:type="spellStart"/>
      <w:r w:rsidRPr="00ED3C18">
        <w:rPr>
          <w:rFonts w:ascii="Cambria" w:hAnsi="Cambria"/>
          <w:sz w:val="20"/>
          <w:szCs w:val="20"/>
        </w:rPr>
        <w:t>Loyalitas</w:t>
      </w:r>
      <w:proofErr w:type="spellEnd"/>
      <w:r w:rsidRPr="00ED3C18">
        <w:rPr>
          <w:rFonts w:ascii="Cambria" w:hAnsi="Cambria"/>
          <w:sz w:val="20"/>
          <w:szCs w:val="20"/>
        </w:rPr>
        <w:t xml:space="preserve"> </w:t>
      </w:r>
      <w:proofErr w:type="spellStart"/>
      <w:r w:rsidRPr="00ED3C18">
        <w:rPr>
          <w:rFonts w:ascii="Cambria" w:hAnsi="Cambria"/>
          <w:sz w:val="20"/>
          <w:szCs w:val="20"/>
        </w:rPr>
        <w:t>Pelanggan</w:t>
      </w:r>
      <w:proofErr w:type="spellEnd"/>
      <w:r w:rsidRPr="00ED3C18">
        <w:rPr>
          <w:rFonts w:ascii="Cambria" w:hAnsi="Cambria"/>
          <w:sz w:val="20"/>
          <w:szCs w:val="20"/>
        </w:rPr>
        <w:t xml:space="preserve"> </w:t>
      </w:r>
      <w:proofErr w:type="spellStart"/>
      <w:r w:rsidRPr="00ED3C18">
        <w:rPr>
          <w:rFonts w:ascii="Cambria" w:hAnsi="Cambria"/>
          <w:sz w:val="20"/>
          <w:szCs w:val="20"/>
        </w:rPr>
        <w:t>sebagai</w:t>
      </w:r>
      <w:proofErr w:type="spellEnd"/>
      <w:r w:rsidRPr="00ED3C18">
        <w:rPr>
          <w:rFonts w:ascii="Cambria" w:hAnsi="Cambria"/>
          <w:sz w:val="20"/>
          <w:szCs w:val="20"/>
        </w:rPr>
        <w:t xml:space="preserve"> </w:t>
      </w:r>
      <w:proofErr w:type="spellStart"/>
      <w:r w:rsidRPr="00ED3C18">
        <w:rPr>
          <w:rFonts w:ascii="Cambria" w:hAnsi="Cambria"/>
          <w:sz w:val="20"/>
          <w:szCs w:val="20"/>
        </w:rPr>
        <w:t>variabel</w:t>
      </w:r>
      <w:proofErr w:type="spellEnd"/>
      <w:r w:rsidRPr="00ED3C18">
        <w:rPr>
          <w:rFonts w:ascii="Cambria" w:hAnsi="Cambria"/>
          <w:sz w:val="20"/>
          <w:szCs w:val="20"/>
        </w:rPr>
        <w:t xml:space="preserve"> intervening. </w:t>
      </w:r>
    </w:p>
    <w:p w14:paraId="0D1CEE7C" w14:textId="73DBA14E" w:rsidR="00ED3C18" w:rsidRPr="00B37937" w:rsidRDefault="00B37937" w:rsidP="00B37937">
      <w:pPr>
        <w:jc w:val="both"/>
        <w:rPr>
          <w:rFonts w:ascii="Cambria" w:hAnsi="Cambria"/>
          <w:sz w:val="20"/>
          <w:szCs w:val="20"/>
        </w:rPr>
      </w:pPr>
      <w:r>
        <w:rPr>
          <w:rFonts w:ascii="Cambria" w:hAnsi="Cambria"/>
          <w:sz w:val="20"/>
          <w:szCs w:val="20"/>
        </w:rPr>
        <w:tab/>
      </w:r>
      <w:proofErr w:type="spellStart"/>
      <w:r>
        <w:rPr>
          <w:rFonts w:ascii="Cambria" w:hAnsi="Cambria"/>
          <w:sz w:val="20"/>
          <w:szCs w:val="20"/>
        </w:rPr>
        <w:t>Sebanyak</w:t>
      </w:r>
      <w:proofErr w:type="spellEnd"/>
      <w:r>
        <w:rPr>
          <w:rFonts w:ascii="Cambria" w:hAnsi="Cambria"/>
          <w:sz w:val="20"/>
          <w:szCs w:val="20"/>
        </w:rPr>
        <w:t xml:space="preserve"> 100 </w:t>
      </w:r>
      <w:proofErr w:type="spellStart"/>
      <w:r>
        <w:rPr>
          <w:rFonts w:ascii="Cambria" w:hAnsi="Cambria"/>
          <w:sz w:val="20"/>
          <w:szCs w:val="20"/>
        </w:rPr>
        <w:t>responden</w:t>
      </w:r>
      <w:proofErr w:type="spellEnd"/>
      <w:r>
        <w:rPr>
          <w:rFonts w:ascii="Cambria" w:hAnsi="Cambria"/>
          <w:sz w:val="20"/>
          <w:szCs w:val="20"/>
        </w:rPr>
        <w:t xml:space="preserve"> </w:t>
      </w:r>
      <w:proofErr w:type="spellStart"/>
      <w:r>
        <w:rPr>
          <w:rFonts w:ascii="Cambria" w:hAnsi="Cambria"/>
          <w:sz w:val="20"/>
          <w:szCs w:val="20"/>
        </w:rPr>
        <w:t>nasabah</w:t>
      </w:r>
      <w:proofErr w:type="spellEnd"/>
      <w:r>
        <w:rPr>
          <w:rFonts w:ascii="Cambria" w:hAnsi="Cambria"/>
          <w:sz w:val="20"/>
          <w:szCs w:val="20"/>
        </w:rPr>
        <w:t xml:space="preserve"> Bank Syariah yang </w:t>
      </w:r>
      <w:proofErr w:type="spellStart"/>
      <w:r>
        <w:rPr>
          <w:rFonts w:ascii="Cambria" w:hAnsi="Cambria"/>
          <w:sz w:val="20"/>
          <w:szCs w:val="20"/>
        </w:rPr>
        <w:t>mengisi</w:t>
      </w:r>
      <w:proofErr w:type="spellEnd"/>
      <w:r>
        <w:rPr>
          <w:rFonts w:ascii="Cambria" w:hAnsi="Cambria"/>
          <w:sz w:val="20"/>
          <w:szCs w:val="20"/>
        </w:rPr>
        <w:t xml:space="preserve"> </w:t>
      </w:r>
      <w:proofErr w:type="spellStart"/>
      <w:r>
        <w:rPr>
          <w:rFonts w:ascii="Cambria" w:hAnsi="Cambria"/>
          <w:sz w:val="20"/>
          <w:szCs w:val="20"/>
        </w:rPr>
        <w:t>kuesioner</w:t>
      </w:r>
      <w:proofErr w:type="spellEnd"/>
      <w:r>
        <w:rPr>
          <w:rFonts w:ascii="Cambria" w:hAnsi="Cambria"/>
          <w:sz w:val="20"/>
          <w:szCs w:val="20"/>
        </w:rPr>
        <w:t xml:space="preserve"> </w:t>
      </w:r>
      <w:proofErr w:type="spellStart"/>
      <w:r>
        <w:rPr>
          <w:rFonts w:ascii="Cambria" w:hAnsi="Cambria"/>
          <w:sz w:val="20"/>
          <w:szCs w:val="20"/>
        </w:rPr>
        <w:t>dalam</w:t>
      </w:r>
      <w:proofErr w:type="spellEnd"/>
      <w:r>
        <w:rPr>
          <w:rFonts w:ascii="Cambria" w:hAnsi="Cambria"/>
          <w:sz w:val="20"/>
          <w:szCs w:val="20"/>
        </w:rPr>
        <w:t xml:space="preserve"> </w:t>
      </w:r>
      <w:proofErr w:type="spellStart"/>
      <w:r>
        <w:rPr>
          <w:rFonts w:ascii="Cambria" w:hAnsi="Cambria"/>
          <w:sz w:val="20"/>
          <w:szCs w:val="20"/>
        </w:rPr>
        <w:t>penelitian</w:t>
      </w:r>
      <w:proofErr w:type="spellEnd"/>
      <w:r>
        <w:rPr>
          <w:rFonts w:ascii="Cambria" w:hAnsi="Cambria"/>
          <w:sz w:val="20"/>
          <w:szCs w:val="20"/>
        </w:rPr>
        <w:t xml:space="preserve"> </w:t>
      </w:r>
      <w:proofErr w:type="spellStart"/>
      <w:r>
        <w:rPr>
          <w:rFonts w:ascii="Cambria" w:hAnsi="Cambria"/>
          <w:sz w:val="20"/>
          <w:szCs w:val="20"/>
        </w:rPr>
        <w:t>ini</w:t>
      </w:r>
      <w:proofErr w:type="spellEnd"/>
      <w:r>
        <w:rPr>
          <w:rFonts w:ascii="Cambria" w:hAnsi="Cambria"/>
          <w:sz w:val="20"/>
          <w:szCs w:val="20"/>
        </w:rPr>
        <w:t xml:space="preserve">. Data yang </w:t>
      </w:r>
      <w:proofErr w:type="spellStart"/>
      <w:r>
        <w:rPr>
          <w:rFonts w:ascii="Cambria" w:hAnsi="Cambria"/>
          <w:sz w:val="20"/>
          <w:szCs w:val="20"/>
        </w:rPr>
        <w:t>terkumpul</w:t>
      </w:r>
      <w:proofErr w:type="spellEnd"/>
      <w:r>
        <w:rPr>
          <w:rFonts w:ascii="Cambria" w:hAnsi="Cambria"/>
          <w:sz w:val="20"/>
          <w:szCs w:val="20"/>
        </w:rPr>
        <w:t xml:space="preserve"> </w:t>
      </w:r>
      <w:proofErr w:type="spellStart"/>
      <w:r>
        <w:rPr>
          <w:rFonts w:ascii="Cambria" w:hAnsi="Cambria"/>
          <w:sz w:val="20"/>
          <w:szCs w:val="20"/>
        </w:rPr>
        <w:t>diolah</w:t>
      </w:r>
      <w:proofErr w:type="spellEnd"/>
      <w:r>
        <w:rPr>
          <w:rFonts w:ascii="Cambria" w:hAnsi="Cambria"/>
          <w:sz w:val="20"/>
          <w:szCs w:val="20"/>
        </w:rPr>
        <w:t xml:space="preserve"> </w:t>
      </w:r>
      <w:proofErr w:type="spellStart"/>
      <w:r>
        <w:rPr>
          <w:rFonts w:ascii="Cambria" w:hAnsi="Cambria"/>
          <w:sz w:val="20"/>
          <w:szCs w:val="20"/>
        </w:rPr>
        <w:t>menggunakan</w:t>
      </w:r>
      <w:proofErr w:type="spellEnd"/>
      <w:r>
        <w:rPr>
          <w:rFonts w:ascii="Cambria" w:hAnsi="Cambria"/>
          <w:sz w:val="20"/>
          <w:szCs w:val="20"/>
        </w:rPr>
        <w:t xml:space="preserve"> program Smart PLS </w:t>
      </w:r>
      <w:proofErr w:type="spellStart"/>
      <w:r>
        <w:rPr>
          <w:rFonts w:ascii="Cambria" w:hAnsi="Cambria"/>
          <w:sz w:val="20"/>
          <w:szCs w:val="20"/>
        </w:rPr>
        <w:t>dengan</w:t>
      </w:r>
      <w:proofErr w:type="spellEnd"/>
      <w:r>
        <w:rPr>
          <w:rFonts w:ascii="Cambria" w:hAnsi="Cambria"/>
          <w:sz w:val="20"/>
          <w:szCs w:val="20"/>
        </w:rPr>
        <w:t xml:space="preserve"> </w:t>
      </w:r>
      <w:proofErr w:type="spellStart"/>
      <w:r>
        <w:rPr>
          <w:rFonts w:ascii="Cambria" w:hAnsi="Cambria"/>
          <w:sz w:val="20"/>
          <w:szCs w:val="20"/>
        </w:rPr>
        <w:t>pengukuran</w:t>
      </w:r>
      <w:proofErr w:type="spellEnd"/>
      <w:r>
        <w:rPr>
          <w:rFonts w:ascii="Cambria" w:hAnsi="Cambria"/>
          <w:sz w:val="20"/>
          <w:szCs w:val="20"/>
        </w:rPr>
        <w:t xml:space="preserve"> uji inner model dan uji outer model. Hasil </w:t>
      </w:r>
      <w:proofErr w:type="spellStart"/>
      <w:r>
        <w:rPr>
          <w:rFonts w:ascii="Cambria" w:hAnsi="Cambria"/>
          <w:sz w:val="20"/>
          <w:szCs w:val="20"/>
        </w:rPr>
        <w:t>pengujian</w:t>
      </w:r>
      <w:proofErr w:type="spellEnd"/>
      <w:r>
        <w:rPr>
          <w:rFonts w:ascii="Cambria" w:hAnsi="Cambria"/>
          <w:sz w:val="20"/>
          <w:szCs w:val="20"/>
        </w:rPr>
        <w:t xml:space="preserve"> </w:t>
      </w:r>
      <w:proofErr w:type="spellStart"/>
      <w:r>
        <w:rPr>
          <w:rFonts w:ascii="Cambria" w:hAnsi="Cambria"/>
          <w:sz w:val="20"/>
          <w:szCs w:val="20"/>
        </w:rPr>
        <w:t>membuktikan</w:t>
      </w:r>
      <w:proofErr w:type="spellEnd"/>
      <w:r>
        <w:rPr>
          <w:rFonts w:ascii="Cambria" w:hAnsi="Cambria"/>
          <w:sz w:val="20"/>
          <w:szCs w:val="20"/>
        </w:rPr>
        <w:t xml:space="preserve"> </w:t>
      </w:r>
      <w:proofErr w:type="spellStart"/>
      <w:r>
        <w:rPr>
          <w:rFonts w:ascii="Cambria" w:hAnsi="Cambria"/>
          <w:sz w:val="20"/>
          <w:szCs w:val="20"/>
        </w:rPr>
        <w:t>bahwa</w:t>
      </w:r>
      <w:proofErr w:type="spellEnd"/>
      <w:r>
        <w:rPr>
          <w:rFonts w:ascii="Cambria" w:hAnsi="Cambria"/>
          <w:sz w:val="20"/>
          <w:szCs w:val="20"/>
        </w:rPr>
        <w:t xml:space="preserve"> </w:t>
      </w:r>
      <w:proofErr w:type="spellStart"/>
      <w:r>
        <w:rPr>
          <w:rFonts w:ascii="Cambria" w:hAnsi="Cambria"/>
          <w:sz w:val="20"/>
          <w:szCs w:val="20"/>
        </w:rPr>
        <w:t>Kepercayaan</w:t>
      </w:r>
      <w:proofErr w:type="spellEnd"/>
      <w:r>
        <w:rPr>
          <w:rFonts w:ascii="Cambria" w:hAnsi="Cambria"/>
          <w:sz w:val="20"/>
          <w:szCs w:val="20"/>
        </w:rPr>
        <w:t xml:space="preserve">, Citra </w:t>
      </w:r>
      <w:proofErr w:type="spellStart"/>
      <w:r>
        <w:rPr>
          <w:rFonts w:ascii="Cambria" w:hAnsi="Cambria"/>
          <w:sz w:val="20"/>
          <w:szCs w:val="20"/>
        </w:rPr>
        <w:t>Merek</w:t>
      </w:r>
      <w:proofErr w:type="spellEnd"/>
      <w:r>
        <w:rPr>
          <w:rFonts w:ascii="Cambria" w:hAnsi="Cambria"/>
          <w:sz w:val="20"/>
          <w:szCs w:val="20"/>
        </w:rPr>
        <w:t xml:space="preserve"> dan </w:t>
      </w:r>
      <w:proofErr w:type="spellStart"/>
      <w:r>
        <w:rPr>
          <w:rFonts w:ascii="Cambria" w:hAnsi="Cambria"/>
          <w:sz w:val="20"/>
          <w:szCs w:val="20"/>
        </w:rPr>
        <w:t>Loyalitas</w:t>
      </w:r>
      <w:proofErr w:type="spellEnd"/>
      <w:r>
        <w:rPr>
          <w:rFonts w:ascii="Cambria" w:hAnsi="Cambria"/>
          <w:sz w:val="20"/>
          <w:szCs w:val="20"/>
        </w:rPr>
        <w:t xml:space="preserve"> </w:t>
      </w:r>
      <w:proofErr w:type="spellStart"/>
      <w:r>
        <w:rPr>
          <w:rFonts w:ascii="Cambria" w:hAnsi="Cambria"/>
          <w:sz w:val="20"/>
          <w:szCs w:val="20"/>
        </w:rPr>
        <w:t>Pelanggan</w:t>
      </w:r>
      <w:proofErr w:type="spellEnd"/>
      <w:r>
        <w:rPr>
          <w:rFonts w:ascii="Cambria" w:hAnsi="Cambria"/>
          <w:sz w:val="20"/>
          <w:szCs w:val="20"/>
        </w:rPr>
        <w:t xml:space="preserve"> </w:t>
      </w:r>
      <w:proofErr w:type="spellStart"/>
      <w:r>
        <w:rPr>
          <w:rFonts w:ascii="Cambria" w:hAnsi="Cambria"/>
          <w:sz w:val="20"/>
          <w:szCs w:val="20"/>
        </w:rPr>
        <w:t>berpengaruh</w:t>
      </w:r>
      <w:proofErr w:type="spellEnd"/>
      <w:r>
        <w:rPr>
          <w:rFonts w:ascii="Cambria" w:hAnsi="Cambria"/>
          <w:sz w:val="20"/>
          <w:szCs w:val="20"/>
        </w:rPr>
        <w:t xml:space="preserve"> </w:t>
      </w:r>
      <w:proofErr w:type="spellStart"/>
      <w:r>
        <w:rPr>
          <w:rFonts w:ascii="Cambria" w:hAnsi="Cambria"/>
          <w:sz w:val="20"/>
          <w:szCs w:val="20"/>
        </w:rPr>
        <w:t>positif</w:t>
      </w:r>
      <w:proofErr w:type="spellEnd"/>
      <w:r>
        <w:rPr>
          <w:rFonts w:ascii="Cambria" w:hAnsi="Cambria"/>
          <w:sz w:val="20"/>
          <w:szCs w:val="20"/>
        </w:rPr>
        <w:t xml:space="preserve"> dan </w:t>
      </w:r>
      <w:proofErr w:type="spellStart"/>
      <w:r>
        <w:rPr>
          <w:rFonts w:ascii="Cambria" w:hAnsi="Cambria"/>
          <w:sz w:val="20"/>
          <w:szCs w:val="20"/>
        </w:rPr>
        <w:t>signifikan</w:t>
      </w:r>
      <w:proofErr w:type="spellEnd"/>
      <w:r>
        <w:rPr>
          <w:rFonts w:ascii="Cambria" w:hAnsi="Cambria"/>
          <w:sz w:val="20"/>
          <w:szCs w:val="20"/>
        </w:rPr>
        <w:t xml:space="preserve"> </w:t>
      </w:r>
      <w:proofErr w:type="spellStart"/>
      <w:r>
        <w:rPr>
          <w:rFonts w:ascii="Cambria" w:hAnsi="Cambria"/>
          <w:sz w:val="20"/>
          <w:szCs w:val="20"/>
        </w:rPr>
        <w:t>terhadap</w:t>
      </w:r>
      <w:proofErr w:type="spellEnd"/>
      <w:r>
        <w:rPr>
          <w:rFonts w:ascii="Cambria" w:hAnsi="Cambria"/>
          <w:sz w:val="20"/>
          <w:szCs w:val="20"/>
        </w:rPr>
        <w:t xml:space="preserve"> </w:t>
      </w:r>
      <w:proofErr w:type="spellStart"/>
      <w:r>
        <w:rPr>
          <w:rFonts w:ascii="Cambria" w:hAnsi="Cambria"/>
          <w:sz w:val="20"/>
          <w:szCs w:val="20"/>
        </w:rPr>
        <w:t>Retensi</w:t>
      </w:r>
      <w:proofErr w:type="spellEnd"/>
      <w:r>
        <w:rPr>
          <w:rFonts w:ascii="Cambria" w:hAnsi="Cambria"/>
          <w:sz w:val="20"/>
          <w:szCs w:val="20"/>
        </w:rPr>
        <w:t xml:space="preserve"> </w:t>
      </w:r>
      <w:proofErr w:type="spellStart"/>
      <w:r>
        <w:rPr>
          <w:rFonts w:ascii="Cambria" w:hAnsi="Cambria"/>
          <w:sz w:val="20"/>
          <w:szCs w:val="20"/>
        </w:rPr>
        <w:t>Pelanggan</w:t>
      </w:r>
      <w:proofErr w:type="spellEnd"/>
      <w:r>
        <w:rPr>
          <w:rFonts w:ascii="Cambria" w:hAnsi="Cambria"/>
          <w:sz w:val="20"/>
          <w:szCs w:val="20"/>
        </w:rPr>
        <w:t xml:space="preserve"> </w:t>
      </w:r>
      <w:proofErr w:type="spellStart"/>
      <w:r>
        <w:rPr>
          <w:rFonts w:ascii="Cambria" w:hAnsi="Cambria"/>
          <w:sz w:val="20"/>
          <w:szCs w:val="20"/>
        </w:rPr>
        <w:t>nasabah</w:t>
      </w:r>
      <w:proofErr w:type="spellEnd"/>
      <w:r>
        <w:rPr>
          <w:rFonts w:ascii="Cambria" w:hAnsi="Cambria"/>
          <w:sz w:val="20"/>
          <w:szCs w:val="20"/>
        </w:rPr>
        <w:t xml:space="preserve"> Bank </w:t>
      </w:r>
      <w:proofErr w:type="spellStart"/>
      <w:r>
        <w:rPr>
          <w:rFonts w:ascii="Cambria" w:hAnsi="Cambria"/>
          <w:sz w:val="20"/>
          <w:szCs w:val="20"/>
        </w:rPr>
        <w:t>Umum</w:t>
      </w:r>
      <w:proofErr w:type="spellEnd"/>
      <w:r>
        <w:rPr>
          <w:rFonts w:ascii="Cambria" w:hAnsi="Cambria"/>
          <w:sz w:val="20"/>
          <w:szCs w:val="20"/>
        </w:rPr>
        <w:t xml:space="preserve"> Syariah. </w:t>
      </w:r>
      <w:proofErr w:type="spellStart"/>
      <w:r>
        <w:rPr>
          <w:rFonts w:ascii="Cambria" w:hAnsi="Cambria"/>
          <w:sz w:val="20"/>
          <w:szCs w:val="20"/>
        </w:rPr>
        <w:t>Sedangkan</w:t>
      </w:r>
      <w:proofErr w:type="spellEnd"/>
      <w:r>
        <w:rPr>
          <w:rFonts w:ascii="Cambria" w:hAnsi="Cambria"/>
          <w:sz w:val="20"/>
          <w:szCs w:val="20"/>
        </w:rPr>
        <w:t xml:space="preserve"> </w:t>
      </w:r>
      <w:proofErr w:type="spellStart"/>
      <w:r>
        <w:rPr>
          <w:rFonts w:ascii="Cambria" w:hAnsi="Cambria"/>
          <w:sz w:val="20"/>
          <w:szCs w:val="20"/>
        </w:rPr>
        <w:t>pengujian</w:t>
      </w:r>
      <w:proofErr w:type="spellEnd"/>
      <w:r>
        <w:rPr>
          <w:rFonts w:ascii="Cambria" w:hAnsi="Cambria"/>
          <w:sz w:val="20"/>
          <w:szCs w:val="20"/>
        </w:rPr>
        <w:t xml:space="preserve"> </w:t>
      </w:r>
      <w:proofErr w:type="spellStart"/>
      <w:r>
        <w:rPr>
          <w:rFonts w:ascii="Cambria" w:hAnsi="Cambria"/>
          <w:sz w:val="20"/>
          <w:szCs w:val="20"/>
        </w:rPr>
        <w:t>tidak</w:t>
      </w:r>
      <w:proofErr w:type="spellEnd"/>
      <w:r>
        <w:rPr>
          <w:rFonts w:ascii="Cambria" w:hAnsi="Cambria"/>
          <w:sz w:val="20"/>
          <w:szCs w:val="20"/>
        </w:rPr>
        <w:t xml:space="preserve"> </w:t>
      </w:r>
      <w:proofErr w:type="spellStart"/>
      <w:r>
        <w:rPr>
          <w:rFonts w:ascii="Cambria" w:hAnsi="Cambria"/>
          <w:sz w:val="20"/>
          <w:szCs w:val="20"/>
        </w:rPr>
        <w:t>langsung</w:t>
      </w:r>
      <w:proofErr w:type="spellEnd"/>
      <w:r>
        <w:rPr>
          <w:rFonts w:ascii="Cambria" w:hAnsi="Cambria"/>
          <w:sz w:val="20"/>
          <w:szCs w:val="20"/>
        </w:rPr>
        <w:t xml:space="preserve"> </w:t>
      </w:r>
      <w:proofErr w:type="spellStart"/>
      <w:r>
        <w:rPr>
          <w:rFonts w:ascii="Cambria" w:hAnsi="Cambria"/>
          <w:sz w:val="20"/>
          <w:szCs w:val="20"/>
        </w:rPr>
        <w:t>membuktikan</w:t>
      </w:r>
      <w:proofErr w:type="spellEnd"/>
      <w:r>
        <w:rPr>
          <w:rFonts w:ascii="Cambria" w:hAnsi="Cambria"/>
          <w:sz w:val="20"/>
          <w:szCs w:val="20"/>
        </w:rPr>
        <w:t xml:space="preserve"> </w:t>
      </w:r>
      <w:proofErr w:type="spellStart"/>
      <w:r>
        <w:rPr>
          <w:rFonts w:ascii="Cambria" w:hAnsi="Cambria"/>
          <w:sz w:val="20"/>
          <w:szCs w:val="20"/>
        </w:rPr>
        <w:t>bahwa</w:t>
      </w:r>
      <w:proofErr w:type="spellEnd"/>
      <w:r>
        <w:rPr>
          <w:rFonts w:ascii="Cambria" w:hAnsi="Cambria"/>
          <w:sz w:val="20"/>
          <w:szCs w:val="20"/>
        </w:rPr>
        <w:t xml:space="preserve"> </w:t>
      </w:r>
      <w:proofErr w:type="spellStart"/>
      <w:r>
        <w:rPr>
          <w:rFonts w:ascii="Cambria" w:hAnsi="Cambria"/>
          <w:sz w:val="20"/>
          <w:szCs w:val="20"/>
        </w:rPr>
        <w:t>variabel</w:t>
      </w:r>
      <w:proofErr w:type="spellEnd"/>
      <w:r>
        <w:rPr>
          <w:rFonts w:ascii="Cambria" w:hAnsi="Cambria"/>
          <w:sz w:val="20"/>
          <w:szCs w:val="20"/>
        </w:rPr>
        <w:t xml:space="preserve"> </w:t>
      </w:r>
      <w:proofErr w:type="spellStart"/>
      <w:r>
        <w:rPr>
          <w:rFonts w:ascii="Cambria" w:hAnsi="Cambria"/>
          <w:sz w:val="20"/>
          <w:szCs w:val="20"/>
        </w:rPr>
        <w:t>Loyalitas</w:t>
      </w:r>
      <w:proofErr w:type="spellEnd"/>
      <w:r>
        <w:rPr>
          <w:rFonts w:ascii="Cambria" w:hAnsi="Cambria"/>
          <w:sz w:val="20"/>
          <w:szCs w:val="20"/>
        </w:rPr>
        <w:t xml:space="preserve"> </w:t>
      </w:r>
      <w:proofErr w:type="spellStart"/>
      <w:r>
        <w:rPr>
          <w:rFonts w:ascii="Cambria" w:hAnsi="Cambria"/>
          <w:sz w:val="20"/>
          <w:szCs w:val="20"/>
        </w:rPr>
        <w:t>Pelanggan</w:t>
      </w:r>
      <w:proofErr w:type="spellEnd"/>
      <w:r>
        <w:rPr>
          <w:rFonts w:ascii="Cambria" w:hAnsi="Cambria"/>
          <w:sz w:val="20"/>
          <w:szCs w:val="20"/>
        </w:rPr>
        <w:t xml:space="preserve"> </w:t>
      </w:r>
      <w:proofErr w:type="spellStart"/>
      <w:r>
        <w:rPr>
          <w:rFonts w:ascii="Cambria" w:hAnsi="Cambria"/>
          <w:sz w:val="20"/>
          <w:szCs w:val="20"/>
        </w:rPr>
        <w:t>mampu</w:t>
      </w:r>
      <w:proofErr w:type="spellEnd"/>
      <w:r>
        <w:rPr>
          <w:rFonts w:ascii="Cambria" w:hAnsi="Cambria"/>
          <w:sz w:val="20"/>
          <w:szCs w:val="20"/>
        </w:rPr>
        <w:t xml:space="preserve"> </w:t>
      </w:r>
      <w:proofErr w:type="spellStart"/>
      <w:r>
        <w:rPr>
          <w:rFonts w:ascii="Cambria" w:hAnsi="Cambria"/>
          <w:sz w:val="20"/>
          <w:szCs w:val="20"/>
        </w:rPr>
        <w:t>memediasi</w:t>
      </w:r>
      <w:proofErr w:type="spellEnd"/>
      <w:r>
        <w:rPr>
          <w:rFonts w:ascii="Cambria" w:hAnsi="Cambria"/>
          <w:sz w:val="20"/>
          <w:szCs w:val="20"/>
        </w:rPr>
        <w:t xml:space="preserve"> </w:t>
      </w:r>
      <w:proofErr w:type="spellStart"/>
      <w:r>
        <w:rPr>
          <w:rFonts w:ascii="Cambria" w:hAnsi="Cambria"/>
          <w:sz w:val="20"/>
          <w:szCs w:val="20"/>
        </w:rPr>
        <w:t>antara</w:t>
      </w:r>
      <w:proofErr w:type="spellEnd"/>
      <w:r>
        <w:rPr>
          <w:rFonts w:ascii="Cambria" w:hAnsi="Cambria"/>
          <w:sz w:val="20"/>
          <w:szCs w:val="20"/>
        </w:rPr>
        <w:t xml:space="preserve"> </w:t>
      </w:r>
      <w:proofErr w:type="spellStart"/>
      <w:r>
        <w:rPr>
          <w:rFonts w:ascii="Cambria" w:hAnsi="Cambria"/>
          <w:sz w:val="20"/>
          <w:szCs w:val="20"/>
        </w:rPr>
        <w:t>variabel</w:t>
      </w:r>
      <w:proofErr w:type="spellEnd"/>
      <w:r>
        <w:rPr>
          <w:rFonts w:ascii="Cambria" w:hAnsi="Cambria"/>
          <w:sz w:val="20"/>
          <w:szCs w:val="20"/>
        </w:rPr>
        <w:t xml:space="preserve"> </w:t>
      </w:r>
      <w:proofErr w:type="spellStart"/>
      <w:r>
        <w:rPr>
          <w:rFonts w:ascii="Cambria" w:hAnsi="Cambria"/>
          <w:sz w:val="20"/>
          <w:szCs w:val="20"/>
        </w:rPr>
        <w:t>Kepercayaan</w:t>
      </w:r>
      <w:proofErr w:type="spellEnd"/>
      <w:r>
        <w:rPr>
          <w:rFonts w:ascii="Cambria" w:hAnsi="Cambria"/>
          <w:sz w:val="20"/>
          <w:szCs w:val="20"/>
        </w:rPr>
        <w:t xml:space="preserve"> dan </w:t>
      </w:r>
      <w:proofErr w:type="spellStart"/>
      <w:r>
        <w:rPr>
          <w:rFonts w:ascii="Cambria" w:hAnsi="Cambria"/>
          <w:sz w:val="20"/>
          <w:szCs w:val="20"/>
        </w:rPr>
        <w:t>Retensi</w:t>
      </w:r>
      <w:proofErr w:type="spellEnd"/>
      <w:r>
        <w:rPr>
          <w:rFonts w:ascii="Cambria" w:hAnsi="Cambria"/>
          <w:sz w:val="20"/>
          <w:szCs w:val="20"/>
        </w:rPr>
        <w:t xml:space="preserve"> </w:t>
      </w:r>
      <w:proofErr w:type="spellStart"/>
      <w:r>
        <w:rPr>
          <w:rFonts w:ascii="Cambria" w:hAnsi="Cambria"/>
          <w:sz w:val="20"/>
          <w:szCs w:val="20"/>
        </w:rPr>
        <w:t>Pelanggan</w:t>
      </w:r>
      <w:proofErr w:type="spellEnd"/>
      <w:r>
        <w:rPr>
          <w:rFonts w:ascii="Cambria" w:hAnsi="Cambria"/>
          <w:sz w:val="20"/>
          <w:szCs w:val="20"/>
        </w:rPr>
        <w:t xml:space="preserve">. </w:t>
      </w:r>
      <w:proofErr w:type="spellStart"/>
      <w:r>
        <w:rPr>
          <w:rFonts w:ascii="Cambria" w:hAnsi="Cambria"/>
          <w:sz w:val="20"/>
          <w:szCs w:val="20"/>
        </w:rPr>
        <w:t>Tetapi</w:t>
      </w:r>
      <w:proofErr w:type="spellEnd"/>
      <w:r>
        <w:rPr>
          <w:rFonts w:ascii="Cambria" w:hAnsi="Cambria"/>
          <w:sz w:val="20"/>
          <w:szCs w:val="20"/>
        </w:rPr>
        <w:t xml:space="preserve"> </w:t>
      </w:r>
      <w:proofErr w:type="spellStart"/>
      <w:r>
        <w:rPr>
          <w:rFonts w:ascii="Cambria" w:hAnsi="Cambria"/>
          <w:sz w:val="20"/>
          <w:szCs w:val="20"/>
        </w:rPr>
        <w:t>tidak</w:t>
      </w:r>
      <w:proofErr w:type="spellEnd"/>
      <w:r>
        <w:rPr>
          <w:rFonts w:ascii="Cambria" w:hAnsi="Cambria"/>
          <w:sz w:val="20"/>
          <w:szCs w:val="20"/>
        </w:rPr>
        <w:t xml:space="preserve"> </w:t>
      </w:r>
      <w:proofErr w:type="spellStart"/>
      <w:r>
        <w:rPr>
          <w:rFonts w:ascii="Cambria" w:hAnsi="Cambria"/>
          <w:sz w:val="20"/>
          <w:szCs w:val="20"/>
        </w:rPr>
        <w:t>dapat</w:t>
      </w:r>
      <w:proofErr w:type="spellEnd"/>
      <w:r>
        <w:rPr>
          <w:rFonts w:ascii="Cambria" w:hAnsi="Cambria"/>
          <w:sz w:val="20"/>
          <w:szCs w:val="20"/>
        </w:rPr>
        <w:t xml:space="preserve"> </w:t>
      </w:r>
      <w:proofErr w:type="spellStart"/>
      <w:r>
        <w:rPr>
          <w:rFonts w:ascii="Cambria" w:hAnsi="Cambria"/>
          <w:sz w:val="20"/>
          <w:szCs w:val="20"/>
        </w:rPr>
        <w:t>memediasi</w:t>
      </w:r>
      <w:proofErr w:type="spellEnd"/>
      <w:r>
        <w:rPr>
          <w:rFonts w:ascii="Cambria" w:hAnsi="Cambria"/>
          <w:sz w:val="20"/>
          <w:szCs w:val="20"/>
        </w:rPr>
        <w:t xml:space="preserve"> </w:t>
      </w:r>
      <w:proofErr w:type="spellStart"/>
      <w:r>
        <w:rPr>
          <w:rFonts w:ascii="Cambria" w:hAnsi="Cambria"/>
          <w:sz w:val="20"/>
          <w:szCs w:val="20"/>
        </w:rPr>
        <w:t>antara</w:t>
      </w:r>
      <w:proofErr w:type="spellEnd"/>
      <w:r>
        <w:rPr>
          <w:rFonts w:ascii="Cambria" w:hAnsi="Cambria"/>
          <w:sz w:val="20"/>
          <w:szCs w:val="20"/>
        </w:rPr>
        <w:t xml:space="preserve"> </w:t>
      </w:r>
      <w:proofErr w:type="spellStart"/>
      <w:r>
        <w:rPr>
          <w:rFonts w:ascii="Cambria" w:hAnsi="Cambria"/>
          <w:sz w:val="20"/>
          <w:szCs w:val="20"/>
        </w:rPr>
        <w:t>variabel</w:t>
      </w:r>
      <w:proofErr w:type="spellEnd"/>
      <w:r>
        <w:rPr>
          <w:rFonts w:ascii="Cambria" w:hAnsi="Cambria"/>
          <w:sz w:val="20"/>
          <w:szCs w:val="20"/>
        </w:rPr>
        <w:t xml:space="preserve"> Citra </w:t>
      </w:r>
      <w:proofErr w:type="spellStart"/>
      <w:r>
        <w:rPr>
          <w:rFonts w:ascii="Cambria" w:hAnsi="Cambria"/>
          <w:sz w:val="20"/>
          <w:szCs w:val="20"/>
        </w:rPr>
        <w:t>Merek</w:t>
      </w:r>
      <w:proofErr w:type="spellEnd"/>
      <w:r>
        <w:rPr>
          <w:rFonts w:ascii="Cambria" w:hAnsi="Cambria"/>
          <w:sz w:val="20"/>
          <w:szCs w:val="20"/>
        </w:rPr>
        <w:t xml:space="preserve"> dan </w:t>
      </w:r>
      <w:proofErr w:type="spellStart"/>
      <w:r>
        <w:rPr>
          <w:rFonts w:ascii="Cambria" w:hAnsi="Cambria"/>
          <w:sz w:val="20"/>
          <w:szCs w:val="20"/>
        </w:rPr>
        <w:t>Retensi</w:t>
      </w:r>
      <w:proofErr w:type="spellEnd"/>
      <w:r>
        <w:rPr>
          <w:rFonts w:ascii="Cambria" w:hAnsi="Cambria"/>
          <w:sz w:val="20"/>
          <w:szCs w:val="20"/>
        </w:rPr>
        <w:t xml:space="preserve"> </w:t>
      </w:r>
      <w:proofErr w:type="spellStart"/>
      <w:r>
        <w:rPr>
          <w:rFonts w:ascii="Cambria" w:hAnsi="Cambria"/>
          <w:sz w:val="20"/>
          <w:szCs w:val="20"/>
        </w:rPr>
        <w:t>Pelanggan</w:t>
      </w:r>
      <w:proofErr w:type="spellEnd"/>
      <w:r>
        <w:rPr>
          <w:rFonts w:ascii="Cambria" w:hAnsi="Cambria"/>
          <w:sz w:val="20"/>
          <w:szCs w:val="20"/>
        </w:rPr>
        <w:t xml:space="preserve">. </w:t>
      </w:r>
    </w:p>
    <w:p w14:paraId="29AF5BE3" w14:textId="77777777" w:rsidR="00BC083B" w:rsidRPr="008A00D4" w:rsidRDefault="00BC083B" w:rsidP="00B136FE">
      <w:pPr>
        <w:jc w:val="both"/>
        <w:rPr>
          <w:rFonts w:ascii="Cambria" w:hAnsi="Cambria"/>
          <w:color w:val="000000"/>
          <w:sz w:val="20"/>
          <w:szCs w:val="20"/>
          <w:shd w:val="clear" w:color="auto" w:fill="FFFFFF"/>
        </w:rPr>
      </w:pPr>
    </w:p>
    <w:p w14:paraId="04610CFD" w14:textId="03509C23" w:rsidR="00B136FE" w:rsidRPr="008A00D4" w:rsidRDefault="00B136FE" w:rsidP="00D6569C">
      <w:pPr>
        <w:jc w:val="both"/>
        <w:rPr>
          <w:rFonts w:ascii="Cambria" w:hAnsi="Cambria"/>
          <w:sz w:val="20"/>
          <w:szCs w:val="20"/>
        </w:rPr>
      </w:pPr>
      <w:r w:rsidRPr="008A00D4">
        <w:rPr>
          <w:rFonts w:ascii="Cambria" w:hAnsi="Cambria"/>
          <w:b/>
          <w:bCs/>
          <w:color w:val="000000"/>
          <w:sz w:val="20"/>
          <w:szCs w:val="20"/>
        </w:rPr>
        <w:t>Keywords:</w:t>
      </w:r>
      <w:r w:rsidR="00D6569C">
        <w:rPr>
          <w:rFonts w:ascii="Cambria" w:hAnsi="Cambria"/>
          <w:b/>
          <w:bCs/>
          <w:color w:val="000000"/>
          <w:sz w:val="20"/>
          <w:szCs w:val="20"/>
        </w:rPr>
        <w:t xml:space="preserve"> </w:t>
      </w:r>
      <w:proofErr w:type="spellStart"/>
      <w:r w:rsidR="00D6569C">
        <w:rPr>
          <w:rFonts w:ascii="Cambria" w:hAnsi="Cambria"/>
          <w:b/>
          <w:bCs/>
          <w:color w:val="000000"/>
          <w:sz w:val="20"/>
          <w:szCs w:val="20"/>
        </w:rPr>
        <w:t>Kepercayaan</w:t>
      </w:r>
      <w:proofErr w:type="spellEnd"/>
      <w:r w:rsidR="00D6569C">
        <w:rPr>
          <w:rFonts w:ascii="Cambria" w:hAnsi="Cambria"/>
          <w:b/>
          <w:bCs/>
          <w:color w:val="000000"/>
          <w:sz w:val="20"/>
          <w:szCs w:val="20"/>
        </w:rPr>
        <w:t xml:space="preserve">; Citra </w:t>
      </w:r>
      <w:proofErr w:type="spellStart"/>
      <w:r w:rsidR="00D6569C">
        <w:rPr>
          <w:rFonts w:ascii="Cambria" w:hAnsi="Cambria"/>
          <w:b/>
          <w:bCs/>
          <w:color w:val="000000"/>
          <w:sz w:val="20"/>
          <w:szCs w:val="20"/>
        </w:rPr>
        <w:t>Merek</w:t>
      </w:r>
      <w:proofErr w:type="spellEnd"/>
      <w:r w:rsidR="00D6569C">
        <w:rPr>
          <w:rFonts w:ascii="Cambria" w:hAnsi="Cambria"/>
          <w:b/>
          <w:bCs/>
          <w:color w:val="000000"/>
          <w:sz w:val="20"/>
          <w:szCs w:val="20"/>
        </w:rPr>
        <w:t xml:space="preserve">; </w:t>
      </w:r>
      <w:proofErr w:type="spellStart"/>
      <w:r w:rsidR="00D6569C">
        <w:rPr>
          <w:rFonts w:ascii="Cambria" w:hAnsi="Cambria"/>
          <w:b/>
          <w:bCs/>
          <w:color w:val="000000"/>
          <w:sz w:val="20"/>
          <w:szCs w:val="20"/>
        </w:rPr>
        <w:t>Loyalitas</w:t>
      </w:r>
      <w:proofErr w:type="spellEnd"/>
      <w:r w:rsidR="00D6569C">
        <w:rPr>
          <w:rFonts w:ascii="Cambria" w:hAnsi="Cambria"/>
          <w:b/>
          <w:bCs/>
          <w:color w:val="000000"/>
          <w:sz w:val="20"/>
          <w:szCs w:val="20"/>
        </w:rPr>
        <w:t xml:space="preserve"> </w:t>
      </w:r>
      <w:proofErr w:type="spellStart"/>
      <w:r w:rsidR="00D6569C">
        <w:rPr>
          <w:rFonts w:ascii="Cambria" w:hAnsi="Cambria"/>
          <w:b/>
          <w:bCs/>
          <w:color w:val="000000"/>
          <w:sz w:val="20"/>
          <w:szCs w:val="20"/>
        </w:rPr>
        <w:t>Pelanggan</w:t>
      </w:r>
      <w:proofErr w:type="spellEnd"/>
      <w:r w:rsidR="00D6569C">
        <w:rPr>
          <w:rFonts w:ascii="Cambria" w:hAnsi="Cambria"/>
          <w:b/>
          <w:bCs/>
          <w:color w:val="000000"/>
          <w:sz w:val="20"/>
          <w:szCs w:val="20"/>
        </w:rPr>
        <w:t xml:space="preserve"> dan </w:t>
      </w:r>
      <w:proofErr w:type="spellStart"/>
      <w:r w:rsidR="00D6569C">
        <w:rPr>
          <w:rFonts w:ascii="Cambria" w:hAnsi="Cambria"/>
          <w:b/>
          <w:bCs/>
          <w:color w:val="000000"/>
          <w:sz w:val="20"/>
          <w:szCs w:val="20"/>
        </w:rPr>
        <w:t>Retensi</w:t>
      </w:r>
      <w:proofErr w:type="spellEnd"/>
      <w:r w:rsidR="00D6569C">
        <w:rPr>
          <w:rFonts w:ascii="Cambria" w:hAnsi="Cambria"/>
          <w:b/>
          <w:bCs/>
          <w:color w:val="000000"/>
          <w:sz w:val="20"/>
          <w:szCs w:val="20"/>
        </w:rPr>
        <w:t xml:space="preserve"> </w:t>
      </w:r>
      <w:proofErr w:type="spellStart"/>
      <w:r w:rsidR="00D6569C">
        <w:rPr>
          <w:rFonts w:ascii="Cambria" w:hAnsi="Cambria"/>
          <w:b/>
          <w:bCs/>
          <w:color w:val="000000"/>
          <w:sz w:val="20"/>
          <w:szCs w:val="20"/>
        </w:rPr>
        <w:t>Pelanggan</w:t>
      </w:r>
      <w:proofErr w:type="spellEnd"/>
      <w:r w:rsidR="00D6569C">
        <w:rPr>
          <w:rFonts w:ascii="Cambria" w:hAnsi="Cambria"/>
          <w:b/>
          <w:bCs/>
          <w:color w:val="000000"/>
          <w:sz w:val="20"/>
          <w:szCs w:val="20"/>
        </w:rPr>
        <w:t>.</w:t>
      </w:r>
    </w:p>
    <w:p w14:paraId="0C9F7D17" w14:textId="77777777" w:rsidR="004C4E70" w:rsidRPr="008A00D4" w:rsidRDefault="004C4E70" w:rsidP="004C4E70">
      <w:pPr>
        <w:pStyle w:val="ListParagraph"/>
        <w:spacing w:after="0" w:line="240" w:lineRule="auto"/>
        <w:ind w:left="142" w:hanging="142"/>
        <w:jc w:val="both"/>
        <w:rPr>
          <w:rFonts w:ascii="Cambria" w:eastAsia="Times New Roman" w:hAnsi="Cambria" w:cs="Arial"/>
          <w:color w:val="C00000"/>
          <w:sz w:val="24"/>
          <w:szCs w:val="24"/>
        </w:rPr>
      </w:pPr>
    </w:p>
    <w:p w14:paraId="5D8E9A38" w14:textId="4BC82FF0" w:rsidR="009D5576" w:rsidRDefault="00B136FE" w:rsidP="00B136FE">
      <w:r w:rsidRPr="003A7ED4">
        <w:br/>
      </w:r>
    </w:p>
    <w:p w14:paraId="42BF3F65" w14:textId="59E3D4BD" w:rsidR="00B136FE" w:rsidRDefault="00B136FE" w:rsidP="00B136FE">
      <w:r w:rsidRPr="003A7ED4">
        <w:rPr>
          <w:rFonts w:ascii="Arial" w:hAnsi="Arial" w:cs="Arial"/>
          <w:smallCaps/>
          <w:color w:val="212934"/>
          <w:sz w:val="32"/>
          <w:szCs w:val="32"/>
        </w:rPr>
        <w:br/>
      </w:r>
    </w:p>
    <w:p w14:paraId="14654C9A" w14:textId="1854AA24" w:rsidR="00B37937" w:rsidRDefault="00B37937" w:rsidP="00B136FE"/>
    <w:p w14:paraId="030FE293" w14:textId="1373DD6C" w:rsidR="00B37937" w:rsidRDefault="00B37937" w:rsidP="00B136FE"/>
    <w:p w14:paraId="5F023EAB" w14:textId="742B0D12" w:rsidR="00B37937" w:rsidRDefault="00B37937" w:rsidP="00B136FE"/>
    <w:p w14:paraId="32A15B68" w14:textId="733C85F6" w:rsidR="00B37937" w:rsidRDefault="00B37937" w:rsidP="00B136FE"/>
    <w:p w14:paraId="73EC1EC2" w14:textId="4464E400" w:rsidR="00B37937" w:rsidRDefault="00B37937" w:rsidP="00B136FE"/>
    <w:p w14:paraId="6D8BA0A6" w14:textId="209EF98A" w:rsidR="00B37937" w:rsidRDefault="00B37937" w:rsidP="00B136FE"/>
    <w:p w14:paraId="0DD7F914" w14:textId="317B34DB" w:rsidR="00B37937" w:rsidRDefault="00B37937" w:rsidP="00B136FE"/>
    <w:p w14:paraId="5EA77F10" w14:textId="5AC269EB" w:rsidR="00B37937" w:rsidRDefault="00B37937" w:rsidP="00B136FE"/>
    <w:p w14:paraId="6F6645CB" w14:textId="41906C64" w:rsidR="00B37937" w:rsidRDefault="00B37937" w:rsidP="00B136FE"/>
    <w:p w14:paraId="5C9B04AE" w14:textId="420F6492" w:rsidR="00B37937" w:rsidRDefault="00B37937" w:rsidP="00B136FE"/>
    <w:p w14:paraId="63921B50" w14:textId="76896718" w:rsidR="00B37937" w:rsidRDefault="00B37937" w:rsidP="00B136FE"/>
    <w:p w14:paraId="1044ECFF" w14:textId="3F44AE0E" w:rsidR="00B811E0" w:rsidRDefault="00B811E0" w:rsidP="00B136FE"/>
    <w:p w14:paraId="48D62A80" w14:textId="5B293B0D" w:rsidR="00B811E0" w:rsidRDefault="00B811E0" w:rsidP="00B136FE"/>
    <w:p w14:paraId="57CB57A9" w14:textId="2EEEC47D" w:rsidR="00B811E0" w:rsidRDefault="00B811E0" w:rsidP="00B136FE"/>
    <w:p w14:paraId="18F4BDF0" w14:textId="77777777" w:rsidR="00B811E0" w:rsidRDefault="00B811E0" w:rsidP="00B136FE"/>
    <w:p w14:paraId="59060262" w14:textId="00276174" w:rsidR="00B37937" w:rsidRDefault="00B37937" w:rsidP="00B136FE"/>
    <w:p w14:paraId="01D25AA3" w14:textId="7DEBDB3B" w:rsidR="00B811E0" w:rsidRDefault="00B811E0" w:rsidP="00B136FE"/>
    <w:p w14:paraId="5C46619A" w14:textId="77777777" w:rsidR="00B811E0" w:rsidRDefault="00B811E0" w:rsidP="00B136FE"/>
    <w:p w14:paraId="5F7D8283" w14:textId="6D04C3AA" w:rsidR="00B37937" w:rsidRDefault="00B37937" w:rsidP="00B136FE"/>
    <w:p w14:paraId="6AD3360F" w14:textId="77777777" w:rsidR="00B37937" w:rsidRPr="003A7ED4" w:rsidRDefault="00B37937" w:rsidP="00B136FE"/>
    <w:p w14:paraId="3DEFD27E" w14:textId="77777777" w:rsidR="009D5576" w:rsidRPr="00405B07" w:rsidRDefault="009D5576" w:rsidP="00405B07">
      <w:pPr>
        <w:jc w:val="both"/>
        <w:rPr>
          <w:rFonts w:cstheme="minorHAnsi"/>
          <w:b/>
          <w:color w:val="000000"/>
          <w:shd w:val="clear" w:color="auto" w:fill="FFFFFF"/>
        </w:rPr>
      </w:pPr>
      <w:r w:rsidRPr="00405B07">
        <w:rPr>
          <w:rFonts w:cstheme="minorHAnsi"/>
          <w:b/>
          <w:color w:val="000000"/>
          <w:shd w:val="clear" w:color="auto" w:fill="FFFFFF"/>
        </w:rPr>
        <w:lastRenderedPageBreak/>
        <w:t>Introduction</w:t>
      </w:r>
    </w:p>
    <w:p w14:paraId="346B0C95" w14:textId="77777777" w:rsidR="009D5576" w:rsidRPr="00405B07" w:rsidRDefault="009D5576" w:rsidP="00405B07">
      <w:pPr>
        <w:jc w:val="both"/>
        <w:rPr>
          <w:rFonts w:ascii="Cambria" w:hAnsi="Cambria"/>
          <w:color w:val="000000"/>
          <w:sz w:val="20"/>
          <w:szCs w:val="20"/>
          <w:shd w:val="clear" w:color="auto" w:fill="FFFFFF"/>
        </w:rPr>
      </w:pPr>
    </w:p>
    <w:p w14:paraId="6B467D3F" w14:textId="77777777" w:rsidR="00405B07" w:rsidRPr="00405B07" w:rsidRDefault="00405B07" w:rsidP="00405B07">
      <w:pPr>
        <w:ind w:firstLine="720"/>
        <w:jc w:val="both"/>
        <w:rPr>
          <w:rFonts w:ascii="Cambria" w:hAnsi="Cambria"/>
          <w:sz w:val="20"/>
          <w:szCs w:val="20"/>
        </w:rPr>
      </w:pPr>
      <w:r w:rsidRPr="00405B07">
        <w:rPr>
          <w:rFonts w:ascii="Cambria" w:hAnsi="Cambria"/>
          <w:sz w:val="20"/>
          <w:szCs w:val="20"/>
        </w:rPr>
        <w:t xml:space="preserve">Customer retention plays an important role in the manufacturing and service industries. Especially in the field of Islamic Banking. The development of Islamic banking is marked by the increase in the number of customers in the last five years. Several studies have examined the importance of customer retention in the Islamic banking sector. The first factor that influences customer retention is customer loyalty.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{"citationItems":[{"id":"ITEM-1","itemData":{"DOI":"10.1108/wjemsd-06-2017-0035","ISSN":"2042-5961","abstract":"Purpose The purpose of this paper is twofold: to examine the effect of corporate social responsibility, social media marketing, sales promotion, and store environment on the perceived value and customer retention in the retail industry; and to provide a significant contribution to the existing literature by examining the mediating effect of the perceived value between the stated factors and customer retention. Design/methodology/approach A quantitative research approach was utilized, collecting data from customers of department stores in the east coast of Malaysia. In total, 278 valid questionnaires were used in the analysis of data using the structural equation modeling. Findings The findings indicate that perceived value has a significant positive effect on customer retention. The outcomes also showed that social media marketing has an insignificant effect on the perceived value, whereas its effect on customer retention is positive and statistically significant. Additionally, the results confirmed that corporate social responsibility and store environment have significant positive effects on the perceived value and customer retention. Moreover, the findings showed that sales promotion has a significant positive effect on the perceived value, but its effect on customer retention is insignificant. Finally, the results revealed that the perceived value mediates the relationships between all of the independent variables and customer retention. Originality/value The results of this study improve our understanding of how these factors affect customer retention in the retail industry.","author":[{"dropping-particle":"","family":"Hanaysha","given":"Jalal Rajeh","non-dropping-particle":"","parse-names":false,"suffix":""}],"container-title":"World Journal of Entrepreneurship, Management and Sustainable Development","id":"ITEM-1","issue":"1","issued":{"date-parts":[["2018"]]},"page":"2-24","title":"Customer retention and the mediating role of perceived value in retail industry","type":"article-journal","volume":"14"},"uris":["http://www.mendeley.com/documents/?uuid=54b146e8-764a-46a6-8d84-4d7fd61acb20"]}],"mendeley":{"formattedCitation":"(Hanaysha, 2018)","plainTextFormattedCitation":"(Hanaysha, 2018)","previouslyFormattedCitation":"(Hanaysha, 2018)"},"properties":{"noteIndex":0},"schema":"https://github.com/citation-style-language/schema/raw/master/csl-citation.json"}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Hanaysha (2018)</w:t>
      </w:r>
      <w:r w:rsidRPr="00405B07">
        <w:rPr>
          <w:rFonts w:ascii="Cambria" w:hAnsi="Cambria"/>
          <w:sz w:val="20"/>
          <w:szCs w:val="20"/>
        </w:rPr>
        <w:fldChar w:fldCharType="end"/>
      </w:r>
      <w:r w:rsidRPr="00405B07">
        <w:rPr>
          <w:rFonts w:ascii="Cambria" w:hAnsi="Cambria"/>
          <w:sz w:val="20"/>
          <w:szCs w:val="20"/>
        </w:rPr>
        <w:t xml:space="preserve">, customer retention has been considered as the main goal for organizations that focus on relationship marketing strategies. Customer retention is defined as the process of building customer loyalty for a particular brand. Meanwhile,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{"citationItems":[{"id":"ITEM-1","itemData":{"DOI":"10.1108/IJBM-04-2018-0099","ISSN":"02652323","abstract":"Purpose: The increasing number of banks in the Ghanaian banking industry has brought about intense competition in the industry. The purpose of this paper is, therefore, to examine the factors that influence retail banking customers’ loyalty intentions. Design/methodology/approach: In order to validate the proposed research model, the study adopts a survey design. Data were collected from 565 customers of the top performing banks in terms of customer deposits. Data analysis employed the partial least squares structural equation modeling (PLS–SEM) using SmartPLS version 3. Findings: Results from the PLS–SEM analysis indicated that satisfaction, service quality and trust had significant effect on loyalty, with satisfaction having the most significant effect. Interestingly corporate image was found to have a significant effect on both satisfaction and trust but not on loyalty. In all, the proposed model accounted for 63.3 percent of the variation in loyalty. Research limitations/implications: The current study samples customers from only the top performing banks in Ghana. The use of cross-sectional data makes it impossible to study how customers’ perceptions change over time. Results from this study could, however, help managers of banks in designing strategies aimed at improving customer loyalty in order to consolidate their market share. Originality/value: This paper adds to existing works that focus on loyalty in the retail banking sector, especially from the context of a developing economy. The study draws attention to the interrelationship among service quality, perceived value, satisfaction, image, trust and loyalty.","author":[{"dropping-particle":"","family":"Omoregie","given":"Osaretin Kayode","non-dropping-particle":"","parse-names":false,"suffix":""},{"dropping-particle":"","family":"Addae","given":"John Agyekum","non-dropping-particle":"","parse-names":false,"suffix":""},{"dropping-particle":"","family":"Coffie","given":"Stanley","non-dropping-particle":"","parse-names":false,"suffix":""},{"dropping-particle":"","family":"Ampong","given":"George Oppong Appiagyei","non-dropping-particle":"","parse-names":false,"suffix":""},{"dropping-particle":"","family":"Ofori","given":"Kwame Simpe","non-dropping-particle":"","parse-names":false,"suffix":""}],"container-title":"International Journal of Bank Marketing","id":"ITEM-1","issue":"3","issued":{"date-parts":[["2019"]]},"page":"798-820","title":"Factors influencing consumer loyalty: evidence from the Ghanaian retail banking industry","type":"article-journal","volume":"37"},"uris":["http://www.mendeley.com/documents/?uuid=9152f38f-212c-4dc4-a772-b6c117294658"]}],"mendeley":{"formattedCitation":"(Omoregie, Addae, Coffie, Ampong, &amp; Ofori, 2019)","plainTextFormattedCitation":"(Omoregie, Addae, Coffie, Ampong, &amp; Ofori, 2019)","previouslyFormattedCitation":"(Omoregie, Addae, Coffie, Ampong, &amp; Ofori, 2019)"},"properties":{"noteIndex":0},"schema":"https://github.com/citation-style-language/schema/raw/master/csl-citation.json"}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Omoregie, Addae, Coffie, Ampong, &amp; Ofori (2019)</w:t>
      </w:r>
      <w:r w:rsidRPr="00405B07">
        <w:rPr>
          <w:rFonts w:ascii="Cambria" w:hAnsi="Cambria"/>
          <w:sz w:val="20"/>
          <w:szCs w:val="20"/>
        </w:rPr>
        <w:fldChar w:fldCharType="end"/>
      </w:r>
      <w:r w:rsidRPr="00405B07">
        <w:rPr>
          <w:rFonts w:ascii="Cambria" w:hAnsi="Cambria"/>
          <w:sz w:val="20"/>
          <w:szCs w:val="20"/>
        </w:rPr>
        <w:t xml:space="preserve"> state that the higher Customer Loyalty, the higher the customer retention. This study contradicts a study conducted  by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{"citationItems":[{"id":"ITEM-1","itemData":{"DOI":"10.12955/cbup.v4.762","ISSN":"1805-997X","abstract":"Customer loyalty is a highly valuable asset. To gain loyalty of current customers and create attachments, the growing ranks of entrepreneurs decide on implementation of loyalty programs. This article aims at providing a theoretical outlook on various approaches on loyalty programs derived from literature review and identifing the factors which lead to success of a company. The literature review offers some directives for managers which are useful in the preparation of rewarding programs and are also a source of valuable customer information that helps in building future marketing strategies. We concluded that loyalty programs impact customers using financial and psychological factors to maintain long-term loyalty. Furthermore, loyalty programs should include financial as well as affective components as only financial incentives don’t guarantee a long-term relationship.","author":[{"dropping-particle":"","family":"Hofman-Kohlmeyer","given":"Magdalena","non-dropping-particle":"","parse-names":false,"suffix":""}],"container-title":"CBU International Conference Proceedings","id":"ITEM-1","issued":{"date-parts":[["2016"]]},"page":"199-203","title":"Customer Loyalty Program As a Tool of Customer Retention: Literature Review","type":"article-journal","volume":"4"},"uris":["http://www.mendeley.com/documents/?uuid=3bb0e9d0-255b-48dd-be81-b582b2f14fcf"]}],"mendeley":{"formattedCitation":"(Hofman-Kohlmeyer, 2016)","plainTextFormattedCitation":"(Hofman-Kohlmeyer, 2016)","previouslyFormattedCitation":"(Hofman-Kohlmeyer, 2016)"},"properties":{"noteIndex":0},"schema":"https://github.com/citation-style-language/schema/raw/master/csl-citation.json"}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Hofman-Kohlmeyer (2016)</w:t>
      </w:r>
      <w:r w:rsidRPr="00405B07">
        <w:rPr>
          <w:rFonts w:ascii="Cambria" w:hAnsi="Cambria"/>
          <w:sz w:val="20"/>
          <w:szCs w:val="20"/>
        </w:rPr>
        <w:fldChar w:fldCharType="end"/>
      </w:r>
      <w:r w:rsidRPr="00405B07">
        <w:rPr>
          <w:rFonts w:ascii="Cambria" w:hAnsi="Cambria"/>
          <w:sz w:val="20"/>
          <w:szCs w:val="20"/>
        </w:rPr>
        <w:t xml:space="preserve"> which states that customer loyalty does not guarantee increased customer retention. Customer Retention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{"citationItems":[{"id":"ITEM-1","itemData":{"DOI":"10.1108/JBIM-10-2014-0215","ISSN":"08858624","abstract":"Purpose: This paper aims to explore how value co-creation processes can influence the generation of dynamic capabilities and the retention of industrial customers. The authors explore this influence with the support of social exchange theory and resource-based view. Design/methodology/approach: The methodology applied was qualitative research, based on 29 semi-structured in-depth interviews with owners, managing directors and technical managers with previous experience in co-creation processes. The research was performed in four different European countries and is focused on the mobile crane industry. Findings: The findings suggest that co-creation processes promote the generation of dynamic capabilities linked to adaptation, knowledge, innovation and relationship management. In addition, the closer contact with customers and the availability of their expertise favour the development of solutions that better meet their needs, bridging the cognitive gap which often exists between partners. Regarding customer retention, the results show that co-creation processes foster customer predisposition to buy and cross-sell. Originality/value: Although value co-creation is a topical subject, research in industrial marketing literature analysing the effects of co-creation processes has been scarce up to now. This paper aims to contribute to the debate by analysing how the co-creation of value can influence the generation of dynamic capabilities in companies and how it affects the retention of industrial customers. Based on social exchange theory and dynamic capabilities, the researchers have been able to address how value is developed and its influence in customer retention proxies.","author":[{"dropping-particle":"","family":"Preikschas","given":"Michael W.","non-dropping-particle":"","parse-names":false,"suffix":""},{"dropping-particle":"","family":"Cabanelas","given":"Pablo","non-dropping-particle":"","parse-names":false,"suffix":""},{"dropping-particle":"","family":"Rüdiger","given":"Klaus","non-dropping-particle":"","parse-names":false,"suffix":""},{"dropping-particle":"","family":"Lampón","given":"Jesús F.","non-dropping-particle":"","parse-names":false,"suffix":""}],"container-title":"Journal of Business and Industrial Marketing","id":"ITEM-1","issue":"3","issued":{"date-parts":[["2017"]]},"page":"409-420","title":"Value co-creation, dynamic capabilities and customer retention in industrial markets","type":"article-journal","volume":"32"},"uris":["http://www.mendeley.com/documents/?uuid=328cee66-d056-466b-89d0-3fb9d0480cf0"]}],"mendeley":{"formattedCitation":"(Preikschas, Cabanelas, Rüdiger, &amp; Lampón, 2017)","plainTextFormattedCitation":"(Preikschas, Cabanelas, Rüdiger, &amp; Lampón, 2017)","previouslyFormattedCitation":"(Preikschas, Cabanelas, Rüdiger, &amp; Lampón, 2017)"},"properties":{"noteIndex":0},"schema":"https://github.com/citation-style-language/schema/raw/master/csl-citation.json"}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Preikschas, Cabanelas, Rüdiger, &amp; Lampón, (2017)</w:t>
      </w:r>
      <w:r w:rsidRPr="00405B07">
        <w:rPr>
          <w:rFonts w:ascii="Cambria" w:hAnsi="Cambria"/>
          <w:sz w:val="20"/>
          <w:szCs w:val="20"/>
        </w:rPr>
        <w:fldChar w:fldCharType="end"/>
      </w:r>
      <w:r w:rsidRPr="00405B07">
        <w:rPr>
          <w:rFonts w:ascii="Cambria" w:hAnsi="Cambria"/>
          <w:sz w:val="20"/>
          <w:szCs w:val="20"/>
        </w:rPr>
        <w:t xml:space="preserve"> states that customer retention is an interaction between producers and customers that can bring social and economic benefits. The indicators that affect customer retention include adaptation, relationship management and recommendations.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{"citationItems":[{"id":"ITEM-1","itemData":{"DOI":"10.1108/ejm-03-2012-0180","ISSN":"0309-0566","abstract":"Purpose – Retailers realize that customer churn detection is a critical success factor. However, no research study has taken into consideration that misclassifying a customer as a non-churner (i.e. predicting that (s)he will not leave the company, while in reality (s)he does) results in higher costs than predicting that a staying customer will churn. The aim of this paper is to examine the prediction performance of various cost-sensitive methodologies (direct minimum expected cost (DMECC), metacost, thresholding and weighting) that incorporate these different costs of misclassifying customers in predicting churn. Design/methodology/approach – Cost-sensitive methodologies are benchmarked on six real-life churn datasets from the retail industry. Findings – This article argues that total misclassification cost, as a churn prediction evaluation measure, is crucial as input for optimizing consumer decision making. The practical classification threshold of 0.5 for churn probabilities (i.e. when the churn probability is greater than 0.5, the customer is predicted as a churner, and otherwise as a non-churner) offers the worst performance. The provided managerial guidelines suggest when to use each cost-sensitive method, depending on churn levels and the cost level discrepancy between misclassifying churners versus non-churners. Practical implications – This research emphasizes the importance of cost-sensitive learning to improve customer retention management in the retail context. Originality/value – This article is the first to use the concept of misclassification costs in a churn prediction setting, and to offer recommendations about the circumstances in which marketing managers should use specific cost-sensitive methodologies. [ABSTRACT FROM AUTHOR]","author":[{"dropping-particle":"","family":"Coussement","given":"Kristof","non-dropping-particle":"","parse-names":false,"suffix":""}],"container-title":"European Journal of Marketing","id":"ITEM-1","issue":"3/4","issued":{"date-parts":[["2014"]]},"page":"477-495","title":"Improving customer retention management through cost-sensitive learning","type":"article-journal","volume":"48"},"uris":["http://www.mendeley.com/documents/?uuid=f4b91cf3-ab1d-4fba-84c0-dd0ffe7685d9"]}],"mendeley":{"formattedCitation":"(Coussement, 2014)","plainTextFormattedCitation":"(Coussement, 2014)","previouslyFormattedCitation":"(Coussement, 2014)"},"properties":{"noteIndex":0},"schema":"https://github.com/citation-style-language/schema/raw/master/csl-citation.json"}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Coussement, (2014)</w:t>
      </w:r>
      <w:r w:rsidRPr="00405B07">
        <w:rPr>
          <w:rFonts w:ascii="Cambria" w:hAnsi="Cambria"/>
          <w:sz w:val="20"/>
          <w:szCs w:val="20"/>
        </w:rPr>
        <w:fldChar w:fldCharType="end"/>
      </w:r>
      <w:r w:rsidRPr="00405B07">
        <w:rPr>
          <w:rFonts w:ascii="Cambria" w:hAnsi="Cambria"/>
          <w:sz w:val="20"/>
          <w:szCs w:val="20"/>
        </w:rPr>
        <w:t xml:space="preserve"> customer retention is considered as the company's ability to retain its customers so that they continue to trust the products they produce.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{"citationItems":[{"id":"ITEM-1","itemData":{"DOI":"10.1108/s1745-3542(2013)0000009019","ISBN":"1745354220","abstract":"'Advances in Hospitality and Leisure' (AHL), a peer-reviewed series, seeks to deliver refreshing insights from a host of scientific investigations pertaining to hospitality, leisure, and tourism while rendering an academic forum to stimulate discussion on current literature, contemporary issues and emerging trends essential to theory advancement as well as professional practices from a global perspective. The main focus of this series is to divulge the innovative methods of inquiry so as to inspire new research topics that are vital and have been in large neglected. AHL strives to address the needs of the populace willing to disseminate seminal ideas, concepts, and theories derived from scholarly inquiries. Potential readers may retrieve useful texts helping outline new research agendas, suggest viable topics for a dissertation work, and augment the knowledge of the new subjects of learning. Who are the wellness travelers? / Tak-Kee Hui [and others] -- The exploration of the memorable tourist experience / Line Mathisen -- Partial least squares approach to structural equation modeling for tourism research / Mehmet Mehmetoglu -- Visitors' perception of theme park crowding and behavioral consequences / Shih-Shuo Yeh, Leong-Man Wai Aliana, Fan-Yi Zhang -- Benchmarking tourist attractions in northern Norway / Nina K. Prebensen -- Consumer response to nutrition information menu labeling in full-service restaurants : making the healthy choice / Robert Gallicano, Robert J. Blomme, Arjan van Rheede -- The nature and antecedents of fair price perception in tourist experiences / Arild Rokenes, Nina K. Prebensen -- Examining the effects of the Gulf Coast oil spill on the state of Louisiana's restaurant industry / Yvette Green, John A. Williams, Kim Williams -- Nostalgic emotion, experiential value, destination image, and place attachment of cultural tourists / Shih-Shuo Yeh, Chun Chen, Yao-Chung Liu -- Value determinants of tourist experiences / Nina K. Prebensen -- The evolution of virgin Australia from a low-cost carrier to a full-service airline : implications for the tourism industry / Randall Whyte, Bruce Prideaux, Hana Sakata -- Investigating hospitality consumers through netnographic methods / Muchazondida Mkono -- Onsite or online? : a comparison of event segmentation data collection methods / Aaron Tkaczynski, Sharyn Rundle-Thiele -- Sustainable practices in hospitality : a research framework / Arjan van Rheede, Robert J. Blomme.","author":[{"dropping-particle":"","family":"Nillie","given":"Paulina","non-dropping-particle":"","parse-names":false,"suffix":""},{"dropping-particle":"","family":"Blomme","given":"Robert Jan","non-dropping-particle":"","parse-names":false,"suffix":""},{"dropping-particle":"","family":"Quarshie","given":"Ben","non-dropping-particle":"","parse-names":false,"suffix":""}],"id":"ITEM-1","issued":{"date-parts":[["2013"]]},"page":"iii","title":"Advances in Hospitality and Leisure","type":"article-journal"},"uris":["http://www.mendeley.com/documents/?uuid=abae4c83-a7cc-4d7f-8f15-8daf77df9e11"]}],"mendeley":{"formattedCitation":"(Nillie, Blomme, &amp; Quarshie, 2013)","plainTextFormattedCitation":"(Nillie, Blomme, &amp; Quarshie, 2013)","previouslyFormattedCitation":"(Nillie, Blomme, &amp; Quarshie, 2013)"},"properties":{"noteIndex":0},"schema":"https://github.com/citation-style-language/schema/raw/master/csl-citation.json"}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Nillie, Blomme, &amp; Quarshie (2013)</w:t>
      </w:r>
      <w:r w:rsidRPr="00405B07">
        <w:rPr>
          <w:rFonts w:ascii="Cambria" w:hAnsi="Cambria"/>
          <w:sz w:val="20"/>
          <w:szCs w:val="20"/>
        </w:rPr>
        <w:fldChar w:fldCharType="end"/>
      </w:r>
      <w:r w:rsidRPr="00405B07">
        <w:rPr>
          <w:rFonts w:ascii="Cambria" w:hAnsi="Cambria"/>
          <w:sz w:val="20"/>
          <w:szCs w:val="20"/>
        </w:rPr>
        <w:t xml:space="preserve"> state that customer retention is a long-term relationship between a customer and an organization that can produce a profitable relationship. The factors that affect customer retention include reliability, rangeability quality, customer loyalty and customer satisfaction. </w:t>
      </w:r>
    </w:p>
    <w:p w14:paraId="0A3FBA79" w14:textId="77777777" w:rsidR="00405B07" w:rsidRPr="00405B07" w:rsidRDefault="00405B07" w:rsidP="00405B07">
      <w:pPr>
        <w:ind w:firstLine="720"/>
        <w:jc w:val="both"/>
        <w:rPr>
          <w:rFonts w:ascii="Cambria" w:hAnsi="Cambria"/>
          <w:sz w:val="20"/>
          <w:szCs w:val="20"/>
        </w:rPr>
      </w:pPr>
      <w:r w:rsidRPr="00405B07">
        <w:rPr>
          <w:rFonts w:ascii="Cambria" w:hAnsi="Cambria"/>
          <w:sz w:val="20"/>
          <w:szCs w:val="20"/>
        </w:rPr>
        <w:t xml:space="preserve">The second factor affecting customer retention is trust.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{"citationItems":[{"id":"ITEM-1","itemData":{"DOI":"10.2224/sbp.2012.40.8.1271","ISSN":"03012212","abstract":"In this study a research model was proposed to examine the relationships between service quality, customer satisfaction in, customer trust of, and loyalty to Taiwanese e-banks. Questionnaires were completed by 442 respondents who had experience with e-banking and data were analyzed using partial least squares structural equation modeling. It was found that e-banks must focus on service quality to increase customer satisfaction and trust and to obtain customer loyalty. Implications are discussed in relation to e-bank management. © Society for Personality Research.","author":[{"dropping-particle":"","family":"Chu","given":"Po Young","non-dropping-particle":"","parse-names":false,"suffix":""},{"dropping-particle":"","family":"Lee","given":"Gin Yuan","non-dropping-particle":"","parse-names":false,"suffix":""},{"dropping-particle":"","family":"Chao","given":"Yu","non-dropping-particle":"","parse-names":false,"suffix":""}],"container-title":"Social Behavior and Personality","id":"ITEM-1","issue":"8","issued":{"date-parts":[["2012"]]},"page":"1271-1284","title":"Service quality, customer satisfaction, customer trust, and loyalty in an e-banking context","type":"article-journal","volume":"40"},"uris":["http://www.mendeley.com/documents/?uuid=0c7e114f-47f1-4df9-8585-0f3b86fa8c1c"]}],"mendeley":{"formattedCitation":"(Chu, Lee, &amp; Chao, 2012)","plainTextFormattedCitation":"(Chu, Lee, &amp; Chao, 2012)","previouslyFormattedCitation":"(Chu, Lee, &amp; Chao, 2012)"},"properties":{"noteIndex":0},"schema":"https://github.com/citation-style-language/schema/raw/master/csl-citation.json"}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Chu, Lee, &amp; Chao (2012)</w:t>
      </w:r>
      <w:r w:rsidRPr="00405B07">
        <w:rPr>
          <w:rFonts w:ascii="Cambria" w:hAnsi="Cambria"/>
          <w:sz w:val="20"/>
          <w:szCs w:val="20"/>
        </w:rPr>
        <w:fldChar w:fldCharType="end"/>
      </w:r>
      <w:r w:rsidRPr="00405B07">
        <w:rPr>
          <w:rFonts w:ascii="Cambria" w:hAnsi="Cambria"/>
          <w:sz w:val="20"/>
          <w:szCs w:val="20"/>
        </w:rPr>
        <w:t xml:space="preserve"> state that loyalty depends on trust. Meanwhile,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{"citationItems":[{"id":"ITEM-1","itemData":{"DOI":"10.1108/IJBM-07-2017-0160","ISSN":"02652323","abstract":"Purpose: The purpose of this paper is to investigate the relationship between service recovery and relational selling behavior on trust and satisfaction in the banking industry. Specifically, the mediating role of trust and satisfaction on the relationship between service recovery, relational selling behavior and loyalty is empirically examined. Design/methodology/approach: Hypotheses are developed based on the literature review. The conceptual model is tested using SEM on survey data collected from 560 customers of 12 banks in Taiwan, including local banks and foreign banks. Findings: The model test results indicate that the influences of service recovery and relational selling behavior on trust and satisfaction are both significant. In addition, the influences of trust and satisfaction on loyalty are significant. Practical implications: For bank managers, it is crucial to have well programs to identify service failures and handle recoveries efficiently and effectively. Furthermore, bank managers should place a high value on increasing salesperson’s customer-oriented behaviors to discern potential problems that customer concerns and provide suitable solutions that customer needs. By creating these better customer experiences, greater trust, satisfaction and loyalty can be yielded. Originality/value: This study aims to provide a superior understanding of the relationship between service recovery, relational selling behavior, trust, satisfaction and loyalty in the banking industry. The research findings can contribute to forming targeted strategies and gaining competitive advantages for bank managers.","author":[{"dropping-particle":"","family":"Chang","given":"Chia Chi","non-dropping-particle":"","parse-names":false,"suffix":""},{"dropping-particle":"","family":"Hung","given":"Jung Sung","non-dropping-particle":"","parse-names":false,"suffix":""}],"container-title":"International Journal of Bank Marketing","id":"ITEM-1","issue":"7","issued":{"date-parts":[["2018"]]},"page":"1437-1454","title":"The effects of service recovery and relational selling behavior on trust, satisfaction, and loyalty","type":"article-journal","volume":"36"},"uris":["http://www.mendeley.com/documents/?uuid=20e19b68-08a3-45b9-8d82-7937b6c70edc"]}],"mendeley":{"formattedCitation":"(Chang &amp; Hung, 2018)","plainTextFormattedCitation":"(Chang &amp; Hung, 2018)","previouslyFormattedCitation":"(Chang &amp; Hung, 2018)"},"properties":{"noteIndex":0},"schema":"https://github.com/citation-style-language/schema/raw/master/csl-citation.json"}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Chang &amp; Hung (2018)</w:t>
      </w:r>
      <w:r w:rsidRPr="00405B07">
        <w:rPr>
          <w:rFonts w:ascii="Cambria" w:hAnsi="Cambria"/>
          <w:sz w:val="20"/>
          <w:szCs w:val="20"/>
        </w:rPr>
        <w:fldChar w:fldCharType="end"/>
      </w:r>
      <w:r w:rsidRPr="00405B07">
        <w:rPr>
          <w:rFonts w:ascii="Cambria" w:hAnsi="Cambria"/>
          <w:sz w:val="20"/>
          <w:szCs w:val="20"/>
        </w:rPr>
        <w:t xml:space="preserve"> state that trust affects customer loyalty with satisfaction as a mediation. This study contradicts the study conducted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{"citationItems":[{"id":"ITEM-1","itemData":{"author":[{"dropping-particle":"","family":"Akintunde","given":"Olufemi Atanda","non-dropping-particle":"","parse-names":false,"suffix":""}],"id":"ITEM-1","issue":"2","issued":{"date-parts":[["2016"]]},"page":"81-90","title":"Customer Relationship Management ( CRM ) and Customer Retention in Nigeria Banking Industry : A Strategic Standpoint University of Lagos , Nigeria","type":"article-journal","volume":"10"},"uris":["http://www.mendeley.com/documents/?uuid=0aba8dec-20df-4d31-85d5-4c912473aa66"]}],"mendeley":{"formattedCitation":"(Akintunde, 2016)","plainTextFormattedCitation":"(Akintunde, 2016)","previouslyFormattedCitation":"(Akintunde, 2016)"},"properties":{"noteIndex":0},"schema":"https://github.com/citation-style-language/schema/raw/master/csl-citation.json"}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Akintunde (2016)</w:t>
      </w:r>
      <w:r w:rsidRPr="00405B07">
        <w:rPr>
          <w:rFonts w:ascii="Cambria" w:hAnsi="Cambria"/>
          <w:sz w:val="20"/>
          <w:szCs w:val="20"/>
        </w:rPr>
        <w:fldChar w:fldCharType="end"/>
      </w:r>
      <w:r w:rsidRPr="00405B07">
        <w:rPr>
          <w:rFonts w:ascii="Cambria" w:hAnsi="Cambria"/>
          <w:sz w:val="20"/>
          <w:szCs w:val="20"/>
        </w:rPr>
        <w:t xml:space="preserve"> which states that, there is no significant relationship between trust and customer retention.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{"citationItems":[{"id":"ITEM-1","itemData":{"DOI":"10.1108/IJSE-01-2018-0025","ISSN":"03068293","abstract":"Purpose: The purpose of this paper is to contribute to the understanding of why people act trustworthily in anonymous non-repeated meetings where trustworthiness benefits the trustor and runs against the trustee’s material self-interest. Design/methodology/approach: The paper uses a survey originally developed by Bicchieri et al. (2011). The survey makes it possible to explore whether trustworthiness has a normative element. Is there a norm of trustworthiness that inflicts punishment for disobedience? Findings: The participants in the experiment strongly believe that most people will punish untrustworthy behavior, lending support to the idea that trustworthiness is norm driven. The data provide little evidence for a parallel norm of trust. Originality/value: The theory of repeated games explains how trust can emerge among players in ongoing interactions. But why do people choose to trust others who they do not know in non-ongoing interactions? The results offer an explanation. When trustors are aware that trustworthiness is rooted in norms, they have reason to expect trustees to act trustworthily. Then, it makes sense to trust since trustors will benefit from their trusting.","author":[{"dropping-particle":"","family":"Reiersen","given":"Jon","non-dropping-particle":"","parse-names":false,"suffix":""}],"container-title":"International Journal of Social Economics","id":"ITEM-1","issue":"1","issued":{"date-parts":[["2019"]]},"page":"2-17","title":"Drivers of trust and trustworthiness","type":"article-journal","volume":"46"},"uris":["http://www.mendeley.com/documents/?uuid=0550bb91-d7d2-4df2-a790-aca5808fe191"]}],"mendeley":{"formattedCitation":"(Reiersen, 2019)","plainTextFormattedCitation":"(Reiersen, 2019)","previouslyFormattedCitation":"(Reiersen, 2019)"},"properties":{"noteIndex":0},"schema":"https://github.com/citation-style-language/schema/raw/master/csl-citation.json"}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Reiersen (2019)</w:t>
      </w:r>
      <w:r w:rsidRPr="00405B07">
        <w:rPr>
          <w:rFonts w:ascii="Cambria" w:hAnsi="Cambria"/>
          <w:sz w:val="20"/>
          <w:szCs w:val="20"/>
        </w:rPr>
        <w:fldChar w:fldCharType="end"/>
      </w:r>
      <w:r w:rsidRPr="00405B07">
        <w:rPr>
          <w:rFonts w:ascii="Cambria" w:hAnsi="Cambria"/>
          <w:sz w:val="20"/>
          <w:szCs w:val="20"/>
        </w:rPr>
        <w:t xml:space="preserve">, it is stated that trust is the transfer of a good action to someone with the expectation that the good will be paid even though there is no guarantee. Meanwhile,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{"citationItems":[{"id":"ITEM-1","itemData":{"DOI":"10.1108/IMDS-09-2014-0262","ISBN":"0920140262","ISSN":"02635577","abstract":"Purpose - Based on the trust theory, the purpose of this paper is to empirically examine the role of trustworthiness and trust in users' intentions to continue using internet banking. Further, the authors position the trust beliefs of competence, benevolence, integrity, and shared values as key antecedents of trustworthiness and trust. Design/methodology/approach - A questionnaire survey was used to collect responses from 227 actual users of internet banking in Malaysian context. A PLS analysis was conducted to explore the relationships between trusting beliefs, trustworthiness, trust, and internet banking use. Findings - Empirical findings show that trusting beliefs of consistency, integrity, and shared values determine the trustworthiness and trust in internet banking. Moreover, trust was found to mediate the relationship between trustworthiness and internet banking use. Practical implications - The study findings help managers understand the factors that determine Malaysia users trust and trustworthiness perceptions in internet banking. With reports indicated increase in internet banking use in Malaysia, the study findings provide important insights into enhancing users' trust in internet banking for future transactions. Originality/value - Unlike previous studies that have largely focussed on technology factors, this study based on trust theory proposes that trust is important for users to continue using internet banking services. In developing this trust, the authors propose that trustworthiness is of vital importance. Further, the authors propose and show that trusting beliefs of competence, integrity and shared values influence user trustworthiness and trust in internet banking use. Thus, this study extends the understanding of the internet banking use in Malaysian context.","author":[{"dropping-particle":"","family":"Yu","given":"Pay Ling","non-dropping-particle":"","parse-names":false,"suffix":""},{"dropping-particle":"","family":"Balaji","given":"M. S.","non-dropping-particle":"","parse-names":false,"suffix":""},{"dropping-particle":"","family":"Khong","given":"Kok Wei","non-dropping-particle":"","parse-names":false,"suffix":""}],"container-title":"Industrial Management and Data Systems","id":"ITEM-1","issue":"2","issued":{"date-parts":[["2015"]]},"page":"235-252","title":"Building trust in internet banking: A trustworthiness perspective","type":"article-journal","volume":"115"},"uris":["http://www.mendeley.com/documents/?uuid=dd0a74a8-6a50-4e3e-9834-df642008f993"]}],"mendeley":{"formattedCitation":"(P. L. Yu, Balaji, &amp; Khong, 2015)","plainTextFormattedCitation":"(P. L. Yu, Balaji, &amp; Khong, 2015)","previouslyFormattedCitation":"(P. L. Yu, Balaji, &amp; Khong, 2015)"},"properties":{"noteIndex":0},"schema":"https://github.com/citation-style-language/schema/raw/master/csl-citation.json"}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P. L. Yu, Balaji, &amp; Khong (2015)</w:t>
      </w:r>
      <w:r w:rsidRPr="00405B07">
        <w:rPr>
          <w:rFonts w:ascii="Cambria" w:hAnsi="Cambria"/>
          <w:sz w:val="20"/>
          <w:szCs w:val="20"/>
        </w:rPr>
        <w:fldChar w:fldCharType="end"/>
      </w:r>
      <w:r w:rsidRPr="00405B07">
        <w:rPr>
          <w:rFonts w:ascii="Cambria" w:hAnsi="Cambria"/>
          <w:sz w:val="20"/>
          <w:szCs w:val="20"/>
        </w:rPr>
        <w:t xml:space="preserve"> trust can be seen as a mechanism to reduce transaction barriers. Trust indicators include honesty, reliability and lack of worry. </w:t>
      </w:r>
    </w:p>
    <w:p w14:paraId="49E16CAD" w14:textId="77777777" w:rsidR="00405B07" w:rsidRPr="00405B07" w:rsidRDefault="00405B07" w:rsidP="00405B07">
      <w:pPr>
        <w:ind w:firstLine="720"/>
        <w:jc w:val="both"/>
        <w:rPr>
          <w:rFonts w:ascii="Cambria" w:hAnsi="Cambria"/>
          <w:sz w:val="20"/>
          <w:szCs w:val="20"/>
        </w:rPr>
      </w:pPr>
      <w:r w:rsidRPr="00405B07">
        <w:rPr>
          <w:rFonts w:ascii="Cambria" w:hAnsi="Cambria"/>
          <w:sz w:val="20"/>
          <w:szCs w:val="20"/>
        </w:rPr>
        <w:t xml:space="preserve">The third factor that affects customer retention is brand image.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{"citationItems":[{"id":"ITEM-1","itemData":{"DOI":"10.1108/09564239810199923","ISSN":"09564233","author":[{"dropping-particle":"","family":"Andreassen","given":"Tor Wallin","non-dropping-particle":"","parse-names":false,"suffix":""},{"dropping-particle":"","family":"Lindestad","given":"Bodil","non-dropping-particle":"","parse-names":false,"suffix":""}],"container-title":"International Journal of Service Industry Management","id":"ITEM-1","issue":"1","issued":{"date-parts":[["1998"]]},"page":"7-23","title":"Customer loyalty and complex services. The impact of corporate image on quality, customer satisfaction and loyalty for customers with varying degrees of service expertise","type":"article-journal","volume":"9"},"uris":["http://www.mendeley.com/documents/?uuid=769d31c4-9940-40ad-8354-054feeb7a2e5"]}],"mendeley":{"formattedCitation":"(Andreassen &amp; Lindestad, 1998)","plainTextFormattedCitation":"(Andreassen &amp; Lindestad, 1998)","previouslyFormattedCitation":"(Andreassen &amp; Lindestad, 1998)"},"properties":{"noteIndex":0},"schema":"https://github.com/citation-style-language/schema/raw/master/csl-citation.json"}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Andreassen &amp; Lindestad (1998)</w:t>
      </w:r>
      <w:r w:rsidRPr="00405B07">
        <w:rPr>
          <w:rFonts w:ascii="Cambria" w:hAnsi="Cambria"/>
          <w:sz w:val="20"/>
          <w:szCs w:val="20"/>
        </w:rPr>
        <w:fldChar w:fldCharType="end"/>
      </w:r>
      <w:r w:rsidRPr="00405B07">
        <w:rPr>
          <w:rFonts w:ascii="Cambria" w:hAnsi="Cambria"/>
          <w:sz w:val="20"/>
          <w:szCs w:val="20"/>
        </w:rPr>
        <w:t xml:space="preserve">, brand image can provide extraneous informative cues for potential buyers but does not affect loyalty. Meanwhile,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{"citationItems":[{"id":"ITEM-1","itemData":{"DOI":"10.1108/09604520810859210","ISSN":"09604529","abstract":"Purpose - Customer satisfaction is seen to be one of the main determinants of loyalty. However, the relationship between customer satisfaction and loyalty does not seem to be linear, many researchers have reported doubts about the predictability of loyalty solely due to customer satisfaction ratings which ignore image as predictor of loyalty. This paper aims to address the issues. Design/methodology/approach - The authors report a study of ski resorts where they first established a causal model of customer satisfaction and image predicting customer loyalty, and then map the scores in a four-fields-grid. Additionally the authors conducted a moderator analysis to assess the relative importance of image and satisfaction for loyalty intentions between two different groups (first-time-visitors, and regular guests). Findings - The results show that those ski resorts with the highest satisfaction ratings and the highest image ratings have the highest loyalty scores. Among first-time-visitors overall satisfaction is more important than image, with increasing number of repeat visits the importance of overall satisfaction declines and that of image relatively augments. Practical implications - Besides measuring customer satisfaction, managers must assess also image ratings in order to get a realistic view of the loyalty intentions of their customer base. The scores can than be mapped together with the ratings of other ski resorts, and serve as a benchmark study. Originality/value - Second order analysis of image (comprising three different dimensions), the image-satisfaction-grid, moderating effect of experience to relative importance of satisfaction and image on loyalty.","author":[{"dropping-particle":"","family":"Faullant","given":"Rita","non-dropping-particle":"","parse-names":false,"suffix":""},{"dropping-particle":"","family":"Matzler","given":"Kurt","non-dropping-particle":"","parse-names":false,"suffix":""},{"dropping-particle":"","family":"Füller","given":"Johann","non-dropping-particle":"","parse-names":false,"suffix":""}],"container-title":"Managing Service Quality","id":"ITEM-1","issue":"2","issued":{"date-parts":[["2008"]]},"page":"163-178","title":"The impact of satisfaction and image on loyalty: The case of Alpine ski resorts","type":"article-journal","volume":"18"},"uris":["http://www.mendeley.com/documents/?uuid=00282e8b-c1ae-4549-a9ab-077ba41b2349"]}],"mendeley":{"formattedCitation":"(Faullant, Matzler, &amp; Füller, 2008)","plainTextFormattedCitation":"(Faullant, Matzler, &amp; Füller, 2008)","previouslyFormattedCitation":"(Faullant, Matzler, &amp; Füller, 2008)"},"properties":{"noteIndex":0},"schema":"https://github.com/citation-style-language/schema/raw/master/csl-citation.json"}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(Faullant, Matzler, &amp; Füller (2008)</w:t>
      </w:r>
      <w:r w:rsidRPr="00405B07">
        <w:rPr>
          <w:rFonts w:ascii="Cambria" w:hAnsi="Cambria"/>
          <w:sz w:val="20"/>
          <w:szCs w:val="20"/>
        </w:rPr>
        <w:fldChar w:fldCharType="end"/>
      </w:r>
      <w:r w:rsidRPr="00405B07">
        <w:rPr>
          <w:rFonts w:ascii="Cambria" w:hAnsi="Cambria"/>
          <w:sz w:val="20"/>
          <w:szCs w:val="20"/>
        </w:rPr>
        <w:t xml:space="preserve">, brand image can increase customer loyalty compared to satisfaction. This study is supported by a study conducted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{"citationItems":[{"id":"ITEM-1","itemData":{"DOI":"10.1108/IJRDM-08-2017-0164","ISSN":"09590552","abstract":"Purpose: Even though scholars have proposed multiple dimensions to measure corporate reputation, the relationship between these dimensions and service provider selection has received a dearth of research. Moreover, the moderating role of brand image on this relationship has hardly been considered. The purpose of this paper is to fill these gaps in the literature. Design/methodology/approach: The study employed a quantitative approach, collecting data from 540 retail bank customers using surveys. Results were analyzed using structural equation modelling in AMOS. Findings: The study found out that emotional engagement, corporate performance, customer centricism and service quality directly predicted customer selection of retail banks in Ghana. The results further indicated that brand image moderates the relationship between social and ethical engagement, which was not directly significant and bank selection. Practical implications: The findings of the study indicate that some of the dimensions of corporate reputation have a direct impact on bank selection by customers, and that brand image could also be used to improve social and ethical dimension of corporate reputation to ensure bank selection by retail customers. The study thus provides practical guidelines for managing corporate reputation to achieve retail bank selection in Ghana. Originality/value: The paper provides support to some of the prior studies on corporate reputation in the retail banking sector. Thus, the study provides useful insights into how corporate reputation can be managed to ensure service provider selection by retail bank customers.","author":[{"dropping-particle":"","family":"Narteh","given":"Bedman","non-dropping-particle":"","parse-names":false,"suffix":""},{"dropping-particle":"","family":"Braimah","given":"Mahama","non-dropping-particle":"","parse-names":false,"suffix":""}],"container-title":"International Journal of Retail and Distribution Management","id":"ITEM-1","issue":"2","issued":{"date-parts":[["2019"]]},"page":"109-127","title":"Corporate reputation and retail bank selection: the moderating role of brand image","type":"article-journal","volume":"48"},"uris":["http://www.mendeley.com/documents/?uuid=326a5adb-2ac0-4c3b-b9ba-4671293b1a31"]}],"mendeley":{"formattedCitation":"(Narteh &amp; Braimah, 2019)","plainTextFormattedCitation":"(Narteh &amp; Braimah, 2019)","previouslyFormattedCitation":"(Narteh &amp; Braimah, 2019)"},"properties":{"noteIndex":0},"schema":"https://github.com/citation-style-language/schema/raw/master/csl-citation.json"}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Narteh &amp; Braimah (2019)</w:t>
      </w:r>
      <w:r w:rsidRPr="00405B07">
        <w:rPr>
          <w:rFonts w:ascii="Cambria" w:hAnsi="Cambria"/>
          <w:sz w:val="20"/>
          <w:szCs w:val="20"/>
        </w:rPr>
        <w:fldChar w:fldCharType="end"/>
      </w:r>
      <w:r w:rsidRPr="00405B07">
        <w:rPr>
          <w:rFonts w:ascii="Cambria" w:hAnsi="Cambria"/>
          <w:sz w:val="20"/>
          <w:szCs w:val="20"/>
        </w:rPr>
        <w:t xml:space="preserve">, which states that brand image has a positive and significant effect on customer retention in the Banking sector. The increase in the number of third party fund customers in Islamic Banks in the last five years was not matched by an increase in the percentage of growth.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{"citationItems":[{"id":"ITEM-1","itemData":{"DOI":"10.1108/EJM-12-2013-0737","ISBN":"1220130737","ISSN":"03090566","abstract":"Purpose - The purpose of this paper was to examine the influence of religiously motivated boycotts, such as the one conducted in Saudi Arabia against Danish companies, on corporate brand image, customer loyalty and product judgment. Despite a growing research interest in understanding the effects of different types of consumer animosities on companies’ performance, there appears to be a scarcity of studies addressing the specific effects of religious animosity. Religious animosity is considered as an additional type which may have more stable and longer-term impacts than other animosities on behaviour. Design/methodology/approach - The study was based on a two-stage design: an exploratory qualitative stage involving 11 in-depth interviews, followed by a more comprehensive quantitative stage designed to test a proposed theoretical model. Data was collected from Saudi customers of the Danish company Arla Foods in Saudi Arabia. Data was analysed using structural equation model (LISREL 8). Findings - The model confirms that boycotting have strong negative impact on brand image and consumer loyalty but does not influence consumers’ product judgment. Practical implications - Religious boycotts have significant consequences on both corporate profits and brand image. The study provides clear steps for companies to combat the influence of religious boycotts especially in relation to brand image and customer loyalty. Originality/value - The study tested the influence of consumer religious boycotts on brand image and customer loyalty. Religious animosity was found to cause a more persistent boycott that negatively impacts brand image and weakens customer loyalty. However, by and large, boycotting was found not to have any significant impact on product judgment.","author":[{"dropping-particle":"","family":"Abosag","given":"Ibrahim","non-dropping-particle":"","parse-names":false,"suffix":""},{"dropping-particle":"","family":"Farah","given":"Maya F.","non-dropping-particle":"","parse-names":false,"suffix":""}],"container-title":"European Journal of Marketing","id":"ITEM-1","issue":"11-12","issued":{"date-parts":[["2014"]]},"page":"2262-2283","title":"The influence of religiously motivated consumer boycotts on brand image, loyalty and product judgment","type":"article-journal","volume":"48"},"uris":["http://www.mendeley.com/documents/?uuid=63823085-e7fa-4b16-a0b1-a68f24d673ce"]}],"mendeley":{"formattedCitation":"(Abosag &amp; Farah, 2014)","plainTextFormattedCitation":"(Abosag &amp; Farah, 2014)","previouslyFormattedCitation":"(Abosag &amp; Farah, 2014)"},"properties":{"noteIndex":0},"schema":"https://github.com/citation-style-language/schema/raw/master/csl-citation.json"}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Abosag &amp; Farah (2014)</w:t>
      </w:r>
      <w:r w:rsidRPr="00405B07">
        <w:rPr>
          <w:rFonts w:ascii="Cambria" w:hAnsi="Cambria"/>
          <w:sz w:val="20"/>
          <w:szCs w:val="20"/>
        </w:rPr>
        <w:fldChar w:fldCharType="end"/>
      </w:r>
      <w:r w:rsidRPr="00405B07">
        <w:rPr>
          <w:rFonts w:ascii="Cambria" w:hAnsi="Cambria"/>
          <w:sz w:val="20"/>
          <w:szCs w:val="20"/>
        </w:rPr>
        <w:t xml:space="preserve">, brand image is the most important component to support and maintain a company's position on the market map. Brand image indicators include different brands among competitors, attractive brands, recognizable colors and designs. Meanwhile,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{"citationItems":[{"id":"ITEM-1","itemData":{"DOI":"10.1108/JPBM-10-2017-1610","ISSN":"10610421","abstract":"Purpose: The purpose of this paper is to study how repeat customers utilize their established overall restaurant brand image (ORBI), overall restaurant loyalty, satisfaction and behavioral intentions (revisit, recommend) to reengage with a casual-dining restaurant brand. Design/methodology/approach: The study design consists of a mixed-methods, two-phase research approach that includes both qualitative and quantitative data. First, focus groups and in-depth interviews with adult customers reveal preliminary insights on restaurant dining patterns and familiarity with franchised casual dining restaurants. Second, an online self-administered survey tests the influence of ORBI on repeat customers’ overall restaurant loyalty, satisfaction and behavioral intentions. Findings: For repeat customers, ORBI positively predicts loyalty and satisfaction. Loyalty and satisfaction mediate the relationship between ORBI and intentions to recommend, while loyalty alone mediates the relationship between ORBI and intentions to revisit a casual dining restaurant. Practical implications: Managers looking to stimulate recommendation intentions can increase ORBI, loyalty or satisfaction among repeat customers; or choose some combination of these three predictors. To improve revisit intentions, managers should first increase loyalty, followed by ORBI. Importantly, management needs to tailor information given to repeat customers differently than other customers. Originality/value: This paper provides a first conceptualization of how both loyalty and satisfaction jointly mediate the relationships between ORBI and two behavioral intentions (revisit, recommend). The results show that loyalty plays a significant role in these predictive relationships and is more important than satisfaction for enhancing intentions to revisit a restaurant.","author":[{"dropping-particle":"","family":"Espinosa","given":"Jennifer A.","non-dropping-particle":"","parse-names":false,"suffix":""},{"dropping-particle":"","family":"Ortinau","given":"David J.","non-dropping-particle":"","parse-names":false,"suffix":""},{"dropping-particle":"","family":"Krey","given":"Nina","non-dropping-particle":"","parse-names":false,"suffix":""},{"dropping-particle":"","family":"Monahan","given":"Lisa","non-dropping-particle":"","parse-names":false,"suffix":""}],"container-title":"Journal of Product and Brand Management","id":"ITEM-1","issue":"6","issued":{"date-parts":[["2018"]]},"page":"599-614","title":"I’ll have the usual: how restaurant brand image, loyalty, and satisfaction keep customers coming back","type":"article-journal","volume":"27"},"uris":["http://www.mendeley.com/documents/?uuid=9d0a550e-52bb-4474-9e3b-505f5ff4ccd6"]}],"mendeley":{"formattedCitation":"(Espinosa, Ortinau, Krey, &amp; Monahan, 2018)","plainTextFormattedCitation":"(Espinosa, Ortinau, Krey, &amp; Monahan, 2018)","previouslyFormattedCitation":"(Espinosa, Ortinau, Krey, &amp; Monahan, 2018)"},"properties":{"noteIndex":0},"schema":"https://github.com/citation-style-language/schema/raw/master/csl-citation.json"}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Espinosa, Ortinau, Krey, &amp; Monahan (2018)</w:t>
      </w:r>
      <w:r w:rsidRPr="00405B07">
        <w:rPr>
          <w:rFonts w:ascii="Cambria" w:hAnsi="Cambria"/>
          <w:sz w:val="20"/>
          <w:szCs w:val="20"/>
        </w:rPr>
        <w:fldChar w:fldCharType="end"/>
      </w:r>
      <w:r w:rsidRPr="00405B07">
        <w:rPr>
          <w:rFonts w:ascii="Cambria" w:hAnsi="Cambria"/>
          <w:sz w:val="20"/>
          <w:szCs w:val="20"/>
        </w:rPr>
        <w:t xml:space="preserve">,  brand image is considered the most important strategy to encourage customers to continue buying products predicted by a company. The study conducted by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{"citationItems":[{"id":"ITEM-1","itemData":{"DOI":"10.1108/JPBM-10-2017-1651","ISSN":"10610421","abstract":"Purpose: This paper aims to explore how the ownership transfer from a highly industrialised country to less industrialised countries influences consumers’ brand perceptions. Design/methodology/approach: Three acquisition cases of premium car brands (Jaguar, Land Rover and Volvo) are investigated using qualitative data from online brand communities. Findings: When country of ownership (COOW) for brands changes, it leads to different effects on consumers’ brand perception. Consumers are disoriented as to which cue to apply when evaluating the brand. They also see that brand values, and how these are communicated, are in conflict, as are sustainability images. Research limitations/implications: This paper focuses on the perspective of brand community members in Europe and the USA and studies only the car industry and acquisitions by two countries (China and India) using data from the time of ownership transfers. The authors discuss theoretical implications and suggest further research to gain more insights and address limitations. Practical implications: Following a transfer of ownership, communication campaigns are required for addressing the original brand’s heritage and promoting the new brand owner’s image. Managers need to take advantage of loyal brand fans by turning them into brand ambassadors, spreading information to convince consumers that are more sceptical. Originality/value: This study fills the knowledge gap regarding change of COOW to developing countries as new owners, and its consequences for consumer perception. The authors also introduce an innovative type of data collection through brand communities, which is less commonly used in international marketing research.","author":[{"dropping-particle":"","family":"Johansson","given":"Ulf","non-dropping-particle":"","parse-names":false,"suffix":""},{"dropping-particle":"","family":"Koch","given":"Christian","non-dropping-particle":"","parse-names":false,"suffix":""},{"dropping-particle":"","family":"Varga","given":"Nora","non-dropping-particle":"","parse-names":false,"suffix":""},{"dropping-particle":"","family":"Zhao","given":"Fengge","non-dropping-particle":"","parse-names":false,"suffix":""}],"container-title":"Journal of Product and Brand Management","id":"ITEM-1","issue":"7","issued":{"date-parts":[["2018"]]},"page":"871-883","title":"Country of ownership change in the premium segment: consequences for brand image","type":"article-journal","volume":"27"},"uris":["http://www.mendeley.com/documents/?uuid=7714e2e1-004a-40a9-9fa8-a4831b4377ae"]}],"mendeley":{"formattedCitation":"(Johansson, Koch, Varga, &amp; Zhao, 2018)","plainTextFormattedCitation":"(Johansson, Koch, Varga, &amp; Zhao, 2018)","previouslyFormattedCitation":"(Johansson, Koch, Varga, &amp; Zhao, 2018)"},"properties":{"noteIndex":0},"schema":"https://github.com/citation-style-language/schema/raw/master/csl-citation.json"}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Johansson, Koch, Varga, &amp; Zhao (2018)</w:t>
      </w:r>
      <w:r w:rsidRPr="00405B07">
        <w:rPr>
          <w:rFonts w:ascii="Cambria" w:hAnsi="Cambria"/>
          <w:sz w:val="20"/>
          <w:szCs w:val="20"/>
        </w:rPr>
        <w:fldChar w:fldCharType="end"/>
      </w:r>
      <w:r w:rsidRPr="00405B07">
        <w:rPr>
          <w:rFonts w:ascii="Cambria" w:hAnsi="Cambria"/>
          <w:sz w:val="20"/>
          <w:szCs w:val="20"/>
        </w:rPr>
        <w:t xml:space="preserve"> suggests that a brand image can be conceptualized as a consumer's perception of a brand that is formed in the minds of these consumers.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{"citationItems":[{"id":"ITEM-1","itemData":{"DOI":"10.1108/02652329810206707","ISSN":"02652323","abstract":"A conceptual framework is proposed that investigates the effects of customer satisfaction, service quality, and value on perceptions of corporate image and customer loyalty towards the service firm. To test the framework, structural equation modelling techniques are applied to data collected from 1,224 customers in the banking services industry. The results of the study indicate that satisfaction and service quality are positively related to value and that quality exerts a stronger influence on value than satisfaction. The findings also show that customers receiving higher levels of service quality will form a favourable image of the banking institution. In addition, value is found to positively impact on image, suggesting that the banking institution should have a strong image when customers believe they are getting high value. Similarly, customer satisfaction and image perceptions are found to impact on service loyalty with satisfaction having a greater influence on loyalty than image. The managerial and research implications of the reported study are discussed. © 1998, MCB UP Limited","author":[{"dropping-particle":"","family":"Nguyen","given":"Nha","non-dropping-particle":"","parse-names":false,"suffix":""},{"dropping-particle":"","family":"Leblanc","given":"Gaston","non-dropping-particle":"","parse-names":false,"suffix":""}],"container-title":"International Journal of Bank Marketing","id":"ITEM-1","issue":"2","issued":{"date-parts":[["1998"]]},"page":"52-65","title":"The mediating role of corporate image on customers’ retention decisions: An investigation in financial services","type":"article-journal","volume":"16"},"uris":["http://www.mendeley.com/documents/?uuid=fef3052e-b59e-497e-bd1c-a1675ad3e3ea"]}],"mendeley":{"formattedCitation":"(Nguyen &amp; Leblanc, 1998)","plainTextFormattedCitation":"(Nguyen &amp; Leblanc, 1998)","previouslyFormattedCitation":"(Nguyen &amp; Leblanc, 1998)"},"properties":{"noteIndex":0},"schema":"https://github.com/citation-style-language/schema/raw/master/csl-citation.json"}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Nguyen &amp; Leblanc (1998)</w:t>
      </w:r>
      <w:r w:rsidRPr="00405B07">
        <w:rPr>
          <w:rFonts w:ascii="Cambria" w:hAnsi="Cambria"/>
          <w:sz w:val="20"/>
          <w:szCs w:val="20"/>
        </w:rPr>
        <w:fldChar w:fldCharType="end"/>
      </w:r>
      <w:r w:rsidRPr="00405B07">
        <w:rPr>
          <w:rFonts w:ascii="Cambria" w:hAnsi="Cambria"/>
          <w:sz w:val="20"/>
          <w:szCs w:val="20"/>
        </w:rPr>
        <w:t xml:space="preserve"> research suggests that company image can influence customer retention decisions. Company image is also influenced by service quality, customer satisfaction and perceived service value. Brand image has a role and a good customer retention decision as a consequence. </w:t>
      </w:r>
    </w:p>
    <w:p w14:paraId="681315F1" w14:textId="77777777" w:rsidR="00405B07" w:rsidRPr="00405B07" w:rsidRDefault="00405B07" w:rsidP="00405B07">
      <w:pPr>
        <w:ind w:firstLine="720"/>
        <w:jc w:val="both"/>
        <w:rPr>
          <w:rFonts w:ascii="Cambria" w:hAnsi="Cambria"/>
          <w:sz w:val="20"/>
          <w:szCs w:val="20"/>
        </w:rPr>
      </w:pPr>
      <w:r w:rsidRPr="00405B07">
        <w:rPr>
          <w:rFonts w:ascii="Cambria" w:hAnsi="Cambria"/>
          <w:sz w:val="20"/>
          <w:szCs w:val="20"/>
        </w:rPr>
        <w:t>The last factor that affects customer retention is customer loyalty. According to</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{"citationItems":[{"id":"ITEM-1","itemData":{"DOI":"10.1108/IJBM-08-2013-0084","ISSN":"02652323","abstract":"Purpose: The purpose of this paper is to examine the impact of PAKSERV measures on customer satisfaction and loyalty in the Malaysian Islamic banking context.\nDesign/methodology/approach: The dimensionality of the PAKSERV scale is examined with confirmatory factor analysis. A survey approach is adopted to collect data from 300 Islamic banking customers in Kuching, Malaysia.\nFindings: Results reveal an excellent model fit for the PAKSERV scale in collectivist cultural context of Malaysia. All dimensions of PAKSERV are validated except reliability. The issue of non-validity of the reliability dimension in an Islamic banking context is explained by extant literature.\nPractical implications: Islamic banks are recommended to focus on all the PAKSERV scale dimensions to impart service quality. Given a collectivist cultural setting, a “network marketing” approach is recommended to maintain a desirable level of customer satisfaction and loyalty.\nOriginality/value: The PAKSERV scale has been employed for the first time to investigate the service quality-loyalty path in a collectivist cultural context. The validity of the PAKSERV scale has been operationalized for the first time in a collectivist cultural context.","author":[{"dropping-particle":"","family":"Kashif","given":"Muahmmad","non-dropping-particle":"","parse-names":false,"suffix":""},{"dropping-particle":"","family":"Shukran","given":"Sharifah Suzana Wan","non-dropping-particle":"","parse-names":false,"suffix":""},{"dropping-particle":"","family":"Rehman","given":"Mohsin Abdul","non-dropping-particle":"","parse-names":false,"suffix":""},{"dropping-particle":"","family":"Sarifuddin","given":"Syamsulang","non-dropping-particle":"","parse-names":false,"suffix":""}],"container-title":"International Journal of Bank Marketing","id":"ITEM-1","issue":"1","issued":{"date-parts":[["2015"]]},"page":"23-40","title":"Customer satisfaction and loyalty in Malaysian Islamic banks: A PAKSERV investigation","type":"article-journal","volume":"33"},"uris":["http://www.mendeley.com/documents/?uuid=9a41bdb3-9a54-4a49-b4ab-4c2d6883c1b6"]}],"mendeley":{"formattedCitation":"(Kashif, Shukran, Rehman, &amp; Sarifuddin, 2015)","plainTextFormattedCitation":"(Kashif, Shukran, Rehman, &amp; Sarifuddin, 2015)","previouslyFormattedCitation":"(Kashif, Shukran, Rehman, &amp; Sarifuddin, 2015)"},"properties":{"noteIndex":0},"schema":"https://github.com/citation-style-language/schema/raw/master/csl-citation.json"}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 xml:space="preserve"> Kashif, Shukran, Rehman, &amp; Sarifuddin (2015)</w:t>
      </w:r>
      <w:r w:rsidRPr="00405B07">
        <w:rPr>
          <w:rFonts w:ascii="Cambria" w:hAnsi="Cambria"/>
          <w:sz w:val="20"/>
          <w:szCs w:val="20"/>
        </w:rPr>
        <w:fldChar w:fldCharType="end"/>
      </w:r>
      <w:r w:rsidRPr="00405B07">
        <w:rPr>
          <w:rFonts w:ascii="Cambria" w:hAnsi="Cambria"/>
          <w:sz w:val="20"/>
          <w:szCs w:val="20"/>
        </w:rPr>
        <w:t>, customer loyalty is a strong commitment to repurchase a product consistently in the future. Customer loyalty indicators include:</w:t>
      </w:r>
    </w:p>
    <w:p w14:paraId="3F3DAA5F" w14:textId="77777777" w:rsidR="00405B07" w:rsidRPr="00405B07" w:rsidRDefault="00405B07" w:rsidP="00405B07">
      <w:pPr>
        <w:pStyle w:val="ListParagraph"/>
        <w:numPr>
          <w:ilvl w:val="0"/>
          <w:numId w:val="7"/>
        </w:numPr>
        <w:spacing w:after="0" w:line="240" w:lineRule="auto"/>
        <w:ind w:left="284" w:hanging="284"/>
        <w:jc w:val="both"/>
        <w:rPr>
          <w:rFonts w:ascii="Cambria" w:hAnsi="Cambria" w:cs="Times New Roman"/>
          <w:sz w:val="20"/>
          <w:szCs w:val="20"/>
        </w:rPr>
      </w:pPr>
      <w:r w:rsidRPr="00405B07">
        <w:rPr>
          <w:rFonts w:ascii="Cambria" w:hAnsi="Cambria" w:cs="Times New Roman"/>
          <w:sz w:val="20"/>
          <w:szCs w:val="20"/>
        </w:rPr>
        <w:t>Customers recommend Sharia Banks to family, friends and relatives.</w:t>
      </w:r>
    </w:p>
    <w:p w14:paraId="3BBDE6F6" w14:textId="77777777" w:rsidR="00405B07" w:rsidRPr="00405B07" w:rsidRDefault="00405B07" w:rsidP="00405B07">
      <w:pPr>
        <w:pStyle w:val="ListParagraph"/>
        <w:numPr>
          <w:ilvl w:val="0"/>
          <w:numId w:val="7"/>
        </w:numPr>
        <w:spacing w:after="0" w:line="240" w:lineRule="auto"/>
        <w:ind w:left="284" w:hanging="284"/>
        <w:jc w:val="both"/>
        <w:rPr>
          <w:rFonts w:ascii="Cambria" w:hAnsi="Cambria" w:cs="Times New Roman"/>
          <w:sz w:val="20"/>
          <w:szCs w:val="20"/>
        </w:rPr>
      </w:pPr>
      <w:r w:rsidRPr="00405B07">
        <w:rPr>
          <w:rFonts w:ascii="Cambria" w:hAnsi="Cambria" w:cs="Times New Roman"/>
          <w:sz w:val="20"/>
          <w:szCs w:val="20"/>
        </w:rPr>
        <w:t>Word of Mouth is to say positive things about Islamic banking.</w:t>
      </w:r>
    </w:p>
    <w:p w14:paraId="7F524D25" w14:textId="77777777" w:rsidR="00405B07" w:rsidRPr="00405B07" w:rsidRDefault="00405B07" w:rsidP="00405B07">
      <w:pPr>
        <w:pStyle w:val="ListParagraph"/>
        <w:numPr>
          <w:ilvl w:val="0"/>
          <w:numId w:val="7"/>
        </w:numPr>
        <w:spacing w:after="0" w:line="240" w:lineRule="auto"/>
        <w:ind w:left="284" w:hanging="284"/>
        <w:jc w:val="both"/>
        <w:rPr>
          <w:rFonts w:ascii="Cambria" w:hAnsi="Cambria" w:cs="Times New Roman"/>
          <w:sz w:val="20"/>
          <w:szCs w:val="20"/>
        </w:rPr>
      </w:pPr>
      <w:r w:rsidRPr="00405B07">
        <w:rPr>
          <w:rFonts w:ascii="Cambria" w:hAnsi="Cambria" w:cs="Times New Roman"/>
          <w:sz w:val="20"/>
          <w:szCs w:val="20"/>
        </w:rPr>
        <w:t>The customer will return to using the services at the Sharia Bank.</w:t>
      </w:r>
    </w:p>
    <w:p w14:paraId="13668638" w14:textId="77777777" w:rsidR="00405B07" w:rsidRPr="00405B07" w:rsidRDefault="00405B07" w:rsidP="00405B07">
      <w:pPr>
        <w:jc w:val="both"/>
        <w:rPr>
          <w:rFonts w:ascii="Cambria" w:hAnsi="Cambria"/>
          <w:sz w:val="20"/>
          <w:szCs w:val="20"/>
        </w:rPr>
      </w:pPr>
      <w:r w:rsidRPr="00405B07">
        <w:rPr>
          <w:rFonts w:ascii="Cambria" w:hAnsi="Cambria"/>
          <w:sz w:val="20"/>
          <w:szCs w:val="20"/>
        </w:rPr>
        <w:t xml:space="preserve">Studies conducted by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{"citationItems":[{"id":"ITEM-1","itemData":{"DOI":"10.1108/BIJ-08-2017-0231","ISSN":"14635771","abstract":"Purpose: The purpose of this paper is to analyze customer loyalty in the context of existing relationships between Brazilian banking service provider and its customers in the context of B2C (Business-to-Consumer) relationships. Hence, a theoretical model was proposed and tested with banking services private individual customers taking into account perceived value, service provider reputation, financial bonding tactics, structural bonding tactics, social bonding tactics and switching costs as customer loyalty determinants. Design/methodology/approach: A multivariate statistical approach with structural equations modeling was used in a 505 customer sample of the one prominent bank in Brazil. Findings: Results indicate that the proposed theoretical model confirming a satisfactory fit, presenting a good explanatory power (R2=0.738) and supporting that perceived value influences the service provider reputation; financial bonding tactics, structural bonding tactics and social bonding tactics influence perceived value; service provider reputation influences switching costs; switching costs influence customer loyalty and the social bonding tactics influence customer loyalty. Practical implications: The results evidenced in the present research could serve as benchmarking for other researchers or managers connected to the financial service sector (or bank service) when looking for a better understanding about the antecedents of customer loyalty, adapting strategies and actions to stimulate and generate better market and economic–financial results for the institutions of this sector. Originality/value: Finding out which constructs better explain customer loyalty, and its possible relations, is something relevant for the banking sector, once it can generate more effective managerial insights, positively making an impact in a customer portfolio performance, or the financial institution itself, from the construction, maintenance and strengthening of the relationships with customers.","author":[{"dropping-particle":"","family":"Milan","given":"Gabriel Sperandio","non-dropping-particle":"","parse-names":false,"suffix":""},{"dropping-particle":"","family":"Slongo","given":"Luiz Antonio","non-dropping-particle":"","parse-names":false,"suffix":""},{"dropping-particle":"","family":"Eberle","given":"Luciene","non-dropping-particle":"","parse-names":false,"suffix":""},{"dropping-particle":"","family":"Toni","given":"Deonir","non-dropping-particle":"De","parse-names":false,"suffix":""},{"dropping-particle":"","family":"Bebber","given":"Suélen","non-dropping-particle":"","parse-names":false,"suffix":""}],"container-title":"Benchmarking","id":"ITEM-1","issue":"9","issued":{"date-parts":[["2018"]]},"page":"3935-3950","title":"Determinants of customer loyalty: a study with customers of a Brazilian bank","type":"article-journal","volume":"25"},"uris":["http://www.mendeley.com/documents/?uuid=29ff568f-054b-44b0-8bfb-02d5702e285d"]}],"mendeley":{"formattedCitation":"(Milan, Slongo, Eberle, De Toni, &amp; Bebber, 2018)","plainTextFormattedCitation":"(Milan, Slongo, Eberle, De Toni, &amp; Bebber, 2018)","previouslyFormattedCitation":"(Milan, Slongo, Eberle, De Toni, &amp; Bebber, 2018)"},"properties":{"noteIndex":0},"schema":"https://github.com/citation-style-language/schema/raw/master/csl-citation.json"}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Milan, Slongo, Eberle, De Toni, &amp; Bebber (2018)</w:t>
      </w:r>
      <w:r w:rsidRPr="00405B07">
        <w:rPr>
          <w:rFonts w:ascii="Cambria" w:hAnsi="Cambria"/>
          <w:sz w:val="20"/>
          <w:szCs w:val="20"/>
        </w:rPr>
        <w:fldChar w:fldCharType="end"/>
      </w:r>
      <w:r w:rsidRPr="00405B07">
        <w:rPr>
          <w:rFonts w:ascii="Cambria" w:hAnsi="Cambria"/>
          <w:sz w:val="20"/>
          <w:szCs w:val="20"/>
        </w:rPr>
        <w:t xml:space="preserve"> state that customer loyalty is a customer commitment to buy or use a certain product or service that results in consistent purchases. Meanwhile, according to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{"citationItems":[{"id":"ITEM-1","itemData":{"DOI":"10.1108/IJRDM-06-2014-0074","ISSN":"09590552","abstract":"Purpose – The purpose of this paper is to closely investigate the antecedents affecting relationship quality and its consequences between life insurers and their customers. Design/methodology/approach – Data were collected from the customers of life insurers’ customer relationship management centres and were analysed using in-depth interviews and questionnaires. A structural equation modelling approach is employed to test the hypotheses. Findings – The findings are generally consistent with the literature. This study supports all hypotheses. Finally, the findings of this study confirm that relationship quality mediates the effects of salesperson characteristics and relational selling behaviour on customer loyalty. Originality/value – To the authors knowledge, there is little published research that examines antecedents and consequences of relationship quality in life insurance industry in Taiwan. Therefore, in addition to developing high-quality services, life insurers need to establish and maintain long-term relationships with customers in order to create corporate innovation value.","author":[{"dropping-particle":"","family":"Yu","given":"Tsu Wei","non-dropping-particle":"","parse-names":false,"suffix":""},{"dropping-particle":"","family":"Tseng","given":"Lu Ming","non-dropping-particle":"","parse-names":false,"suffix":""}],"container-title":"International Journal of Retail and Distribution Management","id":"ITEM-1","issue":"1","issued":{"date-parts":[["2016"]]},"page":"22-37","title":"The role of salespeople in developing life insurance customer loyalty","type":"article-journal","volume":"44"},"uris":["http://www.mendeley.com/documents/?uuid=a60e943c-afcb-41d1-9514-37807c3b2f9e"]}],"mendeley":{"formattedCitation":"(T. W. Yu &amp; Tseng, 2016)","plainTextFormattedCitation":"(T. W. Yu &amp; Tseng, 2016)","previouslyFormattedCitation":"(T. W. Yu &amp; Tseng, 2016)"},"properties":{"noteIndex":0},"schema":"https://github.com/citation-style-language/schema/raw/master/csl-citation.json"}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T. W. Yu &amp; Tseng (2016)</w:t>
      </w:r>
      <w:r w:rsidRPr="00405B07">
        <w:rPr>
          <w:rFonts w:ascii="Cambria" w:hAnsi="Cambria"/>
          <w:sz w:val="20"/>
          <w:szCs w:val="20"/>
        </w:rPr>
        <w:fldChar w:fldCharType="end"/>
      </w:r>
      <w:r w:rsidRPr="00405B07">
        <w:rPr>
          <w:rFonts w:ascii="Cambria" w:hAnsi="Cambria"/>
          <w:sz w:val="20"/>
          <w:szCs w:val="20"/>
        </w:rPr>
        <w:t>, customer loyalty is the intention of consumers to buy back or promote a product or company. Customer Loyalty indicators include repurchase intention and willingness to recommend.</w:t>
      </w:r>
    </w:p>
    <w:p w14:paraId="5F37DCE5" w14:textId="77777777" w:rsidR="00405B07" w:rsidRPr="00405B07" w:rsidRDefault="00405B07" w:rsidP="00405B07">
      <w:pPr>
        <w:ind w:firstLine="720"/>
        <w:jc w:val="both"/>
        <w:rPr>
          <w:rFonts w:ascii="Cambria" w:hAnsi="Cambria"/>
          <w:sz w:val="20"/>
          <w:szCs w:val="20"/>
        </w:rPr>
      </w:pPr>
      <w:r w:rsidRPr="00405B07">
        <w:rPr>
          <w:rFonts w:ascii="Cambria" w:hAnsi="Cambria"/>
          <w:sz w:val="20"/>
          <w:szCs w:val="20"/>
        </w:rPr>
        <w:t>Number of Third-Party Fund Customers and Growth Percentage can be seen in Table 1. As follows:</w:t>
      </w:r>
    </w:p>
    <w:p w14:paraId="7D223320" w14:textId="77777777" w:rsidR="00405B07" w:rsidRPr="00405B07" w:rsidRDefault="00405B07" w:rsidP="00405B07">
      <w:pPr>
        <w:ind w:left="-142" w:firstLine="567"/>
        <w:jc w:val="center"/>
        <w:rPr>
          <w:rFonts w:ascii="Cambria" w:hAnsi="Cambria"/>
          <w:b/>
          <w:color w:val="000000" w:themeColor="text1"/>
          <w:sz w:val="20"/>
          <w:szCs w:val="20"/>
        </w:rPr>
      </w:pPr>
      <w:r w:rsidRPr="00405B07">
        <w:rPr>
          <w:rFonts w:ascii="Cambria" w:hAnsi="Cambria"/>
          <w:b/>
          <w:color w:val="000000" w:themeColor="text1"/>
          <w:sz w:val="20"/>
          <w:szCs w:val="20"/>
        </w:rPr>
        <w:t>Table 1.</w:t>
      </w:r>
    </w:p>
    <w:p w14:paraId="24104F15" w14:textId="77777777" w:rsidR="00405B07" w:rsidRPr="00405B07" w:rsidRDefault="00405B07" w:rsidP="00405B07">
      <w:pPr>
        <w:ind w:left="-142" w:firstLine="567"/>
        <w:jc w:val="center"/>
        <w:rPr>
          <w:rFonts w:ascii="Cambria" w:hAnsi="Cambria"/>
          <w:b/>
          <w:color w:val="000000" w:themeColor="text1"/>
          <w:sz w:val="20"/>
          <w:szCs w:val="20"/>
        </w:rPr>
      </w:pPr>
      <w:r w:rsidRPr="00405B07">
        <w:rPr>
          <w:rFonts w:ascii="Cambria" w:hAnsi="Cambria"/>
          <w:b/>
          <w:color w:val="000000" w:themeColor="text1"/>
          <w:sz w:val="20"/>
          <w:szCs w:val="20"/>
        </w:rPr>
        <w:t>Third Party Fund Customers and Percentage of Growth</w:t>
      </w:r>
    </w:p>
    <w:tbl>
      <w:tblPr>
        <w:tblW w:w="5666" w:type="dxa"/>
        <w:jc w:val="center"/>
        <w:tblLook w:val="04A0" w:firstRow="1" w:lastRow="0" w:firstColumn="1" w:lastColumn="0" w:noHBand="0" w:noVBand="1"/>
      </w:tblPr>
      <w:tblGrid>
        <w:gridCol w:w="1415"/>
        <w:gridCol w:w="2547"/>
        <w:gridCol w:w="1704"/>
      </w:tblGrid>
      <w:tr w:rsidR="00405B07" w:rsidRPr="00405B07" w14:paraId="7F5D7986" w14:textId="77777777" w:rsidTr="00405B07">
        <w:trPr>
          <w:trHeight w:val="320"/>
          <w:jc w:val="center"/>
        </w:trPr>
        <w:tc>
          <w:tcPr>
            <w:tcW w:w="1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6A73B" w14:textId="77777777" w:rsidR="00405B07" w:rsidRPr="00405B07" w:rsidRDefault="00405B07" w:rsidP="00405B07">
            <w:pPr>
              <w:jc w:val="center"/>
              <w:rPr>
                <w:rFonts w:ascii="Cambria" w:hAnsi="Cambria"/>
                <w:b/>
                <w:color w:val="000000"/>
                <w:sz w:val="20"/>
                <w:szCs w:val="20"/>
              </w:rPr>
            </w:pPr>
            <w:r w:rsidRPr="00405B07">
              <w:rPr>
                <w:rFonts w:ascii="Cambria" w:hAnsi="Cambria"/>
                <w:b/>
                <w:color w:val="000000"/>
                <w:sz w:val="20"/>
                <w:szCs w:val="20"/>
              </w:rPr>
              <w:t xml:space="preserve">Year </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1A3A4AAB" w14:textId="77777777" w:rsidR="00405B07" w:rsidRPr="00405B07" w:rsidRDefault="00405B07" w:rsidP="00405B07">
            <w:pPr>
              <w:jc w:val="center"/>
              <w:rPr>
                <w:rFonts w:ascii="Cambria" w:hAnsi="Cambria"/>
                <w:b/>
                <w:color w:val="000000"/>
                <w:sz w:val="20"/>
                <w:szCs w:val="20"/>
              </w:rPr>
            </w:pPr>
            <w:proofErr w:type="spellStart"/>
            <w:r w:rsidRPr="00405B07">
              <w:rPr>
                <w:rFonts w:ascii="Cambria" w:hAnsi="Cambria"/>
                <w:b/>
                <w:color w:val="000000"/>
                <w:sz w:val="20"/>
                <w:szCs w:val="20"/>
              </w:rPr>
              <w:t>Thrid</w:t>
            </w:r>
            <w:proofErr w:type="spellEnd"/>
            <w:r w:rsidRPr="00405B07">
              <w:rPr>
                <w:rFonts w:ascii="Cambria" w:hAnsi="Cambria"/>
                <w:b/>
                <w:color w:val="000000"/>
                <w:sz w:val="20"/>
                <w:szCs w:val="20"/>
              </w:rPr>
              <w:t xml:space="preserve"> Party Funds</w:t>
            </w:r>
          </w:p>
        </w:tc>
        <w:tc>
          <w:tcPr>
            <w:tcW w:w="1704" w:type="dxa"/>
            <w:tcBorders>
              <w:top w:val="single" w:sz="4" w:space="0" w:color="auto"/>
              <w:left w:val="nil"/>
              <w:bottom w:val="single" w:sz="4" w:space="0" w:color="auto"/>
              <w:right w:val="single" w:sz="4" w:space="0" w:color="auto"/>
            </w:tcBorders>
            <w:shd w:val="clear" w:color="auto" w:fill="auto"/>
            <w:noWrap/>
            <w:vAlign w:val="bottom"/>
            <w:hideMark/>
          </w:tcPr>
          <w:p w14:paraId="494F397E" w14:textId="77777777" w:rsidR="00405B07" w:rsidRPr="00405B07" w:rsidRDefault="00405B07" w:rsidP="00405B07">
            <w:pPr>
              <w:jc w:val="center"/>
              <w:rPr>
                <w:rFonts w:ascii="Cambria" w:hAnsi="Cambria"/>
                <w:b/>
                <w:color w:val="000000"/>
                <w:sz w:val="20"/>
                <w:szCs w:val="20"/>
              </w:rPr>
            </w:pPr>
            <w:r w:rsidRPr="00405B07">
              <w:rPr>
                <w:rFonts w:ascii="Cambria" w:hAnsi="Cambria"/>
                <w:b/>
                <w:color w:val="000000"/>
                <w:sz w:val="20"/>
                <w:szCs w:val="20"/>
              </w:rPr>
              <w:t>Growth (%)</w:t>
            </w:r>
          </w:p>
        </w:tc>
      </w:tr>
      <w:tr w:rsidR="00405B07" w:rsidRPr="00405B07" w14:paraId="5116F0AD" w14:textId="77777777" w:rsidTr="00405B07">
        <w:trPr>
          <w:trHeight w:val="320"/>
          <w:jc w:val="center"/>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14:paraId="400C1951"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2015</w:t>
            </w:r>
          </w:p>
        </w:tc>
        <w:tc>
          <w:tcPr>
            <w:tcW w:w="2547" w:type="dxa"/>
            <w:tcBorders>
              <w:top w:val="nil"/>
              <w:left w:val="nil"/>
              <w:bottom w:val="single" w:sz="4" w:space="0" w:color="auto"/>
              <w:right w:val="single" w:sz="4" w:space="0" w:color="auto"/>
            </w:tcBorders>
            <w:shd w:val="clear" w:color="auto" w:fill="auto"/>
            <w:noWrap/>
            <w:vAlign w:val="bottom"/>
            <w:hideMark/>
          </w:tcPr>
          <w:p w14:paraId="2B341A35"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14.761.002</w:t>
            </w:r>
          </w:p>
        </w:tc>
        <w:tc>
          <w:tcPr>
            <w:tcW w:w="1704" w:type="dxa"/>
            <w:tcBorders>
              <w:top w:val="nil"/>
              <w:left w:val="nil"/>
              <w:bottom w:val="single" w:sz="4" w:space="0" w:color="auto"/>
              <w:right w:val="single" w:sz="4" w:space="0" w:color="auto"/>
            </w:tcBorders>
            <w:shd w:val="clear" w:color="auto" w:fill="auto"/>
            <w:noWrap/>
            <w:vAlign w:val="bottom"/>
            <w:hideMark/>
          </w:tcPr>
          <w:p w14:paraId="08DE3EAC"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w:t>
            </w:r>
          </w:p>
        </w:tc>
      </w:tr>
      <w:tr w:rsidR="00405B07" w:rsidRPr="00405B07" w14:paraId="56AE8121" w14:textId="77777777" w:rsidTr="00405B07">
        <w:trPr>
          <w:trHeight w:val="320"/>
          <w:jc w:val="center"/>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14:paraId="781BEC6B"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2016</w:t>
            </w:r>
          </w:p>
        </w:tc>
        <w:tc>
          <w:tcPr>
            <w:tcW w:w="2547" w:type="dxa"/>
            <w:tcBorders>
              <w:top w:val="nil"/>
              <w:left w:val="nil"/>
              <w:bottom w:val="single" w:sz="4" w:space="0" w:color="auto"/>
              <w:right w:val="single" w:sz="4" w:space="0" w:color="auto"/>
            </w:tcBorders>
            <w:shd w:val="clear" w:color="auto" w:fill="auto"/>
            <w:noWrap/>
            <w:vAlign w:val="bottom"/>
            <w:hideMark/>
          </w:tcPr>
          <w:p w14:paraId="6249C153"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18.521.091</w:t>
            </w:r>
          </w:p>
        </w:tc>
        <w:tc>
          <w:tcPr>
            <w:tcW w:w="1704" w:type="dxa"/>
            <w:tcBorders>
              <w:top w:val="nil"/>
              <w:left w:val="nil"/>
              <w:bottom w:val="single" w:sz="4" w:space="0" w:color="auto"/>
              <w:right w:val="single" w:sz="4" w:space="0" w:color="auto"/>
            </w:tcBorders>
            <w:shd w:val="clear" w:color="auto" w:fill="auto"/>
            <w:noWrap/>
            <w:vAlign w:val="bottom"/>
            <w:hideMark/>
          </w:tcPr>
          <w:p w14:paraId="428A821E" w14:textId="77777777" w:rsidR="00405B07" w:rsidRPr="00405B07" w:rsidRDefault="00405B07" w:rsidP="00405B07">
            <w:pPr>
              <w:jc w:val="center"/>
              <w:rPr>
                <w:rFonts w:ascii="Cambria" w:hAnsi="Cambria"/>
                <w:sz w:val="20"/>
                <w:szCs w:val="20"/>
              </w:rPr>
            </w:pPr>
            <w:r w:rsidRPr="00405B07">
              <w:rPr>
                <w:rFonts w:ascii="Cambria" w:hAnsi="Cambria"/>
                <w:sz w:val="20"/>
                <w:szCs w:val="20"/>
              </w:rPr>
              <w:t>25,47%</w:t>
            </w:r>
          </w:p>
        </w:tc>
      </w:tr>
      <w:tr w:rsidR="00405B07" w:rsidRPr="00405B07" w14:paraId="7A643206" w14:textId="77777777" w:rsidTr="00405B07">
        <w:trPr>
          <w:trHeight w:val="320"/>
          <w:jc w:val="center"/>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14:paraId="7F9CACB8"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2017</w:t>
            </w:r>
          </w:p>
        </w:tc>
        <w:tc>
          <w:tcPr>
            <w:tcW w:w="2547" w:type="dxa"/>
            <w:tcBorders>
              <w:top w:val="nil"/>
              <w:left w:val="nil"/>
              <w:bottom w:val="single" w:sz="4" w:space="0" w:color="auto"/>
              <w:right w:val="single" w:sz="4" w:space="0" w:color="auto"/>
            </w:tcBorders>
            <w:shd w:val="clear" w:color="auto" w:fill="auto"/>
            <w:noWrap/>
            <w:vAlign w:val="bottom"/>
            <w:hideMark/>
          </w:tcPr>
          <w:p w14:paraId="389B17F7"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21.692.463</w:t>
            </w:r>
          </w:p>
        </w:tc>
        <w:tc>
          <w:tcPr>
            <w:tcW w:w="1704" w:type="dxa"/>
            <w:tcBorders>
              <w:top w:val="nil"/>
              <w:left w:val="nil"/>
              <w:bottom w:val="single" w:sz="4" w:space="0" w:color="auto"/>
              <w:right w:val="single" w:sz="4" w:space="0" w:color="auto"/>
            </w:tcBorders>
            <w:shd w:val="clear" w:color="auto" w:fill="auto"/>
            <w:noWrap/>
            <w:vAlign w:val="bottom"/>
            <w:hideMark/>
          </w:tcPr>
          <w:p w14:paraId="30F321CB" w14:textId="77777777" w:rsidR="00405B07" w:rsidRPr="00405B07" w:rsidRDefault="00405B07" w:rsidP="00405B07">
            <w:pPr>
              <w:jc w:val="center"/>
              <w:rPr>
                <w:rFonts w:ascii="Cambria" w:hAnsi="Cambria"/>
                <w:sz w:val="20"/>
                <w:szCs w:val="20"/>
              </w:rPr>
            </w:pPr>
            <w:r w:rsidRPr="00405B07">
              <w:rPr>
                <w:rFonts w:ascii="Cambria" w:hAnsi="Cambria"/>
                <w:sz w:val="20"/>
                <w:szCs w:val="20"/>
              </w:rPr>
              <w:t>17,10%</w:t>
            </w:r>
          </w:p>
        </w:tc>
      </w:tr>
      <w:tr w:rsidR="00405B07" w:rsidRPr="00405B07" w14:paraId="4628625F" w14:textId="77777777" w:rsidTr="00405B07">
        <w:trPr>
          <w:trHeight w:val="320"/>
          <w:jc w:val="center"/>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14:paraId="70E002BE"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2018</w:t>
            </w:r>
          </w:p>
        </w:tc>
        <w:tc>
          <w:tcPr>
            <w:tcW w:w="2547" w:type="dxa"/>
            <w:tcBorders>
              <w:top w:val="nil"/>
              <w:left w:val="nil"/>
              <w:bottom w:val="single" w:sz="4" w:space="0" w:color="auto"/>
              <w:right w:val="single" w:sz="4" w:space="0" w:color="auto"/>
            </w:tcBorders>
            <w:shd w:val="clear" w:color="auto" w:fill="auto"/>
            <w:noWrap/>
            <w:vAlign w:val="bottom"/>
            <w:hideMark/>
          </w:tcPr>
          <w:p w14:paraId="5CD628E2"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24.334.556</w:t>
            </w:r>
          </w:p>
        </w:tc>
        <w:tc>
          <w:tcPr>
            <w:tcW w:w="1704" w:type="dxa"/>
            <w:tcBorders>
              <w:top w:val="nil"/>
              <w:left w:val="nil"/>
              <w:bottom w:val="single" w:sz="4" w:space="0" w:color="auto"/>
              <w:right w:val="single" w:sz="4" w:space="0" w:color="auto"/>
            </w:tcBorders>
            <w:shd w:val="clear" w:color="auto" w:fill="auto"/>
            <w:noWrap/>
            <w:vAlign w:val="bottom"/>
            <w:hideMark/>
          </w:tcPr>
          <w:p w14:paraId="1EEB5BAB" w14:textId="77777777" w:rsidR="00405B07" w:rsidRPr="00405B07" w:rsidRDefault="00405B07" w:rsidP="00405B07">
            <w:pPr>
              <w:jc w:val="center"/>
              <w:rPr>
                <w:rFonts w:ascii="Cambria" w:hAnsi="Cambria"/>
                <w:sz w:val="20"/>
                <w:szCs w:val="20"/>
              </w:rPr>
            </w:pPr>
            <w:r w:rsidRPr="00405B07">
              <w:rPr>
                <w:rFonts w:ascii="Cambria" w:hAnsi="Cambria"/>
                <w:sz w:val="20"/>
                <w:szCs w:val="20"/>
              </w:rPr>
              <w:t>12,10%</w:t>
            </w:r>
          </w:p>
        </w:tc>
      </w:tr>
      <w:tr w:rsidR="00405B07" w:rsidRPr="00405B07" w14:paraId="0AB5D694" w14:textId="77777777" w:rsidTr="00405B07">
        <w:trPr>
          <w:trHeight w:val="320"/>
          <w:jc w:val="center"/>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14:paraId="1652B9A5"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2019</w:t>
            </w:r>
          </w:p>
        </w:tc>
        <w:tc>
          <w:tcPr>
            <w:tcW w:w="2547" w:type="dxa"/>
            <w:tcBorders>
              <w:top w:val="nil"/>
              <w:left w:val="nil"/>
              <w:bottom w:val="single" w:sz="4" w:space="0" w:color="auto"/>
              <w:right w:val="single" w:sz="4" w:space="0" w:color="auto"/>
            </w:tcBorders>
            <w:shd w:val="clear" w:color="auto" w:fill="auto"/>
            <w:noWrap/>
            <w:vAlign w:val="bottom"/>
            <w:hideMark/>
          </w:tcPr>
          <w:p w14:paraId="7EA8AE54" w14:textId="77777777" w:rsidR="00405B07" w:rsidRPr="00405B07" w:rsidRDefault="00405B07" w:rsidP="00405B07">
            <w:pPr>
              <w:jc w:val="center"/>
              <w:rPr>
                <w:rFonts w:ascii="Cambria" w:hAnsi="Cambria"/>
                <w:color w:val="000000"/>
                <w:sz w:val="20"/>
                <w:szCs w:val="20"/>
              </w:rPr>
            </w:pPr>
            <w:r w:rsidRPr="00405B07">
              <w:rPr>
                <w:rFonts w:ascii="Cambria" w:hAnsi="Cambria"/>
                <w:color w:val="000000"/>
                <w:sz w:val="20"/>
                <w:szCs w:val="20"/>
              </w:rPr>
              <w:t>27.273.711</w:t>
            </w:r>
          </w:p>
        </w:tc>
        <w:tc>
          <w:tcPr>
            <w:tcW w:w="1704" w:type="dxa"/>
            <w:tcBorders>
              <w:top w:val="nil"/>
              <w:left w:val="nil"/>
              <w:bottom w:val="single" w:sz="4" w:space="0" w:color="auto"/>
              <w:right w:val="single" w:sz="4" w:space="0" w:color="auto"/>
            </w:tcBorders>
            <w:shd w:val="clear" w:color="auto" w:fill="auto"/>
            <w:noWrap/>
            <w:vAlign w:val="bottom"/>
            <w:hideMark/>
          </w:tcPr>
          <w:p w14:paraId="2834BFFB" w14:textId="77777777" w:rsidR="00405B07" w:rsidRPr="00405B07" w:rsidRDefault="00405B07" w:rsidP="00405B07">
            <w:pPr>
              <w:jc w:val="center"/>
              <w:rPr>
                <w:rFonts w:ascii="Cambria" w:hAnsi="Cambria"/>
                <w:sz w:val="20"/>
                <w:szCs w:val="20"/>
              </w:rPr>
            </w:pPr>
            <w:r w:rsidRPr="00405B07">
              <w:rPr>
                <w:rFonts w:ascii="Cambria" w:hAnsi="Cambria"/>
                <w:sz w:val="20"/>
                <w:szCs w:val="20"/>
              </w:rPr>
              <w:t>12,07%</w:t>
            </w:r>
          </w:p>
        </w:tc>
      </w:tr>
    </w:tbl>
    <w:p w14:paraId="7CF5AFCC" w14:textId="0D9DBB15" w:rsidR="00405B07" w:rsidRDefault="00405B07" w:rsidP="00405B07">
      <w:pPr>
        <w:ind w:left="1843"/>
        <w:rPr>
          <w:rFonts w:ascii="Cambria" w:hAnsi="Cambria"/>
          <w:b/>
          <w:color w:val="000000" w:themeColor="text1"/>
          <w:sz w:val="20"/>
          <w:szCs w:val="20"/>
        </w:rPr>
      </w:pPr>
      <w:r w:rsidRPr="00502C75">
        <w:rPr>
          <w:rFonts w:ascii="Cambria" w:hAnsi="Cambria"/>
          <w:b/>
          <w:color w:val="000000" w:themeColor="text1"/>
          <w:sz w:val="20"/>
          <w:szCs w:val="20"/>
        </w:rPr>
        <w:t xml:space="preserve">Source : </w:t>
      </w:r>
      <w:proofErr w:type="spellStart"/>
      <w:r w:rsidRPr="00502C75">
        <w:rPr>
          <w:rFonts w:ascii="Cambria" w:hAnsi="Cambria"/>
          <w:b/>
          <w:color w:val="000000" w:themeColor="text1"/>
          <w:sz w:val="20"/>
          <w:szCs w:val="20"/>
        </w:rPr>
        <w:t>Otoritas</w:t>
      </w:r>
      <w:proofErr w:type="spellEnd"/>
      <w:r w:rsidRPr="00502C75">
        <w:rPr>
          <w:rFonts w:ascii="Cambria" w:hAnsi="Cambria"/>
          <w:b/>
          <w:color w:val="000000" w:themeColor="text1"/>
          <w:sz w:val="20"/>
          <w:szCs w:val="20"/>
        </w:rPr>
        <w:t xml:space="preserve"> </w:t>
      </w:r>
      <w:proofErr w:type="spellStart"/>
      <w:r w:rsidRPr="00502C75">
        <w:rPr>
          <w:rFonts w:ascii="Cambria" w:hAnsi="Cambria"/>
          <w:b/>
          <w:color w:val="000000" w:themeColor="text1"/>
          <w:sz w:val="20"/>
          <w:szCs w:val="20"/>
        </w:rPr>
        <w:t>Jasa</w:t>
      </w:r>
      <w:proofErr w:type="spellEnd"/>
      <w:r w:rsidRPr="00502C75">
        <w:rPr>
          <w:rFonts w:ascii="Cambria" w:hAnsi="Cambria"/>
          <w:b/>
          <w:color w:val="000000" w:themeColor="text1"/>
          <w:sz w:val="20"/>
          <w:szCs w:val="20"/>
        </w:rPr>
        <w:t xml:space="preserve"> </w:t>
      </w:r>
      <w:proofErr w:type="spellStart"/>
      <w:r w:rsidRPr="00502C75">
        <w:rPr>
          <w:rFonts w:ascii="Cambria" w:hAnsi="Cambria"/>
          <w:b/>
          <w:color w:val="000000" w:themeColor="text1"/>
          <w:sz w:val="20"/>
          <w:szCs w:val="20"/>
        </w:rPr>
        <w:t>Keuangan</w:t>
      </w:r>
      <w:proofErr w:type="spellEnd"/>
      <w:r w:rsidRPr="00502C75">
        <w:rPr>
          <w:rFonts w:ascii="Cambria" w:hAnsi="Cambria"/>
          <w:b/>
          <w:color w:val="000000" w:themeColor="text1"/>
          <w:sz w:val="20"/>
          <w:szCs w:val="20"/>
        </w:rPr>
        <w:t xml:space="preserve"> 2015-2019.</w:t>
      </w:r>
    </w:p>
    <w:p w14:paraId="771EDEE1" w14:textId="77777777" w:rsidR="00502C75" w:rsidRPr="00502C75" w:rsidRDefault="00502C75" w:rsidP="00405B07">
      <w:pPr>
        <w:ind w:left="1843"/>
        <w:rPr>
          <w:rFonts w:ascii="Cambria" w:hAnsi="Cambria"/>
          <w:b/>
          <w:color w:val="000000" w:themeColor="text1"/>
          <w:sz w:val="20"/>
          <w:szCs w:val="20"/>
        </w:rPr>
      </w:pPr>
    </w:p>
    <w:p w14:paraId="7866229C" w14:textId="77777777" w:rsidR="00405B07" w:rsidRPr="00405B07" w:rsidRDefault="00405B07" w:rsidP="00405B07">
      <w:pPr>
        <w:ind w:firstLine="720"/>
        <w:jc w:val="both"/>
        <w:rPr>
          <w:rFonts w:ascii="Cambria" w:hAnsi="Cambria"/>
          <w:sz w:val="20"/>
          <w:szCs w:val="20"/>
        </w:rPr>
      </w:pPr>
      <w:r w:rsidRPr="00405B07">
        <w:rPr>
          <w:rFonts w:ascii="Cambria" w:hAnsi="Cambria"/>
          <w:sz w:val="20"/>
          <w:szCs w:val="20"/>
        </w:rPr>
        <w:t>Based on Table 1, it is known that the number of customers of Islamic Bank third party funds increased from 2015-2019. But the percentage growth rate has decreased in the last five years. In 2015 towards 2016 the percentage of customer growth was 25.47%. But in 2017 there was a significant decline, namely 17.10%. Furthermore, in 2018 the growth in the number of third-party fund customers also decreased from the previous year, which was 12.10%. Until the end of 2019, the percentage of customer growth was 12.07%. In the last five years, the percentage growth of third-party fund customers has decreased significantly.</w:t>
      </w:r>
    </w:p>
    <w:p w14:paraId="026FFF2E" w14:textId="2C5FE492" w:rsidR="009D5576" w:rsidRPr="00405B07" w:rsidRDefault="00405B07" w:rsidP="00405B07">
      <w:pPr>
        <w:spacing w:after="160"/>
        <w:ind w:firstLine="720"/>
        <w:jc w:val="both"/>
        <w:rPr>
          <w:rFonts w:ascii="Cambria" w:eastAsiaTheme="minorHAnsi" w:hAnsi="Cambria"/>
          <w:sz w:val="20"/>
          <w:szCs w:val="20"/>
        </w:rPr>
      </w:pPr>
      <w:r w:rsidRPr="00405B07">
        <w:rPr>
          <w:rFonts w:ascii="Cambria" w:hAnsi="Cambria"/>
          <w:sz w:val="20"/>
          <w:szCs w:val="20"/>
        </w:rPr>
        <w:t xml:space="preserve">The study conducted </w:t>
      </w:r>
      <w:r w:rsidRPr="00405B07">
        <w:rPr>
          <w:rFonts w:ascii="Cambria" w:hAnsi="Cambria"/>
          <w:sz w:val="20"/>
          <w:szCs w:val="20"/>
        </w:rPr>
        <w:fldChar w:fldCharType="begin" w:fldLock="1"/>
      </w:r>
      <w:r w:rsidRPr="00405B07">
        <w:rPr>
          <w:rFonts w:ascii="Cambria" w:hAnsi="Cambria"/>
          <w:sz w:val="20"/>
          <w:szCs w:val="20"/>
        </w:rPr>
        <w:instrText>ADDIN CSL_CITATION {"citationItems":[{"id":"ITEM-1","itemData":{"author":[{"dropping-particle":"","family":"Ratih","given":"Fatmawati ; Handayani Jati","non-dropping-particle":"","parse-names":false,"suffix":""}],"id":"ITEM-1","issued":{"date-parts":[["2015"]]},"page":"1-20","title":"Analisis pengaruh kualitas pelayanan, kualitas produk, kepercayaan, dan nilai nasabah terhadap","type":"article-journal","volume":"5"},"uris":["http://www.mendeley.com/documents/?uuid=9826cf2d-f164-488b-b21f-7fe378be07ec"]}],"mendeley":{"formattedCitation":"(Ratih, 2015)","plainTextFormattedCitation":"(Ratih, 2015)","previouslyFormattedCitation":"(Ratih, 2015)"},"properties":{"noteIndex":0},"schema":"https://github.com/citation-style-language/schema/raw/master/csl-citation.json"}</w:instrText>
      </w:r>
      <w:r w:rsidRPr="00405B07">
        <w:rPr>
          <w:rFonts w:ascii="Cambria" w:hAnsi="Cambria"/>
          <w:sz w:val="20"/>
          <w:szCs w:val="20"/>
        </w:rPr>
        <w:fldChar w:fldCharType="separate"/>
      </w:r>
      <w:r w:rsidRPr="00405B07">
        <w:rPr>
          <w:rFonts w:ascii="Cambria" w:hAnsi="Cambria"/>
          <w:noProof/>
          <w:sz w:val="20"/>
          <w:szCs w:val="20"/>
        </w:rPr>
        <w:t>Ratih (2015)</w:t>
      </w:r>
      <w:r w:rsidRPr="00405B07">
        <w:rPr>
          <w:rFonts w:ascii="Cambria" w:hAnsi="Cambria"/>
          <w:sz w:val="20"/>
          <w:szCs w:val="20"/>
        </w:rPr>
        <w:fldChar w:fldCharType="end"/>
      </w:r>
      <w:r w:rsidRPr="00405B07">
        <w:rPr>
          <w:rFonts w:ascii="Cambria" w:hAnsi="Cambria"/>
          <w:sz w:val="20"/>
          <w:szCs w:val="20"/>
        </w:rPr>
        <w:t xml:space="preserve"> states that the effort to increase the number of third party fund customers that is usually carried out by Islamic Banks is by doing massive marketing in acquiring new customers. In fact, maintaining existing customers will provide more benefits. Therefore, Islamic Banks are </w:t>
      </w:r>
      <w:r w:rsidRPr="00405B07">
        <w:rPr>
          <w:rFonts w:ascii="Cambria" w:hAnsi="Cambria"/>
          <w:sz w:val="20"/>
          <w:szCs w:val="20"/>
        </w:rPr>
        <w:lastRenderedPageBreak/>
        <w:t>deemed necessary to increase efforts to increase the percentage growth in the number of customers of third-party funds.</w:t>
      </w:r>
    </w:p>
    <w:p w14:paraId="1D9D4634" w14:textId="77777777" w:rsidR="00B35125" w:rsidRPr="00B136FE" w:rsidRDefault="00B35125" w:rsidP="006F084E">
      <w:pPr>
        <w:ind w:firstLine="567"/>
        <w:jc w:val="both"/>
        <w:rPr>
          <w:rFonts w:ascii="Book Antiqua" w:hAnsi="Book Antiqua"/>
        </w:rPr>
      </w:pPr>
    </w:p>
    <w:p w14:paraId="359AFF1A" w14:textId="77777777" w:rsidR="00B136FE" w:rsidRPr="00405B07" w:rsidRDefault="009D5576" w:rsidP="00405B07">
      <w:pPr>
        <w:rPr>
          <w:rFonts w:cstheme="minorHAnsi"/>
          <w:b/>
        </w:rPr>
      </w:pPr>
      <w:r w:rsidRPr="00405B07">
        <w:rPr>
          <w:rFonts w:cstheme="minorHAnsi"/>
          <w:b/>
        </w:rPr>
        <w:t>Method, Data, and Analysis</w:t>
      </w:r>
    </w:p>
    <w:p w14:paraId="2BB60DB4" w14:textId="77777777" w:rsidR="00FD20B9" w:rsidRPr="00FD20B9" w:rsidRDefault="00FD20B9" w:rsidP="00FD20B9">
      <w:pPr>
        <w:ind w:firstLine="720"/>
        <w:jc w:val="both"/>
        <w:rPr>
          <w:rFonts w:ascii="Cambria" w:hAnsi="Cambria" w:cstheme="minorHAnsi"/>
          <w:sz w:val="20"/>
          <w:szCs w:val="20"/>
        </w:rPr>
      </w:pPr>
      <w:r w:rsidRPr="00FD20B9">
        <w:rPr>
          <w:rFonts w:ascii="Cambria" w:hAnsi="Cambria" w:cstheme="minorHAnsi"/>
          <w:sz w:val="20"/>
          <w:szCs w:val="20"/>
        </w:rPr>
        <w:t xml:space="preserve">This study uses a quantitative research approach that examines the effect of Trust, Brand Image on Customer Retention with Customer Loyalty as an intervening variable. According to </w:t>
      </w:r>
      <w:proofErr w:type="spellStart"/>
      <w:r w:rsidRPr="00FD20B9">
        <w:rPr>
          <w:rFonts w:ascii="Cambria" w:hAnsi="Cambria" w:cstheme="minorHAnsi"/>
          <w:sz w:val="20"/>
          <w:szCs w:val="20"/>
        </w:rPr>
        <w:t>Sugiyono</w:t>
      </w:r>
      <w:proofErr w:type="spellEnd"/>
      <w:r w:rsidRPr="00FD20B9">
        <w:rPr>
          <w:rFonts w:ascii="Cambria" w:hAnsi="Cambria" w:cstheme="minorHAnsi"/>
          <w:sz w:val="20"/>
          <w:szCs w:val="20"/>
        </w:rPr>
        <w:t xml:space="preserve"> (2017), intervening variables are defined as variables that can theoretically affect the relationship between the independent variable and the dependent variable into an indirect relationship. The intervening variable in this study is the Customer Loyalty variable.</w:t>
      </w:r>
    </w:p>
    <w:p w14:paraId="02388EA2" w14:textId="77777777" w:rsidR="00FD20B9" w:rsidRPr="00FD20B9" w:rsidRDefault="00FD20B9" w:rsidP="00FD20B9">
      <w:pPr>
        <w:ind w:firstLine="720"/>
        <w:jc w:val="both"/>
        <w:rPr>
          <w:rFonts w:ascii="Cambria" w:hAnsi="Cambria" w:cstheme="minorHAnsi"/>
          <w:sz w:val="20"/>
          <w:szCs w:val="20"/>
        </w:rPr>
      </w:pPr>
      <w:r w:rsidRPr="00FD20B9">
        <w:rPr>
          <w:rFonts w:ascii="Cambria" w:hAnsi="Cambria" w:cstheme="minorHAnsi"/>
          <w:sz w:val="20"/>
          <w:szCs w:val="20"/>
        </w:rPr>
        <w:t>The population in this study were all third-party fund customers of Islamic Commercial Banks. The sample technique in this study using purposive sampling. According to Ferdinand (2014), this objective sample selection was carried out because researchers had understood that the information needed could be obtained from one particular group. While the sample used in this study were 100 third-party fund customers of Islamic Commercial Banks.</w:t>
      </w:r>
    </w:p>
    <w:p w14:paraId="4EC480F7" w14:textId="77777777" w:rsidR="00FD20B9" w:rsidRPr="00FD20B9" w:rsidRDefault="00FD20B9" w:rsidP="00FD20B9">
      <w:pPr>
        <w:ind w:firstLine="720"/>
        <w:jc w:val="both"/>
        <w:rPr>
          <w:rFonts w:ascii="Cambria" w:hAnsi="Cambria" w:cstheme="minorHAnsi"/>
          <w:sz w:val="20"/>
          <w:szCs w:val="20"/>
        </w:rPr>
      </w:pPr>
      <w:r w:rsidRPr="00FD20B9">
        <w:rPr>
          <w:rFonts w:ascii="Cambria" w:hAnsi="Cambria" w:cstheme="minorHAnsi"/>
          <w:sz w:val="20"/>
          <w:szCs w:val="20"/>
        </w:rPr>
        <w:t xml:space="preserve">The primary data in this study is a questionnaire given to third party fund customers of Islamic Commercial Banks. The questionnaire was given via google form. The data measurement technique uses a Likert scale using a number arrangement 1-5. According to </w:t>
      </w:r>
      <w:proofErr w:type="spellStart"/>
      <w:r w:rsidRPr="00FD20B9">
        <w:rPr>
          <w:rFonts w:ascii="Cambria" w:hAnsi="Cambria" w:cstheme="minorHAnsi"/>
          <w:sz w:val="20"/>
          <w:szCs w:val="20"/>
        </w:rPr>
        <w:t>Sugiyono</w:t>
      </w:r>
      <w:proofErr w:type="spellEnd"/>
      <w:r w:rsidRPr="00FD20B9">
        <w:rPr>
          <w:rFonts w:ascii="Cambria" w:hAnsi="Cambria" w:cstheme="minorHAnsi"/>
          <w:sz w:val="20"/>
          <w:szCs w:val="20"/>
        </w:rPr>
        <w:t xml:space="preserve"> (2017), category 1 strongly disagrees, 2 disagrees, 3 disagrees, 4 agrees and 5 strongly agrees.</w:t>
      </w:r>
    </w:p>
    <w:p w14:paraId="639472B3" w14:textId="77777777" w:rsidR="00FD20B9" w:rsidRPr="00FD20B9" w:rsidRDefault="00FD20B9" w:rsidP="00FD20B9">
      <w:pPr>
        <w:ind w:firstLine="720"/>
        <w:jc w:val="both"/>
        <w:rPr>
          <w:rFonts w:ascii="Cambria" w:hAnsi="Cambria" w:cstheme="minorHAnsi"/>
          <w:sz w:val="20"/>
          <w:szCs w:val="20"/>
        </w:rPr>
      </w:pPr>
      <w:r w:rsidRPr="00FD20B9">
        <w:rPr>
          <w:rFonts w:ascii="Cambria" w:hAnsi="Cambria" w:cstheme="minorHAnsi"/>
          <w:sz w:val="20"/>
          <w:szCs w:val="20"/>
        </w:rPr>
        <w:t xml:space="preserve">The data analysis technique used in this study was Structural Equation Model (SEM) using a path analysis program. Through testing the outer model and inner model. Outer model test validity and reliability tests. The validity test was measured using convergent validity and discriminant validity. While the reliability of the test is measured by composite reliability and also </w:t>
      </w:r>
      <w:proofErr w:type="spellStart"/>
      <w:r w:rsidRPr="00FD20B9">
        <w:rPr>
          <w:rFonts w:ascii="Cambria" w:hAnsi="Cambria" w:cstheme="minorHAnsi"/>
          <w:sz w:val="20"/>
          <w:szCs w:val="20"/>
        </w:rPr>
        <w:t>cronbach</w:t>
      </w:r>
      <w:proofErr w:type="spellEnd"/>
      <w:r w:rsidRPr="00FD20B9">
        <w:rPr>
          <w:rFonts w:ascii="Cambria" w:hAnsi="Cambria" w:cstheme="minorHAnsi"/>
          <w:sz w:val="20"/>
          <w:szCs w:val="20"/>
        </w:rPr>
        <w:t xml:space="preserve"> alpha. While the inner model test is measured using the R</w:t>
      </w:r>
      <w:r w:rsidRPr="00FD20B9">
        <w:rPr>
          <w:rFonts w:ascii="Cambria" w:hAnsi="Cambria" w:cstheme="minorHAnsi"/>
          <w:sz w:val="20"/>
          <w:szCs w:val="20"/>
          <w:vertAlign w:val="superscript"/>
        </w:rPr>
        <w:t>2</w:t>
      </w:r>
      <w:r w:rsidRPr="00FD20B9">
        <w:rPr>
          <w:rFonts w:ascii="Cambria" w:hAnsi="Cambria" w:cstheme="minorHAnsi"/>
          <w:sz w:val="20"/>
          <w:szCs w:val="20"/>
        </w:rPr>
        <w:t xml:space="preserve"> test which is a goodness fit model test and is also measured using the statistical t test with a significance level (α = 5%). The regression equation in this study is as follows:</w:t>
      </w:r>
    </w:p>
    <w:p w14:paraId="51012E3E" w14:textId="77777777" w:rsidR="00FD20B9" w:rsidRPr="00FD20B9" w:rsidRDefault="00FD20B9" w:rsidP="00FD20B9">
      <w:pPr>
        <w:jc w:val="center"/>
        <w:rPr>
          <w:rFonts w:ascii="Cambria" w:hAnsi="Cambria" w:cstheme="minorHAnsi"/>
          <w:b/>
          <w:sz w:val="20"/>
          <w:szCs w:val="20"/>
        </w:rPr>
      </w:pPr>
      <w:r w:rsidRPr="00FD20B9">
        <w:rPr>
          <w:rFonts w:ascii="Cambria" w:hAnsi="Cambria" w:cstheme="minorHAnsi"/>
          <w:b/>
          <w:sz w:val="20"/>
          <w:szCs w:val="20"/>
        </w:rPr>
        <w:t xml:space="preserve">Y1 = </w:t>
      </w:r>
      <w:r w:rsidRPr="00FD20B9">
        <w:rPr>
          <w:rFonts w:ascii="Cambria Math" w:eastAsia="Cambria Math" w:hAnsi="Cambria Math" w:cs="Cambria Math"/>
          <w:b/>
          <w:sz w:val="20"/>
          <w:szCs w:val="20"/>
        </w:rPr>
        <w:t>𝛽</w:t>
      </w:r>
      <w:r w:rsidRPr="00FD20B9">
        <w:rPr>
          <w:rFonts w:ascii="Cambria" w:hAnsi="Cambria" w:cstheme="minorHAnsi"/>
          <w:b/>
          <w:sz w:val="20"/>
          <w:szCs w:val="20"/>
        </w:rPr>
        <w:t xml:space="preserve">1 X1 + </w:t>
      </w:r>
      <w:r w:rsidRPr="00FD20B9">
        <w:rPr>
          <w:rFonts w:ascii="Cambria Math" w:eastAsia="Cambria Math" w:hAnsi="Cambria Math" w:cs="Cambria Math"/>
          <w:b/>
          <w:sz w:val="20"/>
          <w:szCs w:val="20"/>
        </w:rPr>
        <w:t>𝛽</w:t>
      </w:r>
      <w:r w:rsidRPr="00FD20B9">
        <w:rPr>
          <w:rFonts w:ascii="Cambria" w:hAnsi="Cambria" w:cstheme="minorHAnsi"/>
          <w:b/>
          <w:sz w:val="20"/>
          <w:szCs w:val="20"/>
        </w:rPr>
        <w:t>2 X2 + e1.</w:t>
      </w:r>
    </w:p>
    <w:p w14:paraId="3557EBF9" w14:textId="77777777" w:rsidR="00FD20B9" w:rsidRPr="00FD20B9" w:rsidRDefault="00FD20B9" w:rsidP="00FD20B9">
      <w:pPr>
        <w:jc w:val="center"/>
        <w:rPr>
          <w:rFonts w:ascii="Cambria" w:hAnsi="Cambria" w:cstheme="minorHAnsi"/>
          <w:b/>
          <w:sz w:val="20"/>
          <w:szCs w:val="20"/>
        </w:rPr>
      </w:pPr>
      <w:r w:rsidRPr="00FD20B9">
        <w:rPr>
          <w:rFonts w:ascii="Cambria" w:hAnsi="Cambria" w:cstheme="minorHAnsi"/>
          <w:b/>
          <w:sz w:val="20"/>
          <w:szCs w:val="20"/>
        </w:rPr>
        <w:t xml:space="preserve">Y2 = </w:t>
      </w:r>
      <w:r w:rsidRPr="00FD20B9">
        <w:rPr>
          <w:rFonts w:ascii="Cambria Math" w:eastAsia="Cambria Math" w:hAnsi="Cambria Math" w:cs="Cambria Math"/>
          <w:b/>
          <w:sz w:val="20"/>
          <w:szCs w:val="20"/>
        </w:rPr>
        <w:t>𝛽</w:t>
      </w:r>
      <w:r w:rsidRPr="00FD20B9">
        <w:rPr>
          <w:rFonts w:ascii="Cambria" w:hAnsi="Cambria" w:cstheme="minorHAnsi"/>
          <w:b/>
          <w:sz w:val="20"/>
          <w:szCs w:val="20"/>
        </w:rPr>
        <w:t xml:space="preserve">1 X1 + </w:t>
      </w:r>
      <w:r w:rsidRPr="00FD20B9">
        <w:rPr>
          <w:rFonts w:ascii="Cambria Math" w:eastAsia="Cambria Math" w:hAnsi="Cambria Math" w:cs="Cambria Math"/>
          <w:b/>
          <w:sz w:val="20"/>
          <w:szCs w:val="20"/>
        </w:rPr>
        <w:t>𝛽</w:t>
      </w:r>
      <w:r w:rsidRPr="00FD20B9">
        <w:rPr>
          <w:rFonts w:ascii="Cambria" w:hAnsi="Cambria" w:cstheme="minorHAnsi"/>
          <w:b/>
          <w:sz w:val="20"/>
          <w:szCs w:val="20"/>
        </w:rPr>
        <w:t xml:space="preserve">2 X2 + </w:t>
      </w:r>
      <w:r w:rsidRPr="00FD20B9">
        <w:rPr>
          <w:rFonts w:ascii="Cambria Math" w:eastAsia="Cambria Math" w:hAnsi="Cambria Math" w:cs="Cambria Math"/>
          <w:b/>
          <w:sz w:val="20"/>
          <w:szCs w:val="20"/>
        </w:rPr>
        <w:t>𝛽</w:t>
      </w:r>
      <w:r w:rsidRPr="00FD20B9">
        <w:rPr>
          <w:rFonts w:ascii="Cambria" w:hAnsi="Cambria" w:cstheme="minorHAnsi"/>
          <w:b/>
          <w:sz w:val="20"/>
          <w:szCs w:val="20"/>
        </w:rPr>
        <w:t>3Y1 + e2.</w:t>
      </w:r>
    </w:p>
    <w:p w14:paraId="09047512" w14:textId="77777777" w:rsidR="00FD20B9" w:rsidRPr="00FD20B9" w:rsidRDefault="00FD20B9" w:rsidP="00FD20B9">
      <w:pPr>
        <w:jc w:val="center"/>
        <w:rPr>
          <w:rFonts w:ascii="Cambria" w:hAnsi="Cambria" w:cstheme="minorHAnsi"/>
          <w:b/>
          <w:sz w:val="20"/>
          <w:szCs w:val="20"/>
        </w:rPr>
      </w:pPr>
    </w:p>
    <w:p w14:paraId="0B0BDD34" w14:textId="77777777" w:rsidR="00FD20B9" w:rsidRPr="00FD20B9" w:rsidRDefault="00FD20B9" w:rsidP="00FD20B9">
      <w:pPr>
        <w:jc w:val="both"/>
        <w:rPr>
          <w:rFonts w:ascii="Cambria" w:hAnsi="Cambria" w:cstheme="minorHAnsi"/>
          <w:sz w:val="20"/>
          <w:szCs w:val="20"/>
        </w:rPr>
      </w:pPr>
      <w:r w:rsidRPr="00FD20B9">
        <w:rPr>
          <w:rFonts w:ascii="Cambria" w:hAnsi="Cambria" w:cstheme="minorHAnsi"/>
          <w:sz w:val="20"/>
          <w:szCs w:val="20"/>
        </w:rPr>
        <w:t>Information:</w:t>
      </w:r>
    </w:p>
    <w:p w14:paraId="6131C711" w14:textId="77777777" w:rsidR="00FD20B9" w:rsidRPr="00FD20B9" w:rsidRDefault="00FD20B9" w:rsidP="00FD20B9">
      <w:pPr>
        <w:jc w:val="both"/>
        <w:rPr>
          <w:rFonts w:ascii="Cambria" w:hAnsi="Cambria" w:cstheme="minorHAnsi"/>
          <w:sz w:val="20"/>
          <w:szCs w:val="20"/>
        </w:rPr>
      </w:pPr>
      <w:r w:rsidRPr="00FD20B9">
        <w:rPr>
          <w:rFonts w:ascii="Cambria Math" w:eastAsia="Cambria Math" w:hAnsi="Cambria Math" w:cs="Cambria Math"/>
          <w:sz w:val="20"/>
          <w:szCs w:val="20"/>
        </w:rPr>
        <w:t>𝛽</w:t>
      </w:r>
      <w:r w:rsidRPr="00FD20B9">
        <w:rPr>
          <w:rFonts w:ascii="Cambria" w:hAnsi="Cambria" w:cstheme="minorHAnsi"/>
          <w:sz w:val="20"/>
          <w:szCs w:val="20"/>
        </w:rPr>
        <w:t>1: Trust Regression Coefficient.</w:t>
      </w:r>
    </w:p>
    <w:p w14:paraId="4DAEB356" w14:textId="77777777" w:rsidR="00FD20B9" w:rsidRPr="00FD20B9" w:rsidRDefault="00FD20B9" w:rsidP="00FD20B9">
      <w:pPr>
        <w:jc w:val="both"/>
        <w:rPr>
          <w:rFonts w:ascii="Cambria" w:hAnsi="Cambria" w:cstheme="minorHAnsi"/>
          <w:sz w:val="20"/>
          <w:szCs w:val="20"/>
        </w:rPr>
      </w:pPr>
      <w:r w:rsidRPr="00FD20B9">
        <w:rPr>
          <w:rFonts w:ascii="Cambria Math" w:eastAsia="Cambria Math" w:hAnsi="Cambria Math" w:cs="Cambria Math"/>
          <w:sz w:val="20"/>
          <w:szCs w:val="20"/>
        </w:rPr>
        <w:t>𝛽</w:t>
      </w:r>
      <w:r w:rsidRPr="00FD20B9">
        <w:rPr>
          <w:rFonts w:ascii="Cambria" w:hAnsi="Cambria" w:cstheme="minorHAnsi"/>
          <w:sz w:val="20"/>
          <w:szCs w:val="20"/>
        </w:rPr>
        <w:t>2: Brand Image Regression Coefficient.</w:t>
      </w:r>
    </w:p>
    <w:p w14:paraId="4222D41E" w14:textId="77777777" w:rsidR="00FD20B9" w:rsidRPr="00FD20B9" w:rsidRDefault="00FD20B9" w:rsidP="00FD20B9">
      <w:pPr>
        <w:jc w:val="both"/>
        <w:rPr>
          <w:rFonts w:ascii="Cambria" w:hAnsi="Cambria" w:cstheme="minorHAnsi"/>
          <w:sz w:val="20"/>
          <w:szCs w:val="20"/>
        </w:rPr>
      </w:pPr>
      <w:r w:rsidRPr="00FD20B9">
        <w:rPr>
          <w:rFonts w:ascii="Cambria Math" w:eastAsia="Cambria Math" w:hAnsi="Cambria Math" w:cs="Cambria Math"/>
          <w:sz w:val="20"/>
          <w:szCs w:val="20"/>
        </w:rPr>
        <w:t>𝛽</w:t>
      </w:r>
      <w:r w:rsidRPr="00FD20B9">
        <w:rPr>
          <w:rFonts w:ascii="Cambria" w:hAnsi="Cambria" w:cstheme="minorHAnsi"/>
          <w:sz w:val="20"/>
          <w:szCs w:val="20"/>
        </w:rPr>
        <w:t>3: Customer Loyalty Regression Coefficient.</w:t>
      </w:r>
    </w:p>
    <w:p w14:paraId="4D304FA0" w14:textId="77777777" w:rsidR="00FD20B9" w:rsidRPr="00FD20B9" w:rsidRDefault="00FD20B9" w:rsidP="00FD20B9">
      <w:pPr>
        <w:jc w:val="both"/>
        <w:rPr>
          <w:rFonts w:ascii="Cambria" w:hAnsi="Cambria" w:cstheme="minorHAnsi"/>
          <w:sz w:val="20"/>
          <w:szCs w:val="20"/>
        </w:rPr>
      </w:pPr>
      <w:r w:rsidRPr="00FD20B9">
        <w:rPr>
          <w:rFonts w:ascii="Cambria" w:hAnsi="Cambria" w:cstheme="minorHAnsi"/>
          <w:sz w:val="20"/>
          <w:szCs w:val="20"/>
        </w:rPr>
        <w:t>X1: Trust.</w:t>
      </w:r>
    </w:p>
    <w:p w14:paraId="516B86F7" w14:textId="77777777" w:rsidR="00FD20B9" w:rsidRPr="00FD20B9" w:rsidRDefault="00FD20B9" w:rsidP="00FD20B9">
      <w:pPr>
        <w:jc w:val="both"/>
        <w:rPr>
          <w:rFonts w:ascii="Cambria" w:hAnsi="Cambria" w:cstheme="minorHAnsi"/>
          <w:sz w:val="20"/>
          <w:szCs w:val="20"/>
        </w:rPr>
      </w:pPr>
      <w:r w:rsidRPr="00FD20B9">
        <w:rPr>
          <w:rFonts w:ascii="Cambria" w:hAnsi="Cambria" w:cstheme="minorHAnsi"/>
          <w:sz w:val="20"/>
          <w:szCs w:val="20"/>
        </w:rPr>
        <w:t>X2: Brand Image.</w:t>
      </w:r>
    </w:p>
    <w:p w14:paraId="25258367" w14:textId="77777777" w:rsidR="00FD20B9" w:rsidRPr="00FD20B9" w:rsidRDefault="00FD20B9" w:rsidP="00FD20B9">
      <w:pPr>
        <w:jc w:val="both"/>
        <w:rPr>
          <w:rFonts w:ascii="Cambria" w:hAnsi="Cambria" w:cstheme="minorHAnsi"/>
          <w:sz w:val="20"/>
          <w:szCs w:val="20"/>
        </w:rPr>
      </w:pPr>
      <w:r w:rsidRPr="00FD20B9">
        <w:rPr>
          <w:rFonts w:ascii="Cambria" w:hAnsi="Cambria" w:cstheme="minorHAnsi"/>
          <w:sz w:val="20"/>
          <w:szCs w:val="20"/>
        </w:rPr>
        <w:t>Y1: Customer Loyalty.</w:t>
      </w:r>
    </w:p>
    <w:p w14:paraId="2B2EDFCF" w14:textId="77777777" w:rsidR="00FD20B9" w:rsidRPr="00FD20B9" w:rsidRDefault="00FD20B9" w:rsidP="00FD20B9">
      <w:pPr>
        <w:jc w:val="both"/>
        <w:rPr>
          <w:rFonts w:ascii="Cambria" w:hAnsi="Cambria" w:cstheme="minorHAnsi"/>
          <w:sz w:val="20"/>
          <w:szCs w:val="20"/>
        </w:rPr>
      </w:pPr>
      <w:r w:rsidRPr="00FD20B9">
        <w:rPr>
          <w:rFonts w:ascii="Cambria" w:hAnsi="Cambria" w:cstheme="minorHAnsi"/>
          <w:sz w:val="20"/>
          <w:szCs w:val="20"/>
        </w:rPr>
        <w:t>Y2: Customer Retention.</w:t>
      </w:r>
    </w:p>
    <w:p w14:paraId="404CD66D" w14:textId="77777777" w:rsidR="00FD20B9" w:rsidRPr="00FD20B9" w:rsidRDefault="00FD20B9" w:rsidP="00FD20B9">
      <w:pPr>
        <w:jc w:val="both"/>
        <w:rPr>
          <w:rFonts w:ascii="Cambria" w:hAnsi="Cambria" w:cstheme="minorHAnsi"/>
          <w:sz w:val="20"/>
          <w:szCs w:val="20"/>
        </w:rPr>
      </w:pPr>
      <w:r w:rsidRPr="00FD20B9">
        <w:rPr>
          <w:rFonts w:ascii="Cambria" w:hAnsi="Cambria" w:cstheme="minorHAnsi"/>
          <w:sz w:val="20"/>
          <w:szCs w:val="20"/>
        </w:rPr>
        <w:t>e1: Error.</w:t>
      </w:r>
    </w:p>
    <w:p w14:paraId="5ECADF59" w14:textId="77777777" w:rsidR="00FD20B9" w:rsidRPr="00FD20B9" w:rsidRDefault="00FD20B9" w:rsidP="00FD20B9">
      <w:pPr>
        <w:jc w:val="both"/>
        <w:rPr>
          <w:rFonts w:ascii="Cambria" w:hAnsi="Cambria" w:cstheme="minorHAnsi"/>
          <w:sz w:val="20"/>
          <w:szCs w:val="20"/>
        </w:rPr>
      </w:pPr>
      <w:r w:rsidRPr="00FD20B9">
        <w:rPr>
          <w:rFonts w:ascii="Cambria" w:hAnsi="Cambria" w:cstheme="minorHAnsi"/>
          <w:sz w:val="20"/>
          <w:szCs w:val="20"/>
        </w:rPr>
        <w:t>e2: Error.</w:t>
      </w:r>
    </w:p>
    <w:p w14:paraId="7BB7D5DE" w14:textId="77777777" w:rsidR="00FD20B9" w:rsidRDefault="00FD20B9" w:rsidP="00FD20B9">
      <w:pPr>
        <w:spacing w:before="120" w:after="120"/>
        <w:jc w:val="both"/>
      </w:pPr>
    </w:p>
    <w:p w14:paraId="32C7E176" w14:textId="48583A0D" w:rsidR="009D5576" w:rsidRPr="00FD20B9" w:rsidRDefault="009D5576" w:rsidP="00FD20B9">
      <w:pPr>
        <w:spacing w:before="120" w:after="120"/>
        <w:jc w:val="both"/>
        <w:rPr>
          <w:rFonts w:cstheme="minorHAnsi"/>
          <w:b/>
        </w:rPr>
      </w:pPr>
      <w:r w:rsidRPr="00FD20B9">
        <w:rPr>
          <w:rFonts w:cstheme="minorHAnsi"/>
          <w:b/>
          <w:color w:val="000000"/>
        </w:rPr>
        <w:t>Results</w:t>
      </w:r>
    </w:p>
    <w:p w14:paraId="4AD89B08" w14:textId="77777777" w:rsidR="00FD20B9" w:rsidRPr="00FD20B9" w:rsidRDefault="00FD20B9" w:rsidP="00FD20B9">
      <w:pPr>
        <w:ind w:firstLine="567"/>
        <w:jc w:val="both"/>
        <w:rPr>
          <w:rFonts w:ascii="Cambria" w:eastAsiaTheme="majorEastAsia" w:hAnsi="Cambria"/>
          <w:b/>
          <w:color w:val="000000" w:themeColor="text1"/>
          <w:sz w:val="20"/>
          <w:szCs w:val="20"/>
        </w:rPr>
      </w:pPr>
      <w:r w:rsidRPr="00FD20B9">
        <w:rPr>
          <w:rFonts w:ascii="Cambria" w:hAnsi="Cambria"/>
          <w:sz w:val="20"/>
          <w:szCs w:val="20"/>
        </w:rPr>
        <w:t xml:space="preserve">Measurement of the outer model measured by validity and reliability tests. The validity test is measured by convergent validity. While the reliability test is measured by composite reliability. The indicator is said to be valid if the loading factor value is more than 0.5 or the statistical T value is greater than T table 1.96 (α = 5%). Trust indicators consist of: meetings (X1.1), customers are the top priority (X1.2), communication (X1.3), customers receive favorable services (X1.4), loyal customers use services and services at Sharia Bank (X1.5). The results of the convergent validity test, which consists of 5 trust indicators, have a loading factor value of more than 0.5 and the statistical T value of all indicators is greater than the T table value of 1.96. So that the Trust indicator is declared </w:t>
      </w:r>
      <w:proofErr w:type="spellStart"/>
      <w:r w:rsidRPr="00FD20B9">
        <w:rPr>
          <w:rFonts w:ascii="Cambria" w:hAnsi="Cambria"/>
          <w:sz w:val="20"/>
          <w:szCs w:val="20"/>
        </w:rPr>
        <w:t>valid.The</w:t>
      </w:r>
      <w:proofErr w:type="spellEnd"/>
      <w:r w:rsidRPr="00FD20B9">
        <w:rPr>
          <w:rFonts w:ascii="Cambria" w:hAnsi="Cambria"/>
          <w:sz w:val="20"/>
          <w:szCs w:val="20"/>
        </w:rPr>
        <w:t xml:space="preserve"> results of the composite reliability test showed satisfactory results of 0.863. This means that the Trust construct can provide relatively the same results when re-measured on the same subject.</w:t>
      </w:r>
    </w:p>
    <w:p w14:paraId="72C0579F" w14:textId="77777777" w:rsidR="00FD20B9" w:rsidRPr="00FD20B9" w:rsidRDefault="00FD20B9" w:rsidP="00FD20B9">
      <w:pPr>
        <w:ind w:firstLine="720"/>
        <w:jc w:val="both"/>
        <w:rPr>
          <w:rFonts w:ascii="Cambria" w:hAnsi="Cambria"/>
          <w:sz w:val="20"/>
          <w:szCs w:val="20"/>
        </w:rPr>
      </w:pPr>
      <w:r w:rsidRPr="00FD20B9">
        <w:rPr>
          <w:rFonts w:ascii="Cambria" w:hAnsi="Cambria"/>
          <w:sz w:val="20"/>
          <w:szCs w:val="20"/>
        </w:rPr>
        <w:t xml:space="preserve">Indicator Brand Image consists of: easily recognizable Sharia Bank brand (X2.1), Sharia Bank brand easy to remember (X2.2), good Sharia Bank brand characteristics (X2.3), good Sharia Bank brand image (X2.4), symbol and the logo on Islamic Bank is easy to remember (X2.5). The convergent validity test, which consists of 5 Brand Image indicators, has a loading factor value of more than 0.5 and the statistical T value of all indicators is greater than the T table value of 1.96. So that the Brand Image indicator is declared </w:t>
      </w:r>
      <w:proofErr w:type="spellStart"/>
      <w:r w:rsidRPr="00FD20B9">
        <w:rPr>
          <w:rFonts w:ascii="Cambria" w:hAnsi="Cambria"/>
          <w:sz w:val="20"/>
          <w:szCs w:val="20"/>
        </w:rPr>
        <w:t>valid.The</w:t>
      </w:r>
      <w:proofErr w:type="spellEnd"/>
      <w:r w:rsidRPr="00FD20B9">
        <w:rPr>
          <w:rFonts w:ascii="Cambria" w:hAnsi="Cambria"/>
          <w:sz w:val="20"/>
          <w:szCs w:val="20"/>
        </w:rPr>
        <w:t xml:space="preserve"> results of the composite reliability test showed satisfactory results of 0.889. This means that the Brand Image construct can provide relatively the same results when re-measured on the same subject.</w:t>
      </w:r>
    </w:p>
    <w:p w14:paraId="57EE672C" w14:textId="77777777" w:rsidR="00FD20B9" w:rsidRPr="00FD20B9" w:rsidRDefault="00FD20B9" w:rsidP="00FD20B9">
      <w:pPr>
        <w:ind w:firstLine="720"/>
        <w:jc w:val="both"/>
        <w:rPr>
          <w:rFonts w:ascii="Cambria" w:hAnsi="Cambria"/>
          <w:sz w:val="20"/>
          <w:szCs w:val="20"/>
        </w:rPr>
      </w:pPr>
      <w:r w:rsidRPr="00FD20B9">
        <w:rPr>
          <w:rFonts w:ascii="Cambria" w:hAnsi="Cambria"/>
          <w:sz w:val="20"/>
          <w:szCs w:val="20"/>
        </w:rPr>
        <w:t xml:space="preserve">Customer Loyalty indicators consist of: word of mouth (Y1.1), recommending Sharia Banks to families (Y1.2), recommending Sharia Banks to someone who asks for advice (Y1.3), customers returning to using services and services at Sharia Banks ( Y1.4), and the customer will use Islamic Bank in the future (Y1.5). The convergent validity test, which consists of 5 indicators of customer loyalty, has a loading factor value of more than 0.5 and the statistical T value of all indicators is greater than the T table value of 1.96. So that the Customer Loyalty indicator is declared valid. The results of the composite reliability test showed satisfactory results, namely 0.850. This means that the construct of Customer Loyalty can provide relatively the same results when re-measured on the same subject. </w:t>
      </w:r>
    </w:p>
    <w:p w14:paraId="6FF8D8ED" w14:textId="77777777" w:rsidR="00FD20B9" w:rsidRPr="00FD20B9" w:rsidRDefault="00FD20B9" w:rsidP="00FD20B9">
      <w:pPr>
        <w:ind w:firstLine="720"/>
        <w:jc w:val="both"/>
        <w:rPr>
          <w:rFonts w:ascii="Cambria" w:hAnsi="Cambria"/>
          <w:sz w:val="20"/>
          <w:szCs w:val="20"/>
        </w:rPr>
      </w:pPr>
      <w:r w:rsidRPr="00FD20B9">
        <w:rPr>
          <w:rFonts w:ascii="Cambria" w:hAnsi="Cambria"/>
          <w:sz w:val="20"/>
          <w:szCs w:val="20"/>
        </w:rPr>
        <w:t>Customer Retention indicators consist of: meetings (Y2.1), customers are the top priority (Y2.2), communication (Y2.3), profitable service (Y2.4), loyal use of services and services (Y2.5). The convergent validity test, which consists of 5 customer retention indicators, has a loading factor value of more than 0.5 and the statistical T value of all indicators is greater than the T table value of 1.96. So that the customer retention indicator is declared valid. The results of the composite reliability test showed satisfactory results, namely 0.807. This means that the customer retention construct can provide relatively the same results when re-measured on the same subject.</w:t>
      </w:r>
    </w:p>
    <w:p w14:paraId="38A6E30D"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inner model test consists of the t test and R</w:t>
      </w:r>
      <w:r w:rsidRPr="00FD20B9">
        <w:rPr>
          <w:rFonts w:ascii="Cambria" w:hAnsi="Cambria"/>
          <w:sz w:val="20"/>
          <w:szCs w:val="20"/>
          <w:vertAlign w:val="superscript"/>
        </w:rPr>
        <w:t>2</w:t>
      </w:r>
      <w:r w:rsidRPr="00FD20B9">
        <w:rPr>
          <w:rFonts w:ascii="Cambria" w:hAnsi="Cambria"/>
          <w:sz w:val="20"/>
          <w:szCs w:val="20"/>
        </w:rPr>
        <w:t xml:space="preserve"> test. The following is the path analysis model which can be seen in Figure 1. As follows:</w:t>
      </w:r>
    </w:p>
    <w:p w14:paraId="75613360" w14:textId="43CDCD78" w:rsidR="00FD20B9" w:rsidRDefault="00FD20B9" w:rsidP="00FD20B9">
      <w:pPr>
        <w:jc w:val="both"/>
        <w:rPr>
          <w:rFonts w:ascii="Cambria" w:hAnsi="Cambria"/>
          <w:sz w:val="20"/>
          <w:szCs w:val="20"/>
        </w:rPr>
      </w:pPr>
    </w:p>
    <w:p w14:paraId="49503D59" w14:textId="264E677C" w:rsidR="00B37937" w:rsidRDefault="00B37937" w:rsidP="00FD20B9">
      <w:pPr>
        <w:jc w:val="both"/>
        <w:rPr>
          <w:rFonts w:ascii="Cambria" w:hAnsi="Cambria"/>
          <w:sz w:val="20"/>
          <w:szCs w:val="20"/>
        </w:rPr>
      </w:pPr>
    </w:p>
    <w:p w14:paraId="28E4C5F5" w14:textId="77777777" w:rsidR="00B37937" w:rsidRPr="00FD20B9" w:rsidRDefault="00B37937" w:rsidP="00FD20B9">
      <w:pPr>
        <w:jc w:val="both"/>
        <w:rPr>
          <w:rFonts w:ascii="Cambria" w:hAnsi="Cambria"/>
          <w:sz w:val="20"/>
          <w:szCs w:val="20"/>
        </w:rPr>
      </w:pPr>
    </w:p>
    <w:p w14:paraId="2CFCD8EC" w14:textId="77777777" w:rsidR="00FD20B9" w:rsidRPr="00FD20B9" w:rsidRDefault="00FD20B9" w:rsidP="00FD20B9">
      <w:pPr>
        <w:jc w:val="center"/>
        <w:rPr>
          <w:rFonts w:ascii="Cambria" w:hAnsi="Cambria"/>
          <w:b/>
          <w:sz w:val="20"/>
          <w:szCs w:val="20"/>
        </w:rPr>
      </w:pPr>
      <w:r w:rsidRPr="00FD20B9">
        <w:rPr>
          <w:rFonts w:ascii="Cambria" w:hAnsi="Cambria"/>
          <w:b/>
          <w:sz w:val="20"/>
          <w:szCs w:val="20"/>
        </w:rPr>
        <w:t>Figure 1.</w:t>
      </w:r>
    </w:p>
    <w:p w14:paraId="7B1A90B3" w14:textId="77777777" w:rsidR="00FD20B9" w:rsidRPr="00FD20B9" w:rsidRDefault="00FD20B9" w:rsidP="00FD20B9">
      <w:pPr>
        <w:jc w:val="center"/>
        <w:rPr>
          <w:rFonts w:ascii="Cambria" w:hAnsi="Cambria"/>
          <w:b/>
          <w:sz w:val="20"/>
          <w:szCs w:val="20"/>
        </w:rPr>
      </w:pPr>
      <w:r w:rsidRPr="00FD20B9">
        <w:rPr>
          <w:rFonts w:ascii="Cambria" w:hAnsi="Cambria"/>
          <w:b/>
          <w:sz w:val="20"/>
          <w:szCs w:val="20"/>
        </w:rPr>
        <w:t>Path Analysis</w:t>
      </w:r>
    </w:p>
    <w:p w14:paraId="452E215B" w14:textId="77777777" w:rsidR="00FD20B9" w:rsidRPr="00FD20B9" w:rsidRDefault="00FD20B9" w:rsidP="00FD20B9">
      <w:pPr>
        <w:jc w:val="center"/>
        <w:rPr>
          <w:rFonts w:ascii="Cambria" w:hAnsi="Cambria"/>
          <w:b/>
          <w:sz w:val="20"/>
          <w:szCs w:val="20"/>
        </w:rPr>
      </w:pPr>
      <w:r w:rsidRPr="00FD20B9">
        <w:rPr>
          <w:rFonts w:ascii="Cambria" w:eastAsiaTheme="majorEastAsia" w:hAnsi="Cambria"/>
          <w:noProof/>
          <w:color w:val="000000" w:themeColor="text1"/>
          <w:sz w:val="20"/>
          <w:szCs w:val="20"/>
        </w:rPr>
        <w:drawing>
          <wp:inline distT="0" distB="0" distL="0" distR="0" wp14:anchorId="7F5297D4" wp14:editId="1E97A9D0">
            <wp:extent cx="3958590" cy="2040890"/>
            <wp:effectExtent l="0" t="0" r="3810" b="0"/>
            <wp:docPr id="3" name="Picture 3" descr="../../Desktop/Screen%20Shot%202020-02-17%20at%2017.2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20-02-17%20at%2017.25.07.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58590" cy="2040890"/>
                    </a:xfrm>
                    <a:prstGeom prst="rect">
                      <a:avLst/>
                    </a:prstGeom>
                    <a:noFill/>
                    <a:ln>
                      <a:noFill/>
                    </a:ln>
                  </pic:spPr>
                </pic:pic>
              </a:graphicData>
            </a:graphic>
          </wp:inline>
        </w:drawing>
      </w:r>
    </w:p>
    <w:p w14:paraId="15C2837E" w14:textId="77777777" w:rsidR="00FD20B9" w:rsidRPr="00FD20B9" w:rsidRDefault="00FD20B9" w:rsidP="00FD20B9">
      <w:pPr>
        <w:jc w:val="both"/>
        <w:rPr>
          <w:rFonts w:ascii="Cambria" w:hAnsi="Cambria"/>
          <w:b/>
          <w:sz w:val="20"/>
          <w:szCs w:val="20"/>
        </w:rPr>
      </w:pPr>
      <w:r w:rsidRPr="00FD20B9">
        <w:rPr>
          <w:rFonts w:ascii="Cambria" w:hAnsi="Cambria"/>
          <w:b/>
          <w:sz w:val="20"/>
          <w:szCs w:val="20"/>
        </w:rPr>
        <w:t xml:space="preserve"> </w:t>
      </w:r>
    </w:p>
    <w:p w14:paraId="623B2DAC" w14:textId="77777777" w:rsidR="00FD20B9" w:rsidRPr="00FD20B9" w:rsidRDefault="00FD20B9" w:rsidP="00FD20B9">
      <w:pPr>
        <w:jc w:val="both"/>
        <w:rPr>
          <w:rFonts w:ascii="Cambria" w:hAnsi="Cambria"/>
          <w:sz w:val="20"/>
          <w:szCs w:val="20"/>
        </w:rPr>
      </w:pPr>
      <w:r w:rsidRPr="00FD20B9">
        <w:rPr>
          <w:rFonts w:ascii="Cambria" w:hAnsi="Cambria"/>
          <w:sz w:val="20"/>
          <w:szCs w:val="20"/>
        </w:rPr>
        <w:t>The results of the inner model can be seen in Table 2. As follows:</w:t>
      </w:r>
    </w:p>
    <w:p w14:paraId="13540278" w14:textId="77777777" w:rsidR="00FD20B9" w:rsidRPr="00FD20B9" w:rsidRDefault="00FD20B9" w:rsidP="00FD20B9">
      <w:pPr>
        <w:jc w:val="center"/>
        <w:rPr>
          <w:rFonts w:ascii="Cambria" w:hAnsi="Cambria"/>
          <w:b/>
          <w:sz w:val="20"/>
          <w:szCs w:val="20"/>
        </w:rPr>
      </w:pPr>
      <w:r w:rsidRPr="00FD20B9">
        <w:rPr>
          <w:rFonts w:ascii="Cambria" w:hAnsi="Cambria"/>
          <w:b/>
          <w:sz w:val="20"/>
          <w:szCs w:val="20"/>
        </w:rPr>
        <w:t>Table 2.</w:t>
      </w:r>
    </w:p>
    <w:p w14:paraId="18EF670D" w14:textId="3B5A458A" w:rsidR="00FD20B9" w:rsidRPr="00FD20B9" w:rsidRDefault="00FD20B9" w:rsidP="00FD20B9">
      <w:pPr>
        <w:ind w:left="567" w:firstLine="567"/>
        <w:jc w:val="center"/>
        <w:rPr>
          <w:rFonts w:ascii="Cambria" w:hAnsi="Cambria"/>
          <w:b/>
          <w:sz w:val="20"/>
          <w:szCs w:val="20"/>
        </w:rPr>
      </w:pPr>
      <w:r w:rsidRPr="00FD20B9">
        <w:rPr>
          <w:rFonts w:ascii="Cambria" w:hAnsi="Cambria"/>
          <w:b/>
          <w:sz w:val="20"/>
          <w:szCs w:val="20"/>
        </w:rPr>
        <w:t>The Result of Inner Model</w:t>
      </w:r>
    </w:p>
    <w:tbl>
      <w:tblPr>
        <w:tblW w:w="6244" w:type="dxa"/>
        <w:jc w:val="center"/>
        <w:tblLayout w:type="fixed"/>
        <w:tblLook w:val="04A0" w:firstRow="1" w:lastRow="0" w:firstColumn="1" w:lastColumn="0" w:noHBand="0" w:noVBand="1"/>
      </w:tblPr>
      <w:tblGrid>
        <w:gridCol w:w="1558"/>
        <w:gridCol w:w="1284"/>
        <w:gridCol w:w="1138"/>
        <w:gridCol w:w="1263"/>
        <w:gridCol w:w="1001"/>
      </w:tblGrid>
      <w:tr w:rsidR="00FD20B9" w:rsidRPr="00FD20B9" w14:paraId="13BCA6E9" w14:textId="77777777" w:rsidTr="00FD20B9">
        <w:trPr>
          <w:trHeight w:val="481"/>
          <w:jc w:val="center"/>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10CB4"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 </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12AF5" w14:textId="77777777" w:rsidR="00FD20B9" w:rsidRPr="00FD20B9" w:rsidRDefault="00FD20B9" w:rsidP="00FD20B9">
            <w:pPr>
              <w:jc w:val="center"/>
              <w:rPr>
                <w:rFonts w:ascii="Cambria" w:hAnsi="Cambria"/>
                <w:b/>
                <w:iCs/>
                <w:color w:val="000000"/>
                <w:sz w:val="20"/>
                <w:szCs w:val="20"/>
              </w:rPr>
            </w:pPr>
            <w:r w:rsidRPr="00FD20B9">
              <w:rPr>
                <w:rFonts w:ascii="Cambria" w:hAnsi="Cambria"/>
                <w:b/>
                <w:iCs/>
                <w:color w:val="000000"/>
                <w:sz w:val="20"/>
                <w:szCs w:val="20"/>
              </w:rPr>
              <w:t xml:space="preserve">Original </w:t>
            </w:r>
            <w:proofErr w:type="spellStart"/>
            <w:r w:rsidRPr="00FD20B9">
              <w:rPr>
                <w:rFonts w:ascii="Cambria" w:hAnsi="Cambria"/>
                <w:b/>
                <w:iCs/>
                <w:color w:val="000000"/>
                <w:sz w:val="20"/>
                <w:szCs w:val="20"/>
              </w:rPr>
              <w:t>Sampel</w:t>
            </w:r>
            <w:proofErr w:type="spellEnd"/>
            <w:r w:rsidRPr="00FD20B9">
              <w:rPr>
                <w:rFonts w:ascii="Cambria" w:hAnsi="Cambria"/>
                <w:b/>
                <w:iCs/>
                <w:color w:val="000000"/>
                <w:sz w:val="20"/>
                <w:szCs w:val="20"/>
              </w:rPr>
              <w:t xml:space="preserve"> Estimate</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9E379" w14:textId="77777777" w:rsidR="00FD20B9" w:rsidRPr="00FD20B9" w:rsidRDefault="00FD20B9" w:rsidP="00FD20B9">
            <w:pPr>
              <w:jc w:val="center"/>
              <w:rPr>
                <w:rFonts w:ascii="Cambria" w:hAnsi="Cambria"/>
                <w:b/>
                <w:iCs/>
                <w:color w:val="000000"/>
                <w:sz w:val="20"/>
                <w:szCs w:val="20"/>
              </w:rPr>
            </w:pPr>
            <w:r w:rsidRPr="00FD20B9">
              <w:rPr>
                <w:rFonts w:ascii="Cambria" w:hAnsi="Cambria"/>
                <w:b/>
                <w:iCs/>
                <w:color w:val="000000"/>
                <w:sz w:val="20"/>
                <w:szCs w:val="20"/>
              </w:rPr>
              <w:t xml:space="preserve">Mean of </w:t>
            </w:r>
            <w:proofErr w:type="spellStart"/>
            <w:r w:rsidRPr="00FD20B9">
              <w:rPr>
                <w:rFonts w:ascii="Cambria" w:hAnsi="Cambria"/>
                <w:b/>
                <w:iCs/>
                <w:color w:val="000000"/>
                <w:sz w:val="20"/>
                <w:szCs w:val="20"/>
              </w:rPr>
              <w:t>Subsampel</w:t>
            </w:r>
            <w:proofErr w:type="spellEnd"/>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89D6D" w14:textId="77777777" w:rsidR="00FD20B9" w:rsidRPr="00FD20B9" w:rsidRDefault="00FD20B9" w:rsidP="00FD20B9">
            <w:pPr>
              <w:jc w:val="center"/>
              <w:rPr>
                <w:rFonts w:ascii="Cambria" w:hAnsi="Cambria"/>
                <w:b/>
                <w:iCs/>
                <w:color w:val="000000"/>
                <w:sz w:val="20"/>
                <w:szCs w:val="20"/>
              </w:rPr>
            </w:pPr>
            <w:proofErr w:type="spellStart"/>
            <w:r w:rsidRPr="00FD20B9">
              <w:rPr>
                <w:rFonts w:ascii="Cambria" w:hAnsi="Cambria"/>
                <w:b/>
                <w:iCs/>
                <w:color w:val="000000"/>
                <w:sz w:val="20"/>
                <w:szCs w:val="20"/>
              </w:rPr>
              <w:t>Standart</w:t>
            </w:r>
            <w:proofErr w:type="spellEnd"/>
            <w:r w:rsidRPr="00FD20B9">
              <w:rPr>
                <w:rFonts w:ascii="Cambria" w:hAnsi="Cambria"/>
                <w:b/>
                <w:iCs/>
                <w:color w:val="000000"/>
                <w:sz w:val="20"/>
                <w:szCs w:val="20"/>
              </w:rPr>
              <w:t xml:space="preserve"> Deviation</w:t>
            </w:r>
          </w:p>
        </w:tc>
        <w:tc>
          <w:tcPr>
            <w:tcW w:w="10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C6432" w14:textId="77777777" w:rsidR="00FD20B9" w:rsidRPr="00FD20B9" w:rsidRDefault="00FD20B9" w:rsidP="00FD20B9">
            <w:pPr>
              <w:jc w:val="center"/>
              <w:rPr>
                <w:rFonts w:ascii="Cambria" w:hAnsi="Cambria"/>
                <w:b/>
                <w:iCs/>
                <w:color w:val="000000"/>
                <w:sz w:val="20"/>
                <w:szCs w:val="20"/>
              </w:rPr>
            </w:pPr>
            <w:r w:rsidRPr="00FD20B9">
              <w:rPr>
                <w:rFonts w:ascii="Cambria" w:hAnsi="Cambria"/>
                <w:b/>
                <w:iCs/>
                <w:color w:val="000000"/>
                <w:sz w:val="20"/>
                <w:szCs w:val="20"/>
              </w:rPr>
              <w:t>T-Statistic</w:t>
            </w:r>
          </w:p>
        </w:tc>
      </w:tr>
      <w:tr w:rsidR="00FD20B9" w:rsidRPr="00FD20B9" w14:paraId="5C0299FD" w14:textId="77777777" w:rsidTr="00FD20B9">
        <w:trPr>
          <w:trHeight w:val="481"/>
          <w:jc w:val="center"/>
        </w:trPr>
        <w:tc>
          <w:tcPr>
            <w:tcW w:w="1558" w:type="dxa"/>
            <w:vMerge/>
            <w:tcBorders>
              <w:top w:val="single" w:sz="4" w:space="0" w:color="auto"/>
              <w:left w:val="single" w:sz="4" w:space="0" w:color="auto"/>
              <w:bottom w:val="single" w:sz="4" w:space="0" w:color="auto"/>
              <w:right w:val="single" w:sz="4" w:space="0" w:color="auto"/>
            </w:tcBorders>
            <w:vAlign w:val="center"/>
            <w:hideMark/>
          </w:tcPr>
          <w:p w14:paraId="475BFCD4" w14:textId="77777777" w:rsidR="00FD20B9" w:rsidRPr="00FD20B9" w:rsidRDefault="00FD20B9" w:rsidP="00FD20B9">
            <w:pPr>
              <w:rPr>
                <w:rFonts w:ascii="Cambria" w:hAnsi="Cambria"/>
                <w:color w:val="000000"/>
                <w:sz w:val="20"/>
                <w:szCs w:val="20"/>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14:paraId="2EFF3618" w14:textId="77777777" w:rsidR="00FD20B9" w:rsidRPr="00FD20B9" w:rsidRDefault="00FD20B9" w:rsidP="00FD20B9">
            <w:pPr>
              <w:rPr>
                <w:rFonts w:ascii="Cambria" w:hAnsi="Cambria"/>
                <w:b/>
                <w:iCs/>
                <w:color w:val="000000"/>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0FCB11D6" w14:textId="77777777" w:rsidR="00FD20B9" w:rsidRPr="00FD20B9" w:rsidRDefault="00FD20B9" w:rsidP="00FD20B9">
            <w:pPr>
              <w:rPr>
                <w:rFonts w:ascii="Cambria" w:hAnsi="Cambria"/>
                <w:b/>
                <w:iCs/>
                <w:color w:val="000000"/>
                <w:sz w:val="20"/>
                <w:szCs w:val="20"/>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7C77ED6B" w14:textId="77777777" w:rsidR="00FD20B9" w:rsidRPr="00FD20B9" w:rsidRDefault="00FD20B9" w:rsidP="00FD20B9">
            <w:pPr>
              <w:rPr>
                <w:rFonts w:ascii="Cambria" w:hAnsi="Cambria"/>
                <w:b/>
                <w:iCs/>
                <w:color w:val="000000"/>
                <w:sz w:val="20"/>
                <w:szCs w:val="20"/>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1FDC284B" w14:textId="77777777" w:rsidR="00FD20B9" w:rsidRPr="00FD20B9" w:rsidRDefault="00FD20B9" w:rsidP="00FD20B9">
            <w:pPr>
              <w:rPr>
                <w:rFonts w:ascii="Cambria" w:hAnsi="Cambria"/>
                <w:b/>
                <w:iCs/>
                <w:color w:val="000000"/>
                <w:sz w:val="20"/>
                <w:szCs w:val="20"/>
              </w:rPr>
            </w:pPr>
          </w:p>
        </w:tc>
      </w:tr>
      <w:tr w:rsidR="00FD20B9" w:rsidRPr="00FD20B9" w14:paraId="498DB718" w14:textId="77777777" w:rsidTr="00FD20B9">
        <w:trPr>
          <w:trHeight w:val="320"/>
          <w:jc w:val="center"/>
        </w:trPr>
        <w:tc>
          <w:tcPr>
            <w:tcW w:w="1558" w:type="dxa"/>
            <w:tcBorders>
              <w:top w:val="nil"/>
              <w:left w:val="single" w:sz="4" w:space="0" w:color="auto"/>
              <w:bottom w:val="single" w:sz="4" w:space="0" w:color="auto"/>
              <w:right w:val="single" w:sz="4" w:space="0" w:color="auto"/>
            </w:tcBorders>
            <w:shd w:val="clear" w:color="auto" w:fill="auto"/>
            <w:noWrap/>
            <w:vAlign w:val="bottom"/>
            <w:hideMark/>
          </w:tcPr>
          <w:p w14:paraId="6ADA6975"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Trust-&gt;Retention</w:t>
            </w:r>
          </w:p>
        </w:tc>
        <w:tc>
          <w:tcPr>
            <w:tcW w:w="1284" w:type="dxa"/>
            <w:tcBorders>
              <w:top w:val="nil"/>
              <w:left w:val="nil"/>
              <w:bottom w:val="single" w:sz="4" w:space="0" w:color="auto"/>
              <w:right w:val="single" w:sz="4" w:space="0" w:color="auto"/>
            </w:tcBorders>
            <w:shd w:val="clear" w:color="auto" w:fill="auto"/>
            <w:noWrap/>
            <w:vAlign w:val="bottom"/>
            <w:hideMark/>
          </w:tcPr>
          <w:p w14:paraId="580C9295"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0,163</w:t>
            </w:r>
          </w:p>
        </w:tc>
        <w:tc>
          <w:tcPr>
            <w:tcW w:w="1138" w:type="dxa"/>
            <w:tcBorders>
              <w:top w:val="nil"/>
              <w:left w:val="nil"/>
              <w:bottom w:val="single" w:sz="4" w:space="0" w:color="auto"/>
              <w:right w:val="single" w:sz="4" w:space="0" w:color="auto"/>
            </w:tcBorders>
            <w:shd w:val="clear" w:color="auto" w:fill="auto"/>
            <w:noWrap/>
            <w:vAlign w:val="bottom"/>
            <w:hideMark/>
          </w:tcPr>
          <w:p w14:paraId="75603950"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0,188</w:t>
            </w:r>
          </w:p>
        </w:tc>
        <w:tc>
          <w:tcPr>
            <w:tcW w:w="1263" w:type="dxa"/>
            <w:tcBorders>
              <w:top w:val="nil"/>
              <w:left w:val="nil"/>
              <w:bottom w:val="single" w:sz="4" w:space="0" w:color="auto"/>
              <w:right w:val="single" w:sz="4" w:space="0" w:color="auto"/>
            </w:tcBorders>
            <w:shd w:val="clear" w:color="auto" w:fill="auto"/>
            <w:noWrap/>
            <w:vAlign w:val="bottom"/>
            <w:hideMark/>
          </w:tcPr>
          <w:p w14:paraId="0783B471"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0,079</w:t>
            </w:r>
          </w:p>
        </w:tc>
        <w:tc>
          <w:tcPr>
            <w:tcW w:w="1001" w:type="dxa"/>
            <w:tcBorders>
              <w:top w:val="nil"/>
              <w:left w:val="nil"/>
              <w:bottom w:val="single" w:sz="4" w:space="0" w:color="auto"/>
              <w:right w:val="single" w:sz="4" w:space="0" w:color="auto"/>
            </w:tcBorders>
            <w:shd w:val="clear" w:color="auto" w:fill="auto"/>
            <w:noWrap/>
            <w:vAlign w:val="bottom"/>
            <w:hideMark/>
          </w:tcPr>
          <w:p w14:paraId="62AE089F"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2,077</w:t>
            </w:r>
          </w:p>
        </w:tc>
      </w:tr>
      <w:tr w:rsidR="00FD20B9" w:rsidRPr="00FD20B9" w14:paraId="3E714954" w14:textId="77777777" w:rsidTr="00FD20B9">
        <w:trPr>
          <w:trHeight w:val="591"/>
          <w:jc w:val="center"/>
        </w:trPr>
        <w:tc>
          <w:tcPr>
            <w:tcW w:w="1558" w:type="dxa"/>
            <w:tcBorders>
              <w:top w:val="nil"/>
              <w:left w:val="single" w:sz="4" w:space="0" w:color="auto"/>
              <w:bottom w:val="single" w:sz="4" w:space="0" w:color="auto"/>
              <w:right w:val="single" w:sz="4" w:space="0" w:color="auto"/>
            </w:tcBorders>
            <w:shd w:val="clear" w:color="auto" w:fill="auto"/>
            <w:noWrap/>
            <w:vAlign w:val="bottom"/>
            <w:hideMark/>
          </w:tcPr>
          <w:p w14:paraId="5CB5ECCF"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Brand Image -&gt; Retention</w:t>
            </w:r>
          </w:p>
        </w:tc>
        <w:tc>
          <w:tcPr>
            <w:tcW w:w="1284" w:type="dxa"/>
            <w:tcBorders>
              <w:top w:val="nil"/>
              <w:left w:val="nil"/>
              <w:bottom w:val="single" w:sz="4" w:space="0" w:color="auto"/>
              <w:right w:val="single" w:sz="4" w:space="0" w:color="auto"/>
            </w:tcBorders>
            <w:shd w:val="clear" w:color="auto" w:fill="auto"/>
            <w:noWrap/>
            <w:vAlign w:val="bottom"/>
            <w:hideMark/>
          </w:tcPr>
          <w:p w14:paraId="4A4A99EA"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0,295</w:t>
            </w:r>
          </w:p>
        </w:tc>
        <w:tc>
          <w:tcPr>
            <w:tcW w:w="1138" w:type="dxa"/>
            <w:tcBorders>
              <w:top w:val="nil"/>
              <w:left w:val="nil"/>
              <w:bottom w:val="single" w:sz="4" w:space="0" w:color="auto"/>
              <w:right w:val="single" w:sz="4" w:space="0" w:color="auto"/>
            </w:tcBorders>
            <w:shd w:val="clear" w:color="auto" w:fill="auto"/>
            <w:noWrap/>
            <w:vAlign w:val="bottom"/>
            <w:hideMark/>
          </w:tcPr>
          <w:p w14:paraId="2AFF823F"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0,315</w:t>
            </w:r>
          </w:p>
        </w:tc>
        <w:tc>
          <w:tcPr>
            <w:tcW w:w="1263" w:type="dxa"/>
            <w:tcBorders>
              <w:top w:val="nil"/>
              <w:left w:val="nil"/>
              <w:bottom w:val="single" w:sz="4" w:space="0" w:color="auto"/>
              <w:right w:val="single" w:sz="4" w:space="0" w:color="auto"/>
            </w:tcBorders>
            <w:shd w:val="clear" w:color="auto" w:fill="auto"/>
            <w:noWrap/>
            <w:vAlign w:val="bottom"/>
            <w:hideMark/>
          </w:tcPr>
          <w:p w14:paraId="2734755E"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0,144</w:t>
            </w:r>
          </w:p>
        </w:tc>
        <w:tc>
          <w:tcPr>
            <w:tcW w:w="1001" w:type="dxa"/>
            <w:tcBorders>
              <w:top w:val="nil"/>
              <w:left w:val="nil"/>
              <w:bottom w:val="single" w:sz="4" w:space="0" w:color="auto"/>
              <w:right w:val="single" w:sz="4" w:space="0" w:color="auto"/>
            </w:tcBorders>
            <w:shd w:val="clear" w:color="auto" w:fill="auto"/>
            <w:noWrap/>
            <w:vAlign w:val="bottom"/>
            <w:hideMark/>
          </w:tcPr>
          <w:p w14:paraId="22875FC2"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2,049</w:t>
            </w:r>
          </w:p>
        </w:tc>
      </w:tr>
      <w:tr w:rsidR="00FD20B9" w:rsidRPr="00FD20B9" w14:paraId="0E5528D9" w14:textId="77777777" w:rsidTr="00FD20B9">
        <w:trPr>
          <w:trHeight w:val="320"/>
          <w:jc w:val="center"/>
        </w:trPr>
        <w:tc>
          <w:tcPr>
            <w:tcW w:w="1558" w:type="dxa"/>
            <w:tcBorders>
              <w:top w:val="nil"/>
              <w:left w:val="single" w:sz="4" w:space="0" w:color="auto"/>
              <w:bottom w:val="single" w:sz="4" w:space="0" w:color="auto"/>
              <w:right w:val="single" w:sz="4" w:space="0" w:color="auto"/>
            </w:tcBorders>
            <w:shd w:val="clear" w:color="auto" w:fill="auto"/>
            <w:noWrap/>
            <w:vAlign w:val="bottom"/>
            <w:hideMark/>
          </w:tcPr>
          <w:p w14:paraId="1B16E9AB" w14:textId="77777777" w:rsidR="00FD20B9" w:rsidRPr="00FD20B9" w:rsidRDefault="00FD20B9" w:rsidP="00FD20B9">
            <w:pPr>
              <w:jc w:val="center"/>
              <w:rPr>
                <w:rFonts w:ascii="Cambria" w:hAnsi="Cambria"/>
                <w:color w:val="000000"/>
                <w:sz w:val="20"/>
                <w:szCs w:val="20"/>
              </w:rPr>
            </w:pPr>
            <w:proofErr w:type="spellStart"/>
            <w:r w:rsidRPr="00FD20B9">
              <w:rPr>
                <w:rFonts w:ascii="Cambria" w:hAnsi="Cambria"/>
                <w:color w:val="000000"/>
                <w:sz w:val="20"/>
                <w:szCs w:val="20"/>
              </w:rPr>
              <w:t>Kepercayaan</w:t>
            </w:r>
            <w:proofErr w:type="spellEnd"/>
            <w:r w:rsidRPr="00FD20B9">
              <w:rPr>
                <w:rFonts w:ascii="Cambria" w:hAnsi="Cambria"/>
                <w:color w:val="000000"/>
                <w:sz w:val="20"/>
                <w:szCs w:val="20"/>
              </w:rPr>
              <w:t xml:space="preserve"> -&gt; </w:t>
            </w:r>
            <w:proofErr w:type="spellStart"/>
            <w:r w:rsidRPr="00FD20B9">
              <w:rPr>
                <w:rFonts w:ascii="Cambria" w:hAnsi="Cambria"/>
                <w:color w:val="000000"/>
                <w:sz w:val="20"/>
                <w:szCs w:val="20"/>
              </w:rPr>
              <w:t>Loyalitas</w:t>
            </w:r>
            <w:proofErr w:type="spellEnd"/>
          </w:p>
        </w:tc>
        <w:tc>
          <w:tcPr>
            <w:tcW w:w="1284" w:type="dxa"/>
            <w:tcBorders>
              <w:top w:val="nil"/>
              <w:left w:val="nil"/>
              <w:bottom w:val="single" w:sz="4" w:space="0" w:color="auto"/>
              <w:right w:val="single" w:sz="4" w:space="0" w:color="auto"/>
            </w:tcBorders>
            <w:shd w:val="clear" w:color="auto" w:fill="auto"/>
            <w:noWrap/>
            <w:vAlign w:val="bottom"/>
            <w:hideMark/>
          </w:tcPr>
          <w:p w14:paraId="590F09E7"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0,374</w:t>
            </w:r>
          </w:p>
        </w:tc>
        <w:tc>
          <w:tcPr>
            <w:tcW w:w="1138" w:type="dxa"/>
            <w:tcBorders>
              <w:top w:val="nil"/>
              <w:left w:val="nil"/>
              <w:bottom w:val="single" w:sz="4" w:space="0" w:color="auto"/>
              <w:right w:val="single" w:sz="4" w:space="0" w:color="auto"/>
            </w:tcBorders>
            <w:shd w:val="clear" w:color="auto" w:fill="auto"/>
            <w:noWrap/>
            <w:vAlign w:val="bottom"/>
            <w:hideMark/>
          </w:tcPr>
          <w:p w14:paraId="30FBD961"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0,410</w:t>
            </w:r>
          </w:p>
        </w:tc>
        <w:tc>
          <w:tcPr>
            <w:tcW w:w="1263" w:type="dxa"/>
            <w:tcBorders>
              <w:top w:val="nil"/>
              <w:left w:val="nil"/>
              <w:bottom w:val="single" w:sz="4" w:space="0" w:color="auto"/>
              <w:right w:val="single" w:sz="4" w:space="0" w:color="auto"/>
            </w:tcBorders>
            <w:shd w:val="clear" w:color="auto" w:fill="auto"/>
            <w:noWrap/>
            <w:vAlign w:val="bottom"/>
            <w:hideMark/>
          </w:tcPr>
          <w:p w14:paraId="48CF3EBF"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0,127</w:t>
            </w:r>
          </w:p>
        </w:tc>
        <w:tc>
          <w:tcPr>
            <w:tcW w:w="1001" w:type="dxa"/>
            <w:tcBorders>
              <w:top w:val="nil"/>
              <w:left w:val="nil"/>
              <w:bottom w:val="single" w:sz="4" w:space="0" w:color="auto"/>
              <w:right w:val="single" w:sz="4" w:space="0" w:color="auto"/>
            </w:tcBorders>
            <w:shd w:val="clear" w:color="auto" w:fill="auto"/>
            <w:noWrap/>
            <w:vAlign w:val="bottom"/>
            <w:hideMark/>
          </w:tcPr>
          <w:p w14:paraId="51A6FD6D"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2,945</w:t>
            </w:r>
          </w:p>
        </w:tc>
      </w:tr>
      <w:tr w:rsidR="00FD20B9" w:rsidRPr="00FD20B9" w14:paraId="72EDCD02" w14:textId="77777777" w:rsidTr="00FD20B9">
        <w:trPr>
          <w:trHeight w:val="320"/>
          <w:jc w:val="center"/>
        </w:trPr>
        <w:tc>
          <w:tcPr>
            <w:tcW w:w="1558" w:type="dxa"/>
            <w:tcBorders>
              <w:top w:val="nil"/>
              <w:left w:val="single" w:sz="4" w:space="0" w:color="auto"/>
              <w:bottom w:val="single" w:sz="4" w:space="0" w:color="auto"/>
              <w:right w:val="single" w:sz="4" w:space="0" w:color="auto"/>
            </w:tcBorders>
            <w:shd w:val="clear" w:color="auto" w:fill="auto"/>
            <w:noWrap/>
            <w:vAlign w:val="bottom"/>
            <w:hideMark/>
          </w:tcPr>
          <w:p w14:paraId="740CD609"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Brand Image -&gt;Loyalty</w:t>
            </w:r>
          </w:p>
        </w:tc>
        <w:tc>
          <w:tcPr>
            <w:tcW w:w="1284" w:type="dxa"/>
            <w:tcBorders>
              <w:top w:val="nil"/>
              <w:left w:val="nil"/>
              <w:bottom w:val="single" w:sz="4" w:space="0" w:color="auto"/>
              <w:right w:val="single" w:sz="4" w:space="0" w:color="auto"/>
            </w:tcBorders>
            <w:shd w:val="clear" w:color="auto" w:fill="auto"/>
            <w:noWrap/>
            <w:vAlign w:val="bottom"/>
            <w:hideMark/>
          </w:tcPr>
          <w:p w14:paraId="2B7C02DE"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0,251</w:t>
            </w:r>
          </w:p>
        </w:tc>
        <w:tc>
          <w:tcPr>
            <w:tcW w:w="1138" w:type="dxa"/>
            <w:tcBorders>
              <w:top w:val="nil"/>
              <w:left w:val="nil"/>
              <w:bottom w:val="single" w:sz="4" w:space="0" w:color="auto"/>
              <w:right w:val="single" w:sz="4" w:space="0" w:color="auto"/>
            </w:tcBorders>
            <w:shd w:val="clear" w:color="auto" w:fill="auto"/>
            <w:noWrap/>
            <w:vAlign w:val="bottom"/>
            <w:hideMark/>
          </w:tcPr>
          <w:p w14:paraId="4F86D231"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0,248</w:t>
            </w:r>
          </w:p>
        </w:tc>
        <w:tc>
          <w:tcPr>
            <w:tcW w:w="1263" w:type="dxa"/>
            <w:tcBorders>
              <w:top w:val="nil"/>
              <w:left w:val="nil"/>
              <w:bottom w:val="single" w:sz="4" w:space="0" w:color="auto"/>
              <w:right w:val="single" w:sz="4" w:space="0" w:color="auto"/>
            </w:tcBorders>
            <w:shd w:val="clear" w:color="auto" w:fill="auto"/>
            <w:noWrap/>
            <w:vAlign w:val="bottom"/>
            <w:hideMark/>
          </w:tcPr>
          <w:p w14:paraId="023A8FF3"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0,120</w:t>
            </w:r>
          </w:p>
        </w:tc>
        <w:tc>
          <w:tcPr>
            <w:tcW w:w="1001" w:type="dxa"/>
            <w:tcBorders>
              <w:top w:val="nil"/>
              <w:left w:val="nil"/>
              <w:bottom w:val="single" w:sz="4" w:space="0" w:color="auto"/>
              <w:right w:val="single" w:sz="4" w:space="0" w:color="auto"/>
            </w:tcBorders>
            <w:shd w:val="clear" w:color="auto" w:fill="auto"/>
            <w:noWrap/>
            <w:vAlign w:val="bottom"/>
            <w:hideMark/>
          </w:tcPr>
          <w:p w14:paraId="1BB11135"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2,088</w:t>
            </w:r>
          </w:p>
        </w:tc>
      </w:tr>
      <w:tr w:rsidR="00FD20B9" w:rsidRPr="00FD20B9" w14:paraId="2F66F4BD" w14:textId="77777777" w:rsidTr="00FD20B9">
        <w:trPr>
          <w:trHeight w:val="320"/>
          <w:jc w:val="center"/>
        </w:trPr>
        <w:tc>
          <w:tcPr>
            <w:tcW w:w="1558" w:type="dxa"/>
            <w:tcBorders>
              <w:top w:val="nil"/>
              <w:left w:val="single" w:sz="4" w:space="0" w:color="auto"/>
              <w:bottom w:val="single" w:sz="4" w:space="0" w:color="auto"/>
              <w:right w:val="single" w:sz="4" w:space="0" w:color="auto"/>
            </w:tcBorders>
            <w:shd w:val="clear" w:color="auto" w:fill="auto"/>
            <w:noWrap/>
            <w:vAlign w:val="bottom"/>
            <w:hideMark/>
          </w:tcPr>
          <w:p w14:paraId="27DEC3C2"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Loyalty-&gt; Retention</w:t>
            </w:r>
          </w:p>
        </w:tc>
        <w:tc>
          <w:tcPr>
            <w:tcW w:w="1284" w:type="dxa"/>
            <w:tcBorders>
              <w:top w:val="nil"/>
              <w:left w:val="nil"/>
              <w:bottom w:val="single" w:sz="4" w:space="0" w:color="auto"/>
              <w:right w:val="single" w:sz="4" w:space="0" w:color="auto"/>
            </w:tcBorders>
            <w:shd w:val="clear" w:color="auto" w:fill="auto"/>
            <w:noWrap/>
            <w:vAlign w:val="bottom"/>
            <w:hideMark/>
          </w:tcPr>
          <w:p w14:paraId="2808B109"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0,493</w:t>
            </w:r>
          </w:p>
        </w:tc>
        <w:tc>
          <w:tcPr>
            <w:tcW w:w="1138" w:type="dxa"/>
            <w:tcBorders>
              <w:top w:val="nil"/>
              <w:left w:val="nil"/>
              <w:bottom w:val="single" w:sz="4" w:space="0" w:color="auto"/>
              <w:right w:val="single" w:sz="4" w:space="0" w:color="auto"/>
            </w:tcBorders>
            <w:shd w:val="clear" w:color="auto" w:fill="auto"/>
            <w:noWrap/>
            <w:vAlign w:val="bottom"/>
            <w:hideMark/>
          </w:tcPr>
          <w:p w14:paraId="707C6BA7"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0,472</w:t>
            </w:r>
          </w:p>
        </w:tc>
        <w:tc>
          <w:tcPr>
            <w:tcW w:w="1263" w:type="dxa"/>
            <w:tcBorders>
              <w:top w:val="nil"/>
              <w:left w:val="nil"/>
              <w:bottom w:val="single" w:sz="4" w:space="0" w:color="auto"/>
              <w:right w:val="single" w:sz="4" w:space="0" w:color="auto"/>
            </w:tcBorders>
            <w:shd w:val="clear" w:color="auto" w:fill="auto"/>
            <w:noWrap/>
            <w:vAlign w:val="bottom"/>
            <w:hideMark/>
          </w:tcPr>
          <w:p w14:paraId="703AC726"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0,108</w:t>
            </w:r>
          </w:p>
        </w:tc>
        <w:tc>
          <w:tcPr>
            <w:tcW w:w="1001" w:type="dxa"/>
            <w:tcBorders>
              <w:top w:val="nil"/>
              <w:left w:val="nil"/>
              <w:bottom w:val="single" w:sz="4" w:space="0" w:color="auto"/>
              <w:right w:val="single" w:sz="4" w:space="0" w:color="auto"/>
            </w:tcBorders>
            <w:shd w:val="clear" w:color="auto" w:fill="auto"/>
            <w:noWrap/>
            <w:vAlign w:val="bottom"/>
            <w:hideMark/>
          </w:tcPr>
          <w:p w14:paraId="19F6E2C9" w14:textId="77777777" w:rsidR="00FD20B9" w:rsidRPr="00FD20B9" w:rsidRDefault="00FD20B9" w:rsidP="00FD20B9">
            <w:pPr>
              <w:jc w:val="center"/>
              <w:rPr>
                <w:rFonts w:ascii="Cambria" w:hAnsi="Cambria"/>
                <w:color w:val="000000"/>
                <w:sz w:val="20"/>
                <w:szCs w:val="20"/>
              </w:rPr>
            </w:pPr>
            <w:r w:rsidRPr="00FD20B9">
              <w:rPr>
                <w:rFonts w:ascii="Cambria" w:hAnsi="Cambria"/>
                <w:color w:val="000000"/>
                <w:sz w:val="20"/>
                <w:szCs w:val="20"/>
              </w:rPr>
              <w:t>4,555</w:t>
            </w:r>
          </w:p>
        </w:tc>
      </w:tr>
    </w:tbl>
    <w:p w14:paraId="1BC7C796" w14:textId="77777777" w:rsidR="00FD20B9" w:rsidRPr="00FD20B9" w:rsidRDefault="00FD20B9" w:rsidP="00D6569C">
      <w:pPr>
        <w:ind w:left="851" w:firstLine="720"/>
        <w:rPr>
          <w:rFonts w:ascii="Cambria" w:hAnsi="Cambria"/>
          <w:b/>
          <w:sz w:val="20"/>
          <w:szCs w:val="20"/>
        </w:rPr>
      </w:pPr>
      <w:r w:rsidRPr="00FD20B9">
        <w:rPr>
          <w:rFonts w:ascii="Cambria" w:hAnsi="Cambria"/>
          <w:b/>
          <w:sz w:val="20"/>
          <w:szCs w:val="20"/>
        </w:rPr>
        <w:t xml:space="preserve">Information: t (0,05, 100)=1,96. </w:t>
      </w:r>
    </w:p>
    <w:p w14:paraId="5A407F8F" w14:textId="77777777" w:rsidR="00FD20B9" w:rsidRPr="00FD20B9" w:rsidRDefault="00FD20B9" w:rsidP="00FD20B9">
      <w:pPr>
        <w:jc w:val="both"/>
        <w:rPr>
          <w:rFonts w:ascii="Cambria" w:hAnsi="Cambria"/>
          <w:b/>
          <w:sz w:val="20"/>
          <w:szCs w:val="20"/>
        </w:rPr>
      </w:pPr>
    </w:p>
    <w:p w14:paraId="776A8862" w14:textId="77777777" w:rsidR="00FD20B9" w:rsidRPr="00FD20B9" w:rsidRDefault="00FD20B9" w:rsidP="00FD20B9">
      <w:pPr>
        <w:jc w:val="both"/>
        <w:rPr>
          <w:rFonts w:ascii="Cambria" w:hAnsi="Cambria"/>
          <w:sz w:val="20"/>
          <w:szCs w:val="20"/>
        </w:rPr>
      </w:pPr>
      <w:r w:rsidRPr="00FD20B9">
        <w:rPr>
          <w:rFonts w:ascii="Cambria" w:hAnsi="Cambria"/>
          <w:sz w:val="20"/>
          <w:szCs w:val="20"/>
        </w:rPr>
        <w:t>The path analysis model using the regression equation consists of two equations which are described as follows:</w:t>
      </w:r>
    </w:p>
    <w:p w14:paraId="4CFF05F8" w14:textId="77777777" w:rsidR="00FD20B9" w:rsidRPr="00FD20B9" w:rsidRDefault="00FD20B9" w:rsidP="00FD20B9">
      <w:pPr>
        <w:jc w:val="both"/>
        <w:rPr>
          <w:rFonts w:ascii="Cambria" w:hAnsi="Cambria"/>
          <w:b/>
          <w:sz w:val="20"/>
          <w:szCs w:val="20"/>
        </w:rPr>
      </w:pPr>
      <w:r w:rsidRPr="00FD20B9">
        <w:rPr>
          <w:rFonts w:ascii="Cambria" w:hAnsi="Cambria"/>
          <w:b/>
          <w:sz w:val="20"/>
          <w:szCs w:val="20"/>
        </w:rPr>
        <w:t>Equation 1:</w:t>
      </w:r>
    </w:p>
    <w:p w14:paraId="6E94EA5C" w14:textId="77777777" w:rsidR="00FD20B9" w:rsidRPr="00FD20B9" w:rsidRDefault="00FD20B9" w:rsidP="00FD20B9">
      <w:pPr>
        <w:jc w:val="both"/>
        <w:rPr>
          <w:rFonts w:ascii="Cambria" w:hAnsi="Cambria"/>
          <w:sz w:val="20"/>
          <w:szCs w:val="20"/>
        </w:rPr>
      </w:pPr>
      <w:r w:rsidRPr="00FD20B9">
        <w:rPr>
          <w:rFonts w:ascii="Cambria" w:hAnsi="Cambria"/>
          <w:sz w:val="20"/>
          <w:szCs w:val="20"/>
        </w:rPr>
        <w:t xml:space="preserve">Y1 = </w:t>
      </w:r>
      <w:r w:rsidRPr="00FD20B9">
        <w:rPr>
          <w:rFonts w:ascii="Cambria Math" w:eastAsia="Cambria Math" w:hAnsi="Cambria Math" w:cs="Cambria Math"/>
          <w:sz w:val="20"/>
          <w:szCs w:val="20"/>
        </w:rPr>
        <w:t>𝛽</w:t>
      </w:r>
      <w:r w:rsidRPr="00FD20B9">
        <w:rPr>
          <w:rFonts w:ascii="Cambria" w:hAnsi="Cambria"/>
          <w:sz w:val="20"/>
          <w:szCs w:val="20"/>
        </w:rPr>
        <w:t xml:space="preserve">1 X1 + </w:t>
      </w:r>
      <w:r w:rsidRPr="00FD20B9">
        <w:rPr>
          <w:rFonts w:ascii="Cambria Math" w:eastAsia="Cambria Math" w:hAnsi="Cambria Math" w:cs="Cambria Math"/>
          <w:sz w:val="20"/>
          <w:szCs w:val="20"/>
        </w:rPr>
        <w:t>𝛽</w:t>
      </w:r>
      <w:r w:rsidRPr="00FD20B9">
        <w:rPr>
          <w:rFonts w:ascii="Cambria" w:hAnsi="Cambria"/>
          <w:sz w:val="20"/>
          <w:szCs w:val="20"/>
        </w:rPr>
        <w:t>2 X2 + e1.</w:t>
      </w:r>
    </w:p>
    <w:p w14:paraId="61EFC182" w14:textId="77777777" w:rsidR="00FD20B9" w:rsidRPr="00FD20B9" w:rsidRDefault="00FD20B9" w:rsidP="00FD20B9">
      <w:pPr>
        <w:jc w:val="both"/>
        <w:rPr>
          <w:rFonts w:ascii="Cambria" w:hAnsi="Cambria"/>
          <w:b/>
          <w:sz w:val="20"/>
          <w:szCs w:val="20"/>
        </w:rPr>
      </w:pPr>
      <w:r w:rsidRPr="00FD20B9">
        <w:rPr>
          <w:rFonts w:ascii="Cambria" w:hAnsi="Cambria"/>
          <w:b/>
          <w:sz w:val="20"/>
          <w:szCs w:val="20"/>
        </w:rPr>
        <w:t>Equation 2:</w:t>
      </w:r>
    </w:p>
    <w:p w14:paraId="45DF7C41" w14:textId="77777777" w:rsidR="00FD20B9" w:rsidRPr="00FD20B9" w:rsidRDefault="00FD20B9" w:rsidP="00FD20B9">
      <w:pPr>
        <w:jc w:val="both"/>
        <w:rPr>
          <w:rFonts w:ascii="Cambria" w:hAnsi="Cambria"/>
          <w:sz w:val="20"/>
          <w:szCs w:val="20"/>
        </w:rPr>
      </w:pPr>
      <w:r w:rsidRPr="00FD20B9">
        <w:rPr>
          <w:rFonts w:ascii="Cambria" w:hAnsi="Cambria"/>
          <w:sz w:val="20"/>
          <w:szCs w:val="20"/>
        </w:rPr>
        <w:t xml:space="preserve">Y2 = </w:t>
      </w:r>
      <w:r w:rsidRPr="00FD20B9">
        <w:rPr>
          <w:rFonts w:ascii="Cambria Math" w:eastAsia="Cambria Math" w:hAnsi="Cambria Math" w:cs="Cambria Math"/>
          <w:sz w:val="20"/>
          <w:szCs w:val="20"/>
        </w:rPr>
        <w:t>𝛽</w:t>
      </w:r>
      <w:r w:rsidRPr="00FD20B9">
        <w:rPr>
          <w:rFonts w:ascii="Cambria" w:hAnsi="Cambria"/>
          <w:sz w:val="20"/>
          <w:szCs w:val="20"/>
        </w:rPr>
        <w:t xml:space="preserve">1 X1 + </w:t>
      </w:r>
      <w:r w:rsidRPr="00FD20B9">
        <w:rPr>
          <w:rFonts w:ascii="Cambria Math" w:eastAsia="Cambria Math" w:hAnsi="Cambria Math" w:cs="Cambria Math"/>
          <w:sz w:val="20"/>
          <w:szCs w:val="20"/>
        </w:rPr>
        <w:t>𝛽</w:t>
      </w:r>
      <w:r w:rsidRPr="00FD20B9">
        <w:rPr>
          <w:rFonts w:ascii="Cambria" w:hAnsi="Cambria"/>
          <w:sz w:val="20"/>
          <w:szCs w:val="20"/>
        </w:rPr>
        <w:t xml:space="preserve">2 X2 + </w:t>
      </w:r>
      <w:r w:rsidRPr="00FD20B9">
        <w:rPr>
          <w:rFonts w:ascii="Cambria Math" w:eastAsia="Cambria Math" w:hAnsi="Cambria Math" w:cs="Cambria Math"/>
          <w:sz w:val="20"/>
          <w:szCs w:val="20"/>
        </w:rPr>
        <w:t>𝛽</w:t>
      </w:r>
      <w:r w:rsidRPr="00FD20B9">
        <w:rPr>
          <w:rFonts w:ascii="Cambria" w:hAnsi="Cambria"/>
          <w:sz w:val="20"/>
          <w:szCs w:val="20"/>
        </w:rPr>
        <w:t>3Y1 + e2.</w:t>
      </w:r>
    </w:p>
    <w:p w14:paraId="29AEB643" w14:textId="77777777" w:rsidR="00FD20B9" w:rsidRPr="00FD20B9" w:rsidRDefault="00FD20B9" w:rsidP="00FD20B9">
      <w:pPr>
        <w:jc w:val="both"/>
        <w:rPr>
          <w:rFonts w:ascii="Cambria" w:hAnsi="Cambria"/>
          <w:sz w:val="20"/>
          <w:szCs w:val="20"/>
        </w:rPr>
      </w:pPr>
      <w:r w:rsidRPr="00FD20B9">
        <w:rPr>
          <w:rFonts w:ascii="Cambria" w:hAnsi="Cambria"/>
          <w:sz w:val="20"/>
          <w:szCs w:val="20"/>
        </w:rPr>
        <w:t>The regression equation can be described as follows:</w:t>
      </w:r>
    </w:p>
    <w:p w14:paraId="2E92EA5A" w14:textId="77777777" w:rsidR="00FD20B9" w:rsidRPr="00FD20B9" w:rsidRDefault="00FD20B9" w:rsidP="00FD20B9">
      <w:pPr>
        <w:jc w:val="both"/>
        <w:rPr>
          <w:rFonts w:ascii="Cambria" w:hAnsi="Cambria"/>
          <w:b/>
          <w:sz w:val="20"/>
          <w:szCs w:val="20"/>
        </w:rPr>
      </w:pPr>
      <w:r w:rsidRPr="00FD20B9">
        <w:rPr>
          <w:rFonts w:ascii="Cambria" w:hAnsi="Cambria"/>
          <w:b/>
          <w:sz w:val="20"/>
          <w:szCs w:val="20"/>
        </w:rPr>
        <w:t>Equation 1:</w:t>
      </w:r>
    </w:p>
    <w:p w14:paraId="55355982" w14:textId="77777777" w:rsidR="00FD20B9" w:rsidRPr="00FD20B9" w:rsidRDefault="00FD20B9" w:rsidP="00FD20B9">
      <w:pPr>
        <w:jc w:val="both"/>
        <w:rPr>
          <w:rFonts w:ascii="Cambria" w:hAnsi="Cambria"/>
          <w:sz w:val="20"/>
          <w:szCs w:val="20"/>
        </w:rPr>
      </w:pPr>
      <w:r w:rsidRPr="00FD20B9">
        <w:rPr>
          <w:rFonts w:ascii="Cambria" w:hAnsi="Cambria"/>
          <w:sz w:val="20"/>
          <w:szCs w:val="20"/>
        </w:rPr>
        <w:t>Loyalty = 0.374 Trust + 0.251 Brand Image + e1.</w:t>
      </w:r>
    </w:p>
    <w:p w14:paraId="7AB7AFC2" w14:textId="77777777" w:rsidR="00FD20B9" w:rsidRPr="00FD20B9" w:rsidRDefault="00FD20B9" w:rsidP="00FD20B9">
      <w:pPr>
        <w:jc w:val="both"/>
        <w:rPr>
          <w:rFonts w:ascii="Cambria" w:hAnsi="Cambria"/>
          <w:b/>
          <w:sz w:val="20"/>
          <w:szCs w:val="20"/>
        </w:rPr>
      </w:pPr>
      <w:r w:rsidRPr="00FD20B9">
        <w:rPr>
          <w:rFonts w:ascii="Cambria" w:hAnsi="Cambria"/>
          <w:b/>
          <w:sz w:val="20"/>
          <w:szCs w:val="20"/>
        </w:rPr>
        <w:t>Equation 2:</w:t>
      </w:r>
    </w:p>
    <w:p w14:paraId="73DE9604" w14:textId="77777777" w:rsidR="00FD20B9" w:rsidRPr="00FD20B9" w:rsidRDefault="00FD20B9" w:rsidP="00FD20B9">
      <w:pPr>
        <w:jc w:val="both"/>
        <w:rPr>
          <w:rFonts w:ascii="Cambria" w:hAnsi="Cambria"/>
          <w:sz w:val="20"/>
          <w:szCs w:val="20"/>
        </w:rPr>
      </w:pPr>
      <w:r w:rsidRPr="00FD20B9">
        <w:rPr>
          <w:rFonts w:ascii="Cambria" w:hAnsi="Cambria"/>
          <w:sz w:val="20"/>
          <w:szCs w:val="20"/>
        </w:rPr>
        <w:t>Retention = 0.163 Trust + 0.295 Brand Image + 0.493 Customer Loyalty + e2.</w:t>
      </w:r>
    </w:p>
    <w:p w14:paraId="3D2E1110"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Based on the results of the PLS test calculation which tests the effect of trust on customer retention, the t statistical value test results are 2.077 and t table 1.96. Meanwhile, the estimated coefficient (ß) is 0.163. So, it can be concluded that there is a positive and significant influence between the trust variable on the customer retention variable for Islamic commercial bank customers. This means that the higher the Trust, the higher the Customer Retention. So that the test results are accepted.</w:t>
      </w:r>
    </w:p>
    <w:p w14:paraId="2B516529"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results of the calculation of the PLS test that tests the effect of trust on customer loyalty, the results of the t statistical value test are 2.945 and t table 1.96. While the estimated coefficient (ß) is 0.374. So, it can be concluded that there is a positive and significant influence between the trust variable on the customer loyalty variable for Islamic commercial bank customers. This means that the higher the Trust, the higher the Customer Loyalty. So that the test results are accepted.</w:t>
      </w:r>
    </w:p>
    <w:p w14:paraId="6CA2A145"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results of the PLS test calculation that tests the effect of customer loyalty on customer retention, the t statistical test results are 4.555 and t table 1.96. While the estimated coefficient (ß) is 0.493. So, it can be concluded that there is a positive and significant influence between the customer loyalty variable on the customer retention variable for customers of Islamic Commercial Banks. This means that the higher the Customer Loyalty, the higher the Customer Retention. So that the test results are accepted.</w:t>
      </w:r>
    </w:p>
    <w:p w14:paraId="3611C9EE"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results of testing the first hypothesis state that trust has a direct effect on customer retention and also indirectly affects customer retention through customer loyalty. The amount of the coefficient of direct and indirect effect can be calculated as follows:</w:t>
      </w:r>
    </w:p>
    <w:p w14:paraId="637C7EA9" w14:textId="77777777" w:rsidR="00FD20B9" w:rsidRPr="00FD20B9" w:rsidRDefault="00FD20B9" w:rsidP="00FD20B9">
      <w:pPr>
        <w:jc w:val="both"/>
        <w:rPr>
          <w:rFonts w:ascii="Cambria" w:hAnsi="Cambria"/>
          <w:sz w:val="20"/>
          <w:szCs w:val="20"/>
        </w:rPr>
      </w:pPr>
      <w:r w:rsidRPr="00FD20B9">
        <w:rPr>
          <w:rFonts w:ascii="Cambria" w:hAnsi="Cambria"/>
          <w:sz w:val="20"/>
          <w:szCs w:val="20"/>
        </w:rPr>
        <w:t>Direct Effect Trust -&gt; Customer Retention = (0.163).</w:t>
      </w:r>
    </w:p>
    <w:p w14:paraId="3A13F302" w14:textId="77777777" w:rsidR="00FD20B9" w:rsidRPr="00FD20B9" w:rsidRDefault="00FD20B9" w:rsidP="00FD20B9">
      <w:pPr>
        <w:jc w:val="both"/>
        <w:rPr>
          <w:rFonts w:ascii="Cambria" w:hAnsi="Cambria"/>
          <w:sz w:val="20"/>
          <w:szCs w:val="20"/>
        </w:rPr>
      </w:pPr>
      <w:r w:rsidRPr="00FD20B9">
        <w:rPr>
          <w:rFonts w:ascii="Cambria" w:hAnsi="Cambria"/>
          <w:sz w:val="20"/>
          <w:szCs w:val="20"/>
        </w:rPr>
        <w:t>Indirect Effect Trust -&gt; Customer Loyalty -&gt; Customer Retention (0.374) X (0.493) = 0.184.</w:t>
      </w:r>
    </w:p>
    <w:p w14:paraId="2A5E76DC"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coefficient of the indirect effect is greater than the direct effect. So that the first hypothesis in this study is accepted. This means that the Customer Loyalty variable is able to mediate between the variables of Trust in Customer Retention.</w:t>
      </w:r>
    </w:p>
    <w:p w14:paraId="05029551"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 xml:space="preserve">Based on the results of the PLS test calculation which tests the effect of Brand Image on Customer Retention, the t statistical test results are 2.049 and t table 1.96. While the estimated coefficient (ß) is 0.295. So, it can be concluded that there is a positive and significant influence between the brand image variable on the </w:t>
      </w:r>
      <w:r w:rsidRPr="00FD20B9">
        <w:rPr>
          <w:rFonts w:ascii="Cambria" w:hAnsi="Cambria"/>
          <w:sz w:val="20"/>
          <w:szCs w:val="20"/>
        </w:rPr>
        <w:lastRenderedPageBreak/>
        <w:t>customer retention variable for Islamic Commercial Bank customers. This means that the higher the Brand Image, the higher the Customer Retention. So that the test results are accepted.</w:t>
      </w:r>
    </w:p>
    <w:p w14:paraId="4F26EB2A"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results of the PLS test calculation that tests the effect of Brand Image on Customer Loyalty, the t statistical test results are 2.088 and t table 1.96. Meanwhile, the estimated coefficient (ß) is 0.251. So, it can be concluded that there is a positive and significant influence between the brand image variable on the customer loyalty variable for Islamic Commercial Bank customers. This means that the higher the Brand Image, the higher the Customer Loyalty. So that the test results are accepted.</w:t>
      </w:r>
    </w:p>
    <w:p w14:paraId="23188094"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results of the PLS test calculation which tests the effect of customer loyalty on customer retention, the t statistical value test results are 4.555 and t table 1.96. While the estimated coefficient (ß) is 0.493. So, it can be concluded that there is a positive and significant influence between the Customer Loyalty variable on the Customer Retention variable for customers of Islamic Commercial Banks. This means that the higher the customer loyalty, the higher the customer retention. So that the test results are accepted.</w:t>
      </w:r>
    </w:p>
    <w:p w14:paraId="7E096AD4"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The results of testing the second hypothesis testing states that Brand Image has a direct effect on Customer Retention through Customer Loyalty. The amount of the coefficient of direct and indirect effect can be calculated as follows:</w:t>
      </w:r>
    </w:p>
    <w:p w14:paraId="4A5448A4" w14:textId="77777777" w:rsidR="00FD20B9" w:rsidRPr="00FD20B9" w:rsidRDefault="00FD20B9" w:rsidP="00FD20B9">
      <w:pPr>
        <w:jc w:val="both"/>
        <w:rPr>
          <w:rFonts w:ascii="Cambria" w:hAnsi="Cambria"/>
          <w:sz w:val="20"/>
          <w:szCs w:val="20"/>
        </w:rPr>
      </w:pPr>
      <w:r w:rsidRPr="00FD20B9">
        <w:rPr>
          <w:rFonts w:ascii="Cambria" w:hAnsi="Cambria"/>
          <w:sz w:val="20"/>
          <w:szCs w:val="20"/>
        </w:rPr>
        <w:t>Direct Effect Brand Image -&gt; Customer Retention = (0.295)</w:t>
      </w:r>
    </w:p>
    <w:p w14:paraId="1E739EB6" w14:textId="77777777" w:rsidR="00FD20B9" w:rsidRPr="00FD20B9" w:rsidRDefault="00FD20B9" w:rsidP="00FD20B9">
      <w:pPr>
        <w:jc w:val="both"/>
        <w:rPr>
          <w:rFonts w:ascii="Cambria" w:hAnsi="Cambria"/>
          <w:sz w:val="20"/>
          <w:szCs w:val="20"/>
        </w:rPr>
      </w:pPr>
      <w:r w:rsidRPr="00FD20B9">
        <w:rPr>
          <w:rFonts w:ascii="Cambria" w:hAnsi="Cambria"/>
          <w:sz w:val="20"/>
          <w:szCs w:val="20"/>
        </w:rPr>
        <w:t>Indirect Effect Brand Image -&gt; Customer Loyalty -&gt; Customer Retention = (0.251) X (0.493) = 0.123.</w:t>
      </w:r>
    </w:p>
    <w:p w14:paraId="549C6B81" w14:textId="77777777" w:rsidR="00FD20B9" w:rsidRPr="00FD20B9" w:rsidRDefault="00FD20B9" w:rsidP="00FD20B9">
      <w:pPr>
        <w:ind w:firstLine="720"/>
        <w:jc w:val="both"/>
        <w:rPr>
          <w:rFonts w:ascii="Cambria" w:hAnsi="Cambria"/>
          <w:sz w:val="20"/>
          <w:szCs w:val="20"/>
        </w:rPr>
      </w:pPr>
      <w:r w:rsidRPr="00FD20B9">
        <w:rPr>
          <w:rFonts w:ascii="Cambria" w:hAnsi="Cambria"/>
          <w:sz w:val="20"/>
          <w:szCs w:val="20"/>
        </w:rPr>
        <w:t>The direct effect coefficient is greater than the indirect effect. So that the second hypothesis in this study is rejected. This means that the Customer Loyalty variable is not able to mediate (as an intervening variable) the effect of Brand Image on Customer Retention.</w:t>
      </w:r>
    </w:p>
    <w:p w14:paraId="0FD52755" w14:textId="77777777" w:rsidR="00FD20B9" w:rsidRPr="00FD20B9" w:rsidRDefault="00FD20B9" w:rsidP="00FD20B9">
      <w:pPr>
        <w:ind w:firstLine="720"/>
        <w:jc w:val="both"/>
        <w:rPr>
          <w:rFonts w:ascii="Cambria" w:hAnsi="Cambria"/>
          <w:sz w:val="20"/>
          <w:szCs w:val="20"/>
        </w:rPr>
      </w:pPr>
      <w:r w:rsidRPr="00FD20B9">
        <w:rPr>
          <w:rFonts w:ascii="Cambria" w:hAnsi="Cambria"/>
          <w:sz w:val="20"/>
          <w:szCs w:val="20"/>
        </w:rPr>
        <w:t>The R-Square value of the Customer Loyalty construct is 0.279, which means that Trust and Brand Image are able to explain the variance of Customer Loyalty by 27.9% and the remaining 72.1% is influenced by other factors not examined in this study. Furthermore, the R-Square value is also found in the Customer Retention construct of 0.589 which means Trust, Brand Image, and Customer Loyalty are able to explain the Customer Retention variance of 58.9% and the remaining 41.1% is influenced by other factors not examined in this study.</w:t>
      </w:r>
    </w:p>
    <w:p w14:paraId="4C3FBC25" w14:textId="77777777" w:rsidR="00A57078" w:rsidRDefault="00A57078" w:rsidP="006F084E">
      <w:pPr>
        <w:spacing w:before="120" w:after="120"/>
        <w:ind w:firstLine="567"/>
        <w:jc w:val="both"/>
        <w:outlineLvl w:val="0"/>
        <w:rPr>
          <w:rFonts w:ascii="Book Antiqua" w:hAnsi="Book Antiqua"/>
          <w:color w:val="000000"/>
        </w:rPr>
      </w:pPr>
    </w:p>
    <w:p w14:paraId="4421B195" w14:textId="77777777" w:rsidR="00A57078" w:rsidRPr="00FD20B9" w:rsidRDefault="00A57078" w:rsidP="00FD20B9">
      <w:pPr>
        <w:spacing w:before="120" w:after="120"/>
        <w:jc w:val="both"/>
        <w:rPr>
          <w:rFonts w:cstheme="minorHAnsi"/>
          <w:b/>
        </w:rPr>
      </w:pPr>
      <w:r w:rsidRPr="00FD20B9">
        <w:rPr>
          <w:rFonts w:cstheme="minorHAnsi"/>
          <w:b/>
          <w:color w:val="000000"/>
        </w:rPr>
        <w:t>Discussion</w:t>
      </w:r>
    </w:p>
    <w:p w14:paraId="62603A83"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 xml:space="preserve">The results of testing the first hypothesis state that trust has a direct effect on customer retention but also indirectly affects customer retention through customer loyalty. The results of this study are in line with the research conducted </w:t>
      </w:r>
      <w:r w:rsidRPr="00FD20B9">
        <w:rPr>
          <w:rFonts w:ascii="Cambria" w:hAnsi="Cambria"/>
          <w:sz w:val="20"/>
          <w:szCs w:val="20"/>
        </w:rPr>
        <w:fldChar w:fldCharType="begin" w:fldLock="1"/>
      </w:r>
      <w:r w:rsidRPr="00FD20B9">
        <w:rPr>
          <w:rFonts w:ascii="Cambria" w:hAnsi="Cambria"/>
          <w:sz w:val="20"/>
          <w:szCs w:val="20"/>
        </w:rPr>
        <w:instrText>ADDIN CSL_CITATION {"citationItems":[{"id":"ITEM-1","itemData":{"DOI":"10.1108/09564230310489231","ISSN":"09564233","abstract":"Adopts a holistic approach that examines the combined effects of satisfaction, trust and switching barriers on customer retention in a continuous purchasing setting. Argues that such an approach helps uncover hitherto neglected effects on retention and, in the process, unveils more cost effective ways of retaining customers. Drawing on this framework develops several hypotheses regarding the main and interaction effects of customer satisfaction, trust and switching barriers on retention. Tests these hypotheses on data from a large-scale mail survey of fixed line telephone users in the UK, finding that both customer satisfaction and trust have strong positive effects on customer retention. Contrary to some assertions in the literature, however, finds that the effect of trust on retention is weaker than that of satisfaction. Nevertheless, the interaction between trust and satisfaction also has a significant effect on retention, indicating that building both customer satisfaction and trust is a superior strategy to a focus on satisfaction alone. Qualitative evidence from the survey offers further support for this finding. Even a \"satisfying\" service recovery process might be inadequate to prevent loss of trust, with significant implications for future consumer behaviour. Finally, the results show that switching barriers have both a significant positive effect on customer retention as well as a moderating effect on the relationship between satisfaction and retention. While service providers may be able to retain even dissatisfied customers who perceive high switching barriers, argues that ideally, firms should aim at a combined strategy that makes switching barriers act as a complement to satisfaction.","author":[{"dropping-particle":"","family":"Ranaweera","given":"Chatura","non-dropping-particle":"","parse-names":false,"suffix":""},{"dropping-particle":"","family":"Prabhu","given":"Jaideep","non-dropping-particle":"","parse-names":false,"suffix":""}],"container-title":"International Journal of Service Industry Management","id":"ITEM-1","issue":"3-4","issued":{"date-parts":[["2003"]]},"page":"374-395","title":"The influence of satisfaction, trust and switching barriers on customer retention in a continuous purchasing setting","type":"article-journal","volume":"14"},"uris":["http://www.mendeley.com/documents/?uuid=2be76d38-f17b-4ba3-b4c3-7d6ecb5df11f"]}],"mendeley":{"formattedCitation":"(Ranaweera &amp; Prabhu, 2003)","plainTextFormattedCitation":"(Ranaweera &amp; Prabhu, 2003)","previouslyFormattedCitation":"(Ranaweera &amp; Prabhu, 2003)"},"properties":{"noteIndex":0},"schema":"https://github.com/citation-style-language/schema/raw/master/csl-citation.json"}</w:instrText>
      </w:r>
      <w:r w:rsidRPr="00FD20B9">
        <w:rPr>
          <w:rFonts w:ascii="Cambria" w:hAnsi="Cambria"/>
          <w:sz w:val="20"/>
          <w:szCs w:val="20"/>
        </w:rPr>
        <w:fldChar w:fldCharType="separate"/>
      </w:r>
      <w:r w:rsidRPr="00FD20B9">
        <w:rPr>
          <w:rFonts w:ascii="Cambria" w:hAnsi="Cambria"/>
          <w:noProof/>
          <w:sz w:val="20"/>
          <w:szCs w:val="20"/>
        </w:rPr>
        <w:t>Ranaweera &amp; Prabhu (2003)</w:t>
      </w:r>
      <w:r w:rsidRPr="00FD20B9">
        <w:rPr>
          <w:rFonts w:ascii="Cambria" w:hAnsi="Cambria"/>
          <w:sz w:val="20"/>
          <w:szCs w:val="20"/>
        </w:rPr>
        <w:fldChar w:fldCharType="end"/>
      </w:r>
      <w:r w:rsidRPr="00FD20B9">
        <w:rPr>
          <w:rFonts w:ascii="Cambria" w:hAnsi="Cambria"/>
          <w:sz w:val="20"/>
          <w:szCs w:val="20"/>
        </w:rPr>
        <w:t xml:space="preserve"> which states that trust has a positive and significant effect on customer retention. If customers are satisfied, they will be loyal to the company. Meanwhile, this research contradicts the study conducted </w:t>
      </w:r>
      <w:r w:rsidRPr="00FD20B9">
        <w:rPr>
          <w:rFonts w:ascii="Cambria" w:hAnsi="Cambria"/>
          <w:sz w:val="20"/>
          <w:szCs w:val="20"/>
        </w:rPr>
        <w:fldChar w:fldCharType="begin" w:fldLock="1"/>
      </w:r>
      <w:r w:rsidRPr="00FD20B9">
        <w:rPr>
          <w:rFonts w:ascii="Cambria" w:hAnsi="Cambria"/>
          <w:sz w:val="20"/>
          <w:szCs w:val="20"/>
        </w:rPr>
        <w:instrText>ADDIN CSL_CITATION {"citationItems":[{"id":"ITEM-1","itemData":{"DOI":"10.24052/jbrmr/v13is02/art-03","ISSN":"17518202","abstract":"The context of this study is Bangladesh's food retailing sector. The main purpose of this study is to investigate the relationship between Customer Relationship Marketing (CRM) and customer retention. The core aim of Relationship Marketing is to build long lasting mutually bonded relationships with customers and various other important stakeholders. The concept has attracted considerable attention among scholars in recent decades and has appeared in service marketing literature as a new marketing paradigm. The concept is critical to the success of any organisation as it has been an accepted phenomenon that maintains that existing customers are far easier to retain than is the process of acquiring new customers. In order to stay in business and cope with the challenging business dynamism, organisations are continuously searching for reliable and serviceable strategies to be employed in order to increase customer retention. However, there is a lack of consensus among researchers on the core antecedents of relationship marketing that can be used to achieve the above aims, especially while the concept is new in the context of organised retailing sectors in Bangladesh. In response, the study developed a conceptual framework of customer retention strategy which incorporates bonds, service quality and relational quality into one relationship model. The model establishes eleven hypotheses. A sample of 202 grocery food retail customers were selected in a random sample from four selected superstores. The results support hypothesized relationships built on the model. The findings indicate that service quality, trust, bond and customer satisfactions are vital for creating positive customer loyalty which in turn creates customer retention.","author":[{"dropping-particle":"","family":"Datta","given":"Palto","non-dropping-particle":"","parse-names":false,"suffix":""},{"dropping-particle":"","family":"Fraser","given":"Peter","non-dropping-particle":"","parse-names":false,"suffix":""},{"dropping-particle":"","family":"Lebcir","given":"Mohamed","non-dropping-particle":"","parse-names":false,"suffix":""}],"container-title":"Journal of Business &amp; Retail Management Research","id":"ITEM-1","issue":"02","issued":{"date-parts":[["2018"]]},"page":"20-36","title":"An investigation into the relationship between customer relationship marketing and customer retention: superstore retailing context in Bangladesh","type":"article-journal","volume":"13"},"uris":["http://www.mendeley.com/documents/?uuid=2f9a3524-35ea-4bb5-8302-35a6c4c057b9"]}],"mendeley":{"formattedCitation":"(Datta, Fraser, &amp; Lebcir, 2018)","plainTextFormattedCitation":"(Datta, Fraser, &amp; Lebcir, 2018)","previouslyFormattedCitation":"(Datta, Fraser, &amp; Lebcir, 2018)"},"properties":{"noteIndex":0},"schema":"https://github.com/citation-style-language/schema/raw/master/csl-citation.json"}</w:instrText>
      </w:r>
      <w:r w:rsidRPr="00FD20B9">
        <w:rPr>
          <w:rFonts w:ascii="Cambria" w:hAnsi="Cambria"/>
          <w:sz w:val="20"/>
          <w:szCs w:val="20"/>
        </w:rPr>
        <w:fldChar w:fldCharType="separate"/>
      </w:r>
      <w:r w:rsidRPr="00FD20B9">
        <w:rPr>
          <w:rFonts w:ascii="Cambria" w:hAnsi="Cambria"/>
          <w:noProof/>
          <w:sz w:val="20"/>
          <w:szCs w:val="20"/>
        </w:rPr>
        <w:t>Datta, Fraser, &amp; Lebcir (2018)</w:t>
      </w:r>
      <w:r w:rsidRPr="00FD20B9">
        <w:rPr>
          <w:rFonts w:ascii="Cambria" w:hAnsi="Cambria"/>
          <w:sz w:val="20"/>
          <w:szCs w:val="20"/>
        </w:rPr>
        <w:fldChar w:fldCharType="end"/>
      </w:r>
      <w:r w:rsidRPr="00FD20B9">
        <w:rPr>
          <w:rFonts w:ascii="Cambria" w:hAnsi="Cambria"/>
          <w:sz w:val="20"/>
          <w:szCs w:val="20"/>
        </w:rPr>
        <w:t xml:space="preserve">  which states that trust has no significant effect on customer retention with customer loyalty as an intervening variable.</w:t>
      </w:r>
    </w:p>
    <w:p w14:paraId="20B1A87B" w14:textId="77777777" w:rsidR="00FD20B9" w:rsidRPr="00FD20B9" w:rsidRDefault="00FD20B9" w:rsidP="00FD20B9">
      <w:pPr>
        <w:ind w:firstLine="567"/>
        <w:jc w:val="both"/>
        <w:rPr>
          <w:rFonts w:ascii="Cambria" w:hAnsi="Cambria"/>
          <w:sz w:val="20"/>
          <w:szCs w:val="20"/>
        </w:rPr>
      </w:pPr>
      <w:r w:rsidRPr="00FD20B9">
        <w:rPr>
          <w:rFonts w:ascii="Cambria" w:hAnsi="Cambria"/>
          <w:sz w:val="20"/>
          <w:szCs w:val="20"/>
        </w:rPr>
        <w:t xml:space="preserve">The result of testing the second hypothesis states that Brand Image has a direct effect on Customer Retention. However, the Customer Loyalty variable cannot mediate between the Brand Image and Customer Retention variables. The results of this study are in line with research conducted by a study conducted  </w:t>
      </w:r>
      <w:r w:rsidRPr="00FD20B9">
        <w:rPr>
          <w:rFonts w:ascii="Cambria" w:hAnsi="Cambria"/>
          <w:sz w:val="20"/>
          <w:szCs w:val="20"/>
        </w:rPr>
        <w:fldChar w:fldCharType="begin" w:fldLock="1"/>
      </w:r>
      <w:r w:rsidRPr="00FD20B9">
        <w:rPr>
          <w:rFonts w:ascii="Cambria" w:hAnsi="Cambria"/>
          <w:sz w:val="20"/>
          <w:szCs w:val="20"/>
        </w:rPr>
        <w:instrText xml:space="preserve">ADDIN CSL_CITATION {"citationItems":[{"id":"ITEM-1","itemData":{"abstract":"This research conducts a qualitative study by proposing a conceptual framework that explains customer loyalty, as well as its mediators and moderator based on the signaling theory. The signaling theory was originally derived from information economics under conditions in which buyers and sellers possess asymmetric information during their interactions in the market. This study refers to perceived brand prestige as the underlying and unobservable signal that fulfills the needs or demands of consumers observing the signal. In the proposed framework of this study, loyalty is indirectly related to CSR disclosure quality and perceived brand prestige through the full mediation of customer satisfaction and desirable expectation of new products. Moreover, the relationship between customer satisfaction and loyalty and between desirable expectation of new products and loyalty are both moderated by perceived brand prestige. This study is a pioneer in proposing the desirable expectation of new products as a mediator and perceived brand prestige as a moderator in the loyalty formation. This study suggests that marketers successfully shaping brand prestige can reduce the mutable influence of customer satisfaction on loyalty, leading to stable loyalty. Lastly, managerial implications for marketers based on the propositions of this study are provided.","author":[{"dropping-particle":"","family":"Chou","given":"Cheng-kai","non-dropping-particle":"","parse-names":false,"suffix":""},{"dropping-particle":"","family":"Chen","given":"Mei-liang","non-dropping-particle":"","parse-names":false,"suffix":""}],"container-title":"Corporate Management Review","id":"ITEM-1","issue":"2","issued":{"date-parts":[["2016"]]},"page":"105-122","title":"A qualitative study on perceived value and loyalty : A moderated-mediation framework </w:instrText>
      </w:r>
      <w:r w:rsidRPr="00FD20B9">
        <w:rPr>
          <w:rFonts w:ascii="Cambria" w:eastAsia="MS Gothic" w:hAnsi="Cambria"/>
          <w:sz w:val="20"/>
          <w:szCs w:val="20"/>
        </w:rPr>
        <w:instrText>知覺價</w:instrText>
      </w:r>
      <w:r w:rsidRPr="00FD20B9">
        <w:rPr>
          <w:rFonts w:ascii="Cambria" w:eastAsia="Microsoft JhengHei" w:hAnsi="Cambria"/>
          <w:sz w:val="20"/>
          <w:szCs w:val="20"/>
        </w:rPr>
        <w:instrText>值</w:instrText>
      </w:r>
      <w:r w:rsidRPr="00FD20B9">
        <w:rPr>
          <w:rFonts w:ascii="Cambria" w:eastAsia="MS Gothic" w:hAnsi="Cambria"/>
          <w:sz w:val="20"/>
          <w:szCs w:val="20"/>
        </w:rPr>
        <w:instrText>與忠誠之質性研究</w:instrText>
      </w:r>
      <w:r w:rsidRPr="00FD20B9">
        <w:rPr>
          <w:rFonts w:ascii="Cambria" w:hAnsi="Cambria"/>
          <w:sz w:val="20"/>
          <w:szCs w:val="20"/>
        </w:rPr>
        <w:instrText xml:space="preserve"> </w:instrText>
      </w:r>
      <w:r w:rsidRPr="00FD20B9">
        <w:rPr>
          <w:rFonts w:ascii="Cambria" w:eastAsia="MS Gothic" w:hAnsi="Cambria"/>
          <w:sz w:val="20"/>
          <w:szCs w:val="20"/>
        </w:rPr>
        <w:instrText>－</w:instrText>
      </w:r>
      <w:r w:rsidRPr="00FD20B9">
        <w:rPr>
          <w:rFonts w:ascii="Cambria" w:hAnsi="Cambria"/>
          <w:sz w:val="20"/>
          <w:szCs w:val="20"/>
        </w:rPr>
        <w:instrText xml:space="preserve"> </w:instrText>
      </w:r>
      <w:r w:rsidRPr="00FD20B9">
        <w:rPr>
          <w:rFonts w:ascii="Cambria" w:eastAsia="MS Gothic" w:hAnsi="Cambria"/>
          <w:sz w:val="20"/>
          <w:szCs w:val="20"/>
        </w:rPr>
        <w:instrText>調節中介架構</w:instrText>
      </w:r>
      <w:r w:rsidRPr="00FD20B9">
        <w:rPr>
          <w:rFonts w:ascii="Cambria" w:hAnsi="Cambria"/>
          <w:sz w:val="20"/>
          <w:szCs w:val="20"/>
        </w:rPr>
        <w:instrText>","type":"article-journal","volume":"36"},"uris":["http://www.mendeley.com/documents/?uuid=c4f623f2-b235-42e7-9eb7-b3ec2ae80bab"]}],"mendeley":{"formattedCitation":"(Chou &amp; Chen, 2016)","plainTextFormattedCitation":"(Chou &amp; Chen, 2016)","previouslyFormattedCitation":"(Chou &amp; Chen, 2016)"},"properties":{"noteIndex":0},"schema":"https://github.com/citation-style-language/schema/raw/master/csl-citation.json"}</w:instrText>
      </w:r>
      <w:r w:rsidRPr="00FD20B9">
        <w:rPr>
          <w:rFonts w:ascii="Cambria" w:hAnsi="Cambria"/>
          <w:sz w:val="20"/>
          <w:szCs w:val="20"/>
        </w:rPr>
        <w:fldChar w:fldCharType="separate"/>
      </w:r>
      <w:r w:rsidRPr="00FD20B9">
        <w:rPr>
          <w:rFonts w:ascii="Cambria" w:hAnsi="Cambria"/>
          <w:noProof/>
          <w:sz w:val="20"/>
          <w:szCs w:val="20"/>
        </w:rPr>
        <w:t>Chou &amp; Chen (2016)</w:t>
      </w:r>
      <w:r w:rsidRPr="00FD20B9">
        <w:rPr>
          <w:rFonts w:ascii="Cambria" w:hAnsi="Cambria"/>
          <w:sz w:val="20"/>
          <w:szCs w:val="20"/>
        </w:rPr>
        <w:fldChar w:fldCharType="end"/>
      </w:r>
      <w:r w:rsidRPr="00FD20B9">
        <w:rPr>
          <w:rFonts w:ascii="Cambria" w:hAnsi="Cambria"/>
          <w:sz w:val="20"/>
          <w:szCs w:val="20"/>
        </w:rPr>
        <w:t xml:space="preserve"> which states that Brand Image has no significant effect on Customer Retention with Customer Loyalty as an intervening variable. Meanwhile, this research contradicts the study conducted  </w:t>
      </w:r>
      <w:r w:rsidRPr="00FD20B9">
        <w:rPr>
          <w:rFonts w:ascii="Cambria" w:hAnsi="Cambria"/>
          <w:sz w:val="20"/>
          <w:szCs w:val="20"/>
        </w:rPr>
        <w:fldChar w:fldCharType="begin" w:fldLock="1"/>
      </w:r>
      <w:r w:rsidRPr="00FD20B9">
        <w:rPr>
          <w:rFonts w:ascii="Cambria" w:hAnsi="Cambria"/>
          <w:sz w:val="20"/>
          <w:szCs w:val="20"/>
        </w:rPr>
        <w:instrText>ADDIN CSL_CITATION {"citationItems":[{"id":"ITEM-1","itemData":{"DOI":"10.1108/02634500810847138","ISSN":"02634503","abstract":"Purpose - The purpose of the paper is to investigate the relationship between customer perceptions of public relations (PR) and customer loyalty; to test for the moderating role of brand image in that relationship. Design/methodology/approach - Data were collected in a survey of customers of the insurance industry in Taiwan, using a questionnaire designed on the basis of focus-group discussions with 30 consumers. Hierarchical regression analysis of data from 367 respondents was used to test two hypotheses. Findings - The results show that consumers' perception of an organisation's PR practice is an antecedent of loyalty. The impact of public relations perception (PRP) on customer loyalty is stronger and more significant when the brand image is favourable. If it is unfavourable, the effect of PRP on customer loyalty is negligible. Research limitations/implications - This study extends previous research by examining the moderating role of brand image. Further research is indicated, to identify the key moderators of the driving force of PR in relation to customer relationship marketing. Originality/value - This paper proposes an original eight-item scale for the assessment of customer PRP activity, which can be applied in practice to measure its effectiveness under different brand-image conditions.","author":[{"dropping-particle":"","family":"Hsieh","given":"An Tien","non-dropping-particle":"","parse-names":false,"suffix":""},{"dropping-particle":"","family":"Li","given":"Chung Kai","non-dropping-particle":"","parse-names":false,"suffix":""}],"container-title":"Marketing Intelligence and Planning","id":"ITEM-1","issue":"1","issued":{"date-parts":[["2008"]]},"page":"26-42","title":"The moderating effect of brand image on public relations perception and customer loyalty","type":"article-journal","volume":"26"},"uris":["http://www.mendeley.com/documents/?uuid=14b22e56-cd55-4903-adec-333d2c876109"]}],"mendeley":{"formattedCitation":"(Hsieh &amp; Li, 2008)","plainTextFormattedCitation":"(Hsieh &amp; Li, 2008)","previouslyFormattedCitation":"(Hsieh &amp; Li, 2008)"},"properties":{"noteIndex":0},"schema":"https://github.com/citation-style-language/schema/raw/master/csl-citation.json"}</w:instrText>
      </w:r>
      <w:r w:rsidRPr="00FD20B9">
        <w:rPr>
          <w:rFonts w:ascii="Cambria" w:hAnsi="Cambria"/>
          <w:sz w:val="20"/>
          <w:szCs w:val="20"/>
        </w:rPr>
        <w:fldChar w:fldCharType="separate"/>
      </w:r>
      <w:r w:rsidRPr="00FD20B9">
        <w:rPr>
          <w:rFonts w:ascii="Cambria" w:hAnsi="Cambria"/>
          <w:noProof/>
          <w:sz w:val="20"/>
          <w:szCs w:val="20"/>
        </w:rPr>
        <w:t>Hsieh &amp; Li (2008)</w:t>
      </w:r>
      <w:r w:rsidRPr="00FD20B9">
        <w:rPr>
          <w:rFonts w:ascii="Cambria" w:hAnsi="Cambria"/>
          <w:sz w:val="20"/>
          <w:szCs w:val="20"/>
        </w:rPr>
        <w:fldChar w:fldCharType="end"/>
      </w:r>
      <w:r w:rsidRPr="00FD20B9">
        <w:rPr>
          <w:rFonts w:ascii="Cambria" w:hAnsi="Cambria"/>
          <w:sz w:val="20"/>
          <w:szCs w:val="20"/>
        </w:rPr>
        <w:t xml:space="preserve"> which states that Brand Image has a positive and significant effect on Customer Retention with Customer Loyalty as an intervening variable.</w:t>
      </w:r>
    </w:p>
    <w:p w14:paraId="19FC8DF8" w14:textId="77777777" w:rsidR="00A57078" w:rsidRPr="00BD6CA4" w:rsidRDefault="00A57078" w:rsidP="00FD20B9">
      <w:pPr>
        <w:spacing w:before="120" w:after="120"/>
        <w:jc w:val="both"/>
        <w:rPr>
          <w:rFonts w:ascii="Book Antiqua" w:hAnsi="Book Antiqua"/>
          <w:color w:val="000000"/>
        </w:rPr>
      </w:pPr>
    </w:p>
    <w:p w14:paraId="08DF32D2" w14:textId="39C1A26D" w:rsidR="00A57078" w:rsidRPr="00FD20B9" w:rsidRDefault="00A57078" w:rsidP="00FD20B9">
      <w:pPr>
        <w:spacing w:before="120" w:after="120"/>
        <w:jc w:val="both"/>
        <w:rPr>
          <w:rFonts w:cstheme="minorHAnsi"/>
          <w:b/>
        </w:rPr>
      </w:pPr>
      <w:r w:rsidRPr="00FD20B9">
        <w:rPr>
          <w:rFonts w:cstheme="minorHAnsi"/>
          <w:b/>
          <w:color w:val="000000"/>
        </w:rPr>
        <w:t>Conclusion</w:t>
      </w:r>
    </w:p>
    <w:p w14:paraId="6815E6EF" w14:textId="77777777" w:rsidR="00FD20B9" w:rsidRPr="00FD20B9" w:rsidRDefault="00FD20B9" w:rsidP="00FD20B9">
      <w:pPr>
        <w:jc w:val="both"/>
        <w:rPr>
          <w:rFonts w:ascii="Cambria" w:hAnsi="Cambria"/>
          <w:sz w:val="20"/>
          <w:szCs w:val="20"/>
        </w:rPr>
      </w:pPr>
      <w:r w:rsidRPr="00FD20B9">
        <w:rPr>
          <w:rFonts w:ascii="Cambria" w:hAnsi="Cambria"/>
          <w:sz w:val="20"/>
          <w:szCs w:val="20"/>
        </w:rPr>
        <w:t>The conclusions in this study are as follows:</w:t>
      </w:r>
    </w:p>
    <w:p w14:paraId="2B494973" w14:textId="77777777" w:rsidR="00FD20B9" w:rsidRPr="00FD20B9" w:rsidRDefault="00FD20B9" w:rsidP="00FD20B9">
      <w:pPr>
        <w:pStyle w:val="ListParagraph"/>
        <w:numPr>
          <w:ilvl w:val="0"/>
          <w:numId w:val="8"/>
        </w:numPr>
        <w:spacing w:after="0" w:line="240" w:lineRule="auto"/>
        <w:ind w:left="284" w:hanging="284"/>
        <w:jc w:val="both"/>
        <w:rPr>
          <w:rFonts w:ascii="Cambria" w:hAnsi="Cambria" w:cs="Times New Roman"/>
          <w:sz w:val="20"/>
          <w:szCs w:val="20"/>
        </w:rPr>
      </w:pPr>
      <w:r w:rsidRPr="00FD20B9">
        <w:rPr>
          <w:rFonts w:ascii="Cambria" w:hAnsi="Cambria" w:cs="Times New Roman"/>
          <w:sz w:val="20"/>
          <w:szCs w:val="20"/>
        </w:rPr>
        <w:t>Trust has a positive and significant effect on Customer Retention through Customer Loyalty.</w:t>
      </w:r>
    </w:p>
    <w:p w14:paraId="35938676" w14:textId="77777777" w:rsidR="00FD20B9" w:rsidRPr="00FD20B9" w:rsidRDefault="00FD20B9" w:rsidP="00FD20B9">
      <w:pPr>
        <w:pStyle w:val="ListParagraph"/>
        <w:numPr>
          <w:ilvl w:val="0"/>
          <w:numId w:val="8"/>
        </w:numPr>
        <w:spacing w:after="0" w:line="240" w:lineRule="auto"/>
        <w:ind w:left="284" w:hanging="284"/>
        <w:jc w:val="both"/>
        <w:rPr>
          <w:rFonts w:ascii="Cambria" w:hAnsi="Cambria" w:cs="Times New Roman"/>
          <w:sz w:val="20"/>
          <w:szCs w:val="20"/>
        </w:rPr>
      </w:pPr>
      <w:r w:rsidRPr="00FD20B9">
        <w:rPr>
          <w:rFonts w:ascii="Cambria" w:hAnsi="Cambria" w:cs="Times New Roman"/>
          <w:sz w:val="20"/>
          <w:szCs w:val="20"/>
        </w:rPr>
        <w:t>Customer Loyalty has no significant positive effect as an intervening variable between the influence of Brand Image on Customer Retention.</w:t>
      </w:r>
    </w:p>
    <w:p w14:paraId="2547939F" w14:textId="77777777" w:rsidR="00FD20B9" w:rsidRDefault="00FD20B9" w:rsidP="00A57078">
      <w:pPr>
        <w:spacing w:before="120" w:after="120"/>
        <w:jc w:val="both"/>
        <w:rPr>
          <w:rFonts w:cstheme="minorHAnsi"/>
          <w:b/>
          <w:color w:val="000000"/>
          <w:sz w:val="26"/>
          <w:szCs w:val="26"/>
        </w:rPr>
      </w:pPr>
    </w:p>
    <w:p w14:paraId="2512A981" w14:textId="77777777" w:rsidR="00A57078" w:rsidRPr="00FD20B9" w:rsidRDefault="00A57078" w:rsidP="00A57078">
      <w:pPr>
        <w:spacing w:before="120" w:after="120"/>
        <w:jc w:val="both"/>
        <w:rPr>
          <w:rFonts w:ascii="Cambria" w:hAnsi="Cambria" w:cstheme="minorHAnsi"/>
          <w:b/>
          <w:sz w:val="20"/>
          <w:szCs w:val="20"/>
        </w:rPr>
      </w:pPr>
      <w:r w:rsidRPr="00FD20B9">
        <w:rPr>
          <w:rFonts w:ascii="Cambria" w:hAnsi="Cambria" w:cstheme="minorHAnsi"/>
          <w:b/>
          <w:color w:val="000000"/>
          <w:sz w:val="20"/>
          <w:szCs w:val="20"/>
        </w:rPr>
        <w:t>Ref</w:t>
      </w:r>
      <w:r w:rsidR="008A00D4" w:rsidRPr="00FD20B9">
        <w:rPr>
          <w:rFonts w:ascii="Cambria" w:hAnsi="Cambria" w:cstheme="minorHAnsi"/>
          <w:b/>
          <w:color w:val="000000"/>
          <w:sz w:val="20"/>
          <w:szCs w:val="20"/>
        </w:rPr>
        <w:t>e</w:t>
      </w:r>
      <w:r w:rsidRPr="00FD20B9">
        <w:rPr>
          <w:rFonts w:ascii="Cambria" w:hAnsi="Cambria" w:cstheme="minorHAnsi"/>
          <w:b/>
          <w:color w:val="000000"/>
          <w:sz w:val="20"/>
          <w:szCs w:val="20"/>
        </w:rPr>
        <w:t>rences</w:t>
      </w:r>
    </w:p>
    <w:p w14:paraId="115F0E29"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b/>
          <w:sz w:val="20"/>
          <w:szCs w:val="20"/>
        </w:rPr>
        <w:fldChar w:fldCharType="begin" w:fldLock="1"/>
      </w:r>
      <w:r w:rsidRPr="00FD20B9">
        <w:rPr>
          <w:rFonts w:ascii="Cambria" w:hAnsi="Cambria"/>
          <w:b/>
          <w:sz w:val="20"/>
          <w:szCs w:val="20"/>
        </w:rPr>
        <w:instrText xml:space="preserve">ADDIN Mendeley Bibliography CSL_BIBLIOGRAPHY </w:instrText>
      </w:r>
      <w:r w:rsidRPr="00FD20B9">
        <w:rPr>
          <w:rFonts w:ascii="Cambria" w:hAnsi="Cambria"/>
          <w:b/>
          <w:sz w:val="20"/>
          <w:szCs w:val="20"/>
        </w:rPr>
        <w:fldChar w:fldCharType="separate"/>
      </w:r>
      <w:r w:rsidRPr="00FD20B9">
        <w:rPr>
          <w:rFonts w:ascii="Cambria" w:hAnsi="Cambria"/>
          <w:noProof/>
          <w:sz w:val="20"/>
          <w:szCs w:val="20"/>
        </w:rPr>
        <w:t xml:space="preserve">Abosag, I., &amp; Farah, M. F. (2014). The influence of religiously motivated consumer boycotts on brand image, loyalty and product judgment. </w:t>
      </w:r>
      <w:r w:rsidRPr="00FD20B9">
        <w:rPr>
          <w:rFonts w:ascii="Cambria" w:hAnsi="Cambria"/>
          <w:i/>
          <w:iCs/>
          <w:noProof/>
          <w:sz w:val="20"/>
          <w:szCs w:val="20"/>
        </w:rPr>
        <w:t>European Journal of Marketing</w:t>
      </w:r>
      <w:r w:rsidRPr="00FD20B9">
        <w:rPr>
          <w:rFonts w:ascii="Cambria" w:hAnsi="Cambria"/>
          <w:noProof/>
          <w:sz w:val="20"/>
          <w:szCs w:val="20"/>
        </w:rPr>
        <w:t xml:space="preserve">, </w:t>
      </w:r>
      <w:r w:rsidRPr="00FD20B9">
        <w:rPr>
          <w:rFonts w:ascii="Cambria" w:hAnsi="Cambria"/>
          <w:i/>
          <w:iCs/>
          <w:noProof/>
          <w:sz w:val="20"/>
          <w:szCs w:val="20"/>
        </w:rPr>
        <w:t>48</w:t>
      </w:r>
      <w:r w:rsidRPr="00FD20B9">
        <w:rPr>
          <w:rFonts w:ascii="Cambria" w:hAnsi="Cambria"/>
          <w:noProof/>
          <w:sz w:val="20"/>
          <w:szCs w:val="20"/>
        </w:rPr>
        <w:t>(11–12), 2262–2283. https://doi.org/10.1108/EJM-12-2013-0737</w:t>
      </w:r>
    </w:p>
    <w:p w14:paraId="06AEFF75"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Akintunde, O. A. (2016). Customer Relationship Management ( CRM ) and Customer Retention in Nigeria Banking Industry : A Strategic Standpoint University of Lagos , Nigeria, </w:t>
      </w:r>
      <w:r w:rsidRPr="00FD20B9">
        <w:rPr>
          <w:rFonts w:ascii="Cambria" w:hAnsi="Cambria"/>
          <w:i/>
          <w:iCs/>
          <w:noProof/>
          <w:sz w:val="20"/>
          <w:szCs w:val="20"/>
        </w:rPr>
        <w:t>10</w:t>
      </w:r>
      <w:r w:rsidRPr="00FD20B9">
        <w:rPr>
          <w:rFonts w:ascii="Cambria" w:hAnsi="Cambria"/>
          <w:noProof/>
          <w:sz w:val="20"/>
          <w:szCs w:val="20"/>
        </w:rPr>
        <w:t>(2), 81–90.</w:t>
      </w:r>
    </w:p>
    <w:p w14:paraId="028AE6B4"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Andreassen, T. W., &amp; Lindestad, B. (1998). Customer loyalty and complex services. The impact of corporate image on quality, customer satisfaction and loyalty for customers with varying degrees of service expertise. </w:t>
      </w:r>
      <w:r w:rsidRPr="00FD20B9">
        <w:rPr>
          <w:rFonts w:ascii="Cambria" w:hAnsi="Cambria"/>
          <w:i/>
          <w:iCs/>
          <w:noProof/>
          <w:sz w:val="20"/>
          <w:szCs w:val="20"/>
        </w:rPr>
        <w:t>International Journal of Service Industry Management</w:t>
      </w:r>
      <w:r w:rsidRPr="00FD20B9">
        <w:rPr>
          <w:rFonts w:ascii="Cambria" w:hAnsi="Cambria"/>
          <w:noProof/>
          <w:sz w:val="20"/>
          <w:szCs w:val="20"/>
        </w:rPr>
        <w:t xml:space="preserve">, </w:t>
      </w:r>
      <w:r w:rsidRPr="00FD20B9">
        <w:rPr>
          <w:rFonts w:ascii="Cambria" w:hAnsi="Cambria"/>
          <w:i/>
          <w:iCs/>
          <w:noProof/>
          <w:sz w:val="20"/>
          <w:szCs w:val="20"/>
        </w:rPr>
        <w:t>9</w:t>
      </w:r>
      <w:r w:rsidRPr="00FD20B9">
        <w:rPr>
          <w:rFonts w:ascii="Cambria" w:hAnsi="Cambria"/>
          <w:noProof/>
          <w:sz w:val="20"/>
          <w:szCs w:val="20"/>
        </w:rPr>
        <w:t>(1), 7–23. https://doi.org/10.1108/09564239810199923</w:t>
      </w:r>
    </w:p>
    <w:p w14:paraId="25C12789"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Chang, C. C., &amp; Hung, J. S. (2018). The effects of service recovery and relational selling behavior on trust, satisfaction, and loyalty. </w:t>
      </w:r>
      <w:r w:rsidRPr="00FD20B9">
        <w:rPr>
          <w:rFonts w:ascii="Cambria" w:hAnsi="Cambria"/>
          <w:i/>
          <w:iCs/>
          <w:noProof/>
          <w:sz w:val="20"/>
          <w:szCs w:val="20"/>
        </w:rPr>
        <w:t>International Journal of Bank Marketing</w:t>
      </w:r>
      <w:r w:rsidRPr="00FD20B9">
        <w:rPr>
          <w:rFonts w:ascii="Cambria" w:hAnsi="Cambria"/>
          <w:noProof/>
          <w:sz w:val="20"/>
          <w:szCs w:val="20"/>
        </w:rPr>
        <w:t xml:space="preserve">, </w:t>
      </w:r>
      <w:r w:rsidRPr="00FD20B9">
        <w:rPr>
          <w:rFonts w:ascii="Cambria" w:hAnsi="Cambria"/>
          <w:i/>
          <w:iCs/>
          <w:noProof/>
          <w:sz w:val="20"/>
          <w:szCs w:val="20"/>
        </w:rPr>
        <w:t>36</w:t>
      </w:r>
      <w:r w:rsidRPr="00FD20B9">
        <w:rPr>
          <w:rFonts w:ascii="Cambria" w:hAnsi="Cambria"/>
          <w:noProof/>
          <w:sz w:val="20"/>
          <w:szCs w:val="20"/>
        </w:rPr>
        <w:t>(7), 1437–1454. https://doi.org/10.1108/IJBM-07-2017-0160</w:t>
      </w:r>
    </w:p>
    <w:p w14:paraId="7E1689AF"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Chou, C., &amp; Chen, M. (2016). A qualitative study on perceived value and loyalty : A moderated-mediation framework </w:t>
      </w:r>
      <w:r w:rsidRPr="00FD20B9">
        <w:rPr>
          <w:rFonts w:ascii="Cambria" w:eastAsia="MS Gothic" w:hAnsi="Cambria"/>
          <w:noProof/>
          <w:sz w:val="20"/>
          <w:szCs w:val="20"/>
        </w:rPr>
        <w:t>知覺價</w:t>
      </w:r>
      <w:r w:rsidRPr="00FD20B9">
        <w:rPr>
          <w:rFonts w:ascii="Cambria" w:eastAsia="Microsoft JhengHei" w:hAnsi="Cambria"/>
          <w:noProof/>
          <w:sz w:val="20"/>
          <w:szCs w:val="20"/>
        </w:rPr>
        <w:t>值</w:t>
      </w:r>
      <w:r w:rsidRPr="00FD20B9">
        <w:rPr>
          <w:rFonts w:ascii="Cambria" w:eastAsia="MS Gothic" w:hAnsi="Cambria"/>
          <w:noProof/>
          <w:sz w:val="20"/>
          <w:szCs w:val="20"/>
        </w:rPr>
        <w:t>與忠誠之質性研究</w:t>
      </w:r>
      <w:r w:rsidRPr="00FD20B9">
        <w:rPr>
          <w:rFonts w:ascii="Cambria" w:hAnsi="Cambria"/>
          <w:noProof/>
          <w:sz w:val="20"/>
          <w:szCs w:val="20"/>
        </w:rPr>
        <w:t xml:space="preserve"> </w:t>
      </w:r>
      <w:r w:rsidRPr="00FD20B9">
        <w:rPr>
          <w:rFonts w:ascii="Cambria" w:eastAsia="MS Gothic" w:hAnsi="Cambria"/>
          <w:noProof/>
          <w:sz w:val="20"/>
          <w:szCs w:val="20"/>
        </w:rPr>
        <w:t>－</w:t>
      </w:r>
      <w:r w:rsidRPr="00FD20B9">
        <w:rPr>
          <w:rFonts w:ascii="Cambria" w:hAnsi="Cambria"/>
          <w:noProof/>
          <w:sz w:val="20"/>
          <w:szCs w:val="20"/>
        </w:rPr>
        <w:t xml:space="preserve"> </w:t>
      </w:r>
      <w:r w:rsidRPr="00FD20B9">
        <w:rPr>
          <w:rFonts w:ascii="Cambria" w:eastAsia="MS Gothic" w:hAnsi="Cambria"/>
          <w:noProof/>
          <w:sz w:val="20"/>
          <w:szCs w:val="20"/>
        </w:rPr>
        <w:t>調節中介架構</w:t>
      </w:r>
      <w:r w:rsidRPr="00FD20B9">
        <w:rPr>
          <w:rFonts w:ascii="Cambria" w:hAnsi="Cambria"/>
          <w:noProof/>
          <w:sz w:val="20"/>
          <w:szCs w:val="20"/>
        </w:rPr>
        <w:t xml:space="preserve">. </w:t>
      </w:r>
      <w:r w:rsidRPr="00FD20B9">
        <w:rPr>
          <w:rFonts w:ascii="Cambria" w:hAnsi="Cambria"/>
          <w:i/>
          <w:iCs/>
          <w:noProof/>
          <w:sz w:val="20"/>
          <w:szCs w:val="20"/>
        </w:rPr>
        <w:t>Corporate Management Review</w:t>
      </w:r>
      <w:r w:rsidRPr="00FD20B9">
        <w:rPr>
          <w:rFonts w:ascii="Cambria" w:hAnsi="Cambria"/>
          <w:noProof/>
          <w:sz w:val="20"/>
          <w:szCs w:val="20"/>
        </w:rPr>
        <w:t xml:space="preserve">, </w:t>
      </w:r>
      <w:r w:rsidRPr="00FD20B9">
        <w:rPr>
          <w:rFonts w:ascii="Cambria" w:hAnsi="Cambria"/>
          <w:i/>
          <w:iCs/>
          <w:noProof/>
          <w:sz w:val="20"/>
          <w:szCs w:val="20"/>
        </w:rPr>
        <w:t>36</w:t>
      </w:r>
      <w:r w:rsidRPr="00FD20B9">
        <w:rPr>
          <w:rFonts w:ascii="Cambria" w:hAnsi="Cambria"/>
          <w:noProof/>
          <w:sz w:val="20"/>
          <w:szCs w:val="20"/>
        </w:rPr>
        <w:t>(2), 105–122.</w:t>
      </w:r>
    </w:p>
    <w:p w14:paraId="41AD0A64"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Chu, P. Y., Lee, G. Y., &amp; Chao, Y. (2012). Service quality, customer satisfaction, customer trust, and loyalty in an e-banking context. </w:t>
      </w:r>
      <w:r w:rsidRPr="00FD20B9">
        <w:rPr>
          <w:rFonts w:ascii="Cambria" w:hAnsi="Cambria"/>
          <w:i/>
          <w:iCs/>
          <w:noProof/>
          <w:sz w:val="20"/>
          <w:szCs w:val="20"/>
        </w:rPr>
        <w:t>Social Behavior and Personality</w:t>
      </w:r>
      <w:r w:rsidRPr="00FD20B9">
        <w:rPr>
          <w:rFonts w:ascii="Cambria" w:hAnsi="Cambria"/>
          <w:noProof/>
          <w:sz w:val="20"/>
          <w:szCs w:val="20"/>
        </w:rPr>
        <w:t xml:space="preserve">, </w:t>
      </w:r>
      <w:r w:rsidRPr="00FD20B9">
        <w:rPr>
          <w:rFonts w:ascii="Cambria" w:hAnsi="Cambria"/>
          <w:i/>
          <w:iCs/>
          <w:noProof/>
          <w:sz w:val="20"/>
          <w:szCs w:val="20"/>
        </w:rPr>
        <w:t>40</w:t>
      </w:r>
      <w:r w:rsidRPr="00FD20B9">
        <w:rPr>
          <w:rFonts w:ascii="Cambria" w:hAnsi="Cambria"/>
          <w:noProof/>
          <w:sz w:val="20"/>
          <w:szCs w:val="20"/>
        </w:rPr>
        <w:t>(8), 1271–1284. https://doi.org/10.2224/sbp.2012.40.8.1271</w:t>
      </w:r>
    </w:p>
    <w:p w14:paraId="26747612"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Coussement, K. (2014). Improving customer retention management through cost-sensitive learning. </w:t>
      </w:r>
      <w:r w:rsidRPr="00FD20B9">
        <w:rPr>
          <w:rFonts w:ascii="Cambria" w:hAnsi="Cambria"/>
          <w:i/>
          <w:iCs/>
          <w:noProof/>
          <w:sz w:val="20"/>
          <w:szCs w:val="20"/>
        </w:rPr>
        <w:t>European Journal of Marketing</w:t>
      </w:r>
      <w:r w:rsidRPr="00FD20B9">
        <w:rPr>
          <w:rFonts w:ascii="Cambria" w:hAnsi="Cambria"/>
          <w:noProof/>
          <w:sz w:val="20"/>
          <w:szCs w:val="20"/>
        </w:rPr>
        <w:t xml:space="preserve">, </w:t>
      </w:r>
      <w:r w:rsidRPr="00FD20B9">
        <w:rPr>
          <w:rFonts w:ascii="Cambria" w:hAnsi="Cambria"/>
          <w:i/>
          <w:iCs/>
          <w:noProof/>
          <w:sz w:val="20"/>
          <w:szCs w:val="20"/>
        </w:rPr>
        <w:t>48</w:t>
      </w:r>
      <w:r w:rsidRPr="00FD20B9">
        <w:rPr>
          <w:rFonts w:ascii="Cambria" w:hAnsi="Cambria"/>
          <w:noProof/>
          <w:sz w:val="20"/>
          <w:szCs w:val="20"/>
        </w:rPr>
        <w:t>(3/4), 477–495. https://doi.org/10.1108/ejm-03-2012-0180</w:t>
      </w:r>
    </w:p>
    <w:p w14:paraId="5CE25EEA"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Datta, P., Fraser, P., &amp; Lebcir, M. (2018). An investigation into the relationship between customer relationship </w:t>
      </w:r>
      <w:r w:rsidRPr="00FD20B9">
        <w:rPr>
          <w:rFonts w:ascii="Cambria" w:hAnsi="Cambria"/>
          <w:noProof/>
          <w:sz w:val="20"/>
          <w:szCs w:val="20"/>
        </w:rPr>
        <w:lastRenderedPageBreak/>
        <w:t xml:space="preserve">marketing and customer retention: superstore retailing context in Bangladesh. </w:t>
      </w:r>
      <w:r w:rsidRPr="00FD20B9">
        <w:rPr>
          <w:rFonts w:ascii="Cambria" w:hAnsi="Cambria"/>
          <w:i/>
          <w:iCs/>
          <w:noProof/>
          <w:sz w:val="20"/>
          <w:szCs w:val="20"/>
        </w:rPr>
        <w:t>Journal of Business &amp; Retail Management Research</w:t>
      </w:r>
      <w:r w:rsidRPr="00FD20B9">
        <w:rPr>
          <w:rFonts w:ascii="Cambria" w:hAnsi="Cambria"/>
          <w:noProof/>
          <w:sz w:val="20"/>
          <w:szCs w:val="20"/>
        </w:rPr>
        <w:t xml:space="preserve">, </w:t>
      </w:r>
      <w:r w:rsidRPr="00FD20B9">
        <w:rPr>
          <w:rFonts w:ascii="Cambria" w:hAnsi="Cambria"/>
          <w:i/>
          <w:iCs/>
          <w:noProof/>
          <w:sz w:val="20"/>
          <w:szCs w:val="20"/>
        </w:rPr>
        <w:t>13</w:t>
      </w:r>
      <w:r w:rsidRPr="00FD20B9">
        <w:rPr>
          <w:rFonts w:ascii="Cambria" w:hAnsi="Cambria"/>
          <w:noProof/>
          <w:sz w:val="20"/>
          <w:szCs w:val="20"/>
        </w:rPr>
        <w:t>(02), 20–36. https://doi.org/10.24052/jbrmr/v13is02/art-03</w:t>
      </w:r>
    </w:p>
    <w:p w14:paraId="736010B2"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Espinosa, J. A., Ortinau, D. J., Krey, N., &amp; Monahan, L. (2018). I’ll have the usual: how restaurant brand image, loyalty, and satisfaction keep customers coming back. </w:t>
      </w:r>
      <w:r w:rsidRPr="00FD20B9">
        <w:rPr>
          <w:rFonts w:ascii="Cambria" w:hAnsi="Cambria"/>
          <w:i/>
          <w:iCs/>
          <w:noProof/>
          <w:sz w:val="20"/>
          <w:szCs w:val="20"/>
        </w:rPr>
        <w:t>Journal of Product and Brand Management</w:t>
      </w:r>
      <w:r w:rsidRPr="00FD20B9">
        <w:rPr>
          <w:rFonts w:ascii="Cambria" w:hAnsi="Cambria"/>
          <w:noProof/>
          <w:sz w:val="20"/>
          <w:szCs w:val="20"/>
        </w:rPr>
        <w:t xml:space="preserve">, </w:t>
      </w:r>
      <w:r w:rsidRPr="00FD20B9">
        <w:rPr>
          <w:rFonts w:ascii="Cambria" w:hAnsi="Cambria"/>
          <w:i/>
          <w:iCs/>
          <w:noProof/>
          <w:sz w:val="20"/>
          <w:szCs w:val="20"/>
        </w:rPr>
        <w:t>27</w:t>
      </w:r>
      <w:r w:rsidRPr="00FD20B9">
        <w:rPr>
          <w:rFonts w:ascii="Cambria" w:hAnsi="Cambria"/>
          <w:noProof/>
          <w:sz w:val="20"/>
          <w:szCs w:val="20"/>
        </w:rPr>
        <w:t>(6), 599–614. https://doi.org/10.1108/JPBM-10-2017-1610</w:t>
      </w:r>
    </w:p>
    <w:p w14:paraId="476D66C3" w14:textId="00B69B41" w:rsid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Faullant, R., Matzler, K., &amp; Füller, J. (2008). The impact of satisfaction and image on loyalty: The case of Alpine ski resorts. </w:t>
      </w:r>
      <w:r w:rsidRPr="00FD20B9">
        <w:rPr>
          <w:rFonts w:ascii="Cambria" w:hAnsi="Cambria"/>
          <w:i/>
          <w:iCs/>
          <w:noProof/>
          <w:sz w:val="20"/>
          <w:szCs w:val="20"/>
        </w:rPr>
        <w:t>Managing Service Quality</w:t>
      </w:r>
      <w:r w:rsidRPr="00FD20B9">
        <w:rPr>
          <w:rFonts w:ascii="Cambria" w:hAnsi="Cambria"/>
          <w:noProof/>
          <w:sz w:val="20"/>
          <w:szCs w:val="20"/>
        </w:rPr>
        <w:t xml:space="preserve">, </w:t>
      </w:r>
      <w:r w:rsidRPr="00FD20B9">
        <w:rPr>
          <w:rFonts w:ascii="Cambria" w:hAnsi="Cambria"/>
          <w:i/>
          <w:iCs/>
          <w:noProof/>
          <w:sz w:val="20"/>
          <w:szCs w:val="20"/>
        </w:rPr>
        <w:t>18</w:t>
      </w:r>
      <w:r w:rsidRPr="00FD20B9">
        <w:rPr>
          <w:rFonts w:ascii="Cambria" w:hAnsi="Cambria"/>
          <w:noProof/>
          <w:sz w:val="20"/>
          <w:szCs w:val="20"/>
        </w:rPr>
        <w:t>(2), 163–178. https://doi.org/10.1108/09604520810859210</w:t>
      </w:r>
    </w:p>
    <w:p w14:paraId="786EB06D" w14:textId="6DCE05A0" w:rsidR="00FD20B9" w:rsidRDefault="00FD20B9" w:rsidP="00FD20B9">
      <w:pPr>
        <w:pStyle w:val="FootnoteText"/>
        <w:ind w:left="567" w:hanging="567"/>
        <w:jc w:val="both"/>
        <w:rPr>
          <w:rFonts w:ascii="Cambria" w:hAnsi="Cambria" w:cs="Times New Roman"/>
          <w:sz w:val="20"/>
          <w:szCs w:val="20"/>
        </w:rPr>
      </w:pPr>
      <w:r w:rsidRPr="00FD20B9">
        <w:rPr>
          <w:rFonts w:ascii="Cambria" w:hAnsi="Cambria" w:cs="Times New Roman"/>
          <w:sz w:val="20"/>
          <w:szCs w:val="20"/>
        </w:rPr>
        <w:t>Ferdinand, Agusty. 2014. Metode Penelitian Manajemen, Semarang : Badan Penerbit Universitas Diponegoro.</w:t>
      </w:r>
    </w:p>
    <w:p w14:paraId="13BAAB69" w14:textId="77777777" w:rsidR="00FD20B9" w:rsidRPr="00FD20B9" w:rsidRDefault="00FD20B9" w:rsidP="00FD20B9">
      <w:pPr>
        <w:pStyle w:val="FootnoteText"/>
        <w:ind w:left="567" w:hanging="567"/>
        <w:jc w:val="both"/>
        <w:rPr>
          <w:rFonts w:ascii="Cambria" w:hAnsi="Cambria" w:cs="Times New Roman"/>
          <w:sz w:val="20"/>
          <w:szCs w:val="20"/>
        </w:rPr>
      </w:pPr>
    </w:p>
    <w:p w14:paraId="4B0C2879"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Hanaysha, J. R. (2018). Customer retention and the mediating role of perceived value in retail industry. </w:t>
      </w:r>
      <w:r w:rsidRPr="00FD20B9">
        <w:rPr>
          <w:rFonts w:ascii="Cambria" w:hAnsi="Cambria"/>
          <w:i/>
          <w:iCs/>
          <w:noProof/>
          <w:sz w:val="20"/>
          <w:szCs w:val="20"/>
        </w:rPr>
        <w:t>World Journal of Entrepreneurship, Management and Sustainable Development</w:t>
      </w:r>
      <w:r w:rsidRPr="00FD20B9">
        <w:rPr>
          <w:rFonts w:ascii="Cambria" w:hAnsi="Cambria"/>
          <w:noProof/>
          <w:sz w:val="20"/>
          <w:szCs w:val="20"/>
        </w:rPr>
        <w:t xml:space="preserve">, </w:t>
      </w:r>
      <w:r w:rsidRPr="00FD20B9">
        <w:rPr>
          <w:rFonts w:ascii="Cambria" w:hAnsi="Cambria"/>
          <w:i/>
          <w:iCs/>
          <w:noProof/>
          <w:sz w:val="20"/>
          <w:szCs w:val="20"/>
        </w:rPr>
        <w:t>14</w:t>
      </w:r>
      <w:r w:rsidRPr="00FD20B9">
        <w:rPr>
          <w:rFonts w:ascii="Cambria" w:hAnsi="Cambria"/>
          <w:noProof/>
          <w:sz w:val="20"/>
          <w:szCs w:val="20"/>
        </w:rPr>
        <w:t>(1), 2–24. https://doi.org/10.1108/wjemsd-06-2017-0035</w:t>
      </w:r>
    </w:p>
    <w:p w14:paraId="2C79776F"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Hofman-Kohlmeyer, M. (2016). Customer Loyalty Program As a Tool of Customer Retention: Literature Review. </w:t>
      </w:r>
      <w:r w:rsidRPr="00FD20B9">
        <w:rPr>
          <w:rFonts w:ascii="Cambria" w:hAnsi="Cambria"/>
          <w:i/>
          <w:iCs/>
          <w:noProof/>
          <w:sz w:val="20"/>
          <w:szCs w:val="20"/>
        </w:rPr>
        <w:t>CBU International Conference Proceedings</w:t>
      </w:r>
      <w:r w:rsidRPr="00FD20B9">
        <w:rPr>
          <w:rFonts w:ascii="Cambria" w:hAnsi="Cambria"/>
          <w:noProof/>
          <w:sz w:val="20"/>
          <w:szCs w:val="20"/>
        </w:rPr>
        <w:t xml:space="preserve">, </w:t>
      </w:r>
      <w:r w:rsidRPr="00FD20B9">
        <w:rPr>
          <w:rFonts w:ascii="Cambria" w:hAnsi="Cambria"/>
          <w:i/>
          <w:iCs/>
          <w:noProof/>
          <w:sz w:val="20"/>
          <w:szCs w:val="20"/>
        </w:rPr>
        <w:t>4</w:t>
      </w:r>
      <w:r w:rsidRPr="00FD20B9">
        <w:rPr>
          <w:rFonts w:ascii="Cambria" w:hAnsi="Cambria"/>
          <w:noProof/>
          <w:sz w:val="20"/>
          <w:szCs w:val="20"/>
        </w:rPr>
        <w:t>, 199–203. https://doi.org/10.12955/cbup.v4.762</w:t>
      </w:r>
    </w:p>
    <w:p w14:paraId="4AE7B01F"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Hsieh, A. T., &amp; Li, C. K. (2008). The moderating effect of brand image on public relations perception and customer loyalty. </w:t>
      </w:r>
      <w:r w:rsidRPr="00FD20B9">
        <w:rPr>
          <w:rFonts w:ascii="Cambria" w:hAnsi="Cambria"/>
          <w:i/>
          <w:iCs/>
          <w:noProof/>
          <w:sz w:val="20"/>
          <w:szCs w:val="20"/>
        </w:rPr>
        <w:t>Marketing Intelligence and Planning</w:t>
      </w:r>
      <w:r w:rsidRPr="00FD20B9">
        <w:rPr>
          <w:rFonts w:ascii="Cambria" w:hAnsi="Cambria"/>
          <w:noProof/>
          <w:sz w:val="20"/>
          <w:szCs w:val="20"/>
        </w:rPr>
        <w:t xml:space="preserve">, </w:t>
      </w:r>
      <w:r w:rsidRPr="00FD20B9">
        <w:rPr>
          <w:rFonts w:ascii="Cambria" w:hAnsi="Cambria"/>
          <w:i/>
          <w:iCs/>
          <w:noProof/>
          <w:sz w:val="20"/>
          <w:szCs w:val="20"/>
        </w:rPr>
        <w:t>26</w:t>
      </w:r>
      <w:r w:rsidRPr="00FD20B9">
        <w:rPr>
          <w:rFonts w:ascii="Cambria" w:hAnsi="Cambria"/>
          <w:noProof/>
          <w:sz w:val="20"/>
          <w:szCs w:val="20"/>
        </w:rPr>
        <w:t>(1), 26–42. https://doi.org/10.1108/02634500810847138</w:t>
      </w:r>
    </w:p>
    <w:p w14:paraId="355C6416"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Johansson, U., Koch, C., Varga, N., &amp; Zhao, F. (2018). Country of ownership change in the premium segment: consequences for brand image. </w:t>
      </w:r>
      <w:r w:rsidRPr="00FD20B9">
        <w:rPr>
          <w:rFonts w:ascii="Cambria" w:hAnsi="Cambria"/>
          <w:i/>
          <w:iCs/>
          <w:noProof/>
          <w:sz w:val="20"/>
          <w:szCs w:val="20"/>
        </w:rPr>
        <w:t>Journal of Product and Brand Management</w:t>
      </w:r>
      <w:r w:rsidRPr="00FD20B9">
        <w:rPr>
          <w:rFonts w:ascii="Cambria" w:hAnsi="Cambria"/>
          <w:noProof/>
          <w:sz w:val="20"/>
          <w:szCs w:val="20"/>
        </w:rPr>
        <w:t xml:space="preserve">, </w:t>
      </w:r>
      <w:r w:rsidRPr="00FD20B9">
        <w:rPr>
          <w:rFonts w:ascii="Cambria" w:hAnsi="Cambria"/>
          <w:i/>
          <w:iCs/>
          <w:noProof/>
          <w:sz w:val="20"/>
          <w:szCs w:val="20"/>
        </w:rPr>
        <w:t>27</w:t>
      </w:r>
      <w:r w:rsidRPr="00FD20B9">
        <w:rPr>
          <w:rFonts w:ascii="Cambria" w:hAnsi="Cambria"/>
          <w:noProof/>
          <w:sz w:val="20"/>
          <w:szCs w:val="20"/>
        </w:rPr>
        <w:t>(7), 871–883. https://doi.org/10.1108/JPBM-10-2017-1651</w:t>
      </w:r>
    </w:p>
    <w:p w14:paraId="34787D21"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Kashif, M., Shukran, S. S. W., Rehman, M. A., &amp; Sarifuddin, S. (2015). Customer satisfaction and loyalty in Malaysian Islamic banks: A PAKSERV investigation. </w:t>
      </w:r>
      <w:r w:rsidRPr="00FD20B9">
        <w:rPr>
          <w:rFonts w:ascii="Cambria" w:hAnsi="Cambria"/>
          <w:i/>
          <w:iCs/>
          <w:noProof/>
          <w:sz w:val="20"/>
          <w:szCs w:val="20"/>
        </w:rPr>
        <w:t>International Journal of Bank Marketing</w:t>
      </w:r>
      <w:r w:rsidRPr="00FD20B9">
        <w:rPr>
          <w:rFonts w:ascii="Cambria" w:hAnsi="Cambria"/>
          <w:noProof/>
          <w:sz w:val="20"/>
          <w:szCs w:val="20"/>
        </w:rPr>
        <w:t xml:space="preserve">, </w:t>
      </w:r>
      <w:r w:rsidRPr="00FD20B9">
        <w:rPr>
          <w:rFonts w:ascii="Cambria" w:hAnsi="Cambria"/>
          <w:i/>
          <w:iCs/>
          <w:noProof/>
          <w:sz w:val="20"/>
          <w:szCs w:val="20"/>
        </w:rPr>
        <w:t>33</w:t>
      </w:r>
      <w:r w:rsidRPr="00FD20B9">
        <w:rPr>
          <w:rFonts w:ascii="Cambria" w:hAnsi="Cambria"/>
          <w:noProof/>
          <w:sz w:val="20"/>
          <w:szCs w:val="20"/>
        </w:rPr>
        <w:t>(1), 23–40. https://doi.org/10.1108/IJBM-08-2013-0084</w:t>
      </w:r>
    </w:p>
    <w:p w14:paraId="0D652C5D"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Milan, G. S., Slongo, L. A., Eberle, L., De Toni, D., &amp; Bebber, S. (2018). Determinants of customer loyalty: a study with customers of a Brazilian bank. </w:t>
      </w:r>
      <w:r w:rsidRPr="00FD20B9">
        <w:rPr>
          <w:rFonts w:ascii="Cambria" w:hAnsi="Cambria"/>
          <w:i/>
          <w:iCs/>
          <w:noProof/>
          <w:sz w:val="20"/>
          <w:szCs w:val="20"/>
        </w:rPr>
        <w:t>Benchmarking</w:t>
      </w:r>
      <w:r w:rsidRPr="00FD20B9">
        <w:rPr>
          <w:rFonts w:ascii="Cambria" w:hAnsi="Cambria"/>
          <w:noProof/>
          <w:sz w:val="20"/>
          <w:szCs w:val="20"/>
        </w:rPr>
        <w:t xml:space="preserve">, </w:t>
      </w:r>
      <w:r w:rsidRPr="00FD20B9">
        <w:rPr>
          <w:rFonts w:ascii="Cambria" w:hAnsi="Cambria"/>
          <w:i/>
          <w:iCs/>
          <w:noProof/>
          <w:sz w:val="20"/>
          <w:szCs w:val="20"/>
        </w:rPr>
        <w:t>25</w:t>
      </w:r>
      <w:r w:rsidRPr="00FD20B9">
        <w:rPr>
          <w:rFonts w:ascii="Cambria" w:hAnsi="Cambria"/>
          <w:noProof/>
          <w:sz w:val="20"/>
          <w:szCs w:val="20"/>
        </w:rPr>
        <w:t>(9), 3935–3950. https://doi.org/10.1108/BIJ-08-2017-0231</w:t>
      </w:r>
    </w:p>
    <w:p w14:paraId="7D63A94C"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Narteh, B., &amp; Braimah, M. (2019). Corporate reputation and retail bank selection: the moderating role of brand image. </w:t>
      </w:r>
      <w:r w:rsidRPr="00FD20B9">
        <w:rPr>
          <w:rFonts w:ascii="Cambria" w:hAnsi="Cambria"/>
          <w:i/>
          <w:iCs/>
          <w:noProof/>
          <w:sz w:val="20"/>
          <w:szCs w:val="20"/>
        </w:rPr>
        <w:t>International Journal of Retail and Distribution Management</w:t>
      </w:r>
      <w:r w:rsidRPr="00FD20B9">
        <w:rPr>
          <w:rFonts w:ascii="Cambria" w:hAnsi="Cambria"/>
          <w:noProof/>
          <w:sz w:val="20"/>
          <w:szCs w:val="20"/>
        </w:rPr>
        <w:t xml:space="preserve">, </w:t>
      </w:r>
      <w:r w:rsidRPr="00FD20B9">
        <w:rPr>
          <w:rFonts w:ascii="Cambria" w:hAnsi="Cambria"/>
          <w:i/>
          <w:iCs/>
          <w:noProof/>
          <w:sz w:val="20"/>
          <w:szCs w:val="20"/>
        </w:rPr>
        <w:t>48</w:t>
      </w:r>
      <w:r w:rsidRPr="00FD20B9">
        <w:rPr>
          <w:rFonts w:ascii="Cambria" w:hAnsi="Cambria"/>
          <w:noProof/>
          <w:sz w:val="20"/>
          <w:szCs w:val="20"/>
        </w:rPr>
        <w:t>(2), 109–127. https://doi.org/10.1108/IJRDM-08-2017-0164</w:t>
      </w:r>
    </w:p>
    <w:p w14:paraId="7362CDAE"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Nguyen, N., &amp; Leblanc, G. (1998). The mediating role of corporate image on customers’ retention decisions: An investigation in financial services. </w:t>
      </w:r>
      <w:r w:rsidRPr="00FD20B9">
        <w:rPr>
          <w:rFonts w:ascii="Cambria" w:hAnsi="Cambria"/>
          <w:i/>
          <w:iCs/>
          <w:noProof/>
          <w:sz w:val="20"/>
          <w:szCs w:val="20"/>
        </w:rPr>
        <w:t>International Journal of Bank Marketing</w:t>
      </w:r>
      <w:r w:rsidRPr="00FD20B9">
        <w:rPr>
          <w:rFonts w:ascii="Cambria" w:hAnsi="Cambria"/>
          <w:noProof/>
          <w:sz w:val="20"/>
          <w:szCs w:val="20"/>
        </w:rPr>
        <w:t xml:space="preserve">, </w:t>
      </w:r>
      <w:r w:rsidRPr="00FD20B9">
        <w:rPr>
          <w:rFonts w:ascii="Cambria" w:hAnsi="Cambria"/>
          <w:i/>
          <w:iCs/>
          <w:noProof/>
          <w:sz w:val="20"/>
          <w:szCs w:val="20"/>
        </w:rPr>
        <w:t>16</w:t>
      </w:r>
      <w:r w:rsidRPr="00FD20B9">
        <w:rPr>
          <w:rFonts w:ascii="Cambria" w:hAnsi="Cambria"/>
          <w:noProof/>
          <w:sz w:val="20"/>
          <w:szCs w:val="20"/>
        </w:rPr>
        <w:t>(2), 52–65. https://doi.org/10.1108/02652329810206707</w:t>
      </w:r>
    </w:p>
    <w:p w14:paraId="30797CD4"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Nillie, P., Blomme, R. J., &amp; Quarshie, B. (2013). Advances in Hospitality and Leisure, iii. https://doi.org/10.1108/s1745-3542(2013)0000009019</w:t>
      </w:r>
    </w:p>
    <w:p w14:paraId="3FB6AB28"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Omoregie, O. K., Addae, J. A., Coffie, S., Ampong, G. O. A., &amp; Ofori, K. S. (2019). Factors influencing consumer loyalty: evidence from the Ghanaian retail banking industry. </w:t>
      </w:r>
      <w:r w:rsidRPr="00FD20B9">
        <w:rPr>
          <w:rFonts w:ascii="Cambria" w:hAnsi="Cambria"/>
          <w:i/>
          <w:iCs/>
          <w:noProof/>
          <w:sz w:val="20"/>
          <w:szCs w:val="20"/>
        </w:rPr>
        <w:t>International Journal of Bank Marketing</w:t>
      </w:r>
      <w:r w:rsidRPr="00FD20B9">
        <w:rPr>
          <w:rFonts w:ascii="Cambria" w:hAnsi="Cambria"/>
          <w:noProof/>
          <w:sz w:val="20"/>
          <w:szCs w:val="20"/>
        </w:rPr>
        <w:t xml:space="preserve">, </w:t>
      </w:r>
      <w:r w:rsidRPr="00FD20B9">
        <w:rPr>
          <w:rFonts w:ascii="Cambria" w:hAnsi="Cambria"/>
          <w:i/>
          <w:iCs/>
          <w:noProof/>
          <w:sz w:val="20"/>
          <w:szCs w:val="20"/>
        </w:rPr>
        <w:t>37</w:t>
      </w:r>
      <w:r w:rsidRPr="00FD20B9">
        <w:rPr>
          <w:rFonts w:ascii="Cambria" w:hAnsi="Cambria"/>
          <w:noProof/>
          <w:sz w:val="20"/>
          <w:szCs w:val="20"/>
        </w:rPr>
        <w:t>(3), 798–820. https://doi.org/10.1108/IJBM-04-2018-0099</w:t>
      </w:r>
    </w:p>
    <w:p w14:paraId="5DD0E4B6"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Preikschas, M. W., Cabanelas, P., Rüdiger, K., &amp; Lampón, J. F. (2017). Value co-creation, dynamic capabilities and customer retention in industrial markets. </w:t>
      </w:r>
      <w:r w:rsidRPr="00FD20B9">
        <w:rPr>
          <w:rFonts w:ascii="Cambria" w:hAnsi="Cambria"/>
          <w:i/>
          <w:iCs/>
          <w:noProof/>
          <w:sz w:val="20"/>
          <w:szCs w:val="20"/>
        </w:rPr>
        <w:t>Journal of Business and Industrial Marketing</w:t>
      </w:r>
      <w:r w:rsidRPr="00FD20B9">
        <w:rPr>
          <w:rFonts w:ascii="Cambria" w:hAnsi="Cambria"/>
          <w:noProof/>
          <w:sz w:val="20"/>
          <w:szCs w:val="20"/>
        </w:rPr>
        <w:t xml:space="preserve">, </w:t>
      </w:r>
      <w:r w:rsidRPr="00FD20B9">
        <w:rPr>
          <w:rFonts w:ascii="Cambria" w:hAnsi="Cambria"/>
          <w:i/>
          <w:iCs/>
          <w:noProof/>
          <w:sz w:val="20"/>
          <w:szCs w:val="20"/>
        </w:rPr>
        <w:t>32</w:t>
      </w:r>
      <w:r w:rsidRPr="00FD20B9">
        <w:rPr>
          <w:rFonts w:ascii="Cambria" w:hAnsi="Cambria"/>
          <w:noProof/>
          <w:sz w:val="20"/>
          <w:szCs w:val="20"/>
        </w:rPr>
        <w:t>(3), 409–420. https://doi.org/10.1108/JBIM-10-2014-0215</w:t>
      </w:r>
    </w:p>
    <w:p w14:paraId="31E30963"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Ranaweera, C., &amp; Prabhu, J. (2003). The influence of satisfaction, trust and switching barriers on customer retention in a continuous purchasing setting. </w:t>
      </w:r>
      <w:r w:rsidRPr="00FD20B9">
        <w:rPr>
          <w:rFonts w:ascii="Cambria" w:hAnsi="Cambria"/>
          <w:i/>
          <w:iCs/>
          <w:noProof/>
          <w:sz w:val="20"/>
          <w:szCs w:val="20"/>
        </w:rPr>
        <w:t>International Journal of Service Industry Management</w:t>
      </w:r>
      <w:r w:rsidRPr="00FD20B9">
        <w:rPr>
          <w:rFonts w:ascii="Cambria" w:hAnsi="Cambria"/>
          <w:noProof/>
          <w:sz w:val="20"/>
          <w:szCs w:val="20"/>
        </w:rPr>
        <w:t xml:space="preserve">, </w:t>
      </w:r>
      <w:r w:rsidRPr="00FD20B9">
        <w:rPr>
          <w:rFonts w:ascii="Cambria" w:hAnsi="Cambria"/>
          <w:i/>
          <w:iCs/>
          <w:noProof/>
          <w:sz w:val="20"/>
          <w:szCs w:val="20"/>
        </w:rPr>
        <w:t>14</w:t>
      </w:r>
      <w:r w:rsidRPr="00FD20B9">
        <w:rPr>
          <w:rFonts w:ascii="Cambria" w:hAnsi="Cambria"/>
          <w:noProof/>
          <w:sz w:val="20"/>
          <w:szCs w:val="20"/>
        </w:rPr>
        <w:t>(3–4), 374–395. https://doi.org/10.1108/09564230310489231</w:t>
      </w:r>
    </w:p>
    <w:p w14:paraId="6DEBEAB0"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Ratih, F. ; H. J. (2015). Analisis pengaruh kualitas pelayanan, kualitas produk, kepercayaan, dan nilai nasabah terhadap, </w:t>
      </w:r>
      <w:r w:rsidRPr="00FD20B9">
        <w:rPr>
          <w:rFonts w:ascii="Cambria" w:hAnsi="Cambria"/>
          <w:i/>
          <w:iCs/>
          <w:noProof/>
          <w:sz w:val="20"/>
          <w:szCs w:val="20"/>
        </w:rPr>
        <w:t>5</w:t>
      </w:r>
      <w:r w:rsidRPr="00FD20B9">
        <w:rPr>
          <w:rFonts w:ascii="Cambria" w:hAnsi="Cambria"/>
          <w:noProof/>
          <w:sz w:val="20"/>
          <w:szCs w:val="20"/>
        </w:rPr>
        <w:t>, 1–20.</w:t>
      </w:r>
    </w:p>
    <w:p w14:paraId="0E9745F8" w14:textId="4E00C635" w:rsid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Reiersen, J. (2019). Drivers of trust and trustworthiness. </w:t>
      </w:r>
      <w:r w:rsidRPr="00FD20B9">
        <w:rPr>
          <w:rFonts w:ascii="Cambria" w:hAnsi="Cambria"/>
          <w:i/>
          <w:iCs/>
          <w:noProof/>
          <w:sz w:val="20"/>
          <w:szCs w:val="20"/>
        </w:rPr>
        <w:t>International Journal of Social Economics</w:t>
      </w:r>
      <w:r w:rsidRPr="00FD20B9">
        <w:rPr>
          <w:rFonts w:ascii="Cambria" w:hAnsi="Cambria"/>
          <w:noProof/>
          <w:sz w:val="20"/>
          <w:szCs w:val="20"/>
        </w:rPr>
        <w:t xml:space="preserve">, </w:t>
      </w:r>
      <w:r w:rsidRPr="00FD20B9">
        <w:rPr>
          <w:rFonts w:ascii="Cambria" w:hAnsi="Cambria"/>
          <w:i/>
          <w:iCs/>
          <w:noProof/>
          <w:sz w:val="20"/>
          <w:szCs w:val="20"/>
        </w:rPr>
        <w:t>46</w:t>
      </w:r>
      <w:r w:rsidRPr="00FD20B9">
        <w:rPr>
          <w:rFonts w:ascii="Cambria" w:hAnsi="Cambria"/>
          <w:noProof/>
          <w:sz w:val="20"/>
          <w:szCs w:val="20"/>
        </w:rPr>
        <w:t>(1), 2–17. https://doi.org/10.1108/IJSE-01-2018-0025</w:t>
      </w:r>
    </w:p>
    <w:p w14:paraId="0EC0CB4E" w14:textId="00C3BA58" w:rsidR="00FD20B9" w:rsidRDefault="00FD20B9" w:rsidP="00FD20B9">
      <w:pPr>
        <w:pStyle w:val="FootnoteText"/>
        <w:ind w:left="567" w:hanging="567"/>
        <w:jc w:val="both"/>
        <w:rPr>
          <w:rFonts w:ascii="Cambria" w:hAnsi="Cambria" w:cs="Times New Roman"/>
          <w:color w:val="000000" w:themeColor="text1"/>
          <w:sz w:val="20"/>
          <w:szCs w:val="20"/>
          <w:u w:val="single"/>
        </w:rPr>
      </w:pPr>
      <w:r w:rsidRPr="00FD20B9">
        <w:rPr>
          <w:rFonts w:ascii="Cambria" w:hAnsi="Cambria" w:cs="Times New Roman"/>
          <w:sz w:val="20"/>
          <w:szCs w:val="20"/>
        </w:rPr>
        <w:t xml:space="preserve">Statistik Perbankan Syariah 2015-2019, diakses disitus </w:t>
      </w:r>
      <w:hyperlink r:id="rId7" w:history="1">
        <w:r w:rsidRPr="00FD20B9">
          <w:rPr>
            <w:rStyle w:val="Hyperlink"/>
            <w:rFonts w:ascii="Cambria" w:hAnsi="Cambria" w:cs="Times New Roman"/>
            <w:color w:val="000000" w:themeColor="text1"/>
            <w:sz w:val="20"/>
            <w:szCs w:val="20"/>
          </w:rPr>
          <w:t>https://ojk.go.id/id pada 25 Januari 2020</w:t>
        </w:r>
      </w:hyperlink>
      <w:r w:rsidRPr="00FD20B9">
        <w:rPr>
          <w:rFonts w:ascii="Cambria" w:hAnsi="Cambria" w:cs="Times New Roman"/>
          <w:color w:val="000000" w:themeColor="text1"/>
          <w:sz w:val="20"/>
          <w:szCs w:val="20"/>
          <w:u w:val="single"/>
        </w:rPr>
        <w:t xml:space="preserve">.  </w:t>
      </w:r>
    </w:p>
    <w:p w14:paraId="6FD08208" w14:textId="77777777" w:rsidR="00FD20B9" w:rsidRPr="00FD20B9" w:rsidRDefault="00FD20B9" w:rsidP="00FD20B9">
      <w:pPr>
        <w:pStyle w:val="FootnoteText"/>
        <w:ind w:left="567" w:hanging="567"/>
        <w:jc w:val="both"/>
        <w:rPr>
          <w:rFonts w:ascii="Cambria" w:hAnsi="Cambria" w:cs="Times New Roman"/>
          <w:color w:val="000000" w:themeColor="text1"/>
          <w:sz w:val="20"/>
          <w:szCs w:val="20"/>
          <w:u w:val="single"/>
        </w:rPr>
      </w:pPr>
    </w:p>
    <w:p w14:paraId="1F31C7C1" w14:textId="622962FE" w:rsidR="00FD20B9" w:rsidRPr="00FD20B9" w:rsidRDefault="00FD20B9" w:rsidP="00FD20B9">
      <w:pPr>
        <w:widowControl w:val="0"/>
        <w:autoSpaceDE w:val="0"/>
        <w:autoSpaceDN w:val="0"/>
        <w:adjustRightInd w:val="0"/>
        <w:ind w:left="567" w:hanging="567"/>
        <w:jc w:val="both"/>
        <w:rPr>
          <w:rFonts w:ascii="Cambria" w:hAnsi="Cambria"/>
          <w:sz w:val="20"/>
          <w:szCs w:val="20"/>
        </w:rPr>
      </w:pPr>
      <w:r w:rsidRPr="00FD20B9">
        <w:rPr>
          <w:rFonts w:ascii="Cambria" w:hAnsi="Cambria"/>
          <w:sz w:val="20"/>
          <w:szCs w:val="20"/>
        </w:rPr>
        <w:t xml:space="preserve">Sugiyono. 2017. Metode Penelitian Kuantitatif, Kualitatif dan R&amp;d., Bandung : Alfabeta. </w:t>
      </w:r>
    </w:p>
    <w:p w14:paraId="5C640173"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Yu, P. L., Balaji, M. S., &amp; Khong, K. W. (2015). Building trust in internet banking: A trustworthiness perspective. </w:t>
      </w:r>
      <w:r w:rsidRPr="00FD20B9">
        <w:rPr>
          <w:rFonts w:ascii="Cambria" w:hAnsi="Cambria"/>
          <w:i/>
          <w:iCs/>
          <w:noProof/>
          <w:sz w:val="20"/>
          <w:szCs w:val="20"/>
        </w:rPr>
        <w:t>Industrial Management and Data Systems</w:t>
      </w:r>
      <w:r w:rsidRPr="00FD20B9">
        <w:rPr>
          <w:rFonts w:ascii="Cambria" w:hAnsi="Cambria"/>
          <w:noProof/>
          <w:sz w:val="20"/>
          <w:szCs w:val="20"/>
        </w:rPr>
        <w:t xml:space="preserve">, </w:t>
      </w:r>
      <w:r w:rsidRPr="00FD20B9">
        <w:rPr>
          <w:rFonts w:ascii="Cambria" w:hAnsi="Cambria"/>
          <w:i/>
          <w:iCs/>
          <w:noProof/>
          <w:sz w:val="20"/>
          <w:szCs w:val="20"/>
        </w:rPr>
        <w:t>115</w:t>
      </w:r>
      <w:r w:rsidRPr="00FD20B9">
        <w:rPr>
          <w:rFonts w:ascii="Cambria" w:hAnsi="Cambria"/>
          <w:noProof/>
          <w:sz w:val="20"/>
          <w:szCs w:val="20"/>
        </w:rPr>
        <w:t>(2), 235–252. https://doi.org/10.1108/IMDS-09-2014-0262</w:t>
      </w:r>
    </w:p>
    <w:p w14:paraId="03988820" w14:textId="77777777" w:rsidR="00FD20B9" w:rsidRPr="00FD20B9" w:rsidRDefault="00FD20B9" w:rsidP="00FD20B9">
      <w:pPr>
        <w:widowControl w:val="0"/>
        <w:autoSpaceDE w:val="0"/>
        <w:autoSpaceDN w:val="0"/>
        <w:adjustRightInd w:val="0"/>
        <w:ind w:left="480" w:hanging="480"/>
        <w:jc w:val="both"/>
        <w:rPr>
          <w:rFonts w:ascii="Cambria" w:hAnsi="Cambria"/>
          <w:noProof/>
          <w:sz w:val="20"/>
          <w:szCs w:val="20"/>
        </w:rPr>
      </w:pPr>
      <w:r w:rsidRPr="00FD20B9">
        <w:rPr>
          <w:rFonts w:ascii="Cambria" w:hAnsi="Cambria"/>
          <w:noProof/>
          <w:sz w:val="20"/>
          <w:szCs w:val="20"/>
        </w:rPr>
        <w:t xml:space="preserve">Yu, T. W., &amp; Tseng, L. M. (2016). The role of salespeople in developing life insurance customer loyalty. </w:t>
      </w:r>
      <w:r w:rsidRPr="00FD20B9">
        <w:rPr>
          <w:rFonts w:ascii="Cambria" w:hAnsi="Cambria"/>
          <w:i/>
          <w:iCs/>
          <w:noProof/>
          <w:sz w:val="20"/>
          <w:szCs w:val="20"/>
        </w:rPr>
        <w:t>International Journal of Retail and Distribution Management</w:t>
      </w:r>
      <w:r w:rsidRPr="00FD20B9">
        <w:rPr>
          <w:rFonts w:ascii="Cambria" w:hAnsi="Cambria"/>
          <w:noProof/>
          <w:sz w:val="20"/>
          <w:szCs w:val="20"/>
        </w:rPr>
        <w:t xml:space="preserve">, </w:t>
      </w:r>
      <w:r w:rsidRPr="00FD20B9">
        <w:rPr>
          <w:rFonts w:ascii="Cambria" w:hAnsi="Cambria"/>
          <w:i/>
          <w:iCs/>
          <w:noProof/>
          <w:sz w:val="20"/>
          <w:szCs w:val="20"/>
        </w:rPr>
        <w:t>44</w:t>
      </w:r>
      <w:r w:rsidRPr="00FD20B9">
        <w:rPr>
          <w:rFonts w:ascii="Cambria" w:hAnsi="Cambria"/>
          <w:noProof/>
          <w:sz w:val="20"/>
          <w:szCs w:val="20"/>
        </w:rPr>
        <w:t>(1), 22–37. https://doi.org/10.1108/IJRDM-06-2014-0074</w:t>
      </w:r>
    </w:p>
    <w:p w14:paraId="1E2CA564" w14:textId="2D19525D" w:rsidR="00B136FE" w:rsidRPr="008A00D4" w:rsidRDefault="00FD20B9" w:rsidP="00FD20B9">
      <w:pPr>
        <w:jc w:val="both"/>
        <w:rPr>
          <w:rFonts w:ascii="Cambria" w:hAnsi="Cambria"/>
          <w:sz w:val="20"/>
          <w:szCs w:val="20"/>
        </w:rPr>
      </w:pPr>
      <w:r w:rsidRPr="00FD20B9">
        <w:rPr>
          <w:rFonts w:ascii="Cambria" w:hAnsi="Cambria"/>
          <w:b/>
          <w:sz w:val="20"/>
          <w:szCs w:val="20"/>
        </w:rPr>
        <w:fldChar w:fldCharType="end"/>
      </w:r>
    </w:p>
    <w:p w14:paraId="31D1B124" w14:textId="77777777" w:rsidR="00B136FE" w:rsidRPr="008A00D4" w:rsidRDefault="00B136FE" w:rsidP="00B136FE">
      <w:pPr>
        <w:rPr>
          <w:rFonts w:ascii="Cambria" w:hAnsi="Cambria"/>
          <w:sz w:val="20"/>
          <w:szCs w:val="20"/>
        </w:rPr>
      </w:pPr>
    </w:p>
    <w:p w14:paraId="54857450" w14:textId="77777777" w:rsidR="007B472D" w:rsidRDefault="007B472D"/>
    <w:sectPr w:rsidR="007B472D" w:rsidSect="00BC083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65486"/>
    <w:multiLevelType w:val="hybridMultilevel"/>
    <w:tmpl w:val="C47EB6F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706BD4"/>
    <w:multiLevelType w:val="hybridMultilevel"/>
    <w:tmpl w:val="49942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0"/>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rwUAPW9o4SwAAAA="/>
  </w:docVars>
  <w:rsids>
    <w:rsidRoot w:val="00B136FE"/>
    <w:rsid w:val="00011767"/>
    <w:rsid w:val="000C005D"/>
    <w:rsid w:val="002400D8"/>
    <w:rsid w:val="00247CFE"/>
    <w:rsid w:val="002D3798"/>
    <w:rsid w:val="00381861"/>
    <w:rsid w:val="003830D1"/>
    <w:rsid w:val="00405B07"/>
    <w:rsid w:val="0048236D"/>
    <w:rsid w:val="004C4E70"/>
    <w:rsid w:val="00502C75"/>
    <w:rsid w:val="00644504"/>
    <w:rsid w:val="00682141"/>
    <w:rsid w:val="006F084E"/>
    <w:rsid w:val="00720A04"/>
    <w:rsid w:val="00737665"/>
    <w:rsid w:val="007B472D"/>
    <w:rsid w:val="00821980"/>
    <w:rsid w:val="008A00D4"/>
    <w:rsid w:val="008F6794"/>
    <w:rsid w:val="00906D72"/>
    <w:rsid w:val="009D5576"/>
    <w:rsid w:val="00A12B7D"/>
    <w:rsid w:val="00A44E34"/>
    <w:rsid w:val="00A57078"/>
    <w:rsid w:val="00A75041"/>
    <w:rsid w:val="00AA50F9"/>
    <w:rsid w:val="00AC688D"/>
    <w:rsid w:val="00B136FE"/>
    <w:rsid w:val="00B35125"/>
    <w:rsid w:val="00B37937"/>
    <w:rsid w:val="00B811E0"/>
    <w:rsid w:val="00BC083B"/>
    <w:rsid w:val="00BD6CA4"/>
    <w:rsid w:val="00C17C5D"/>
    <w:rsid w:val="00C86258"/>
    <w:rsid w:val="00D617A0"/>
    <w:rsid w:val="00D6569C"/>
    <w:rsid w:val="00DC5BEB"/>
    <w:rsid w:val="00E03B64"/>
    <w:rsid w:val="00E8460B"/>
    <w:rsid w:val="00EB03E7"/>
    <w:rsid w:val="00ED08BB"/>
    <w:rsid w:val="00ED3C18"/>
    <w:rsid w:val="00FD20B9"/>
    <w:rsid w:val="00FF1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318A"/>
  <w15:chartTrackingRefBased/>
  <w15:docId w15:val="{09B5FBDB-1DE9-4F6E-98FD-8F9036E0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C18"/>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jc w:val="both"/>
    </w:pPr>
    <w:rPr>
      <w:i/>
      <w:sz w:val="20"/>
      <w:lang w:val="en-US"/>
    </w:rPr>
  </w:style>
  <w:style w:type="paragraph" w:styleId="ListParagraph">
    <w:name w:val="List Paragraph"/>
    <w:basedOn w:val="Normal"/>
    <w:uiPriority w:val="34"/>
    <w:qFormat/>
    <w:rsid w:val="004C4E70"/>
    <w:pPr>
      <w:spacing w:after="160" w:line="259"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pPr>
    <w:rPr>
      <w:lang w:val="en-US"/>
    </w:rPr>
  </w:style>
  <w:style w:type="character" w:styleId="FollowedHyperlink">
    <w:name w:val="FollowedHyperlink"/>
    <w:basedOn w:val="DefaultParagraphFont"/>
    <w:uiPriority w:val="99"/>
    <w:semiHidden/>
    <w:unhideWhenUsed/>
    <w:rsid w:val="00FD20B9"/>
    <w:rPr>
      <w:color w:val="954F72" w:themeColor="followedHyperlink"/>
      <w:u w:val="single"/>
    </w:rPr>
  </w:style>
  <w:style w:type="paragraph" w:styleId="FootnoteText">
    <w:name w:val="footnote text"/>
    <w:basedOn w:val="Normal"/>
    <w:link w:val="FootnoteTextChar"/>
    <w:uiPriority w:val="99"/>
    <w:unhideWhenUsed/>
    <w:rsid w:val="00FD20B9"/>
    <w:rPr>
      <w:rFonts w:asciiTheme="minorHAnsi" w:eastAsiaTheme="minorHAnsi" w:hAnsiTheme="minorHAnsi" w:cstheme="minorBidi"/>
      <w:lang w:val="en-US"/>
    </w:rPr>
  </w:style>
  <w:style w:type="character" w:customStyle="1" w:styleId="FootnoteTextChar">
    <w:name w:val="Footnote Text Char"/>
    <w:basedOn w:val="DefaultParagraphFont"/>
    <w:link w:val="FootnoteText"/>
    <w:uiPriority w:val="99"/>
    <w:rsid w:val="00FD20B9"/>
    <w:rPr>
      <w:sz w:val="24"/>
      <w:szCs w:val="24"/>
    </w:rPr>
  </w:style>
  <w:style w:type="paragraph" w:styleId="Bibliography">
    <w:name w:val="Bibliography"/>
    <w:basedOn w:val="Normal"/>
    <w:next w:val="Normal"/>
    <w:uiPriority w:val="37"/>
    <w:semiHidden/>
    <w:unhideWhenUsed/>
    <w:rsid w:val="00FD20B9"/>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99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jk.go.id/id%20pada%2025%20Januari%2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13859</Words>
  <Characters>79000</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Pengguna Microsoft Office</cp:lastModifiedBy>
  <cp:revision>13</cp:revision>
  <cp:lastPrinted>2019-02-09T11:46:00Z</cp:lastPrinted>
  <dcterms:created xsi:type="dcterms:W3CDTF">2020-12-10T03:27:00Z</dcterms:created>
  <dcterms:modified xsi:type="dcterms:W3CDTF">2020-12-10T09:36:00Z</dcterms:modified>
</cp:coreProperties>
</file>