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F893C" w14:textId="46D42354" w:rsidR="00547BE0" w:rsidRPr="00005EA2" w:rsidRDefault="00005EA2" w:rsidP="00FB0B5B">
      <w:pPr>
        <w:spacing w:after="0" w:line="240" w:lineRule="auto"/>
        <w:jc w:val="center"/>
        <w:rPr>
          <w:rFonts w:ascii="Cambria" w:hAnsi="Cambria" w:cs="Times New Roman"/>
          <w:b/>
          <w:sz w:val="28"/>
          <w:szCs w:val="28"/>
        </w:rPr>
      </w:pPr>
      <w:r w:rsidRPr="00005EA2">
        <w:rPr>
          <w:rFonts w:ascii="Cambria" w:hAnsi="Cambria" w:cs="Times New Roman"/>
          <w:b/>
          <w:sz w:val="28"/>
          <w:szCs w:val="28"/>
        </w:rPr>
        <w:t xml:space="preserve">Optimalization </w:t>
      </w:r>
      <w:r>
        <w:rPr>
          <w:rFonts w:ascii="Cambria" w:hAnsi="Cambria" w:cs="Times New Roman"/>
          <w:b/>
          <w:sz w:val="28"/>
          <w:szCs w:val="28"/>
        </w:rPr>
        <w:t>o</w:t>
      </w:r>
      <w:r w:rsidRPr="00005EA2">
        <w:rPr>
          <w:rFonts w:ascii="Cambria" w:hAnsi="Cambria" w:cs="Times New Roman"/>
          <w:b/>
          <w:sz w:val="28"/>
          <w:szCs w:val="28"/>
        </w:rPr>
        <w:t xml:space="preserve">f Profit-Sharing Financing </w:t>
      </w:r>
      <w:r>
        <w:rPr>
          <w:rFonts w:ascii="Cambria" w:hAnsi="Cambria" w:cs="Times New Roman"/>
          <w:b/>
          <w:sz w:val="28"/>
          <w:szCs w:val="28"/>
          <w:lang w:val="en-US"/>
        </w:rPr>
        <w:t>a</w:t>
      </w:r>
      <w:r w:rsidRPr="00005EA2">
        <w:rPr>
          <w:rFonts w:ascii="Cambria" w:hAnsi="Cambria" w:cs="Times New Roman"/>
          <w:b/>
          <w:sz w:val="28"/>
          <w:szCs w:val="28"/>
        </w:rPr>
        <w:t xml:space="preserve">t Islamic </w:t>
      </w:r>
      <w:r>
        <w:rPr>
          <w:rFonts w:ascii="Cambria" w:hAnsi="Cambria" w:cs="Times New Roman"/>
          <w:b/>
          <w:sz w:val="28"/>
          <w:szCs w:val="28"/>
        </w:rPr>
        <w:t>Banking i</w:t>
      </w:r>
      <w:r w:rsidRPr="00005EA2">
        <w:rPr>
          <w:rFonts w:ascii="Cambria" w:hAnsi="Cambria" w:cs="Times New Roman"/>
          <w:b/>
          <w:sz w:val="28"/>
          <w:szCs w:val="28"/>
        </w:rPr>
        <w:t>n Indonesia</w:t>
      </w:r>
    </w:p>
    <w:p w14:paraId="4FB38245" w14:textId="1607F73A" w:rsidR="00FB0B5B" w:rsidRPr="003D5D91" w:rsidRDefault="00545EE3" w:rsidP="00FB0B5B">
      <w:pPr>
        <w:spacing w:after="0" w:line="240" w:lineRule="auto"/>
        <w:jc w:val="center"/>
        <w:rPr>
          <w:rFonts w:ascii="Cambria" w:hAnsi="Cambria" w:cs="Times New Roman"/>
          <w:sz w:val="20"/>
          <w:szCs w:val="20"/>
          <w:lang w:val="en-US"/>
        </w:rPr>
      </w:pPr>
      <w:r w:rsidRPr="003D5D91">
        <w:rPr>
          <w:rFonts w:ascii="Cambria" w:hAnsi="Cambria" w:cs="Times New Roman"/>
          <w:sz w:val="20"/>
          <w:szCs w:val="20"/>
          <w:lang w:val="en-US"/>
        </w:rPr>
        <w:t>Selamet Riyadi, Muhammad Iqbal, Annisa Arifah Pangastuty, Arianto Muditomo</w:t>
      </w:r>
    </w:p>
    <w:p w14:paraId="7ED010F4" w14:textId="77777777" w:rsidR="00FB0B5B" w:rsidRPr="00FB0B5B" w:rsidRDefault="00FB0B5B" w:rsidP="00FB0B5B">
      <w:pPr>
        <w:spacing w:after="0" w:line="240" w:lineRule="auto"/>
        <w:jc w:val="center"/>
        <w:rPr>
          <w:rFonts w:ascii="Cambria" w:hAnsi="Cambria" w:cs="Times New Roman"/>
          <w:sz w:val="20"/>
          <w:szCs w:val="20"/>
          <w:lang w:val="en-US"/>
        </w:rPr>
      </w:pPr>
    </w:p>
    <w:p w14:paraId="79534C2F" w14:textId="77777777" w:rsidR="00FB0B5B" w:rsidRPr="00005EA2" w:rsidRDefault="00FB0B5B" w:rsidP="00FB0B5B">
      <w:pPr>
        <w:spacing w:after="0" w:line="240" w:lineRule="auto"/>
        <w:jc w:val="center"/>
        <w:rPr>
          <w:rFonts w:ascii="Cambria" w:hAnsi="Cambria" w:cs="Times New Roman"/>
          <w:b/>
        </w:rPr>
      </w:pPr>
    </w:p>
    <w:p w14:paraId="3467B19E" w14:textId="38293990" w:rsidR="00FC0057" w:rsidRDefault="00D91BFF" w:rsidP="001E0C21">
      <w:pPr>
        <w:spacing w:after="0" w:line="240" w:lineRule="auto"/>
        <w:jc w:val="center"/>
        <w:rPr>
          <w:rFonts w:ascii="Cambria" w:hAnsi="Cambria" w:cs="Times New Roman"/>
          <w:b/>
        </w:rPr>
      </w:pPr>
      <w:r w:rsidRPr="00005EA2">
        <w:rPr>
          <w:rFonts w:ascii="Cambria" w:hAnsi="Cambria" w:cs="Times New Roman"/>
          <w:b/>
        </w:rPr>
        <w:t>Abstract</w:t>
      </w:r>
    </w:p>
    <w:p w14:paraId="2092245A" w14:textId="77777777" w:rsidR="001E0C21" w:rsidRPr="00005EA2" w:rsidRDefault="001E0C21" w:rsidP="001E0C21">
      <w:pPr>
        <w:spacing w:after="0" w:line="240" w:lineRule="auto"/>
        <w:jc w:val="center"/>
        <w:rPr>
          <w:rFonts w:ascii="Cambria" w:hAnsi="Cambria" w:cs="Times New Roman"/>
          <w:b/>
        </w:rPr>
      </w:pPr>
    </w:p>
    <w:p w14:paraId="20968D22" w14:textId="3344D51A" w:rsidR="00852558" w:rsidRPr="001E0C21" w:rsidRDefault="0070073B" w:rsidP="00FB0B5B">
      <w:pPr>
        <w:spacing w:after="0" w:line="240" w:lineRule="auto"/>
        <w:jc w:val="both"/>
        <w:rPr>
          <w:rFonts w:ascii="Cambria" w:hAnsi="Cambria" w:cs="Times New Roman"/>
          <w:sz w:val="20"/>
          <w:szCs w:val="20"/>
        </w:rPr>
      </w:pPr>
      <w:r w:rsidRPr="007614F0">
        <w:rPr>
          <w:rFonts w:ascii="Cambria" w:hAnsi="Cambria" w:cs="Times New Roman"/>
          <w:sz w:val="20"/>
          <w:szCs w:val="20"/>
        </w:rPr>
        <w:t>The purpose of this study is to identify factors that can encourage an increase in profit</w:t>
      </w:r>
      <w:r w:rsidR="00B1029E">
        <w:rPr>
          <w:rFonts w:ascii="Cambria" w:hAnsi="Cambria" w:cs="Times New Roman"/>
          <w:sz w:val="20"/>
          <w:szCs w:val="20"/>
          <w:lang w:val="en-US"/>
        </w:rPr>
        <w:t>-</w:t>
      </w:r>
      <w:r w:rsidRPr="007614F0">
        <w:rPr>
          <w:rFonts w:ascii="Cambria" w:hAnsi="Cambria" w:cs="Times New Roman"/>
          <w:sz w:val="20"/>
          <w:szCs w:val="20"/>
        </w:rPr>
        <w:t>sharing financing. These factors are third</w:t>
      </w:r>
      <w:bookmarkStart w:id="0" w:name="_GoBack"/>
      <w:bookmarkEnd w:id="0"/>
      <w:r w:rsidRPr="007614F0">
        <w:rPr>
          <w:rFonts w:ascii="Cambria" w:hAnsi="Cambria" w:cs="Times New Roman"/>
          <w:sz w:val="20"/>
          <w:szCs w:val="20"/>
        </w:rPr>
        <w:t xml:space="preserve"> party funds in the form of mudharabah deposits, non-performing financing, </w:t>
      </w:r>
      <w:r w:rsidR="00F64BE4">
        <w:rPr>
          <w:rFonts w:ascii="Cambria" w:hAnsi="Cambria" w:cs="Times New Roman"/>
          <w:sz w:val="20"/>
          <w:szCs w:val="20"/>
          <w:lang w:val="en-US"/>
        </w:rPr>
        <w:t xml:space="preserve">equivalent </w:t>
      </w:r>
      <w:r w:rsidR="00F64BE4">
        <w:rPr>
          <w:rFonts w:ascii="Cambria" w:hAnsi="Cambria" w:cs="Times New Roman"/>
          <w:sz w:val="20"/>
          <w:szCs w:val="20"/>
        </w:rPr>
        <w:t>rate</w:t>
      </w:r>
      <w:r w:rsidRPr="007614F0">
        <w:rPr>
          <w:rFonts w:ascii="Cambria" w:hAnsi="Cambria" w:cs="Times New Roman"/>
          <w:sz w:val="20"/>
          <w:szCs w:val="20"/>
        </w:rPr>
        <w:t>,</w:t>
      </w:r>
      <w:r w:rsidR="00FB0B5B" w:rsidRPr="007614F0">
        <w:rPr>
          <w:rFonts w:ascii="Cambria" w:hAnsi="Cambria" w:cs="Times New Roman"/>
          <w:sz w:val="20"/>
          <w:szCs w:val="20"/>
          <w:lang w:val="en-US"/>
        </w:rPr>
        <w:t xml:space="preserve"> </w:t>
      </w:r>
      <w:r w:rsidR="007614F0" w:rsidRPr="007614F0">
        <w:rPr>
          <w:rFonts w:ascii="Cambria" w:hAnsi="Cambria" w:cs="Times New Roman"/>
          <w:sz w:val="20"/>
          <w:szCs w:val="20"/>
          <w:lang w:val="en-US"/>
        </w:rPr>
        <w:t>operational efficiency ratio, economic growth</w:t>
      </w:r>
      <w:r w:rsidRPr="007614F0">
        <w:rPr>
          <w:rFonts w:ascii="Cambria" w:hAnsi="Cambria" w:cs="Times New Roman"/>
          <w:sz w:val="20"/>
          <w:szCs w:val="20"/>
        </w:rPr>
        <w:t xml:space="preserve"> and </w:t>
      </w:r>
      <w:r w:rsidR="007614F0" w:rsidRPr="007614F0">
        <w:rPr>
          <w:rFonts w:ascii="Cambria" w:hAnsi="Cambria" w:cs="Times New Roman"/>
          <w:sz w:val="20"/>
          <w:szCs w:val="20"/>
          <w:lang w:val="en-US"/>
        </w:rPr>
        <w:t>inflation</w:t>
      </w:r>
      <w:r w:rsidRPr="007614F0">
        <w:rPr>
          <w:rFonts w:ascii="Cambria" w:hAnsi="Cambria" w:cs="Times New Roman"/>
          <w:sz w:val="20"/>
          <w:szCs w:val="20"/>
        </w:rPr>
        <w:t>.</w:t>
      </w:r>
      <w:r w:rsidR="007614F0">
        <w:rPr>
          <w:rFonts w:ascii="Cambria" w:hAnsi="Cambria" w:cs="Times New Roman"/>
          <w:sz w:val="20"/>
          <w:szCs w:val="20"/>
          <w:lang w:val="en-US"/>
        </w:rPr>
        <w:t xml:space="preserve"> </w:t>
      </w:r>
      <w:r w:rsidRPr="007614F0">
        <w:rPr>
          <w:rFonts w:ascii="Cambria" w:hAnsi="Cambria" w:cs="Times New Roman"/>
          <w:sz w:val="20"/>
          <w:szCs w:val="20"/>
        </w:rPr>
        <w:t xml:space="preserve">The research method uses </w:t>
      </w:r>
      <w:r w:rsidR="00337597">
        <w:rPr>
          <w:rFonts w:ascii="Cambria" w:hAnsi="Cambria" w:cs="Times New Roman"/>
          <w:sz w:val="20"/>
          <w:szCs w:val="20"/>
          <w:lang w:val="en-US"/>
        </w:rPr>
        <w:t xml:space="preserve">co-integration and error correction model (ECM) </w:t>
      </w:r>
      <w:r w:rsidRPr="007614F0">
        <w:rPr>
          <w:rFonts w:ascii="Cambria" w:hAnsi="Cambria" w:cs="Times New Roman"/>
          <w:sz w:val="20"/>
          <w:szCs w:val="20"/>
        </w:rPr>
        <w:t xml:space="preserve">with a sample of the Islamic banking industry in Indonesia </w:t>
      </w:r>
      <w:r w:rsidR="00337597" w:rsidRPr="00337597">
        <w:rPr>
          <w:rFonts w:ascii="Cambria" w:hAnsi="Cambria" w:cs="Times New Roman"/>
          <w:sz w:val="20"/>
          <w:szCs w:val="20"/>
        </w:rPr>
        <w:t>from the first quarter of 2015 to the third quarter of 2020</w:t>
      </w:r>
      <w:r w:rsidRPr="007614F0">
        <w:rPr>
          <w:rFonts w:ascii="Cambria" w:hAnsi="Cambria" w:cs="Times New Roman"/>
          <w:sz w:val="20"/>
          <w:szCs w:val="20"/>
        </w:rPr>
        <w:t>.</w:t>
      </w:r>
      <w:r w:rsidR="00852558">
        <w:rPr>
          <w:rFonts w:ascii="Cambria" w:hAnsi="Cambria" w:cs="Times New Roman"/>
          <w:sz w:val="20"/>
          <w:szCs w:val="20"/>
          <w:lang w:val="en-US"/>
        </w:rPr>
        <w:t xml:space="preserve"> </w:t>
      </w:r>
      <w:r w:rsidRPr="007614F0">
        <w:rPr>
          <w:rFonts w:ascii="Cambria" w:hAnsi="Cambria" w:cs="Times New Roman"/>
          <w:sz w:val="20"/>
          <w:szCs w:val="20"/>
        </w:rPr>
        <w:t xml:space="preserve">The results show that the factors that encourage the growth of profit-sharing financing are a growth of third party funds in the form of mudharabah deposits, low </w:t>
      </w:r>
      <w:r w:rsidR="00C92214">
        <w:rPr>
          <w:rFonts w:ascii="Cambria" w:hAnsi="Cambria" w:cs="Times New Roman"/>
          <w:sz w:val="20"/>
          <w:szCs w:val="20"/>
          <w:lang w:val="en-US"/>
        </w:rPr>
        <w:t xml:space="preserve">non-performing </w:t>
      </w:r>
      <w:r w:rsidRPr="007614F0">
        <w:rPr>
          <w:rFonts w:ascii="Cambria" w:hAnsi="Cambria" w:cs="Times New Roman"/>
          <w:sz w:val="20"/>
          <w:szCs w:val="20"/>
        </w:rPr>
        <w:t xml:space="preserve">financing, low </w:t>
      </w:r>
      <w:r w:rsidR="00C92214">
        <w:rPr>
          <w:rFonts w:ascii="Cambria" w:hAnsi="Cambria" w:cs="Times New Roman"/>
          <w:sz w:val="20"/>
          <w:szCs w:val="20"/>
          <w:lang w:val="en-US"/>
        </w:rPr>
        <w:t xml:space="preserve">equivalent </w:t>
      </w:r>
      <w:r w:rsidR="00C92214">
        <w:rPr>
          <w:rFonts w:ascii="Cambria" w:hAnsi="Cambria" w:cs="Times New Roman"/>
          <w:sz w:val="20"/>
          <w:szCs w:val="20"/>
        </w:rPr>
        <w:t>rate</w:t>
      </w:r>
      <w:r w:rsidRPr="007614F0">
        <w:rPr>
          <w:rFonts w:ascii="Cambria" w:hAnsi="Cambria" w:cs="Times New Roman"/>
          <w:sz w:val="20"/>
          <w:szCs w:val="20"/>
        </w:rPr>
        <w:t xml:space="preserve">, </w:t>
      </w:r>
      <w:r w:rsidR="00852558" w:rsidRPr="00337597">
        <w:rPr>
          <w:rFonts w:ascii="Cambria" w:hAnsi="Cambria" w:cs="Times New Roman"/>
          <w:sz w:val="20"/>
          <w:szCs w:val="20"/>
        </w:rPr>
        <w:t>operational efficiency and economic growth</w:t>
      </w:r>
      <w:r w:rsidRPr="007614F0">
        <w:rPr>
          <w:rFonts w:ascii="Cambria" w:hAnsi="Cambria" w:cs="Times New Roman"/>
          <w:sz w:val="20"/>
          <w:szCs w:val="20"/>
        </w:rPr>
        <w:t xml:space="preserve">. These factors are the key </w:t>
      </w:r>
      <w:r w:rsidR="00B1029E">
        <w:rPr>
          <w:rFonts w:ascii="Cambria" w:hAnsi="Cambria" w:cs="Times New Roman"/>
          <w:sz w:val="20"/>
          <w:szCs w:val="20"/>
        </w:rPr>
        <w:t>in driving the growth of profit-</w:t>
      </w:r>
      <w:r w:rsidRPr="007614F0">
        <w:rPr>
          <w:rFonts w:ascii="Cambria" w:hAnsi="Cambria" w:cs="Times New Roman"/>
          <w:sz w:val="20"/>
          <w:szCs w:val="20"/>
        </w:rPr>
        <w:t>sharing financing.</w:t>
      </w:r>
      <w:r w:rsidR="00852558">
        <w:rPr>
          <w:rFonts w:ascii="Cambria" w:hAnsi="Cambria" w:cs="Times New Roman"/>
          <w:sz w:val="20"/>
          <w:szCs w:val="20"/>
          <w:lang w:val="en-US"/>
        </w:rPr>
        <w:t xml:space="preserve"> </w:t>
      </w:r>
      <w:r w:rsidRPr="007614F0">
        <w:rPr>
          <w:rFonts w:ascii="Cambria" w:hAnsi="Cambria" w:cs="Times New Roman"/>
          <w:sz w:val="20"/>
          <w:szCs w:val="20"/>
        </w:rPr>
        <w:t>This research contributes to providing various alternative strategies in encouraging the growth of profit-sharing financing, such as increasing retained earnings from profit, providing attractive profit-sharing incentives, transparency of financial reports to attract people to invest in Islamic banks, prevention and supervision of non-performing financing</w:t>
      </w:r>
      <w:r w:rsidR="00772B76" w:rsidRPr="007614F0">
        <w:rPr>
          <w:rFonts w:ascii="Cambria" w:hAnsi="Cambria" w:cs="Times New Roman"/>
          <w:sz w:val="20"/>
          <w:szCs w:val="20"/>
        </w:rPr>
        <w:t>,</w:t>
      </w:r>
      <w:r w:rsidRPr="007614F0">
        <w:rPr>
          <w:rFonts w:ascii="Cambria" w:hAnsi="Cambria" w:cs="Times New Roman"/>
          <w:sz w:val="20"/>
          <w:szCs w:val="20"/>
        </w:rPr>
        <w:t xml:space="preserve"> be careful in determining the ratio by taking into account several internal and external as</w:t>
      </w:r>
      <w:r w:rsidR="00852558">
        <w:rPr>
          <w:rFonts w:ascii="Cambria" w:hAnsi="Cambria" w:cs="Times New Roman"/>
          <w:sz w:val="20"/>
          <w:szCs w:val="20"/>
        </w:rPr>
        <w:t xml:space="preserve">pects, </w:t>
      </w:r>
      <w:r w:rsidR="00852558" w:rsidRPr="00852558">
        <w:rPr>
          <w:rFonts w:ascii="Cambria" w:hAnsi="Cambria" w:cs="Times New Roman"/>
          <w:sz w:val="20"/>
          <w:szCs w:val="20"/>
        </w:rPr>
        <w:t xml:space="preserve">as well as paying attention to the movements of existing economic </w:t>
      </w:r>
      <w:r w:rsidR="00852558" w:rsidRPr="001E0C21">
        <w:rPr>
          <w:rFonts w:ascii="Cambria" w:hAnsi="Cambria" w:cs="Times New Roman"/>
          <w:sz w:val="20"/>
          <w:szCs w:val="20"/>
        </w:rPr>
        <w:t>growth.</w:t>
      </w:r>
    </w:p>
    <w:p w14:paraId="509F64CC" w14:textId="77777777" w:rsidR="00D57A8D" w:rsidRPr="001E0C21" w:rsidRDefault="00D57A8D" w:rsidP="00FB0B5B">
      <w:pPr>
        <w:spacing w:after="0" w:line="240" w:lineRule="auto"/>
        <w:jc w:val="both"/>
        <w:rPr>
          <w:rFonts w:ascii="Cambria" w:hAnsi="Cambria" w:cs="Times New Roman"/>
          <w:sz w:val="20"/>
          <w:szCs w:val="20"/>
        </w:rPr>
      </w:pPr>
    </w:p>
    <w:p w14:paraId="1AA45576" w14:textId="7A8C46E1" w:rsidR="001E0C21" w:rsidRPr="001E0C21" w:rsidRDefault="00D91BFF" w:rsidP="00FB0B5B">
      <w:pPr>
        <w:spacing w:after="0" w:line="240" w:lineRule="auto"/>
        <w:jc w:val="both"/>
        <w:rPr>
          <w:rFonts w:ascii="Cambria" w:hAnsi="Cambria" w:cs="Times New Roman"/>
          <w:sz w:val="20"/>
          <w:szCs w:val="20"/>
        </w:rPr>
      </w:pPr>
      <w:r w:rsidRPr="001E0C21">
        <w:rPr>
          <w:rFonts w:ascii="Cambria" w:hAnsi="Cambria" w:cs="Times New Roman"/>
          <w:b/>
          <w:sz w:val="20"/>
          <w:szCs w:val="20"/>
        </w:rPr>
        <w:t>Keywords:</w:t>
      </w:r>
      <w:r w:rsidRPr="001E0C21">
        <w:rPr>
          <w:rFonts w:ascii="Cambria" w:hAnsi="Cambria" w:cs="Times New Roman"/>
          <w:sz w:val="20"/>
          <w:szCs w:val="20"/>
        </w:rPr>
        <w:t xml:space="preserve"> </w:t>
      </w:r>
      <w:r w:rsidR="001E0C21" w:rsidRPr="001E0C21">
        <w:rPr>
          <w:rFonts w:ascii="Cambria" w:hAnsi="Cambria" w:cs="Times New Roman"/>
          <w:sz w:val="20"/>
          <w:szCs w:val="20"/>
          <w:lang w:val="en-US"/>
        </w:rPr>
        <w:t>economic growth</w:t>
      </w:r>
      <w:r w:rsidR="0062652B" w:rsidRPr="001E0C21">
        <w:rPr>
          <w:rFonts w:ascii="Cambria" w:hAnsi="Cambria" w:cs="Times New Roman"/>
          <w:sz w:val="20"/>
          <w:szCs w:val="20"/>
        </w:rPr>
        <w:t xml:space="preserve">, </w:t>
      </w:r>
      <w:r w:rsidR="00F64BE4">
        <w:rPr>
          <w:rFonts w:ascii="Cambria" w:hAnsi="Cambria" w:cs="Times New Roman"/>
          <w:sz w:val="20"/>
          <w:szCs w:val="20"/>
          <w:lang w:val="en-US"/>
        </w:rPr>
        <w:t xml:space="preserve">equivalent </w:t>
      </w:r>
      <w:r w:rsidR="00F64BE4">
        <w:rPr>
          <w:rFonts w:ascii="Cambria" w:hAnsi="Cambria" w:cs="Times New Roman"/>
          <w:sz w:val="20"/>
          <w:szCs w:val="20"/>
        </w:rPr>
        <w:t>rate</w:t>
      </w:r>
      <w:r w:rsidR="00F64BE4">
        <w:rPr>
          <w:rFonts w:ascii="Cambria" w:hAnsi="Cambria" w:cs="Times New Roman"/>
          <w:sz w:val="20"/>
          <w:szCs w:val="20"/>
          <w:lang w:val="en-US"/>
        </w:rPr>
        <w:t>,</w:t>
      </w:r>
      <w:r w:rsidR="00F64BE4" w:rsidRPr="001E0C21">
        <w:rPr>
          <w:rFonts w:ascii="Cambria" w:hAnsi="Cambria" w:cs="Times New Roman"/>
          <w:sz w:val="20"/>
          <w:szCs w:val="20"/>
        </w:rPr>
        <w:t xml:space="preserve"> </w:t>
      </w:r>
      <w:r w:rsidR="0062652B" w:rsidRPr="001E0C21">
        <w:rPr>
          <w:rFonts w:ascii="Cambria" w:hAnsi="Cambria" w:cs="Times New Roman"/>
          <w:sz w:val="20"/>
          <w:szCs w:val="20"/>
        </w:rPr>
        <w:t>mudharabah deposits, non</w:t>
      </w:r>
      <w:r w:rsidR="00D57A8D" w:rsidRPr="001E0C21">
        <w:rPr>
          <w:rFonts w:ascii="Cambria" w:hAnsi="Cambria" w:cs="Times New Roman"/>
          <w:sz w:val="20"/>
          <w:szCs w:val="20"/>
        </w:rPr>
        <w:t>-</w:t>
      </w:r>
      <w:r w:rsidR="0062652B" w:rsidRPr="001E0C21">
        <w:rPr>
          <w:rFonts w:ascii="Cambria" w:hAnsi="Cambria" w:cs="Times New Roman"/>
          <w:sz w:val="20"/>
          <w:szCs w:val="20"/>
        </w:rPr>
        <w:t>performing financing</w:t>
      </w:r>
      <w:r w:rsidR="001E0C21" w:rsidRPr="001E0C21">
        <w:rPr>
          <w:rFonts w:ascii="Cambria" w:hAnsi="Cambria" w:cs="Times New Roman"/>
          <w:sz w:val="20"/>
          <w:szCs w:val="20"/>
          <w:lang w:val="en-US"/>
        </w:rPr>
        <w:t>,</w:t>
      </w:r>
      <w:r w:rsidR="001E0C21" w:rsidRPr="001E0C21">
        <w:rPr>
          <w:rFonts w:ascii="Cambria" w:hAnsi="Cambria" w:cs="Times New Roman"/>
          <w:sz w:val="20"/>
          <w:szCs w:val="20"/>
        </w:rPr>
        <w:t xml:space="preserve"> profit sharing financing</w:t>
      </w:r>
    </w:p>
    <w:p w14:paraId="392B09D9" w14:textId="796BC31D" w:rsidR="00D91BFF" w:rsidRPr="00F679D3" w:rsidRDefault="001E0C21" w:rsidP="00FB0B5B">
      <w:pPr>
        <w:spacing w:after="0" w:line="240" w:lineRule="auto"/>
        <w:jc w:val="both"/>
        <w:rPr>
          <w:rFonts w:ascii="Cambria" w:hAnsi="Cambria" w:cs="Times New Roman"/>
          <w:sz w:val="20"/>
          <w:szCs w:val="20"/>
          <w:lang w:val="en-US"/>
        </w:rPr>
      </w:pPr>
      <w:r w:rsidRPr="001E0C21">
        <w:rPr>
          <w:rFonts w:ascii="Cambria" w:hAnsi="Cambria" w:cs="Times New Roman"/>
          <w:b/>
          <w:sz w:val="20"/>
          <w:szCs w:val="20"/>
          <w:lang w:val="en-US"/>
        </w:rPr>
        <w:t>JEL Classification:</w:t>
      </w:r>
      <w:r w:rsidR="0062652B" w:rsidRPr="001E0C21">
        <w:rPr>
          <w:rFonts w:ascii="Cambria" w:hAnsi="Cambria" w:cs="Times New Roman"/>
          <w:sz w:val="20"/>
          <w:szCs w:val="20"/>
        </w:rPr>
        <w:t xml:space="preserve"> </w:t>
      </w:r>
      <w:r w:rsidR="00E84020">
        <w:rPr>
          <w:rFonts w:ascii="Cambria" w:hAnsi="Cambria" w:cs="Times New Roman"/>
          <w:sz w:val="20"/>
          <w:szCs w:val="20"/>
          <w:lang w:val="en-US"/>
        </w:rPr>
        <w:t xml:space="preserve">G21, </w:t>
      </w:r>
      <w:r w:rsidR="00961530">
        <w:rPr>
          <w:rFonts w:ascii="Cambria" w:hAnsi="Cambria" w:cs="Times New Roman"/>
          <w:sz w:val="20"/>
          <w:szCs w:val="20"/>
          <w:lang w:val="en-US"/>
        </w:rPr>
        <w:t>O11</w:t>
      </w:r>
      <w:r w:rsidR="00F679D3">
        <w:rPr>
          <w:rFonts w:ascii="Cambria" w:hAnsi="Cambria" w:cs="Times New Roman"/>
          <w:sz w:val="20"/>
          <w:szCs w:val="20"/>
          <w:lang w:val="en-US"/>
        </w:rPr>
        <w:t xml:space="preserve">, </w:t>
      </w:r>
      <w:r w:rsidR="004A01F2">
        <w:rPr>
          <w:rFonts w:ascii="Cambria" w:hAnsi="Cambria" w:cs="Times New Roman"/>
          <w:sz w:val="20"/>
          <w:szCs w:val="20"/>
          <w:lang w:val="en-US"/>
        </w:rPr>
        <w:t>Z12</w:t>
      </w:r>
    </w:p>
    <w:p w14:paraId="759995B2" w14:textId="78C9B63A" w:rsidR="0070073B" w:rsidRDefault="0070073B" w:rsidP="00FB0B5B">
      <w:pPr>
        <w:spacing w:after="0" w:line="240" w:lineRule="auto"/>
        <w:jc w:val="both"/>
        <w:rPr>
          <w:rFonts w:ascii="Cambria" w:hAnsi="Cambria" w:cs="Times New Roman"/>
          <w:b/>
        </w:rPr>
      </w:pPr>
    </w:p>
    <w:p w14:paraId="3638DF63" w14:textId="5C6C8373" w:rsidR="00C12D9F" w:rsidRDefault="00C12D9F" w:rsidP="00C12D9F">
      <w:pPr>
        <w:spacing w:after="0" w:line="240" w:lineRule="auto"/>
        <w:jc w:val="center"/>
        <w:rPr>
          <w:rFonts w:ascii="Cambria" w:hAnsi="Cambria" w:cs="Times New Roman"/>
          <w:b/>
        </w:rPr>
      </w:pPr>
      <w:r w:rsidRPr="00C12D9F">
        <w:rPr>
          <w:rFonts w:ascii="Cambria" w:hAnsi="Cambria" w:cs="Times New Roman"/>
          <w:b/>
        </w:rPr>
        <w:t>Abstrak</w:t>
      </w:r>
    </w:p>
    <w:p w14:paraId="3EDEA89D" w14:textId="77777777" w:rsidR="00C12D9F" w:rsidRPr="00005EA2" w:rsidRDefault="00C12D9F" w:rsidP="00C12D9F">
      <w:pPr>
        <w:spacing w:after="0" w:line="240" w:lineRule="auto"/>
        <w:jc w:val="center"/>
        <w:rPr>
          <w:rFonts w:ascii="Cambria" w:hAnsi="Cambria" w:cs="Times New Roman"/>
          <w:b/>
        </w:rPr>
      </w:pPr>
    </w:p>
    <w:p w14:paraId="7EF76C18" w14:textId="204B3FE3" w:rsidR="00C12D9F" w:rsidRPr="001E0C21" w:rsidRDefault="00C12D9F" w:rsidP="00C12D9F">
      <w:pPr>
        <w:spacing w:after="0" w:line="240" w:lineRule="auto"/>
        <w:jc w:val="both"/>
        <w:rPr>
          <w:rFonts w:ascii="Cambria" w:hAnsi="Cambria" w:cs="Times New Roman"/>
          <w:sz w:val="20"/>
          <w:szCs w:val="20"/>
        </w:rPr>
      </w:pPr>
      <w:r>
        <w:rPr>
          <w:rFonts w:ascii="Cambria" w:hAnsi="Cambria" w:cs="Times New Roman"/>
          <w:sz w:val="20"/>
          <w:szCs w:val="20"/>
          <w:lang w:val="en-US"/>
        </w:rPr>
        <w:t>P</w:t>
      </w:r>
      <w:r w:rsidRPr="00C12D9F">
        <w:rPr>
          <w:rFonts w:ascii="Cambria" w:hAnsi="Cambria" w:cs="Times New Roman"/>
          <w:sz w:val="20"/>
          <w:szCs w:val="20"/>
        </w:rPr>
        <w:t xml:space="preserve">enelitian ini </w:t>
      </w:r>
      <w:r>
        <w:rPr>
          <w:rFonts w:ascii="Cambria" w:hAnsi="Cambria" w:cs="Times New Roman"/>
          <w:sz w:val="20"/>
          <w:szCs w:val="20"/>
          <w:lang w:val="en-US"/>
        </w:rPr>
        <w:t xml:space="preserve">bertujuan </w:t>
      </w:r>
      <w:r w:rsidRPr="00C12D9F">
        <w:rPr>
          <w:rFonts w:ascii="Cambria" w:hAnsi="Cambria" w:cs="Times New Roman"/>
          <w:sz w:val="20"/>
          <w:szCs w:val="20"/>
        </w:rPr>
        <w:t xml:space="preserve">untuk mengetahui faktor-faktor yang dapat mendorong peningkatan pembiayaan bagi hasil. Faktor-faktor tersebut adalah dana pihak ketiga berupa </w:t>
      </w:r>
      <w:r w:rsidR="00CA160D">
        <w:rPr>
          <w:rFonts w:ascii="Cambria" w:hAnsi="Cambria" w:cs="Times New Roman"/>
          <w:sz w:val="20"/>
          <w:szCs w:val="20"/>
          <w:lang w:val="en-US"/>
        </w:rPr>
        <w:t xml:space="preserve">deposito </w:t>
      </w:r>
      <w:r w:rsidRPr="00C12D9F">
        <w:rPr>
          <w:rFonts w:ascii="Cambria" w:hAnsi="Cambria" w:cs="Times New Roman"/>
          <w:sz w:val="20"/>
          <w:szCs w:val="20"/>
        </w:rPr>
        <w:t>mudharabah, pembiayaan bermasalah, ekuivalen</w:t>
      </w:r>
      <w:r w:rsidR="00CA160D">
        <w:rPr>
          <w:rFonts w:ascii="Cambria" w:hAnsi="Cambria" w:cs="Times New Roman"/>
          <w:sz w:val="20"/>
          <w:szCs w:val="20"/>
          <w:lang w:val="en-US"/>
        </w:rPr>
        <w:t xml:space="preserve"> rate</w:t>
      </w:r>
      <w:r w:rsidRPr="00C12D9F">
        <w:rPr>
          <w:rFonts w:ascii="Cambria" w:hAnsi="Cambria" w:cs="Times New Roman"/>
          <w:sz w:val="20"/>
          <w:szCs w:val="20"/>
        </w:rPr>
        <w:t xml:space="preserve">, efisiensi operasional, pertumbuhan ekonomi dan inflasi. Metode penelitian menggunakan co-integration and error correction model (ECM) dengan sampel industri perbankan syariah di Indonesia dari triwulan I </w:t>
      </w:r>
      <w:r w:rsidR="00CA160D">
        <w:rPr>
          <w:rFonts w:ascii="Cambria" w:hAnsi="Cambria" w:cs="Times New Roman"/>
          <w:sz w:val="20"/>
          <w:szCs w:val="20"/>
          <w:lang w:val="en-US"/>
        </w:rPr>
        <w:t xml:space="preserve">tahun </w:t>
      </w:r>
      <w:r w:rsidRPr="00C12D9F">
        <w:rPr>
          <w:rFonts w:ascii="Cambria" w:hAnsi="Cambria" w:cs="Times New Roman"/>
          <w:sz w:val="20"/>
          <w:szCs w:val="20"/>
        </w:rPr>
        <w:t xml:space="preserve">2015 sampai triwulan III tahun 2020. Hasil penelitian menunjukkan bahwa faktor-faktor yang mendorong pertumbuhan </w:t>
      </w:r>
      <w:r w:rsidR="00CA160D">
        <w:rPr>
          <w:rFonts w:ascii="Cambria" w:hAnsi="Cambria" w:cs="Times New Roman"/>
          <w:sz w:val="20"/>
          <w:szCs w:val="20"/>
          <w:lang w:val="en-US"/>
        </w:rPr>
        <w:t>p</w:t>
      </w:r>
      <w:r w:rsidRPr="00C12D9F">
        <w:rPr>
          <w:rFonts w:ascii="Cambria" w:hAnsi="Cambria" w:cs="Times New Roman"/>
          <w:sz w:val="20"/>
          <w:szCs w:val="20"/>
        </w:rPr>
        <w:t xml:space="preserve">embiayaan bagi hasil adalah pertumbuhan dana pihak ketiga dalam bentuk </w:t>
      </w:r>
      <w:r w:rsidR="00CA160D">
        <w:rPr>
          <w:rFonts w:ascii="Cambria" w:hAnsi="Cambria" w:cs="Times New Roman"/>
          <w:sz w:val="20"/>
          <w:szCs w:val="20"/>
          <w:lang w:val="en-US"/>
        </w:rPr>
        <w:t xml:space="preserve">deposito </w:t>
      </w:r>
      <w:r w:rsidRPr="00C12D9F">
        <w:rPr>
          <w:rFonts w:ascii="Cambria" w:hAnsi="Cambria" w:cs="Times New Roman"/>
          <w:sz w:val="20"/>
          <w:szCs w:val="20"/>
        </w:rPr>
        <w:t xml:space="preserve">mudharabah, </w:t>
      </w:r>
      <w:r w:rsidR="00CA160D">
        <w:rPr>
          <w:rFonts w:ascii="Cambria" w:hAnsi="Cambria" w:cs="Times New Roman"/>
          <w:sz w:val="20"/>
          <w:szCs w:val="20"/>
          <w:lang w:val="en-US"/>
        </w:rPr>
        <w:t xml:space="preserve">kecilnya </w:t>
      </w:r>
      <w:r w:rsidRPr="00C12D9F">
        <w:rPr>
          <w:rFonts w:ascii="Cambria" w:hAnsi="Cambria" w:cs="Times New Roman"/>
          <w:sz w:val="20"/>
          <w:szCs w:val="20"/>
        </w:rPr>
        <w:t xml:space="preserve">pembiayaan bermasalah, ekuivalen </w:t>
      </w:r>
      <w:r w:rsidR="00CA160D">
        <w:rPr>
          <w:rFonts w:ascii="Cambria" w:hAnsi="Cambria" w:cs="Times New Roman"/>
          <w:sz w:val="20"/>
          <w:szCs w:val="20"/>
          <w:lang w:val="en-US"/>
        </w:rPr>
        <w:t xml:space="preserve">rate yang </w:t>
      </w:r>
      <w:r w:rsidR="00CA160D">
        <w:rPr>
          <w:rFonts w:ascii="Cambria" w:hAnsi="Cambria" w:cs="Times New Roman"/>
          <w:sz w:val="20"/>
          <w:szCs w:val="20"/>
        </w:rPr>
        <w:t>rendah, efisiensi operasional</w:t>
      </w:r>
      <w:r w:rsidRPr="00C12D9F">
        <w:rPr>
          <w:rFonts w:ascii="Cambria" w:hAnsi="Cambria" w:cs="Times New Roman"/>
          <w:sz w:val="20"/>
          <w:szCs w:val="20"/>
        </w:rPr>
        <w:t xml:space="preserve"> dan pertumbuhan ekonomi. Faktor-faktor inilah yang menjadi kunci dalam mendorong pertumbuhan pembiayaan bagi hasil. Penelitian ini memberikan kontribusi untuk memberikan berbagai alternatif strategi dalam mendorong pertumbuhan pembiayaan bagi hasil, seperti meningkatkan laba ditahan dari laba, memberikan insentif bagi hasil yang menarik, transparansi laporan keuangan untuk menarik minat masyarakat berinvestasi di bank syariah, pencegahan dan pengawasan </w:t>
      </w:r>
      <w:r w:rsidR="00CA160D">
        <w:rPr>
          <w:rFonts w:ascii="Cambria" w:hAnsi="Cambria" w:cs="Times New Roman"/>
          <w:sz w:val="20"/>
          <w:szCs w:val="20"/>
          <w:lang w:val="en-US"/>
        </w:rPr>
        <w:t>pembiayaan bermasalah</w:t>
      </w:r>
      <w:r w:rsidRPr="00C12D9F">
        <w:rPr>
          <w:rFonts w:ascii="Cambria" w:hAnsi="Cambria" w:cs="Times New Roman"/>
          <w:sz w:val="20"/>
          <w:szCs w:val="20"/>
        </w:rPr>
        <w:t>, hati-hati dalam menentukan rasio dengan memperhatikan beberapa aspek internal dan eksternal, serta memperhatikan pergerakan pertumbuhan ekonomi yang ada.</w:t>
      </w:r>
    </w:p>
    <w:p w14:paraId="74FAC57C" w14:textId="77777777" w:rsidR="00C12D9F" w:rsidRPr="001E0C21" w:rsidRDefault="00C12D9F" w:rsidP="00C12D9F">
      <w:pPr>
        <w:spacing w:after="0" w:line="240" w:lineRule="auto"/>
        <w:jc w:val="both"/>
        <w:rPr>
          <w:rFonts w:ascii="Cambria" w:hAnsi="Cambria" w:cs="Times New Roman"/>
          <w:sz w:val="20"/>
          <w:szCs w:val="20"/>
        </w:rPr>
      </w:pPr>
    </w:p>
    <w:p w14:paraId="53770E1F" w14:textId="0A0A29B6" w:rsidR="00C12D9F" w:rsidRPr="00C12D9F" w:rsidRDefault="00C12D9F" w:rsidP="00C12D9F">
      <w:pPr>
        <w:spacing w:after="0" w:line="240" w:lineRule="auto"/>
        <w:jc w:val="both"/>
        <w:rPr>
          <w:rFonts w:ascii="Cambria" w:hAnsi="Cambria" w:cs="Times New Roman"/>
          <w:sz w:val="20"/>
          <w:szCs w:val="20"/>
          <w:lang w:val="en-US"/>
        </w:rPr>
      </w:pPr>
      <w:r>
        <w:rPr>
          <w:rFonts w:ascii="Cambria" w:hAnsi="Cambria" w:cs="Times New Roman"/>
          <w:b/>
          <w:sz w:val="20"/>
          <w:szCs w:val="20"/>
          <w:lang w:val="en-US"/>
        </w:rPr>
        <w:t>Kata Kunci</w:t>
      </w:r>
      <w:r w:rsidRPr="001E0C21">
        <w:rPr>
          <w:rFonts w:ascii="Cambria" w:hAnsi="Cambria" w:cs="Times New Roman"/>
          <w:b/>
          <w:sz w:val="20"/>
          <w:szCs w:val="20"/>
        </w:rPr>
        <w:t>:</w:t>
      </w:r>
      <w:r w:rsidRPr="001E0C21">
        <w:rPr>
          <w:rFonts w:ascii="Cambria" w:hAnsi="Cambria" w:cs="Times New Roman"/>
          <w:sz w:val="20"/>
          <w:szCs w:val="20"/>
        </w:rPr>
        <w:t xml:space="preserve"> </w:t>
      </w:r>
      <w:r>
        <w:rPr>
          <w:rFonts w:ascii="Cambria" w:hAnsi="Cambria" w:cs="Times New Roman"/>
          <w:sz w:val="20"/>
          <w:szCs w:val="20"/>
          <w:lang w:val="en-US"/>
        </w:rPr>
        <w:t>pertumbuhan ekonomi</w:t>
      </w:r>
      <w:r w:rsidRPr="001E0C21">
        <w:rPr>
          <w:rFonts w:ascii="Cambria" w:hAnsi="Cambria" w:cs="Times New Roman"/>
          <w:sz w:val="20"/>
          <w:szCs w:val="20"/>
        </w:rPr>
        <w:t xml:space="preserve">, </w:t>
      </w:r>
      <w:r>
        <w:rPr>
          <w:rFonts w:ascii="Cambria" w:hAnsi="Cambria" w:cs="Times New Roman"/>
          <w:sz w:val="20"/>
          <w:szCs w:val="20"/>
          <w:lang w:val="en-US"/>
        </w:rPr>
        <w:t>ekuivalen rate,</w:t>
      </w:r>
      <w:r w:rsidRPr="001E0C21">
        <w:rPr>
          <w:rFonts w:ascii="Cambria" w:hAnsi="Cambria" w:cs="Times New Roman"/>
          <w:sz w:val="20"/>
          <w:szCs w:val="20"/>
        </w:rPr>
        <w:t xml:space="preserve"> </w:t>
      </w:r>
      <w:r>
        <w:rPr>
          <w:rFonts w:ascii="Cambria" w:hAnsi="Cambria" w:cs="Times New Roman"/>
          <w:sz w:val="20"/>
          <w:szCs w:val="20"/>
          <w:lang w:val="en-US"/>
        </w:rPr>
        <w:t xml:space="preserve">deposito </w:t>
      </w:r>
      <w:r w:rsidRPr="001E0C21">
        <w:rPr>
          <w:rFonts w:ascii="Cambria" w:hAnsi="Cambria" w:cs="Times New Roman"/>
          <w:sz w:val="20"/>
          <w:szCs w:val="20"/>
        </w:rPr>
        <w:t xml:space="preserve">mudharabah, </w:t>
      </w:r>
      <w:r>
        <w:rPr>
          <w:rFonts w:ascii="Cambria" w:hAnsi="Cambria" w:cs="Times New Roman"/>
          <w:sz w:val="20"/>
          <w:szCs w:val="20"/>
          <w:lang w:val="en-US"/>
        </w:rPr>
        <w:t>pembiayaan bermasalah</w:t>
      </w:r>
      <w:r w:rsidRPr="001E0C21">
        <w:rPr>
          <w:rFonts w:ascii="Cambria" w:hAnsi="Cambria" w:cs="Times New Roman"/>
          <w:sz w:val="20"/>
          <w:szCs w:val="20"/>
          <w:lang w:val="en-US"/>
        </w:rPr>
        <w:t>,</w:t>
      </w:r>
      <w:r w:rsidRPr="001E0C21">
        <w:rPr>
          <w:rFonts w:ascii="Cambria" w:hAnsi="Cambria" w:cs="Times New Roman"/>
          <w:sz w:val="20"/>
          <w:szCs w:val="20"/>
        </w:rPr>
        <w:t xml:space="preserve"> </w:t>
      </w:r>
      <w:r>
        <w:rPr>
          <w:rFonts w:ascii="Cambria" w:hAnsi="Cambria" w:cs="Times New Roman"/>
          <w:sz w:val="20"/>
          <w:szCs w:val="20"/>
          <w:lang w:val="en-US"/>
        </w:rPr>
        <w:t>pembiayaan bagi hasil</w:t>
      </w:r>
    </w:p>
    <w:p w14:paraId="6D60D0D8" w14:textId="77777777" w:rsidR="00C12D9F" w:rsidRPr="00005EA2" w:rsidRDefault="00C12D9F" w:rsidP="00FB0B5B">
      <w:pPr>
        <w:spacing w:after="0" w:line="240" w:lineRule="auto"/>
        <w:jc w:val="both"/>
        <w:rPr>
          <w:rFonts w:ascii="Cambria" w:hAnsi="Cambria" w:cs="Times New Roman"/>
          <w:b/>
        </w:rPr>
      </w:pPr>
    </w:p>
    <w:p w14:paraId="432592BD" w14:textId="4864267F" w:rsidR="00D91BFF" w:rsidRPr="001029A9" w:rsidRDefault="00AF6B88" w:rsidP="001029A9">
      <w:pPr>
        <w:spacing w:after="120" w:line="240" w:lineRule="auto"/>
        <w:jc w:val="both"/>
        <w:rPr>
          <w:rFonts w:cstheme="minorHAnsi"/>
          <w:b/>
          <w:sz w:val="24"/>
          <w:szCs w:val="24"/>
          <w:lang w:val="en-US"/>
        </w:rPr>
      </w:pPr>
      <w:r w:rsidRPr="001029A9">
        <w:rPr>
          <w:rFonts w:cstheme="minorHAnsi"/>
          <w:b/>
          <w:sz w:val="24"/>
          <w:szCs w:val="24"/>
          <w:lang w:val="en-US"/>
        </w:rPr>
        <w:t>1. Introduction</w:t>
      </w:r>
    </w:p>
    <w:p w14:paraId="137B2C63" w14:textId="6BF22969" w:rsidR="00F22BF1" w:rsidRPr="00005EA2" w:rsidRDefault="00DD547E" w:rsidP="00AF6B88">
      <w:pPr>
        <w:spacing w:after="0" w:line="240" w:lineRule="auto"/>
        <w:ind w:firstLine="426"/>
        <w:jc w:val="both"/>
        <w:rPr>
          <w:rFonts w:ascii="Cambria" w:hAnsi="Cambria" w:cs="Times New Roman"/>
        </w:rPr>
      </w:pPr>
      <w:r w:rsidRPr="00005EA2">
        <w:rPr>
          <w:rFonts w:ascii="Cambria" w:hAnsi="Cambria" w:cs="Times New Roman"/>
        </w:rPr>
        <w:t xml:space="preserve">Islamic banks as part of the national banking system have an important role in the Indonesian economy </w:t>
      </w:r>
      <w:r w:rsidR="004B02FA"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{"citationID":"KXD5qjTc","properties":{"formattedCitation":"(Riyanto, 2016)","plainCitation":"(Riyanto, 2016)","noteIndex":0},"citationItems":[{"id":1788,"uris":["http://zotero.org/groups/2238283/items/L9YGPPH6"],"uri":["http://zotero.org/groups/2238283/items/L9YGPPH6"],"itemData":{"id":1788,"type":"article-journal","abstract":"Islamic banking is a financial institution that uses the sharing system has a wide range ofproducts offered, especially in the task of channeling bank funds for financing one of which isprofit and loss sharing financing (Mudaraba and Musharaka). Suposed profit and loss sharingfinancing that dominates among other types of financing due in accordance with conventionalbanks as well differentiator, but the reality is not profit and loss sharing financing dominate. Thisstudy aims analyze the factors that affect profit and loss sharing financing. The purpose of thisstudy was to analyze the influence of deposits mudaraba, equivalent of profit sharing, spreadprofit sharing, and Non Performing Financing of profit and loss sharing financing. The populationwas islamic Banking in Indonesia, which consists of 11 banks. The samples used are selectedusing purposive sampling technique and only 4 bank in accordance with the criteria. The datais taken from the Quarterly Financing Reports Sharia Bank Devisa in Bank Indonesia’s websiteduring the period of 4 years from 2010 to 2013, in this study consisted of 64 observation points.The data collected were analyzed using descriptive statistics and multiple regression analysis.The result showed that the coefficient of determination through the four test variables: depositsmudaraba, equivalent of profit sharing, spread profit sharing, and Non Performing Financingcan explian the variation in the dependent variable for profit and loss sharing financing by70.4% while the rest is explained by other causes beyond the research variables. Four variablessimultaneously affect the results because the financing for the significance level of less than0.05. From the partial results variable equivalent of profit sharing has not significant affect toprofit and loss sharing financing and variable non-performing ratio has negative significant affectto profit and loss sharing financing, while the other two variables deposits mudaraba and spreadprofit sharing has positive significant affect to profit and loss sharing financing.Keywords : deposits mudaraba, equivalent of profit sharing, spread profit sharing, and NonPerforming Financing of profit and loss sharing financing.","container-title":"Jurnal Ekonomi &amp; Bisnis","DOI":"10.30659/ekobis.17.1.54-65","ISSN":"14112280","issue":"1","language":"ID","page":"54-65","source":"jurnal.unissula.ac.id","title":"Optimalisasi Pembiayaan Berbasis Bagi Hasil Pada Bank Devisa Syariah Di Indonesia","volume":"17","author":[{"family":"Riyanto","given":"Hermawan"}],"issued":{"date-parts":[["2016",1,11]]}}}],"schema":"https://github.com/citation-style-language/schema/raw/master/csl-citation.json"} </w:instrText>
      </w:r>
      <w:r w:rsidR="004B02FA" w:rsidRPr="00005EA2">
        <w:rPr>
          <w:rFonts w:ascii="Cambria" w:hAnsi="Cambria" w:cs="Times New Roman"/>
        </w:rPr>
        <w:fldChar w:fldCharType="separate"/>
      </w:r>
      <w:r w:rsidR="004B02FA" w:rsidRPr="00005EA2">
        <w:rPr>
          <w:rFonts w:ascii="Cambria" w:hAnsi="Cambria" w:cs="Times New Roman"/>
        </w:rPr>
        <w:t>(Riyanto, 2016)</w:t>
      </w:r>
      <w:r w:rsidR="004B02FA" w:rsidRPr="00005EA2">
        <w:rPr>
          <w:rFonts w:ascii="Cambria" w:hAnsi="Cambria" w:cs="Times New Roman"/>
        </w:rPr>
        <w:fldChar w:fldCharType="end"/>
      </w:r>
      <w:r w:rsidR="00F22BF1" w:rsidRPr="00005EA2">
        <w:rPr>
          <w:rFonts w:ascii="Cambria" w:hAnsi="Cambria" w:cs="Times New Roman"/>
        </w:rPr>
        <w:t xml:space="preserve">. </w:t>
      </w:r>
      <w:r w:rsidRPr="00005EA2">
        <w:rPr>
          <w:rFonts w:ascii="Cambria" w:hAnsi="Cambria" w:cs="Times New Roman"/>
        </w:rPr>
        <w:t>Islamic banks are banks that run operations based on sharia principles. Basically, Islamic banks are not much different from conventional banks. The fundamental difference between the two lies in the principles of financial or operational transactions</w:t>
      </w:r>
      <w:r w:rsidR="00D25A2D" w:rsidRPr="00005EA2">
        <w:rPr>
          <w:rFonts w:ascii="Cambria" w:hAnsi="Cambria" w:cs="Times New Roman"/>
        </w:rPr>
        <w:t xml:space="preserve"> . </w:t>
      </w:r>
      <w:r w:rsidRPr="00005EA2">
        <w:rPr>
          <w:rFonts w:ascii="Cambria" w:hAnsi="Cambria" w:cs="Times New Roman"/>
        </w:rPr>
        <w:t>One of the principles of Islamic banking is the principle of profit sharing. In contrast to conventional banking which implements an interest system, Islamic banking emphasizes the profit sharing system.</w:t>
      </w:r>
    </w:p>
    <w:p w14:paraId="0353AE0F" w14:textId="38607E13" w:rsidR="00167BE7" w:rsidRDefault="00DD547E" w:rsidP="00AF6B88">
      <w:pPr>
        <w:spacing w:after="0" w:line="240" w:lineRule="auto"/>
        <w:ind w:firstLine="426"/>
        <w:jc w:val="both"/>
        <w:rPr>
          <w:rFonts w:ascii="Cambria" w:hAnsi="Cambria" w:cs="Times New Roman"/>
        </w:rPr>
      </w:pPr>
      <w:r w:rsidRPr="00005EA2">
        <w:rPr>
          <w:rFonts w:ascii="Cambria" w:hAnsi="Cambria" w:cs="Times New Roman"/>
        </w:rPr>
        <w:t>In practice, Islamic banks distribute funds to the public in the form of financing. Financing is funding carried out by financial institutions, one of which is an Islamic bank, to its customers. According to</w:t>
      </w:r>
      <w:r w:rsidR="007E7821" w:rsidRPr="00005EA2">
        <w:rPr>
          <w:rFonts w:ascii="Cambria" w:hAnsi="Cambria" w:cs="Times New Roman"/>
        </w:rPr>
        <w:t xml:space="preserve"> </w:t>
      </w:r>
      <w:r w:rsidR="007E7821" w:rsidRPr="00005EA2">
        <w:rPr>
          <w:rFonts w:ascii="Cambria" w:hAnsi="Cambria" w:cs="Times New Roman"/>
        </w:rPr>
        <w:fldChar w:fldCharType="begin"/>
      </w:r>
      <w:r w:rsidR="00BF62B5" w:rsidRPr="00005EA2">
        <w:rPr>
          <w:rFonts w:ascii="Cambria" w:hAnsi="Cambria" w:cs="Times New Roman"/>
        </w:rPr>
        <w:instrText xml:space="preserve"> ADDIN ZOTERO_ITEM CSL_CITATION {"citationID":"KefxORwV","properties":{"formattedCitation":"(Amelia &amp; Hardini, 2017)","plainCitation":"(Amelia &amp; Hardini, 2017)","dontUpdate":true,"noteIndex":0},"citationItems":[{"id":1731,"uris":["http://zotero.org/groups/2238283/items/XG5WPLI4"],"uri":["http://zotero.org/groups/2238283/items/XG5WPLI4"],"itemData":{"id":1731,"type":"article-journal","abstract":"This study aims to determine the variables that affect the financing in the Islamic rural banking in Indonesia. The data used in this study is a monthly time series data that is from June 2009 until June 2015 in the monthly financial statements Islamic Banking Statistics published by Bank Indonesia. The analytical method used in this research is multiple linear regressions. The results of data analysis showed that the variables simultaneously deposit fund, capital adequacy ratio, inflation, exchange rate and the level of revenue sharing significantly influence the composition of financing. Partially deposit funds and the exchange rate significant positive effect, while capital adequacy ratio had a negative effect. Variable inflation and the level of revenue sharing do not significantly influence the composition of financing. This result implies that Islamic rural banking should increase the deposit funds to increase the mudaraba financing.","container-title":"Etikonomi","DOI":"10.15408/etk.v16i1.4638","ISSN":"2461-0771, 1412-8969","issue":"1","language":"en","page":"43-52","source":"Crossref","title":"Determinant of Mudharabah Financing: A Study at Indonesian Islamic Rural Banking","title-short":"Determinant of Mudharabah Financing","volume":"16","author":[{"family":"Amelia","given":"Erika"},{"family":"Hardini","given":"Eva Fauziah"}],"issued":{"date-parts":[["2017",3,8]]}}}],"schema":"https://github.com/citation-style-language/schema/raw/master/csl-citation.json"} </w:instrText>
      </w:r>
      <w:r w:rsidR="007E7821" w:rsidRPr="00005EA2">
        <w:rPr>
          <w:rFonts w:ascii="Cambria" w:hAnsi="Cambria" w:cs="Times New Roman"/>
        </w:rPr>
        <w:fldChar w:fldCharType="separate"/>
      </w:r>
      <w:r w:rsidR="007E7821" w:rsidRPr="00005EA2">
        <w:rPr>
          <w:rFonts w:ascii="Cambria" w:hAnsi="Cambria" w:cs="Times New Roman"/>
        </w:rPr>
        <w:t>Amelia &amp; Hardini (2017)</w:t>
      </w:r>
      <w:r w:rsidR="007E7821" w:rsidRPr="00005EA2">
        <w:rPr>
          <w:rFonts w:ascii="Cambria" w:hAnsi="Cambria" w:cs="Times New Roman"/>
        </w:rPr>
        <w:fldChar w:fldCharType="end"/>
      </w:r>
      <w:r w:rsidR="007E7821" w:rsidRPr="00005EA2">
        <w:rPr>
          <w:rFonts w:ascii="Cambria" w:hAnsi="Cambria" w:cs="Times New Roman"/>
        </w:rPr>
        <w:t xml:space="preserve"> </w:t>
      </w:r>
      <w:r w:rsidR="00167BE7">
        <w:rPr>
          <w:rFonts w:ascii="Cambria" w:hAnsi="Cambria" w:cs="Times New Roman"/>
          <w:lang w:val="en-US"/>
        </w:rPr>
        <w:t>financing</w:t>
      </w:r>
      <w:r w:rsidRPr="00005EA2">
        <w:rPr>
          <w:rFonts w:ascii="Cambria" w:hAnsi="Cambria" w:cs="Times New Roman"/>
        </w:rPr>
        <w:t xml:space="preserve"> has an important role in boosting the economy of small people by creating jobs that ultimately reduce unemployment</w:t>
      </w:r>
      <w:r w:rsidR="00167BE7">
        <w:rPr>
          <w:rFonts w:ascii="Cambria" w:hAnsi="Cambria" w:cs="Times New Roman"/>
          <w:lang w:val="en-US"/>
        </w:rPr>
        <w:t xml:space="preserve"> </w:t>
      </w:r>
      <w:r w:rsidR="00167BE7">
        <w:rPr>
          <w:rFonts w:ascii="Cambria" w:hAnsi="Cambria" w:cs="Times New Roman"/>
          <w:lang w:val="en-US"/>
        </w:rPr>
        <w:fldChar w:fldCharType="begin"/>
      </w:r>
      <w:r w:rsidR="00167BE7">
        <w:rPr>
          <w:rFonts w:ascii="Cambria" w:hAnsi="Cambria" w:cs="Times New Roman"/>
          <w:lang w:val="en-US"/>
        </w:rPr>
        <w:instrText xml:space="preserve"> ADDIN ZOTERO_ITEM CSL_CITATION {"citationID":"8Bw8bOVh","properties":{"formattedCitation":"(Syarief et al., 2020)","plainCitation":"(Syarief et al., 2020)","noteIndex":0},"citationItems":[{"id":3120,"uris":["http://zotero.org/groups/2238283/items/LCV22TAB"],"uri":["http://zotero.org/groups/2238283/items/LCV22TAB"],"itemData":{"id":3120,"type":"article-journal","abstract":"This paper aims to examine the labor absorption in the real sector, including three essential determinants, namely Non-Performing Financing, Third Party Funds, and Profit-Sharing Financing. The object of this research is the Islamic Commercial Bank in Indonesia. Data analysis techniques in this study use path analysis. The results showed that (i) Profit Sharing Financing and Non-Performing Financing directly had a positive and significant effect on the Real Sector Labor Absorption variable; (ii) Third Party Funds are insignificant to the variable Real Sector Labor Absorption; (iv) Third Party Funds have a positive and significant effect on the variable Real Sector Labor Absorption through Profit-Sharing Financing; and (v) Non-Performing Financing is not significant to the Real Sector Labor Absorption variable through Profit-Sharing Financing.","container-title":"Human Falah: Jurnal Ekonomi dan Bisnis Islam","ISSN":"2527-6646","issue":"1","language":"id","note":"number: 1","page":"117-137","source":"jurnal.uinsu.ac.id","title":"Peran Perbankan Syariah dalam Penyerapan Tenaga Kerja pada Sektor Riil","volume":"7","author":[{"family":"Syarief","given":"Moch Edman"},{"family":"Setiawan","given":"Setiawan"},{"family":"Khairina","given":"Nabila Nur"}],"issued":{"date-parts":[["2020",6,19]]}}}],"schema":"https://github.com/citation-style-language/schema/raw/master/csl-citation.json"} </w:instrText>
      </w:r>
      <w:r w:rsidR="00167BE7">
        <w:rPr>
          <w:rFonts w:ascii="Cambria" w:hAnsi="Cambria" w:cs="Times New Roman"/>
          <w:lang w:val="en-US"/>
        </w:rPr>
        <w:fldChar w:fldCharType="separate"/>
      </w:r>
      <w:r w:rsidR="00167BE7" w:rsidRPr="00167BE7">
        <w:rPr>
          <w:rFonts w:ascii="Cambria" w:hAnsi="Cambria"/>
        </w:rPr>
        <w:t>(Syarief et al., 2020)</w:t>
      </w:r>
      <w:r w:rsidR="00167BE7">
        <w:rPr>
          <w:rFonts w:ascii="Cambria" w:hAnsi="Cambria" w:cs="Times New Roman"/>
          <w:lang w:val="en-US"/>
        </w:rPr>
        <w:fldChar w:fldCharType="end"/>
      </w:r>
      <w:r w:rsidRPr="00005EA2">
        <w:rPr>
          <w:rFonts w:ascii="Cambria" w:hAnsi="Cambria" w:cs="Times New Roman"/>
        </w:rPr>
        <w:t>. Good financing growth helps the com</w:t>
      </w:r>
      <w:r w:rsidR="00D31152" w:rsidRPr="00005EA2">
        <w:rPr>
          <w:rFonts w:ascii="Cambria" w:hAnsi="Cambria" w:cs="Times New Roman"/>
        </w:rPr>
        <w:t>munity to improve their welfare</w:t>
      </w:r>
      <w:r w:rsidR="00867A2B" w:rsidRPr="00005EA2">
        <w:rPr>
          <w:rFonts w:ascii="Cambria" w:hAnsi="Cambria" w:cs="Times New Roman"/>
          <w:lang w:val="en-US"/>
        </w:rPr>
        <w:t xml:space="preserve"> </w:t>
      </w:r>
      <w:r w:rsidR="00867A2B" w:rsidRPr="00005EA2">
        <w:rPr>
          <w:rFonts w:ascii="Cambria" w:hAnsi="Cambria" w:cs="Times New Roman"/>
          <w:lang w:val="en-US"/>
        </w:rPr>
        <w:fldChar w:fldCharType="begin"/>
      </w:r>
      <w:r w:rsidR="00867A2B" w:rsidRPr="00005EA2">
        <w:rPr>
          <w:rFonts w:ascii="Cambria" w:hAnsi="Cambria" w:cs="Times New Roman"/>
          <w:lang w:val="en-US"/>
        </w:rPr>
        <w:instrText xml:space="preserve"> ADDIN ZOTERO_ITEM CSL_CITATION {"citationID":"04YSAdp3","properties":{"formattedCitation":"(Dyatama &amp; Yuliadi, 2015)","plainCitation":"(Dyatama &amp; Yuliadi, 2015)","noteIndex":0},"citationItems":[{"id":1781,"uris":["http://zotero.org/groups/2238283/items/DITJ8JR4"],"uri":["http://zotero.org/groups/2238283/items/DITJ8JR4"],"itemData":{"id":1781,"type":"article-journal","abstract":"Abstract: The research aims to analyze the factors influencing the distribution of banking credit, that include the third-party fund, Capital Adequacy Ratio (CAR), Non Performing Financing (NPF), and the placing fund in the Seritifikat Bank Indonesia Syariah (SBIS). The data which is used is taken from the financial report of the Conventional Bank and the Shari’a Bank period 2010-2014. The technique analysis used the multiple linear regression model, the hypothesis test with the t-test to determine the variable partially, and f-test to determine all variables at once with the significant of 5 persen. The third party fund has positive influence and significant to the distribution of banking credit Non Performing Loan (NPL) and Return On Assets (ROA) has negative influence and significant to the distribution of credit banking. The placing fund in Sertifikat Bank Indonesia Syariah (SBIS) and Capital Adequacy Ratio (CAR) has negative influence and not significant to the distribution of Shari’a banking financing.Abstrak: Studi ini bertujuan menganalisis faktor-faktor yang mempengaruhi kebijakan penyaluran kredit perbankan, yang meliputi Dana Pihak Ketiga (DPK), Capital Adequacy Ratio (CAR), Non Performing Financing (NPF), dan penempatan dana di Sertifikat Bank Indonesia Syariah (SBIS). Data yang digunakan diperoleh dari laporan keuangan Bank Umum dan Bank Syariah pada tahun 2010-2014. Teknik analisis yang digunakan adalah regresi linier berganda, uji hipotesis dengan uji-t untuk menguji variabel secara parsial, dan uji-F untuk menguji variabel secara serempak dengan tingkat signifikansi 5 persen. DPK berpengaruh positif dan signifikan terhadap penyaluran kredit perbankan NPL dan ROA berpengaruh negatif dan signifikan terhadap penyaluran kredit perbankan. Penempatan dana di Sertifikat Bank Indonesia Syariah (SBIS) dan CAR berpengaruh negatif dan tidak signifi­kan terhadap jumlah penyaluran pembiayaan perbankan syariah.","container-title":"Jurnal Ekonomi &amp; Studi Pembangunan","DOI":"10.18196/jesp.2015.0043.73-83","ISSN":"2541-5506","issue":"1","language":"en;id","page":"73-83","source":"journal.umy.ac.id","title":"DETERMINAN JUMLAH PEMBIAYAAN BANK SYARIAH DI INDONESIA","volume":"16","author":[{"family":"Dyatama","given":"Ayank Narita"},{"family":"Yuliadi","given":"Imamudin"}],"issued":{"date-parts":[["2015",4,1]]}}}],"schema":"https://github.com/citation-style-language/schema/raw/master/csl-citation.json"} </w:instrText>
      </w:r>
      <w:r w:rsidR="00867A2B" w:rsidRPr="00005EA2">
        <w:rPr>
          <w:rFonts w:ascii="Cambria" w:hAnsi="Cambria" w:cs="Times New Roman"/>
          <w:lang w:val="en-US"/>
        </w:rPr>
        <w:fldChar w:fldCharType="separate"/>
      </w:r>
      <w:r w:rsidR="00867A2B" w:rsidRPr="00005EA2">
        <w:rPr>
          <w:rFonts w:ascii="Cambria" w:hAnsi="Cambria" w:cs="Times New Roman"/>
        </w:rPr>
        <w:t>(Dyatama &amp; Yuliadi, 2015)</w:t>
      </w:r>
      <w:r w:rsidR="00867A2B" w:rsidRPr="00005EA2">
        <w:rPr>
          <w:rFonts w:ascii="Cambria" w:hAnsi="Cambria" w:cs="Times New Roman"/>
          <w:lang w:val="en-US"/>
        </w:rPr>
        <w:fldChar w:fldCharType="end"/>
      </w:r>
      <w:r w:rsidR="007E7821" w:rsidRPr="00005EA2">
        <w:rPr>
          <w:rFonts w:ascii="Cambria" w:hAnsi="Cambria" w:cs="Times New Roman"/>
        </w:rPr>
        <w:t xml:space="preserve">. </w:t>
      </w:r>
    </w:p>
    <w:p w14:paraId="1B2D0023" w14:textId="03FA0CF9" w:rsidR="00FB3001" w:rsidRPr="00005EA2" w:rsidRDefault="00DD547E" w:rsidP="00167BE7">
      <w:pPr>
        <w:spacing w:after="0" w:line="240" w:lineRule="auto"/>
        <w:ind w:firstLine="426"/>
        <w:jc w:val="both"/>
        <w:rPr>
          <w:rFonts w:ascii="Cambria" w:hAnsi="Cambria" w:cs="Times New Roman"/>
        </w:rPr>
      </w:pPr>
      <w:r w:rsidRPr="00005EA2">
        <w:rPr>
          <w:rFonts w:ascii="Cambria" w:hAnsi="Cambria" w:cs="Times New Roman"/>
        </w:rPr>
        <w:t>Based on the purpose of its use, Islamic financing is divided into four categories, namely: financing with the principle of buying and selling</w:t>
      </w:r>
      <w:r w:rsidR="00623A2D" w:rsidRPr="00005EA2">
        <w:rPr>
          <w:rFonts w:ascii="Cambria" w:hAnsi="Cambria" w:cs="Times New Roman"/>
        </w:rPr>
        <w:t xml:space="preserve"> (such as murabaha)</w:t>
      </w:r>
      <w:r w:rsidRPr="00005EA2">
        <w:rPr>
          <w:rFonts w:ascii="Cambria" w:hAnsi="Cambria" w:cs="Times New Roman"/>
        </w:rPr>
        <w:t>, the principle of rent</w:t>
      </w:r>
      <w:r w:rsidR="00623A2D" w:rsidRPr="00005EA2">
        <w:rPr>
          <w:rFonts w:ascii="Cambria" w:hAnsi="Cambria" w:cs="Times New Roman"/>
        </w:rPr>
        <w:t xml:space="preserve"> (such as ijarah)</w:t>
      </w:r>
      <w:r w:rsidR="006758B0">
        <w:rPr>
          <w:rFonts w:ascii="Cambria" w:hAnsi="Cambria" w:cs="Times New Roman"/>
        </w:rPr>
        <w:t>, the principle of profit-</w:t>
      </w:r>
      <w:r w:rsidRPr="00005EA2">
        <w:rPr>
          <w:rFonts w:ascii="Cambria" w:hAnsi="Cambria" w:cs="Times New Roman"/>
        </w:rPr>
        <w:t>sharing</w:t>
      </w:r>
      <w:r w:rsidR="00623A2D" w:rsidRPr="00005EA2">
        <w:rPr>
          <w:rFonts w:ascii="Cambria" w:hAnsi="Cambria" w:cs="Times New Roman"/>
        </w:rPr>
        <w:t xml:space="preserve"> (such as mudharabah and musyarakah)</w:t>
      </w:r>
      <w:r w:rsidRPr="00005EA2">
        <w:rPr>
          <w:rFonts w:ascii="Cambria" w:hAnsi="Cambria" w:cs="Times New Roman"/>
        </w:rPr>
        <w:t xml:space="preserve">, and financing with a complementary contract </w:t>
      </w:r>
      <w:r w:rsidR="00FB3001"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{"citationID":"hP7Of73O","properties":{"formattedCitation":"(Karim, 2016)","plainCitation":"(Karim, 2016)","dontUpdate":true,"noteIndex":0},"citationItems":[{"id":1755,"uris":["http://zotero.org/groups/2238283/items/TQFERV7V"],"uri":["http://zotero.org/groups/2238283/items/TQFERV7V"],"itemData":{"id":1755,"type":"book","edition":"kelima","event-place":"Jakarta","ISBN":"978-979-769-580-4","number-of-pages":"519","publisher":"PT RajaGrafindo Persada","publisher-place":"Jakarta","title":"Bank Islam: Analisis Fiqih dan Keuangan","author":[{"family":"Karim","given":"Adiwarman A"}],"issued":{"date-parts":[["2016"]]}}}],"schema":"https://github.com/citation-style-language/schema/raw/master/csl-citation.json"} </w:instrText>
      </w:r>
      <w:r w:rsidR="00FB3001" w:rsidRPr="00005EA2">
        <w:rPr>
          <w:rFonts w:ascii="Cambria" w:hAnsi="Cambria" w:cs="Times New Roman"/>
        </w:rPr>
        <w:fldChar w:fldCharType="separate"/>
      </w:r>
      <w:r w:rsidR="00FB3001" w:rsidRPr="00005EA2">
        <w:rPr>
          <w:rFonts w:ascii="Cambria" w:hAnsi="Cambria" w:cs="Times New Roman"/>
        </w:rPr>
        <w:t>(Karim, 2016: 97)</w:t>
      </w:r>
      <w:r w:rsidR="00FB3001" w:rsidRPr="00005EA2">
        <w:rPr>
          <w:rFonts w:ascii="Cambria" w:hAnsi="Cambria" w:cs="Times New Roman"/>
        </w:rPr>
        <w:fldChar w:fldCharType="end"/>
      </w:r>
      <w:r w:rsidR="00FB3001" w:rsidRPr="00005EA2">
        <w:rPr>
          <w:rFonts w:ascii="Cambria" w:hAnsi="Cambria" w:cs="Times New Roman"/>
        </w:rPr>
        <w:t>.</w:t>
      </w:r>
      <w:r w:rsidR="00167BE7">
        <w:rPr>
          <w:rFonts w:ascii="Cambria" w:hAnsi="Cambria" w:cs="Times New Roman"/>
          <w:lang w:val="en-US"/>
        </w:rPr>
        <w:t xml:space="preserve"> </w:t>
      </w:r>
      <w:r w:rsidR="00B20648" w:rsidRPr="00005EA2">
        <w:rPr>
          <w:rFonts w:ascii="Cambria" w:hAnsi="Cambria" w:cs="Times New Roman"/>
        </w:rPr>
        <w:t xml:space="preserve">Of the four principles, the principles of buying and selling, leasing and profit </w:t>
      </w:r>
      <w:r w:rsidR="00B20648" w:rsidRPr="00005EA2">
        <w:rPr>
          <w:rFonts w:ascii="Cambria" w:hAnsi="Cambria" w:cs="Times New Roman"/>
        </w:rPr>
        <w:lastRenderedPageBreak/>
        <w:t xml:space="preserve">sharing are most often implemented in the banking world. Financing with the principle of profit sharing is a characteristic of Islamic banks as well as a differentiator from conventional banks. Financing products with profit sharing principles include mudharabah and musyarakah. Mudharabah is a contract of cooperation between two parties, where the first party provides all capital and the other party becomes the manager </w:t>
      </w:r>
      <w:r w:rsidR="00FB3001"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{"citationID":"bJFfXZak","properties":{"formattedCitation":"(Kasmir, 2016)","plainCitation":"(Kasmir, 2016)","dontUpdate":true,"noteIndex":0},"citationItems":[{"id":1727,"uris":["http://zotero.org/groups/2238283/items/GJSVFX8U"],"uri":["http://zotero.org/groups/2238283/items/GJSVFX8U"],"itemData":{"id":1727,"type":"book","edition":"Revisi 2014","event-place":"Jakarta","ISBN":"978-979-769-774-7","number-of-pages":"398","publisher":"Rajawali Pers","publisher-place":"Jakarta","title":"Dasar-Dasar Perbankan","author":[{"family":"Kasmir","given":""}],"issued":{"date-parts":[["2016"]]}}}],"schema":"https://github.com/citation-style-language/schema/raw/master/csl-citation.json"} </w:instrText>
      </w:r>
      <w:r w:rsidR="00FB3001" w:rsidRPr="00005EA2">
        <w:rPr>
          <w:rFonts w:ascii="Cambria" w:hAnsi="Cambria" w:cs="Times New Roman"/>
        </w:rPr>
        <w:fldChar w:fldCharType="separate"/>
      </w:r>
      <w:r w:rsidR="00FB3001" w:rsidRPr="00005EA2">
        <w:rPr>
          <w:rFonts w:ascii="Cambria" w:hAnsi="Cambria" w:cs="Times New Roman"/>
        </w:rPr>
        <w:t>(Kasmir, 2016: 249)</w:t>
      </w:r>
      <w:r w:rsidR="00FB3001" w:rsidRPr="00005EA2">
        <w:rPr>
          <w:rFonts w:ascii="Cambria" w:hAnsi="Cambria" w:cs="Times New Roman"/>
        </w:rPr>
        <w:fldChar w:fldCharType="end"/>
      </w:r>
      <w:r w:rsidR="00FB3001" w:rsidRPr="00005EA2">
        <w:rPr>
          <w:rFonts w:ascii="Cambria" w:hAnsi="Cambria" w:cs="Times New Roman"/>
        </w:rPr>
        <w:t xml:space="preserve">. </w:t>
      </w:r>
      <w:r w:rsidR="00B20648" w:rsidRPr="00005EA2">
        <w:rPr>
          <w:rFonts w:ascii="Cambria" w:hAnsi="Cambria" w:cs="Times New Roman"/>
        </w:rPr>
        <w:t xml:space="preserve">While musyarakah is a contract of cooperation between two or more parties to conduct certain businesses </w:t>
      </w:r>
      <w:r w:rsidR="00FB3001"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{"citationID":"7tzXnmit","properties":{"formattedCitation":"(Kasmir, 2016)","plainCitation":"(Kasmir, 2016)","dontUpdate":true,"noteIndex":0},"citationItems":[{"id":1727,"uris":["http://zotero.org/groups/2238283/items/GJSVFX8U"],"uri":["http://zotero.org/groups/2238283/items/GJSVFX8U"],"itemData":{"id":1727,"type":"book","edition":"Revisi 2014","event-place":"Jakarta","ISBN":"978-979-769-774-7","number-of-pages":"398","publisher":"Rajawali Pers","publisher-place":"Jakarta","title":"Dasar-Dasar Perbankan","author":[{"family":"Kasmir","given":""}],"issued":{"date-parts":[["2016"]]}}}],"schema":"https://github.com/citation-style-language/schema/raw/master/csl-citation.json"} </w:instrText>
      </w:r>
      <w:r w:rsidR="00FB3001" w:rsidRPr="00005EA2">
        <w:rPr>
          <w:rFonts w:ascii="Cambria" w:hAnsi="Cambria" w:cs="Times New Roman"/>
        </w:rPr>
        <w:fldChar w:fldCharType="separate"/>
      </w:r>
      <w:r w:rsidR="00FB3001" w:rsidRPr="00005EA2">
        <w:rPr>
          <w:rFonts w:ascii="Cambria" w:hAnsi="Cambria" w:cs="Times New Roman"/>
        </w:rPr>
        <w:t>(Kasmir, 2016: 248)</w:t>
      </w:r>
      <w:r w:rsidR="00FB3001" w:rsidRPr="00005EA2">
        <w:rPr>
          <w:rFonts w:ascii="Cambria" w:hAnsi="Cambria" w:cs="Times New Roman"/>
        </w:rPr>
        <w:fldChar w:fldCharType="end"/>
      </w:r>
      <w:r w:rsidR="00FB3001" w:rsidRPr="00005EA2">
        <w:rPr>
          <w:rFonts w:ascii="Cambria" w:hAnsi="Cambria" w:cs="Times New Roman"/>
        </w:rPr>
        <w:t xml:space="preserve">. </w:t>
      </w:r>
      <w:r w:rsidR="00B20648" w:rsidRPr="00005EA2">
        <w:rPr>
          <w:rFonts w:ascii="Cambria" w:hAnsi="Cambria" w:cs="Times New Roman"/>
        </w:rPr>
        <w:t xml:space="preserve">Financing with the principle of profit sharing is expected to be able to dominate other types of financing available in Islamic banks, because the profit sharing system is expected to be able to drive productive businesses, so that it is possible to create new jobs </w:t>
      </w:r>
      <w:r w:rsidR="00692F87" w:rsidRPr="00005EA2">
        <w:rPr>
          <w:rFonts w:ascii="Cambria" w:hAnsi="Cambria" w:cs="Times New Roman"/>
        </w:rPr>
        <w:t xml:space="preserve">. </w:t>
      </w:r>
      <w:r w:rsidR="0091310A" w:rsidRPr="00005EA2">
        <w:rPr>
          <w:rFonts w:ascii="Cambria" w:hAnsi="Cambria" w:cs="Times New Roman"/>
        </w:rPr>
        <w:t xml:space="preserve">The high proportion of profit-sharing type financing is also believed to reduce economic inequality which will have an impact on increasing economic opportunities for people who have high potential to contribute to capital accumulation and the creation of added value </w:t>
      </w:r>
      <w:r w:rsidR="00867A2B" w:rsidRPr="00005EA2">
        <w:rPr>
          <w:rFonts w:ascii="Cambria" w:hAnsi="Cambria" w:cs="Times New Roman"/>
        </w:rPr>
        <w:fldChar w:fldCharType="begin"/>
      </w:r>
      <w:r w:rsidR="00BF62B5" w:rsidRPr="00005EA2">
        <w:rPr>
          <w:rFonts w:ascii="Cambria" w:hAnsi="Cambria" w:cs="Times New Roman"/>
        </w:rPr>
        <w:instrText xml:space="preserve"> ADDIN ZOTERO_ITEM CSL_CITATION {"citationID":"X1Nk1K2I","properties":{"formattedCitation":"(Giannini, 2013; Syarief et al., 2020)","plainCitation":"(Giannini, 2013; Syarief et al., 2020)","noteIndex":0},"citationItems":[{"id":1752,"uris":["http://zotero.org/groups/2238283/items/DA5CPP7A"],"uri":["http://zotero.org/groups/2238283/items/DA5CPP7A"],"itemData":{"id":1752,"type":"article-journal","container-title":"Accounting Analysis Journal","DOI":"10.15294/aaj.v2i1.1178","ISSN":"2252-6765","issue":"1","journalAbbreviation":"1","language":"en","page":"97-103","source":"journal.unnes.ac.id","title":"Faktor Yang Mempengaruhi Pembiayaan Mudharabah Pada Bank Umum Syariah Di Indonesia","volume":"2","author":[{"family":"Giannini","given":"Nur Gilang"}],"issued":{"date-parts":[["2013"]]}}},{"id":3120,"uris":["http://zotero.org/groups/2238283/items/LCV22TAB"],"uri":["http://zotero.org/groups/2238283/items/LCV22TAB"],"itemData":{"id":3120,"type":"article-journal","abstract":"This paper aims to examine the labor absorption in the real sector, including three essential determinants, namely Non-Performing Financing, Third Party Funds, and Profit-Sharing Financing. The object of this research is the Islamic Commercial Bank in Indonesia. Data analysis techniques in this study use path analysis. The results showed that (i) Profit Sharing Financing and Non-Performing Financing directly had a positive and significant effect on the Real Sector Labor Absorption variable; (ii) Third Party Funds are insignificant to the variable Real Sector Labor Absorption; (iv) Third Party Funds have a positive and significant effect on the variable Real Sector Labor Absorption through Profit-Sharing Financing; and (v) Non-Performing Financing is not significant to the Real Sector Labor Absorption variable through Profit-Sharing Financing.","container-title":"Human Falah: Jurnal Ekonomi dan Bisnis Islam","ISSN":"2527-6646","issue":"1","language":"id","note":"number: 1","page":"117-137","source":"jurnal.uinsu.ac.id","title":"Peran Perbankan Syariah dalam Penyerapan Tenaga Kerja pada Sektor Riil","volume":"7","author":[{"family":"Syarief","given":"Moch Edman"},{"family":"Setiawan","given":"Setiawan"},{"family":"Khairina","given":"Nabila Nur"}],"issued":{"date-parts":[["2020",6,19]]}}}],"schema":"https://github.com/citation-style-language/schema/raw/master/csl-citation.json"} </w:instrText>
      </w:r>
      <w:r w:rsidR="00867A2B" w:rsidRPr="00005EA2">
        <w:rPr>
          <w:rFonts w:ascii="Cambria" w:hAnsi="Cambria" w:cs="Times New Roman"/>
        </w:rPr>
        <w:fldChar w:fldCharType="separate"/>
      </w:r>
      <w:r w:rsidR="00567D7A" w:rsidRPr="00005EA2">
        <w:rPr>
          <w:rFonts w:ascii="Cambria" w:hAnsi="Cambria" w:cs="Times New Roman"/>
        </w:rPr>
        <w:t>(Giannini, 2013; Syarief et al., 2020)</w:t>
      </w:r>
      <w:r w:rsidR="00867A2B" w:rsidRPr="00005EA2">
        <w:rPr>
          <w:rFonts w:ascii="Cambria" w:hAnsi="Cambria" w:cs="Times New Roman"/>
        </w:rPr>
        <w:fldChar w:fldCharType="end"/>
      </w:r>
      <w:r w:rsidR="001A50DD" w:rsidRPr="00005EA2">
        <w:rPr>
          <w:rFonts w:ascii="Cambria" w:hAnsi="Cambria" w:cs="Times New Roman"/>
        </w:rPr>
        <w:t>.</w:t>
      </w:r>
    </w:p>
    <w:p w14:paraId="286B00E1" w14:textId="71C0DDD1" w:rsidR="00692F87" w:rsidRPr="00005EA2" w:rsidRDefault="00254912" w:rsidP="00AF6B88">
      <w:pPr>
        <w:spacing w:after="0" w:line="240" w:lineRule="auto"/>
        <w:ind w:firstLine="426"/>
        <w:jc w:val="both"/>
        <w:rPr>
          <w:rFonts w:ascii="Cambria" w:hAnsi="Cambria" w:cs="Times New Roman"/>
          <w:lang w:val="en-US"/>
        </w:rPr>
      </w:pPr>
      <w:r w:rsidRPr="00005EA2">
        <w:rPr>
          <w:rFonts w:ascii="Cambria" w:hAnsi="Cambria" w:cs="Times New Roman"/>
        </w:rPr>
        <w:t xml:space="preserve">Mudharabah financing requires a high level of mutual trust between the fund owner and fund manager </w:t>
      </w:r>
      <w:r w:rsidR="00867A2B"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{"citationID":"FPkQbdUx","properties":{"formattedCitation":"(Giannini, 2013)","plainCitation":"(Giannini, 2013)","noteIndex":0},"citationItems":[{"id":1752,"uris":["http://zotero.org/groups/2238283/items/DA5CPP7A"],"uri":["http://zotero.org/groups/2238283/items/DA5CPP7A"],"itemData":{"id":1752,"type":"article-journal","container-title":"Accounting Analysis Journal","DOI":"10.15294/aaj.v2i1.1178","ISSN":"2252-6765","issue":"1","journalAbbreviation":"1","language":"en","page":"97-103","source":"journal.unnes.ac.id","title":"Faktor Yang Mempengaruhi Pembiayaan Mudharabah Pada Bank Umum Syariah Di Indonesia","volume":"2","author":[{"family":"Giannini","given":"Nur Gilang"}],"issued":{"date-parts":[["2013"]]}}}],"schema":"https://github.com/citation-style-language/schema/raw/master/csl-citation.json"} </w:instrText>
      </w:r>
      <w:r w:rsidR="00867A2B" w:rsidRPr="00005EA2">
        <w:rPr>
          <w:rFonts w:ascii="Cambria" w:hAnsi="Cambria" w:cs="Times New Roman"/>
        </w:rPr>
        <w:fldChar w:fldCharType="separate"/>
      </w:r>
      <w:r w:rsidR="00867A2B" w:rsidRPr="00005EA2">
        <w:rPr>
          <w:rFonts w:ascii="Cambria" w:hAnsi="Cambria" w:cs="Times New Roman"/>
        </w:rPr>
        <w:t>(Giannini, 2013)</w:t>
      </w:r>
      <w:r w:rsidR="00867A2B" w:rsidRPr="00005EA2">
        <w:rPr>
          <w:rFonts w:ascii="Cambria" w:hAnsi="Cambria" w:cs="Times New Roman"/>
        </w:rPr>
        <w:fldChar w:fldCharType="end"/>
      </w:r>
      <w:r w:rsidR="00692F87" w:rsidRPr="00005EA2">
        <w:rPr>
          <w:rFonts w:ascii="Cambria" w:hAnsi="Cambria" w:cs="Times New Roman"/>
        </w:rPr>
        <w:t xml:space="preserve">. </w:t>
      </w:r>
      <w:r w:rsidRPr="00005EA2">
        <w:rPr>
          <w:rFonts w:ascii="Cambria" w:hAnsi="Cambria" w:cs="Times New Roman"/>
        </w:rPr>
        <w:t xml:space="preserve">Therefore, seriousness is needed in managing mudharabah financing, because according to </w:t>
      </w:r>
      <w:r w:rsidR="00E07B07">
        <w:rPr>
          <w:rFonts w:ascii="Cambria" w:hAnsi="Cambria" w:cs="Times New Roman"/>
        </w:rPr>
        <w:fldChar w:fldCharType="begin"/>
      </w:r>
      <w:r w:rsidR="00E07B07">
        <w:rPr>
          <w:rFonts w:ascii="Cambria" w:hAnsi="Cambria" w:cs="Times New Roman"/>
        </w:rPr>
        <w:instrText xml:space="preserve"> ADDIN ZOTERO_ITEM CSL_CITATION {"citationID":"MO5LtWei","properties":{"formattedCitation":"(Abdul-Rahman &amp; Nor, 2016)","plainCitation":"(Abdul-Rahman &amp; Nor, 2016)","noteIndex":0},"citationItems":[{"id":1738,"uris":["http://zotero.org/groups/2238283/items/X77WERGE"],"uri":["http://zotero.org/groups/2238283/items/X77WERGE"],"itemData":{"id":1738,"type":"article-journal","abstract":"There are challenges faced by the profit-and-loss sharing (PLS) financing in Islamic banking institutions in Malaysia. PLS financing is comprised of mudharabah and musharakah contracts. This study  evaluated the application and modus operandi of mudharabah and musharakah contracts before dwelling into the challenges.  While musharakah contract involves contribution of capital and labor by both the investor and the entrepreneur, mudharabah contract allows the investor to provide the capital and only the entrepreneur operates the business.  In terms of return on investment, both partners share the profit or loss based on the pre-agreed ratio for musharakah; but only the capital provider bears the loss for mudharabah as the entrepreneur already forgone his or her effort for the project. In examining the challenges, we had conducted several interview sessions with Malaysian Islamic banks that offer PLS financing.  The findings showed that there were four major obstacles to PLS financing such as high risk of investment; difficulty in selecting appropriate partners; demand comes from low credit worthiness customers; and lack of capital security.    Keywords: capital security,  challenges, Islamic banking, mudharabah,  musharakah, profit and loss sharing financing","container-title":"Geografia-Malaysian Journal of Society and Space","issue":"2","language":"en","page":"39-46","source":"ejournals.ukm.my","title":"Challenges Of Profit-And-Loss Sharing Financing In Malaysian Islamic Banking","volume":"12","author":[{"family":"Abdul-Rahman","given":"Aisyah"},{"family":"Nor","given":"Shifa Mohd"}],"issued":{"date-parts":[["2016"]]}}}],"schema":"https://github.com/citation-style-language/schema/raw/master/csl-citation.json"} </w:instrText>
      </w:r>
      <w:r w:rsidR="00E07B07">
        <w:rPr>
          <w:rFonts w:ascii="Cambria" w:hAnsi="Cambria" w:cs="Times New Roman"/>
        </w:rPr>
        <w:fldChar w:fldCharType="separate"/>
      </w:r>
      <w:r w:rsidR="00E07B07" w:rsidRPr="00E07B07">
        <w:rPr>
          <w:rFonts w:ascii="Cambria" w:hAnsi="Cambria"/>
        </w:rPr>
        <w:t>(Abdul-Rahman &amp; Nor, 2016)</w:t>
      </w:r>
      <w:r w:rsidR="00E07B07">
        <w:rPr>
          <w:rFonts w:ascii="Cambria" w:hAnsi="Cambria" w:cs="Times New Roman"/>
        </w:rPr>
        <w:fldChar w:fldCharType="end"/>
      </w:r>
      <w:r w:rsidR="00E07B07">
        <w:rPr>
          <w:rFonts w:ascii="Cambria" w:hAnsi="Cambria" w:cs="Times New Roman"/>
          <w:lang w:val="en-US"/>
        </w:rPr>
        <w:t xml:space="preserve"> </w:t>
      </w:r>
      <w:r w:rsidRPr="00005EA2">
        <w:rPr>
          <w:rFonts w:ascii="Cambria" w:hAnsi="Cambria" w:cs="Times New Roman"/>
        </w:rPr>
        <w:t xml:space="preserve">there are some obstacles that are often encountered in managing </w:t>
      </w:r>
      <w:r w:rsidR="006758B0">
        <w:rPr>
          <w:rFonts w:ascii="Cambria" w:hAnsi="Cambria" w:cs="Times New Roman"/>
        </w:rPr>
        <w:t>profit-</w:t>
      </w:r>
      <w:r w:rsidR="006758B0" w:rsidRPr="00005EA2">
        <w:rPr>
          <w:rFonts w:ascii="Cambria" w:hAnsi="Cambria" w:cs="Times New Roman"/>
        </w:rPr>
        <w:t xml:space="preserve">sharing </w:t>
      </w:r>
      <w:r w:rsidRPr="00005EA2">
        <w:rPr>
          <w:rFonts w:ascii="Cambria" w:hAnsi="Cambria" w:cs="Times New Roman"/>
        </w:rPr>
        <w:t>financing, including high investment risks</w:t>
      </w:r>
      <w:r w:rsidR="008B471F" w:rsidRPr="00005EA2">
        <w:rPr>
          <w:rFonts w:ascii="Cambria" w:hAnsi="Cambria" w:cs="Times New Roman"/>
          <w:lang w:val="en-US"/>
        </w:rPr>
        <w:t xml:space="preserve"> </w:t>
      </w:r>
      <w:r w:rsidR="008B471F" w:rsidRPr="00005EA2">
        <w:rPr>
          <w:rFonts w:ascii="Cambria" w:hAnsi="Cambria" w:cs="Times New Roman"/>
          <w:lang w:val="en-US"/>
        </w:rPr>
        <w:fldChar w:fldCharType="begin"/>
      </w:r>
      <w:r w:rsidR="008B471F" w:rsidRPr="00005EA2">
        <w:rPr>
          <w:rFonts w:ascii="Cambria" w:hAnsi="Cambria" w:cs="Times New Roman"/>
          <w:lang w:val="en-US"/>
        </w:rPr>
        <w:instrText xml:space="preserve"> ADDIN ZOTERO_ITEM CSL_CITATION {"citationID":"Z0dvWiFq","properties":{"formattedCitation":"(Febianto, 2012)","plainCitation":"(Febianto, 2012)","noteIndex":0},"citationItems":[{"id":3127,"uris":["http://zotero.org/groups/2238283/items/A8ILCI47"],"uri":["http://zotero.org/groups/2238283/items/A8ILCI47"],"itemData":{"id":3127,"type":"article-journal","abstract":"The low level of participation of the Islamic banks in profit and loss sharing (mudharabah and musharakah) financing models has become one of the problems in the development of the industry. These arrangements are unique to Islamic banking and account for its superiority over conventional banking on grounds of ethics and efficiency, but the majority of Islamic banks have limited themselves to less risky trade-financing assets, that tend to be a shorter maturity. This paper intends to analyzes why Islamic banks are reluctant to indulge in mudharabah and musharakah financing. Finally, it explores the risk management concept that might solve the problems.","container-title":"Modern Economy","DOI":"10.4236/me.2012.31011","ISSN":"2152-7245, 2152-7261","issue":"01","journalAbbreviation":"ME","language":"en","page":"73-80","source":"DOI.org (Crossref)","title":"Adapting Risk Management for Profit and Loss Sharing Financing of Islamic Banks","volume":"03","author":[{"family":"Febianto","given":"Irawan"}],"issued":{"date-parts":[["2012"]]}}}],"schema":"https://github.com/citation-style-language/schema/raw/master/csl-citation.json"} </w:instrText>
      </w:r>
      <w:r w:rsidR="008B471F" w:rsidRPr="00005EA2">
        <w:rPr>
          <w:rFonts w:ascii="Cambria" w:hAnsi="Cambria" w:cs="Times New Roman"/>
          <w:lang w:val="en-US"/>
        </w:rPr>
        <w:fldChar w:fldCharType="separate"/>
      </w:r>
      <w:r w:rsidR="008B471F" w:rsidRPr="00005EA2">
        <w:rPr>
          <w:rFonts w:ascii="Cambria" w:hAnsi="Cambria" w:cs="Times New Roman"/>
        </w:rPr>
        <w:t>(Febianto, 2012)</w:t>
      </w:r>
      <w:r w:rsidR="008B471F" w:rsidRPr="00005EA2">
        <w:rPr>
          <w:rFonts w:ascii="Cambria" w:hAnsi="Cambria" w:cs="Times New Roman"/>
          <w:lang w:val="en-US"/>
        </w:rPr>
        <w:fldChar w:fldCharType="end"/>
      </w:r>
      <w:r w:rsidRPr="00005EA2">
        <w:rPr>
          <w:rFonts w:ascii="Cambria" w:hAnsi="Cambria" w:cs="Times New Roman"/>
        </w:rPr>
        <w:t>, difficulties in choosing the right partner, requests from customers who have low creditworthiness, and lack of capital security. This requires Islamic banks to apply the principle of high risk high return far better than conventional banks. On the other hand, the rapid growth of financing at Islamic banks in Indonesia is still dominated by murabaha financing (buying and selling) which are considered to not reflect the characteristics of Islamic banks themselves</w:t>
      </w:r>
      <w:r w:rsidR="00650568" w:rsidRPr="00005EA2">
        <w:rPr>
          <w:rFonts w:ascii="Cambria" w:hAnsi="Cambria" w:cs="Times New Roman"/>
        </w:rPr>
        <w:t xml:space="preserve"> </w:t>
      </w:r>
      <w:r w:rsidR="00867A2B"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{"citationID":"nbne7DwE","properties":{"formattedCitation":"(Pramono, 2013)","plainCitation":"(Pramono, 2013)","noteIndex":0},"citationItems":[{"id":1725,"uris":["http://zotero.org/groups/2238283/items/MPPH864L"],"uri":["http://zotero.org/groups/2238283/items/MPPH864L"],"itemData":{"id":1725,"type":"article-journal","abstract":"Tujuan penelitian ini adalah untuk mengetahui ada tidaknya pengaruh deposito mudharabah, spread bagi hasil, dan tingkat bagi hasil terhadap pembiayaan berbasis bagi hasil bank syariah baik secara simultan maupun parsial. Populasi dalam penelitian ini adalah bank syariah di Indonesia yang terdiri dari 11 bank. Sedangkan sampelnya terdiri dari 5 bank syariah. Kriteria pemilihan sampel menggunakan purposive sampling. Unit analisis yang digunakan adalah laporan keuangan publikasi triwulanan bank syariah tahun 2010-2012. Metode analisis data yang digunakan dalam penelitian ini adalah regresi linier berganda. Secara simultan variabel deposito mudharabah, spread bagi hasil, dan tingkat bagi hasil berpengaruh positif signifikan terhadap pembiayaan berbasis bagi hasil. Sedangkan secara parsial hanya variabel deposito mudharabah dan spread bagi hasil yang berpengaruh positif signifikan terhadap pembiayaan berbasis bagi hasil. Sedangkan tingkat bagi hasil tidak berpengaruh signifikan terhadap pembiayaan berbasis bagi hasil.    The purpose of this study to examine the effect of mudharabah deposits, spread proft sharing, and equivalent rate to profit sharing of Islamic bank either simultaneously or partially. The population of this study is Islamic bank in Indonesia which consists of 11 banks. While the sample consisted of 5 Islamic banks. Sampling technique using purposive sampling. The unit analysis whichis used is the quarterly publication of the financial report of Islamic bank in 2010-2012. Multiple regression analysis was employed to analysis data. Variables of mudharabah deposits, spread profit sharing, and equivalent rate are significant effect simultaneously to the profit sharing. Based on the results of this study can be concluded that variable of mudharabah deposit and spread profit sharing are partially significant to the profit sharing. While equivalent rate is not significant to the profit sharing.","container-title":"Accounting Analysis Journal","DOI":"10.15294/aaj.v2i2.1437","ISSN":"2252-6765","issue":"2","journalAbbreviation":"1","language":"en","page":"154-162","source":"journal.unnes.ac.id","title":"Optimalisasi Pembiayaan Berbasis Bagi Hasil Pada Bank Syariah Di Indonesia","volume":"2","author":[{"family":"Pramono","given":"Nugroho Heri"}],"issued":{"date-parts":[["2013"]]}}}],"schema":"https://github.com/citation-style-language/schema/raw/master/csl-citation.json"} </w:instrText>
      </w:r>
      <w:r w:rsidR="00867A2B" w:rsidRPr="00005EA2">
        <w:rPr>
          <w:rFonts w:ascii="Cambria" w:hAnsi="Cambria" w:cs="Times New Roman"/>
        </w:rPr>
        <w:fldChar w:fldCharType="separate"/>
      </w:r>
      <w:r w:rsidR="00867A2B" w:rsidRPr="00005EA2">
        <w:rPr>
          <w:rFonts w:ascii="Cambria" w:hAnsi="Cambria" w:cs="Times New Roman"/>
        </w:rPr>
        <w:t>(Pramono, 2013)</w:t>
      </w:r>
      <w:r w:rsidR="00867A2B" w:rsidRPr="00005EA2">
        <w:rPr>
          <w:rFonts w:ascii="Cambria" w:hAnsi="Cambria" w:cs="Times New Roman"/>
        </w:rPr>
        <w:fldChar w:fldCharType="end"/>
      </w:r>
      <w:r w:rsidR="00650568" w:rsidRPr="00005EA2">
        <w:rPr>
          <w:rFonts w:ascii="Cambria" w:hAnsi="Cambria" w:cs="Times New Roman"/>
        </w:rPr>
        <w:t xml:space="preserve">. </w:t>
      </w:r>
      <w:r w:rsidR="00A51494" w:rsidRPr="00005EA2">
        <w:rPr>
          <w:rFonts w:ascii="Cambria" w:hAnsi="Cambria" w:cs="Times New Roman"/>
        </w:rPr>
        <w:t>Similar to Malaysia, non</w:t>
      </w:r>
      <w:r w:rsidR="006758B0" w:rsidRPr="006758B0">
        <w:rPr>
          <w:rFonts w:ascii="Cambria" w:hAnsi="Cambria" w:cs="Times New Roman"/>
        </w:rPr>
        <w:t xml:space="preserve"> </w:t>
      </w:r>
      <w:r w:rsidR="006758B0">
        <w:rPr>
          <w:rFonts w:ascii="Cambria" w:hAnsi="Cambria" w:cs="Times New Roman"/>
        </w:rPr>
        <w:t>profit-</w:t>
      </w:r>
      <w:r w:rsidR="006758B0" w:rsidRPr="00005EA2">
        <w:rPr>
          <w:rFonts w:ascii="Cambria" w:hAnsi="Cambria" w:cs="Times New Roman"/>
        </w:rPr>
        <w:t xml:space="preserve">sharing </w:t>
      </w:r>
      <w:r w:rsidR="00A51494" w:rsidRPr="00005EA2">
        <w:rPr>
          <w:rFonts w:ascii="Cambria" w:hAnsi="Cambria" w:cs="Times New Roman"/>
        </w:rPr>
        <w:t xml:space="preserve">financing is more than </w:t>
      </w:r>
      <w:r w:rsidR="006758B0">
        <w:rPr>
          <w:rFonts w:ascii="Cambria" w:hAnsi="Cambria" w:cs="Times New Roman"/>
        </w:rPr>
        <w:t>profit-</w:t>
      </w:r>
      <w:r w:rsidR="006758B0" w:rsidRPr="00005EA2">
        <w:rPr>
          <w:rFonts w:ascii="Cambria" w:hAnsi="Cambria" w:cs="Times New Roman"/>
        </w:rPr>
        <w:t xml:space="preserve">sharing </w:t>
      </w:r>
      <w:r w:rsidR="00A51494" w:rsidRPr="00005EA2">
        <w:rPr>
          <w:rFonts w:ascii="Cambria" w:hAnsi="Cambria" w:cs="Times New Roman"/>
        </w:rPr>
        <w:t>financing which uses mudharabah and musyarakah contracts which have many limitations compared to debt-based financing (</w:t>
      </w:r>
      <w:r w:rsidR="006758B0">
        <w:rPr>
          <w:rFonts w:ascii="Cambria" w:hAnsi="Cambria" w:cs="Times New Roman"/>
          <w:lang w:val="en-US"/>
        </w:rPr>
        <w:t xml:space="preserve">non </w:t>
      </w:r>
      <w:r w:rsidR="006758B0">
        <w:rPr>
          <w:rFonts w:ascii="Cambria" w:hAnsi="Cambria" w:cs="Times New Roman"/>
        </w:rPr>
        <w:t>profit-</w:t>
      </w:r>
      <w:r w:rsidR="006758B0" w:rsidRPr="00005EA2">
        <w:rPr>
          <w:rFonts w:ascii="Cambria" w:hAnsi="Cambria" w:cs="Times New Roman"/>
        </w:rPr>
        <w:t>sharing</w:t>
      </w:r>
      <w:r w:rsidR="00A51494" w:rsidRPr="00005EA2">
        <w:rPr>
          <w:rFonts w:ascii="Cambria" w:hAnsi="Cambria" w:cs="Times New Roman"/>
        </w:rPr>
        <w:t>)</w:t>
      </w:r>
      <w:r w:rsidR="00A51494" w:rsidRPr="00005EA2">
        <w:rPr>
          <w:rFonts w:ascii="Cambria" w:hAnsi="Cambria" w:cs="Times New Roman"/>
          <w:lang w:val="en-US"/>
        </w:rPr>
        <w:t xml:space="preserve"> </w:t>
      </w:r>
      <w:r w:rsidR="00A51494" w:rsidRPr="00005EA2">
        <w:rPr>
          <w:rFonts w:ascii="Cambria" w:hAnsi="Cambria" w:cs="Times New Roman"/>
          <w:lang w:val="en-US"/>
        </w:rPr>
        <w:fldChar w:fldCharType="begin"/>
      </w:r>
      <w:r w:rsidR="00A51494" w:rsidRPr="00005EA2">
        <w:rPr>
          <w:rFonts w:ascii="Cambria" w:hAnsi="Cambria" w:cs="Times New Roman"/>
          <w:lang w:val="en-US"/>
        </w:rPr>
        <w:instrText xml:space="preserve"> ADDIN ZOTERO_ITEM CSL_CITATION {"citationID":"YW42Hd7b","properties":{"formattedCitation":"(Mohd Nor &amp; Ismail, 2020)","plainCitation":"(Mohd Nor &amp; Ismail, 2020)","noteIndex":0},"citationItems":[{"id":3125,"uris":["http://zotero.org/groups/2238283/items/VJJQPS4C"],"uri":["http://zotero.org/groups/2238283/items/VJJQPS4C"],"itemData":{"id":3125,"type":"paper-conference","abstract":"The motivation in this study lies on the fact that despite the tremendous development of the Islamic finance industry, some scholars argue that the development was driven by the debt-based or non- Profit sharing and losses sharing (PLS) contract instead of the widely proposed Profit sharing and losses sharing (PLS) contracts perceived to be as the ideal mode of financing. The question that arises is why non-PLS based? Why not PLS? Which one should the concepts use in Islamic finance then? Hence, this paper tries to explore the reason behind such development, discuss the future development as well and finally answer the main issue of which one should be the one? Initially the PLS was introduced in Malaysia; however the trend moved to non-PLS as a result of the current situation. The introduction of non-PLS products has been approved by shariah scholars hence making it shariah compliant. Since ‘sin’ is not an issue anymore, the investors now look for the best instrument that can give them higher return in line with the investment concept of high risk high return. Therefore, both PLS and non-PLS can be used side by side at the present moment.","container-title":"KnE Social Sciences","DOI":"10.18502/kss.v4i6.6585","event":"International Conference on Economics, Business and Economic Education 2019","event-place":"Malaysia","language":"en","page":"14-25","publisher":"Knowledge E","publisher-place":"Malaysia","source":"DOI.org (Crossref)","title":"Profit and Loss Sharing (PLS) and Non-PLS Financing in Malaysia: Which One Should Be the One?","title-short":"Profit and Loss Sharing (PLS) and Non-PLS Financing in Malaysia","URL":"https://knepublishing.com/index.php/KnE-Social/article/view/6585","author":[{"family":"Mohd Nor","given":"Amirudin"},{"family":"Ismail","given":"Shafinar"}],"accessed":{"date-parts":[["2020",12,21]]},"issued":{"date-parts":[["2020",3,23]]}}}],"schema":"https://github.com/citation-style-language/schema/raw/master/csl-citation.json"} </w:instrText>
      </w:r>
      <w:r w:rsidR="00A51494" w:rsidRPr="00005EA2">
        <w:rPr>
          <w:rFonts w:ascii="Cambria" w:hAnsi="Cambria" w:cs="Times New Roman"/>
          <w:lang w:val="en-US"/>
        </w:rPr>
        <w:fldChar w:fldCharType="separate"/>
      </w:r>
      <w:r w:rsidR="00A51494" w:rsidRPr="00005EA2">
        <w:rPr>
          <w:rFonts w:ascii="Cambria" w:hAnsi="Cambria" w:cs="Times New Roman"/>
        </w:rPr>
        <w:t>(Mohd Nor &amp; Ismail, 2020)</w:t>
      </w:r>
      <w:r w:rsidR="00A51494" w:rsidRPr="00005EA2">
        <w:rPr>
          <w:rFonts w:ascii="Cambria" w:hAnsi="Cambria" w:cs="Times New Roman"/>
          <w:lang w:val="en-US"/>
        </w:rPr>
        <w:fldChar w:fldCharType="end"/>
      </w:r>
      <w:r w:rsidR="00A51494" w:rsidRPr="00005EA2">
        <w:rPr>
          <w:rFonts w:ascii="Cambria" w:hAnsi="Cambria" w:cs="Times New Roman"/>
        </w:rPr>
        <w:t>.</w:t>
      </w:r>
    </w:p>
    <w:p w14:paraId="051894B5" w14:textId="666B4F01" w:rsidR="001A50DD" w:rsidRDefault="00254912" w:rsidP="00AF6B88">
      <w:pPr>
        <w:spacing w:after="0" w:line="240" w:lineRule="auto"/>
        <w:ind w:firstLine="426"/>
        <w:jc w:val="both"/>
        <w:rPr>
          <w:rFonts w:ascii="Cambria" w:hAnsi="Cambria" w:cs="Times New Roman"/>
        </w:rPr>
      </w:pPr>
      <w:r w:rsidRPr="00005EA2">
        <w:rPr>
          <w:rFonts w:ascii="Cambria" w:hAnsi="Cambria" w:cs="Times New Roman"/>
        </w:rPr>
        <w:t>In Islamic banking in Indonesia, financing with the principle of buying and selling is far more dominant compared to profit sharing based financing, as shown in Figure 1. This is a separate contradiction in the banking industry in Indonesia, which should prioritize the principle of profit sharing in the distribution of financing compared to the principle of buying and selling. The low distribution of funding with the principle of profit sharing is certainly a concern. Why did that happen? Certainly triggered by several factors both from the internal and external sides of Islamic banks.</w:t>
      </w:r>
    </w:p>
    <w:p w14:paraId="3DC2C962" w14:textId="77777777" w:rsidR="00AF6B88" w:rsidRPr="00005EA2" w:rsidRDefault="00AF6B88" w:rsidP="00AF6B88">
      <w:pPr>
        <w:spacing w:after="0" w:line="240" w:lineRule="auto"/>
        <w:ind w:firstLine="426"/>
        <w:jc w:val="both"/>
        <w:rPr>
          <w:rFonts w:ascii="Cambria" w:hAnsi="Cambria" w:cs="Times New Roman"/>
        </w:rPr>
      </w:pPr>
    </w:p>
    <w:p w14:paraId="30A95138" w14:textId="5F23BE97" w:rsidR="008F5AA5" w:rsidRPr="00005EA2" w:rsidRDefault="008F5AA5" w:rsidP="00FB0B5B">
      <w:pPr>
        <w:spacing w:after="0" w:line="240" w:lineRule="auto"/>
        <w:jc w:val="center"/>
        <w:rPr>
          <w:rFonts w:ascii="Cambria" w:hAnsi="Cambria" w:cs="Times New Roman"/>
        </w:rPr>
      </w:pPr>
      <w:r w:rsidRPr="00005EA2">
        <w:rPr>
          <w:rFonts w:ascii="Cambria" w:hAnsi="Cambria" w:cs="Times New Roman"/>
          <w:noProof/>
          <w:lang w:eastAsia="id-ID"/>
        </w:rPr>
        <w:drawing>
          <wp:inline distT="0" distB="0" distL="0" distR="0" wp14:anchorId="69BA7A04" wp14:editId="06F77A84">
            <wp:extent cx="3736975" cy="217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6975" cy="2176145"/>
                    </a:xfrm>
                    <a:prstGeom prst="rect">
                      <a:avLst/>
                    </a:prstGeom>
                    <a:noFill/>
                  </pic:spPr>
                </pic:pic>
              </a:graphicData>
            </a:graphic>
          </wp:inline>
        </w:drawing>
      </w:r>
    </w:p>
    <w:p w14:paraId="2C11D258" w14:textId="22133EC5" w:rsidR="00AF6B88" w:rsidRPr="00AF6B88" w:rsidRDefault="00AF6B88" w:rsidP="00AF6B88">
      <w:pPr>
        <w:spacing w:after="0" w:line="240" w:lineRule="auto"/>
        <w:jc w:val="center"/>
        <w:rPr>
          <w:rFonts w:ascii="Cambria" w:hAnsi="Cambria" w:cs="Times New Roman"/>
          <w:noProof/>
          <w:sz w:val="20"/>
          <w:szCs w:val="20"/>
          <w:lang w:val="en-US"/>
        </w:rPr>
      </w:pPr>
      <w:r w:rsidRPr="00AF6B88">
        <w:rPr>
          <w:rFonts w:ascii="Cambria" w:hAnsi="Cambria" w:cs="Times New Roman"/>
          <w:b/>
          <w:noProof/>
          <w:sz w:val="20"/>
          <w:szCs w:val="20"/>
          <w:lang w:val="en-US"/>
        </w:rPr>
        <w:t>Figure 1.</w:t>
      </w:r>
      <w:r w:rsidRPr="00AF6B88">
        <w:rPr>
          <w:rFonts w:ascii="Cambria" w:hAnsi="Cambria" w:cs="Times New Roman"/>
          <w:noProof/>
          <w:sz w:val="20"/>
          <w:szCs w:val="20"/>
          <w:lang w:val="en-US"/>
        </w:rPr>
        <w:t xml:space="preserve"> Percentage of </w:t>
      </w:r>
      <w:r w:rsidR="00C92214">
        <w:rPr>
          <w:rFonts w:ascii="Cambria" w:hAnsi="Cambria" w:cs="Times New Roman"/>
          <w:noProof/>
          <w:sz w:val="20"/>
          <w:szCs w:val="20"/>
          <w:lang w:val="en-US"/>
        </w:rPr>
        <w:t>islamic banking financing t</w:t>
      </w:r>
      <w:r w:rsidRPr="00AF6B88">
        <w:rPr>
          <w:rFonts w:ascii="Cambria" w:hAnsi="Cambria" w:cs="Times New Roman"/>
          <w:noProof/>
          <w:sz w:val="20"/>
          <w:szCs w:val="20"/>
          <w:lang w:val="en-US"/>
        </w:rPr>
        <w:t>ypes in Indonesia in 2019</w:t>
      </w:r>
    </w:p>
    <w:p w14:paraId="2C0D7A20" w14:textId="6E0FD3F0" w:rsidR="00650568" w:rsidRPr="00005EA2" w:rsidRDefault="00254912" w:rsidP="00AF6B88">
      <w:pPr>
        <w:spacing w:after="0" w:line="240" w:lineRule="auto"/>
        <w:jc w:val="center"/>
        <w:rPr>
          <w:rFonts w:ascii="Cambria" w:hAnsi="Cambria" w:cs="Times New Roman"/>
        </w:rPr>
      </w:pPr>
      <w:r w:rsidRPr="00AF6B88">
        <w:rPr>
          <w:rFonts w:ascii="Cambria" w:hAnsi="Cambria" w:cs="Times New Roman"/>
          <w:sz w:val="20"/>
          <w:szCs w:val="20"/>
        </w:rPr>
        <w:t>Source</w:t>
      </w:r>
      <w:r w:rsidR="00E84020">
        <w:rPr>
          <w:rFonts w:ascii="Cambria" w:hAnsi="Cambria" w:cs="Times New Roman"/>
          <w:sz w:val="20"/>
          <w:szCs w:val="20"/>
        </w:rPr>
        <w:t xml:space="preserve">: </w:t>
      </w:r>
      <w:r w:rsidR="00C92214" w:rsidRPr="00C92214">
        <w:rPr>
          <w:rFonts w:ascii="Cambria" w:hAnsi="Cambria" w:cs="Times New Roman"/>
          <w:sz w:val="20"/>
          <w:szCs w:val="20"/>
        </w:rPr>
        <w:t xml:space="preserve">Financial Services Authority </w:t>
      </w:r>
      <w:r w:rsidR="00C92214">
        <w:rPr>
          <w:rFonts w:ascii="Cambria" w:hAnsi="Cambria" w:cs="Times New Roman"/>
          <w:sz w:val="20"/>
          <w:szCs w:val="20"/>
          <w:lang w:val="en-US"/>
        </w:rPr>
        <w:t>(OJK)</w:t>
      </w:r>
    </w:p>
    <w:p w14:paraId="247F3F3C" w14:textId="77777777" w:rsidR="00D57A8D" w:rsidRPr="00005EA2" w:rsidRDefault="00D57A8D" w:rsidP="00FB0B5B">
      <w:pPr>
        <w:spacing w:after="0" w:line="240" w:lineRule="auto"/>
        <w:jc w:val="both"/>
        <w:rPr>
          <w:rFonts w:ascii="Cambria" w:hAnsi="Cambria" w:cs="Times New Roman"/>
        </w:rPr>
      </w:pPr>
    </w:p>
    <w:p w14:paraId="1E4AA64D" w14:textId="21CE4DF5" w:rsidR="00635687" w:rsidRPr="00005EA2" w:rsidRDefault="00147A5A" w:rsidP="00AF6B88">
      <w:pPr>
        <w:spacing w:after="0" w:line="240" w:lineRule="auto"/>
        <w:ind w:firstLine="426"/>
        <w:jc w:val="both"/>
        <w:rPr>
          <w:rFonts w:ascii="Cambria" w:hAnsi="Cambria" w:cs="Times New Roman"/>
        </w:rPr>
      </w:pPr>
      <w:r>
        <w:rPr>
          <w:rFonts w:ascii="Cambria" w:hAnsi="Cambria" w:cs="Times New Roman"/>
          <w:lang w:val="en-US"/>
        </w:rPr>
        <w:t>M</w:t>
      </w:r>
      <w:r w:rsidR="00254912" w:rsidRPr="00005EA2">
        <w:rPr>
          <w:rFonts w:ascii="Cambria" w:hAnsi="Cambria" w:cs="Times New Roman"/>
        </w:rPr>
        <w:t>any factors can influence banks in channeling their financing, both internal and external factors. There are several ways to identify factors that can affect profit-</w:t>
      </w:r>
      <w:r w:rsidR="006758B0">
        <w:rPr>
          <w:rFonts w:ascii="Cambria" w:hAnsi="Cambria" w:cs="Times New Roman"/>
          <w:lang w:val="en-US"/>
        </w:rPr>
        <w:t>sharing</w:t>
      </w:r>
      <w:r w:rsidR="00254912" w:rsidRPr="00005EA2">
        <w:rPr>
          <w:rFonts w:ascii="Cambria" w:hAnsi="Cambria" w:cs="Times New Roman"/>
        </w:rPr>
        <w:t xml:space="preserve"> financing as has been done by previous researchers, including </w:t>
      </w:r>
      <w:r w:rsidR="00DE3F24" w:rsidRPr="00005EA2">
        <w:rPr>
          <w:rFonts w:ascii="Cambria" w:hAnsi="Cambria" w:cs="Times New Roman"/>
        </w:rPr>
        <w:t xml:space="preserve">the influence of mudharabah deposits </w:t>
      </w:r>
      <w:r w:rsidR="00867A2B"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{"citationID":"jE3HgfyO","properties":{"formattedCitation":"(Kiswanto, 2013; Pramono, 2013; Riyanto, 2016)","plainCitation":"(Kiswanto, 2013; Pramono, 2013; Riyanto, 2016)","noteIndex":0},"citationItems":[{"id":1748,"uris":["http://zotero.org/groups/2238283/items/HM9EYXIF"],"uri":["http://zotero.org/groups/2238283/items/HM9EYXIF"],"itemData":{"id":1748,"type":"article-journal","abstract":"The purpose of this study was to examine the effect mudharaba deposits, return, profit-sharing rate and the average interest rate loans to profit and loss sharing of Islamic banks either simultaneously or partially. The population is Islamic bank in Indonesia, which consisted of 11 banks with a sample consisting of 7 Islamic banks. Criteria for selection of the sample is using purposive sampling. The unit of analysis is a semi-annual publication of the financial statements of Islamic banks in 2010-2012. The method of data analysis used in this study is multiple linear regression. Variables mudharaba deposits, return, profit sharing rate and the average interest rate are significant effect simultaneously to the profit sharing. While partially only variable mudaraba deposits, profit -sharing and profit sharing rate is significant positive effect on the profit and loss sharing. Meanwhile, the average interest rate credit does not significantly influence the profit and loss sharing. Keywords: Mudharaba Deposits, Return, Profit Sharing Rate, Average Interest Rate, Profit and Loss Sharing.","container-title":"Jurnal Reviu Akuntansi dan Keuangan","ISSN":"2615-2223","issue":"2","language":"en","page":"437-446","source":"ejournal.umm.ac.id","title":"Faktor-Faktor yang Mempengaruhi Pembiayaan Berbasis Bagi Hasil (Profit And Loss Sharing)","volume":"3","author":[{"family":"Kiswanto","given":"Wahyuli Ambarwati Wulandari"}],"issued":{"date-parts":[["2013"]]}}},{"id":1725,"uris":["http://zotero.org/groups/2238283/items/MPPH864L"],"uri":["http://zotero.org/groups/2238283/items/MPPH864L"],"itemData":{"id":1725,"type":"article-journal","abstract":"Tujuan penelitian ini adalah untuk mengetahui ada tidaknya pengaruh deposito mudharabah, spread bagi hasil, dan tingkat bagi hasil terhadap pembiayaan berbasis bagi hasil bank syariah baik secara simultan maupun parsial. Populasi dalam penelitian ini adalah bank syariah di Indonesia yang terdiri dari 11 bank. Sedangkan sampelnya terdiri dari 5 bank syariah. Kriteria pemilihan sampel menggunakan purposive sampling. Unit analisis yang digunakan adalah laporan keuangan publikasi triwulanan bank syariah tahun 2010-2012. Metode analisis data yang digunakan dalam penelitian ini adalah regresi linier berganda. Secara simultan variabel deposito mudharabah, spread bagi hasil, dan tingkat bagi hasil berpengaruh positif signifikan terhadap pembiayaan berbasis bagi hasil. Sedangkan secara parsial hanya variabel deposito mudharabah dan spread bagi hasil yang berpengaruh positif signifikan terhadap pembiayaan berbasis bagi hasil. Sedangkan tingkat bagi hasil tidak berpengaruh signifikan terhadap pembiayaan berbasis bagi hasil.    The purpose of this study to examine the effect of mudharabah deposits, spread proft sharing, and equivalent rate to profit sharing of Islamic bank either simultaneously or partially. The population of this study is Islamic bank in Indonesia which consists of 11 banks. While the sample consisted of 5 Islamic banks. Sampling technique using purposive sampling. The unit analysis whichis used is the quarterly publication of the financial report of Islamic bank in 2010-2012. Multiple regression analysis was employed to analysis data. Variables of mudharabah deposits, spread profit sharing, and equivalent rate are significant effect simultaneously to the profit sharing. Based on the results of this study can be concluded that variable of mudharabah deposit and spread profit sharing are partially significant to the profit sharing. While equivalent rate is not significant to the profit sharing.","container-title":"Accounting Analysis Journal","DOI":"10.15294/aaj.v2i2.1437","ISSN":"2252-6765","issue":"2","journalAbbreviation":"1","language":"en","page":"154-162","source":"journal.unnes.ac.id","title":"Optimalisasi Pembiayaan Berbasis Bagi Hasil Pada Bank Syariah Di Indonesia","volume":"2","author":[{"family":"Pramono","given":"Nugroho Heri"}],"issued":{"date-parts":[["2013"]]}}},{"id":1788,"uris":["http://zotero.org/groups/2238283/items/L9YGPPH6"],"uri":["http://zotero.org/groups/2238283/items/L9YGPPH6"],"itemData":{"id":1788,"type":"article-journal","abstract":"Islamic banking is a financial institution that uses the sharing system has a wide range ofproducts offered, especially in the task of channeling bank funds for financing one of which isprofit and loss sharing financing (Mudaraba and Musharaka). Suposed profit and loss sharingfinancing that dominates among other types of financing due in accordance with conventionalbanks as well differentiator, but the reality is not profit and loss sharing financing dominate. Thisstudy aims analyze the factors that affect profit and loss sharing financing. The purpose of thisstudy was to analyze the influence of deposits mudaraba, equivalent of profit sharing, spreadprofit sharing, and Non Performing Financing of profit and loss sharing financing. The populationwas islamic Banking in Indonesia, which consists of 11 banks. The samples used are selectedusing purposive sampling technique and only 4 bank in accordance with the criteria. The datais taken from the Quarterly Financing Reports Sharia Bank Devisa in Bank Indonesia’s websiteduring the period of 4 years from 2010 to 2013, in this study consisted of 64 observation points.The data collected were analyzed using descriptive statistics and multiple regression analysis.The result showed that the coefficient of determination through the four test variables: depositsmudaraba, equivalent of profit sharing, spread profit sharing, and Non Performing Financingcan explian the variation in the dependent variable for profit and loss sharing financing by70.4% while the rest is explained by other causes beyond the research variables. Four variablessimultaneously affect the results because the financing for the significance level of less than0.05. From the partial results variable equivalent of profit sharing has not significant affect toprofit and loss sharing financing and variable non-performing ratio has negative significant affectto profit and loss sharing financing, while the other two variables deposits mudaraba and spreadprofit sharing has positive significant affect to profit and loss sharing financing.Keywords : deposits mudaraba, equivalent of profit sharing, spread profit sharing, and NonPerforming Financing of profit and loss sharing financing.","container-title":"Jurnal Ekonomi &amp; Bisnis","DOI":"10.30659/ekobis.17.1.54-65","ISSN":"14112280","issue":"1","language":"ID","page":"54-65","source":"jurnal.unissula.ac.id","title":"Optimalisasi Pembiayaan Berbasis Bagi Hasil Pada Bank Devisa Syariah Di Indonesia","volume":"17","author":[{"family":"Riyanto","given":"Hermawan"}],"issued":{"date-parts":[["2016",1,11]]}}}],"schema":"https://github.com/citation-style-language/schema/raw/master/csl-citation.json"} </w:instrText>
      </w:r>
      <w:r w:rsidR="00867A2B" w:rsidRPr="00005EA2">
        <w:rPr>
          <w:rFonts w:ascii="Cambria" w:hAnsi="Cambria" w:cs="Times New Roman"/>
        </w:rPr>
        <w:fldChar w:fldCharType="separate"/>
      </w:r>
      <w:r w:rsidR="00867A2B" w:rsidRPr="00005EA2">
        <w:rPr>
          <w:rFonts w:ascii="Cambria" w:hAnsi="Cambria" w:cs="Times New Roman"/>
        </w:rPr>
        <w:t>(Kiswanto, 2013; Pramono, 2013; Riyanto, 2016)</w:t>
      </w:r>
      <w:r w:rsidR="00867A2B" w:rsidRPr="00005EA2">
        <w:rPr>
          <w:rFonts w:ascii="Cambria" w:hAnsi="Cambria" w:cs="Times New Roman"/>
        </w:rPr>
        <w:fldChar w:fldCharType="end"/>
      </w:r>
      <w:r w:rsidR="00635687" w:rsidRPr="00005EA2">
        <w:rPr>
          <w:rFonts w:ascii="Cambria" w:hAnsi="Cambria" w:cs="Times New Roman"/>
        </w:rPr>
        <w:t xml:space="preserve">, </w:t>
      </w:r>
      <w:r w:rsidR="00DE3F24" w:rsidRPr="00005EA2">
        <w:rPr>
          <w:rFonts w:ascii="Cambria" w:hAnsi="Cambria" w:cs="Times New Roman"/>
        </w:rPr>
        <w:t>the influence of non-performing financing</w:t>
      </w:r>
      <w:r w:rsidR="00867A2B" w:rsidRPr="00005EA2">
        <w:rPr>
          <w:rFonts w:ascii="Cambria" w:hAnsi="Cambria" w:cs="Times New Roman"/>
          <w:lang w:val="en-US"/>
        </w:rPr>
        <w:t xml:space="preserve"> </w:t>
      </w:r>
      <w:r w:rsidR="00867A2B" w:rsidRPr="00005EA2">
        <w:rPr>
          <w:rFonts w:ascii="Cambria" w:hAnsi="Cambria" w:cs="Times New Roman"/>
          <w:lang w:val="en-US"/>
        </w:rPr>
        <w:fldChar w:fldCharType="begin"/>
      </w:r>
      <w:r w:rsidR="00632D28">
        <w:rPr>
          <w:rFonts w:ascii="Cambria" w:hAnsi="Cambria" w:cs="Times New Roman"/>
          <w:lang w:val="en-US"/>
        </w:rPr>
        <w:instrText xml:space="preserve"> ADDIN ZOTERO_ITEM CSL_CITATION {"citationID":"C9V2fUks","properties":{"unsorted":true,"formattedCitation":"(Arnan &amp; Kurniawasih, 2014; Kurniawanti &amp; Zulfikar, 2014; Annisa &amp; Yaya, 2015; Destiana, 2016; Jamilah, 2016; Kalkarina et al., 2016; Riyanto, 2016; Murni et al., 2018; Ispad, 2019; Nastiti &amp; Kasri, 2019)","plainCitation":"(Arnan &amp; Kurniawasih, 2014; Kurniawanti &amp; Zulfikar, 2014; Annisa &amp; Yaya, 2015; Destiana, 2016; Jamilah, 2016; Kalkarina et al., 2016; Riyanto, 2016; Murni et al., 2018; Ispad, 2019; Nastiti &amp; Kasri, 2019)","noteIndex":0},"citationItems":[{"id":1730,"uris":["http://zotero.org/groups/2238283/items/QXFBV8YG"],"uri":["http://zotero.org/groups/2238283/items/QXFBV8YG"],"itemData":{"id":1730,"type":"paper-conference","container-title":"Seminar Nasional Ekonomi dan Bisnis","event":"Memperkuat Daya Saing Ekonomi dan Bisnis Dalam Menghadapi Asean Economic Community 2015","event-place":"Bandung","language":"id","page":"1-6","publisher":"Fak. Ekonomi Universitas Jenderal Achmad Yani","publisher-place":"Bandung","source":"Zotero","title":"Pengaruh Jumlah Dana Pihak Ketiga Dan Tingkat Non- Performing Financing Terhadap Pembiayaan Mudharabah Pada Bank Umum Syariah Di Indonesia","author":[{"family":"Arnan","given":"Sendi Gusnandar"},{"family":"Kurniawasih","given":"Imas"}],"issued":{"date-parts":[["2014"]]}},"label":"page"},{"id":1726,"uris":["http://zotero.org/groups/2238283/items/FMCVX5KD"],"uri":["http://zotero.org/groups/2238283/items/FMCVX5KD"],"itemData":{"id":1726,"type":"paper-conference","abstract":"Sharia banking has a great move for a decade. Profit and loss sharing become more \npopular as one of bank service system. The objective of this study is to analyze the  factors \nthat influencing volume of profit and loss sharing based-financing in sharia banking in \nIndonesia during 2009-2013. Analysis method used is SPSS, the results show that profit and \nloss sharing level and also total assets have positive significant influence toward volume of \nprofit and loss sharing based-financing, while depositors’ funds and also non performing \nfinancing doesn’t have significant influence.","container-title":"Proceeding Call for Syariah Paper","event":"Seminar Nasional dan Call For Paper  Program Studi Akuntansi-FEB UMS","event-place":"Surakarta","language":"en","page":"145-164","publisher":"Universitas Muhammadiyah Surakarta","publisher-place":"Surakarta","source":"publikasiilmiah.ums.ac.id","title":"Analisis Faktor-Faktor yang Mempengaruhi Volume Pembiayaan Berbasis Bagi Hasil Pada Bank Umum Syariah di Indonesia","URL":"http://publikasiilmiah.ums.ac.id/handle/11617/4718","volume":"-","author":[{"family":"Kurniawanti","given":"Agustina"},{"family":"Zulfikar","given":""}],"accessed":{"date-parts":[["2019",5,25]]},"issued":{"date-parts":[["2014",6,25]]}},"label":"page"},{"id":3108,"uris":["http://zotero.org/groups/2238283/items/RMRBACB9"],"uri":["http://zotero.org/groups/2238283/items/RMRBACB9"],"itemData":{"id":3108,"type":"article-journal","abstract":"This study aims to examine the impact of the third-party funds (DPK), profit sharing rate and non-performing financing (NPF) of the volume and financing portion of profit sharing based on Islamic banking. The sample of this study is seven Islamic banks with the purpose of research object are quarterly financial statements from June 2010 until September 201. Methods of data analysis are using multiple linear regression analysis. The results showed that, from the aspect of volume, DPK variable, profit sharing rate and NPF last period has a significant impact on the profit-sharing based on financing volume for the subsequent period. In the proportion aspect, it is found that the only variable level of revenue sharing finance portfolio of last period that significantly influences the results-based financing portion for the next period.\n===========================================\nPenelitian ini bertujuan untuk mengetahui pengaruh dana pihak ketiga (DPK), tingkat bagi hasil dan non-performing financing (NPF) terhadap volume dan porsi pembiayaan berbasis bagi hasil pada perbankan syariah. Sampel yang digunakan adalah tujuh bank umum syariah dengan objek penelitian laporan keuangan triwulan dari Juni 2010 hingga September 2013.Metode analisis data menggunakan analisis regresi linear berganda.Hasil penelitian menunjukkan bahwa, dari aspek volume, variabel DPK, tingkat bagi hasil dan NPF periode lalu berpengaruh signifikan terhadap volume pembiayaan berbasis bagi hasil periode berikutnya.Pada aspek proporsi ditemukan bahwa hanya variable tingkat bagi hasil penyaluran pembiayaan periode lalu yang berpengaruh signifikan terhadap porsi pembiayaan berbasis bagi hasil periode berikutnya.","container-title":"Share: Jurnal Ekonomi dan Keuangan Islam","DOI":"10.22373/share.v4i1.754","ISSN":"2549-0648","issue":"1","language":"id","note":"number: 1","page":"79-104","source":"jurnal.ar-raniry.ac.id","title":"Pengaruh Dana Pihak Ketiga, Tingkat Bagi Hasil dan Non Performing Financing terhadap Volume dan Porsi Pembiayaan Berbasis Bagi Hasil pada Perbankan Syariah di Indonesia","volume":"4","author":[{"family":"Annisa","given":"Lintang Nurul"},{"family":"Yaya","given":"Rizal"}],"issued":{"date-parts":[["2015",6,30]]}},"label":"page"},{"id":1817,"uris":["http://zotero.org/groups/2238283/items/BXYLH9IE"],"uri":["http://zotero.org/groups/2238283/items/BXYLH9IE"],"itemData":{"id":1817,"type":"article-journal","abstract":"Pembiayaan mudharabah dan musyarakah termasuk ke dalam pembiayaandengan prinsip bagi hasil. Pembiayaan mudharabah dan musyarakah lebih menyentuhpada sektor riil dan menggerakkan perekonomian. Penelitian ini bertujuan untukmenguji dan menganalisis pengaruh dana pihak ketiga dan risiko terhadap pembiayaanmudharabah dan musyarakah pada bank syariah di Indonesia. Penelitian inimenggunakan pendekatan kuantitatif. Data yang digunakan adalah data sekunder yangdiperoleh dari Statistik Perbankan Syariah yang dipublikasikan dalam situs resmi BankIndonesia. Data yang disajikan dalam Statistik Perbankan Syariah tersebut bersumberdari laporan bulanan bank umum syariah (BUS) sehingga data penelitian inimerupakan data gabungan BUS dan unit usaha syariah (UUS) yang terdaftar di BankIndonesia. Data kemudian dianalisis menggunakan analisis regresi berganda. Hipotesispenelitian diuji menggunakan uji t. Hasil penelitian menunjukkan bahwa baik DPKmaupun risiko, kedua-duanya berpengaruh positif terhadap pembiayaan mudharabahdan musyarakah pada bank syariah di Indonesia.","container-title":"LOGIKA: Jurnal Ilmiah Lemlit Unswagati Cirebon","ISSN":"2442-5176","issue":"2","language":"id-ID","page":"42-54","source":"jurnal.unswagati.ac.id","title":"Analisis Dana Pihak Ketiga dan Risiko Terhadap Pembiayaan Mudharabah dan Musyarakah Pada Bank Syariah di Indonesia","volume":"17","author":[{"family":"Destiana","given":"Rina"}],"issued":{"date-parts":[["2016",8,6]]}},"label":"page"},{"id":3107,"uris":["http://zotero.org/groups/2238283/items/SCKE9446"],"uri":["http://zotero.org/groups/2238283/items/SCKE9446"],"itemData":{"id":3107,"type":"article-journal","container-title":"Jurnal Ilmu dan Riset Akuntansi","issue":"4","page":"1-20","title":"Faktor-faktor yang Mempengaruhi Pembiayaan Mudharabah pada Bank Umum Syariah di Indonesia","volume":"5","author":[{"family":"Jamilah","given":""}],"issued":{"date-parts":[["2016",4]]}},"label":"page"},{"id":1749,"uris":["http://zotero.org/groups/2238283/items/4YYU692N"],"uri":["http://zotero.org/groups/2238283/items/4YYU692N"],"itemData":{"id":1749,"type":"article-journal","abstract":"Salah satu yang menjadi fungsi utama dari bank syariah yaitu melaksanakan kegiatan pembiayaan. Pada dasarnya yang membedakan pembiayaan yang disalurkan bank syariah dengan dengan bank konvensional yaitu prinsip bagi hasil (mudharabah dan musyarakah), namun fakta yang terjadi dilapangan prinsip bagi hasil menjadi kurang populer dibandingkan prinsip jual beli (murabahah) yang lebih mendominasi kegiatan usaha yang dilakukan oleh bank syariah. Penelitian ini memiliki tujuan menguji pengaruh Capital Adequacy Ratio (CAR), Non Performing Financing (NPF), dan simpanan Dana Phak Ketiga terhadap pembiayaan berbasis bagi hasil pada bank umum syariah d Indonesia untuk periode 2010-2014. sampel yang digunakan dalam penelitian ini yaitu 7 bank umum syariah yang terdaftar di Bursa Efek Indonesia. Teknik sampling yang digunakan yaitu metode perposive sampling. Periode penelitian dilakukan selama 5 tahun sehingga diperoleh 35 unit sampel pada penelitian ini. Alat analisis data yang digunakan dalam penelitian ini adalah analisis deskriptif dan analisis regresi data panel. Hasil penelitian menunjukan bahwa Capital Adequacy Ratio (CAR), Non Performing Ratio (NPF), dan simpanan Dana Pihak Ketiga (DPK) secara simultan memiliki pengaruh terhadap pembiayaan bagi hasil. Secara parsial simpana Dana Pihak Ketiga (DPK) memiliki pengaruh signifikan kearah positif terhadap pembiayaan bagi hasil, sedangkan Capital Adequacy Ratio (CAR), dan Non Performing Financing (NPF) tidak berpengaruh signifikan terhadap pembiayaan bagi hasil. Kata Kunci : Capital Adequacy Ratio (CAR), Non Performing Financing (NPF), simpanan Dana Pihak Ketiga (DPK), dan Pembiayaan Bagi hasil","container-title":"eProceedings of Management","ISSN":"2355-9357","issue":"3","language":"id","page":"3389-3395","source":"libraryeproceeding.telkomuniversity.ac.id","title":"Faktor-faktor Yang Mempengaruhi Pembiayaan Berbasis Bagi Hasil Pada Bank Syariah Di Indonesia (studi Kasus Pada Bank Umum Syariah Yang Terdaftar Di Bei)","volume":"3","author":[{"family":"Kalkarina","given":"Samira"},{"family":"Rahayu","given":"Sri"},{"family":"Nurbaiti","given":"Annisa"}],"issued":{"date-parts":[["2016",12,1]]}},"label":"page"},{"id":1788,"uris":["http://zotero.org/groups/2238283/items/L9YGPPH6"],"uri":["http://zotero.org/groups/2238283/items/L9YGPPH6"],"itemData":{"id":1788,"type":"article-journal","abstract":"Islamic banking is a financial institution that uses the sharing system has a wide range ofproducts offered, especially in the task of channeling bank funds for financing one of which isprofit and loss sharing financing (Mudaraba and Musharaka). Suposed profit and loss sharingfinancing that dominates among other types of financing due in accordance with conventionalbanks as well differentiator, but the reality is not profit and loss sharing financing dominate. Thisstudy aims analyze the factors that affect profit and loss sharing financing. The purpose of thisstudy was to analyze the influence of deposits mudaraba, equivalent of profit sharing, spreadprofit sharing, and Non Performing Financing of profit and loss sharing financing. The populationwas islamic Banking in Indonesia, which consists of 11 banks. The samples used are selectedusing purposive sampling technique and only 4 bank in accordance with the criteria. The datais taken from the Quarterly Financing Reports Sharia Bank Devisa in Bank Indonesia’s websiteduring the period of 4 years from 2010 to 2013, in this study consisted of 64 observation points.The data collected were analyzed using descriptive statistics and multiple regression analysis.The result showed that the coefficient of determination through the four test variables: depositsmudaraba, equivalent of profit sharing, spread profit sharing, and Non Performing Financingcan explian the variation in the dependent variable for profit and loss sharing financing by70.4% while the rest is explained by other causes beyond the research variables. Four variablessimultaneously affect the results because the financing for the significance level of less than0.05. From the partial results variable equivalent of profit sharing has not significant affect toprofit and loss sharing financing and variable non-performing ratio has negative significant affectto profit and loss sharing financing, while the other two variables deposits mudaraba and spreadprofit sharing has positive significant affect to profit and loss sharing financing.Keywords : deposits mudaraba, equivalent of profit sharing, spread profit sharing, and NonPerforming Financing of profit and loss sharing financing.","container-title":"Jurnal Ekonomi &amp; Bisnis","DOI":"10.30659/ekobis.17.1.54-65","ISSN":"14112280","issue":"1","language":"ID","page":"54-65","source":"jurnal.unissula.ac.id","title":"Optimalisasi Pembiayaan Berbasis Bagi Hasil Pada Bank Devisa Syariah Di Indonesia","volume":"17","author":[{"family":"Riyanto","given":"Hermawan"}],"issued":{"date-parts":[["2016",1,11]]}},"label":"page"},{"id":3140,"uris":["http://zotero.org/groups/2238283/items/LT2A2VHN"],"uri":["http://zotero.org/groups/2238283/items/LT2A2VHN"],"itemData":{"id":3140,"type":"article-journal","abstract":"The rapid development of Islamic banking has many positive impacts, but on the other hand, the development also demands the readiness of sharia banking in meeting the soundness level standard set by the regulator. This study aimed to integrate the two methods of measurement of Islamic financial institutions, the CAMEL method and maqasidsharia method. How far the ability of CAMEL, macro and general measurement, in measuring the variables on the maqasid sharia. This research used panel data model and analyzed four regressions model which welfare model for Sharia Commercial Bank and Sharia Business Unit and affordable product model for Sharia Commercial Bank and Sharia Business Unit. This research used the quantitative descriptive method. We found that only affordable product in Sharia Business Unit can explain independent variable. Other than that, earning component in CAMEL (ROA) had a positive and significant relationship with profit sharing scheme loan. From the results of research conducted, in general, CAMEL and maqasid sharia did not have a relationship except for Sharia Business Unit. This condition can happen because of many things. Among the greater was risks and in terms of better profitability. Therefore, Sharia Commercial Bank and Sharia Business Unit, generally still run a relatively low-risk financing scheme such as murabahah.","container-title":"Jurnal Keuangan dan Perbankan","DOI":"10.26905/jkdp.v22i4.1994","ISSN":"2443-2687, 1410-8089","issue":"4","language":"en","source":"DOI.org (Crossref)","title":"Determinants of Profit Sharing Financing and Zakat Distribution Based on CAMEL Analysis","URL":"http://jurnal.unmer.ac.id/index.php/jkdp/article/view/1994","volume":"22","author":[{"family":"Murni","given":"Yetty"},{"family":"Astuti","given":"Tri"},{"family":"Nisa","given":"Chaerani"}],"accessed":{"date-parts":[["2020",12,21]]},"issued":{"date-parts":[["2018",10,30]]}},"label":"page"},{"id":1728,"uris":["http://zotero.org/groups/2238283/items/ZYUWIHJ5"],"uri":["http://zotero.org/groups/2238283/items/ZYUWIHJ5"],"itemData":{"id":1728,"type":"paper-conference","abstract":"Abstract.Banking is a very important part in the economy, one of them as an institution whose job intermediation gathers funds from community and channel it back in the form of credit. This research aims to analyze the effect of Capital Adequacy Ratio (CAR), a Non-Performing Financing (NPF), and third-party Funds (DPK) against Channelling Public Banks On Mudharabah Financing Islamic Indonesia in the period 2015-2017. This type of research using time series data in the form of a monthly statistics report from January until December 2015 2017, published by the financial services authority (OJK). Analytical techniques used is multiple regression analysis by using the method of Ordinary Least Square (OLS) on application Software Eviews 7, namely analyzing the magnitude of the influence of the free variable (independent) against the variable (dependent) with a level of significance of 5%.The overall results of the study indicate that simultaneous or CAR, NPF and DPK mudharabah financing channelling effect. In pasrsial or each CAR has no effect against the channelling of mudharabah financing, this is proved with probability values (t-statistics) is greater than the significance level of 5%, the NPF and partially against influential DPK channeling mudharabah financing. Based on the Adjusted  of 0.499745 give meaning to that variable mudharabah financing is able to explained by variable CAR, NPF, and DPK of 49.97% while the rest 50.03% explained by other variables that are not included in the This research. Keywords: CAR, NPF, DPK, MudharabahAbstrak. Perbankan merupakan bagian yang sangat penting dalam perekonomian, salah satunya sebagai lembaga intermediasi yang tugasnya menghimpun dana dari masyarakat dan menyalurkannya kembali dalam bentuk kredit. Penelitian ini bertujuan untuk menganalisis pengaruh Capital Adequacy Ratio (CAR), Non Performing Financing (NPF), dan Dana Pihak Ketiga (DPK) terhadap Penyaluran Pembiayaan Mudharabah Pada Bank Umum Syariah di Indonesia Periode 2015-2017. Jenis Penelitian ini menggunakan data time series dalam bentuk laporan statistik bulanan periode Januari 2015 hingga Desember 2017 yang dipublikasikan oleh Otoritas Jasa Keuangan (OJK). Teknik analisis yang digunakan adalah analisis regresi berganda dengan menggunakan metode Ordinary Least Square (OLS) pada aplikasi Software Eviews 7, yaitu menganalisis besarnya pengaruh variabel bebas (independent) terhadap variabel terikat (dependent) dengan tingkat signifikasi 5%.Hasil penelitian secara keseluruhan atau simultan menunjukan bahwa CAR, NPF dan DPK berpengaruh terhadap penyaluran pembiayaan mudharabah. Secara pasrsial atau masing-masing CAR tidak berpengaruh terhadap penyaluran pembiayaan mudharabah, hal ini dibuktikan dengan nilai probabilitas (t-statistik) lebih besar dari tingkat signifikasi 5%, NPF dan DPK berpengaruh secara parsial terhadap penyaluran pembiayaan mudharabah. Berdasarkan nilai Adjusted  sebesar 0.499745 memberikan makna bahwa variabel pembiayaan mudharabah mampu dijelaskan dengan oleh variabel CAR, NPF, dan DPK sebesar 49.97% sedangkan sisanya 50.03% dijelaskan oleh variabel lain yang tidak termasuk dalam penelitian ini.Keywords: CAR, NPF, DPK, Mudharabah","collection-title":"1","container-title":"Prosiding Ilmu Ekonomi","event":"Seminar Penelitian Sivitas Akademika Unisba","event-place":"Bandung","language":"id","page":"83-90","publisher":"FEB UNISBA","publisher-place":"Bandung","source":"karyailmiah.unisba.ac.id","title":"Pengaruh Capital Adequacy Ratio (CAR), Non Performing Financing (NPF), dan Dana Pihak Ketiga (DPK), terhadap Penyaluran Pembiayaan Mudharabah pada Bank Umum Syariah di Indonesia Periode 2015-2017","URL":"http://karyailmiah.unisba.ac.id/index.php/ekonomi/article/view/15193","volume":"5","author":[{"family":"Ispad","given":"Agnisma Nur Balkis"}],"accessed":{"date-parts":[["2019",5,14]]},"issued":{"date-parts":[["2019",1,25]]}},"label":"page"},{"id":1743,"uris":["http://zotero.org/groups/2238283/items/CD48I2UN"],"uri":["http://zotero.org/groups/2238283/items/CD48I2UN"],"itemData":{"id":1743,"type":"article-journal","abstract":"Purpose The 2015 global economic crisis has triggered the issuance of several banking regulations in Indonesia, including those related to temporary stimulus for Islamic banks and branchless banking (fintech). However, few studies attempt to evaluate the effectiveness of such regulations. Thus, this study aims to determine the role and assess the effectiveness of such banking regulations. Design/methodology/approach The data used cover all 12 Islamic commercial banks in Indonesia during the stimulus period of Q3.2015 to Q2.2017. The variables included were banks’ fundamental factors (Islamic financing, capital adequacy ratio, investment, non-performing financing, return on asset, efficiency, financing deposit ratio and fintech) and macroeconomic variables (inflation, exchange rate and money supply). The model was analyzed by using multiple linear regressions with generalized least square estimation technique. Findings The main finding suggests that the stimulus regulation indeed played a positive role in the acceleration of Islamic bank financing. However, the fintech-related regulation was not yet effective to achieve the goal, at least in the short term. Furthermore, the study found that return of assets, operational efficiency, financing deposit ratio and money supply also influenced Islamic financing. Practical implications For policymakers, the effectiveness of the temporary stimulus in accelerating Islamic banking financing and preventing the possible negative impacts of the external crisis provides indications that the regulator could conduct similar policy in the future. More generally, the findings are also expected to enrich Islamic banking literature. Originality/value This is possibly one of the few studies to investigate the role and effectiveness of banking regulations on Islamic banking financing in Indonesia.","container-title":"International Journal of Islamic and Middle Eastern Finance and Management","DOI":"10.1108/IMEFM-10-2018-0365","ISSN":"1753-8394","issue":"5","note":"publisher: Emerald Publishing Limited","page":"643-662","source":"Emerald Insight","title":"The role of banking regulation in the development of Islamic banking financing in Indonesia","volume":"12","author":[{"family":"Nastiti","given":"Nur Dyah"},{"family":"Kasri","given":"Rahmatina Awaliah"}],"issued":{"date-parts":[["2019",1,1]]}},"label":"page"}],"schema":"https://github.com/citation-style-language/schema/raw/master/csl-citation.json"} </w:instrText>
      </w:r>
      <w:r w:rsidR="00867A2B" w:rsidRPr="00005EA2">
        <w:rPr>
          <w:rFonts w:ascii="Cambria" w:hAnsi="Cambria" w:cs="Times New Roman"/>
          <w:lang w:val="en-US"/>
        </w:rPr>
        <w:fldChar w:fldCharType="separate"/>
      </w:r>
      <w:r w:rsidR="00632D28" w:rsidRPr="00632D28">
        <w:rPr>
          <w:rFonts w:ascii="Cambria" w:hAnsi="Cambria"/>
        </w:rPr>
        <w:t>(Arnan &amp; Kurniawasih, 2014; Kurniawanti &amp; Zulfikar, 2014; Annisa &amp; Yaya, 2015; Destiana, 2016; Jamilah, 2016; Kalkarina et al., 2016; Riyanto, 2016; Murni et al., 2018; Ispad, 2019; Nastiti &amp; Kasri, 2019)</w:t>
      </w:r>
      <w:r w:rsidR="00867A2B" w:rsidRPr="00005EA2">
        <w:rPr>
          <w:rFonts w:ascii="Cambria" w:hAnsi="Cambria" w:cs="Times New Roman"/>
          <w:lang w:val="en-US"/>
        </w:rPr>
        <w:fldChar w:fldCharType="end"/>
      </w:r>
      <w:r w:rsidR="00773961" w:rsidRPr="00005EA2">
        <w:rPr>
          <w:rFonts w:ascii="Cambria" w:hAnsi="Cambria" w:cs="Times New Roman"/>
        </w:rPr>
        <w:t xml:space="preserve">, </w:t>
      </w:r>
      <w:r w:rsidR="00F64BE4">
        <w:rPr>
          <w:rFonts w:ascii="Cambria" w:hAnsi="Cambria" w:cs="Times New Roman"/>
          <w:lang w:val="en-US"/>
        </w:rPr>
        <w:t xml:space="preserve">equivalent rate </w:t>
      </w:r>
      <w:r w:rsidR="00867A2B" w:rsidRPr="00005EA2">
        <w:rPr>
          <w:rFonts w:ascii="Cambria" w:hAnsi="Cambria" w:cs="Times New Roman"/>
          <w:lang w:val="en-US"/>
        </w:rPr>
        <w:fldChar w:fldCharType="begin"/>
      </w:r>
      <w:r w:rsidR="00375431">
        <w:rPr>
          <w:rFonts w:ascii="Cambria" w:hAnsi="Cambria" w:cs="Times New Roman"/>
          <w:lang w:val="en-US"/>
        </w:rPr>
        <w:instrText xml:space="preserve"> ADDIN ZOTERO_ITEM CSL_CITATION {"citationID":"UoSlp3TJ","properties":{"unsorted":true,"formattedCitation":"(Kiswanto, 2013; Pramono, 2013; Kurniawanti &amp; Zulfikar, 2014; Riyanto, 2016)","plainCitation":"(Kiswanto, 2013; Pramono, 2013; Kurniawanti &amp; Zulfikar, 2014; Riyanto, 2016)","noteIndex":0},"citationItems":[{"id":1748,"uris":["http://zotero.org/groups/2238283/items/HM9EYXIF"],"uri":["http://zotero.org/groups/2238283/items/HM9EYXIF"],"itemData":{"id":1748,"type":"article-journal","abstract":"The purpose of this study was to examine the effect mudharaba deposits, return, profit-sharing rate and the average interest rate loans to profit and loss sharing of Islamic banks either simultaneously or partially. The population is Islamic bank in Indonesia, which consisted of 11 banks with a sample consisting of 7 Islamic banks. Criteria for selection of the sample is using purposive sampling. The unit of analysis is a semi-annual publication of the financial statements of Islamic banks in 2010-2012. The method of data analysis used in this study is multiple linear regression. Variables mudharaba deposits, return, profit sharing rate and the average interest rate are significant effect simultaneously to the profit sharing. While partially only variable mudaraba deposits, profit -sharing and profit sharing rate is significant positive effect on the profit and loss sharing. Meanwhile, the average interest rate credit does not significantly influence the profit and loss sharing. Keywords: Mudharaba Deposits, Return, Profit Sharing Rate, Average Interest Rate, Profit and Loss Sharing.","container-title":"Jurnal Reviu Akuntansi dan Keuangan","ISSN":"2615-2223","issue":"2","language":"en","page":"437-446","source":"ejournal.umm.ac.id","title":"Faktor-Faktor yang Mempengaruhi Pembiayaan Berbasis Bagi Hasil (Profit And Loss Sharing)","volume":"3","author":[{"family":"Kiswanto","given":"Wahyuli Ambarwati Wulandari"}],"issued":{"date-parts":[["2013"]]}},"label":"page"},{"id":1725,"uris":["http://zotero.org/groups/2238283/items/MPPH864L"],"uri":["http://zotero.org/groups/2238283/items/MPPH864L"],"itemData":{"id":1725,"type":"article-journal","abstract":"Tujuan penelitian ini adalah untuk mengetahui ada tidaknya pengaruh deposito mudharabah, spread bagi hasil, dan tingkat bagi hasil terhadap pembiayaan berbasis bagi hasil bank syariah baik secara simultan maupun parsial. Populasi dalam penelitian ini adalah bank syariah di Indonesia yang terdiri dari 11 bank. Sedangkan sampelnya terdiri dari 5 bank syariah. Kriteria pemilihan sampel menggunakan purposive sampling. Unit analisis yang digunakan adalah laporan keuangan publikasi triwulanan bank syariah tahun 2010-2012. Metode analisis data yang digunakan dalam penelitian ini adalah regresi linier berganda. Secara simultan variabel deposito mudharabah, spread bagi hasil, dan tingkat bagi hasil berpengaruh positif signifikan terhadap pembiayaan berbasis bagi hasil. Sedangkan secara parsial hanya variabel deposito mudharabah dan spread bagi hasil yang berpengaruh positif signifikan terhadap pembiayaan berbasis bagi hasil. Sedangkan tingkat bagi hasil tidak berpengaruh signifikan terhadap pembiayaan berbasis bagi hasil.    The purpose of this study to examine the effect of mudharabah deposits, spread proft sharing, and equivalent rate to profit sharing of Islamic bank either simultaneously or partially. The population of this study is Islamic bank in Indonesia which consists of 11 banks. While the sample consisted of 5 Islamic banks. Sampling technique using purposive sampling. The unit analysis whichis used is the quarterly publication of the financial report of Islamic bank in 2010-2012. Multiple regression analysis was employed to analysis data. Variables of mudharabah deposits, spread profit sharing, and equivalent rate are significant effect simultaneously to the profit sharing. Based on the results of this study can be concluded that variable of mudharabah deposit and spread profit sharing are partially significant to the profit sharing. While equivalent rate is not significant to the profit sharing.","container-title":"Accounting Analysis Journal","DOI":"10.15294/aaj.v2i2.1437","ISSN":"2252-6765","issue":"2","journalAbbreviation":"1","language":"en","page":"154-162","source":"journal.unnes.ac.id","title":"Optimalisasi Pembiayaan Berbasis Bagi Hasil Pada Bank Syariah Di Indonesia","volume":"2","author":[{"family":"Pramono","given":"Nugroho Heri"}],"issued":{"date-parts":[["2013"]]}},"label":"page"},{"id":1726,"uris":["http://zotero.org/groups/2238283/items/FMCVX5KD"],"uri":["http://zotero.org/groups/2238283/items/FMCVX5KD"],"itemData":{"id":1726,"type":"paper-conference","abstract":"Sharia banking has a great move for a decade. Profit and loss sharing become more \npopular as one of bank service system. The objective of this study is to analyze the  factors \nthat influencing volume of profit and loss sharing based-financing in sharia banking in \nIndonesia during 2009-2013. Analysis method used is SPSS, the results show that profit and \nloss sharing level and also total assets have positive significant influence toward volume of \nprofit and loss sharing based-financing, while depositors’ funds and also non performing \nfinancing doesn’t have significant influence.","container-title":"Proceeding Call for Syariah Paper","event":"Seminar Nasional dan Call For Paper  Program Studi Akuntansi-FEB UMS","event-place":"Surakarta","language":"en","page":"145-164","publisher":"Universitas Muhammadiyah Surakarta","publisher-place":"Surakarta","source":"publikasiilmiah.ums.ac.id","title":"Analisis Faktor-Faktor yang Mempengaruhi Volume Pembiayaan Berbasis Bagi Hasil Pada Bank Umum Syariah di Indonesia","URL":"http://publikasiilmiah.ums.ac.id/handle/11617/4718","volume":"-","author":[{"family":"Kurniawanti","given":"Agustina"},{"family":"Zulfikar","given":""}],"accessed":{"date-parts":[["2019",5,25]]},"issued":{"date-parts":[["2014",6,25]]}},"label":"page"},{"id":1788,"uris":["http://zotero.org/groups/2238283/items/L9YGPPH6"],"uri":["http://zotero.org/groups/2238283/items/L9YGPPH6"],"itemData":{"id":1788,"type":"article-journal","abstract":"Islamic banking is a financial institution that uses the sharing system has a wide range ofproducts offered, especially in the task of channeling bank funds for financing one of which isprofit and loss sharing financing (Mudaraba and Musharaka). Suposed profit and loss sharingfinancing that dominates among other types of financing due in accordance with conventionalbanks as well differentiator, but the reality is not profit and loss sharing financing dominate. Thisstudy aims analyze the factors that affect profit and loss sharing financing. The purpose of thisstudy was to analyze the influence of deposits mudaraba, equivalent of profit sharing, spreadprofit sharing, and Non Performing Financing of profit and loss sharing financing. The populationwas islamic Banking in Indonesia, which consists of 11 banks. The samples used are selectedusing purposive sampling technique and only 4 bank in accordance with the criteria. The datais taken from the Quarterly Financing Reports Sharia Bank Devisa in Bank Indonesia’s websiteduring the period of 4 years from 2010 to 2013, in this study consisted of 64 observation points.The data collected were analyzed using descriptive statistics and multiple regression analysis.The result showed that the coefficient of determination through the four test variables: depositsmudaraba, equivalent of profit sharing, spread profit sharing, and Non Performing Financingcan explian the variation in the dependent variable for profit and loss sharing financing by70.4% while the rest is explained by other causes beyond the research variables. Four variablessimultaneously affect the results because the financing for the significance level of less than0.05. From the partial results variable equivalent of profit sharing has not significant affect toprofit and loss sharing financing and variable non-performing ratio has negative significant affectto profit and loss sharing financing, while the other two variables deposits mudaraba and spreadprofit sharing has positive significant affect to profit and loss sharing financing.Keywords : deposits mudaraba, equivalent of profit sharing, spread profit sharing, and NonPerforming Financing of profit and loss sharing financing.","container-title":"Jurnal Ekonomi &amp; Bisnis","DOI":"10.30659/ekobis.17.1.54-65","ISSN":"14112280","issue":"1","language":"ID","page":"54-65","source":"jurnal.unissula.ac.id","title":"Optimalisasi Pembiayaan Berbasis Bagi Hasil Pada Bank Devisa Syariah Di Indonesia","volume":"17","author":[{"family":"Riyanto","given":"Hermawan"}],"issued":{"date-parts":[["2016",1,11]]}},"label":"page"}],"schema":"https://github.com/citation-style-language/schema/raw/master/csl-citation.json"} </w:instrText>
      </w:r>
      <w:r w:rsidR="00867A2B" w:rsidRPr="00005EA2">
        <w:rPr>
          <w:rFonts w:ascii="Cambria" w:hAnsi="Cambria" w:cs="Times New Roman"/>
          <w:lang w:val="en-US"/>
        </w:rPr>
        <w:fldChar w:fldCharType="separate"/>
      </w:r>
      <w:r w:rsidR="00375431" w:rsidRPr="00375431">
        <w:rPr>
          <w:rFonts w:ascii="Cambria" w:hAnsi="Cambria"/>
        </w:rPr>
        <w:t>(Kiswanto, 2013; Pramono, 2013; Kurniawanti &amp; Zulfikar, 2014; Riyanto, 2016)</w:t>
      </w:r>
      <w:r w:rsidR="00867A2B" w:rsidRPr="00005EA2">
        <w:rPr>
          <w:rFonts w:ascii="Cambria" w:hAnsi="Cambria" w:cs="Times New Roman"/>
          <w:lang w:val="en-US"/>
        </w:rPr>
        <w:fldChar w:fldCharType="end"/>
      </w:r>
      <w:r w:rsidR="00773961" w:rsidRPr="00005EA2">
        <w:rPr>
          <w:rFonts w:ascii="Cambria" w:hAnsi="Cambria" w:cs="Times New Roman"/>
        </w:rPr>
        <w:t xml:space="preserve">, </w:t>
      </w:r>
      <w:r w:rsidR="00D159C4" w:rsidRPr="00005EA2">
        <w:rPr>
          <w:rFonts w:ascii="Cambria" w:hAnsi="Cambria" w:cs="Times New Roman"/>
          <w:lang w:val="en-US"/>
        </w:rPr>
        <w:t xml:space="preserve">efficiency </w:t>
      </w:r>
      <w:r w:rsidR="00D159C4" w:rsidRPr="00005EA2">
        <w:rPr>
          <w:rFonts w:ascii="Cambria" w:hAnsi="Cambria" w:cs="Times New Roman"/>
          <w:lang w:val="en-US"/>
        </w:rPr>
        <w:fldChar w:fldCharType="begin"/>
      </w:r>
      <w:r w:rsidR="00D159C4" w:rsidRPr="00005EA2">
        <w:rPr>
          <w:rFonts w:ascii="Cambria" w:hAnsi="Cambria" w:cs="Times New Roman"/>
          <w:lang w:val="en-US"/>
        </w:rPr>
        <w:instrText xml:space="preserve"> ADDIN ZOTERO_ITEM CSL_CITATION {"citationID":"X4fDTOzy","properties":{"formattedCitation":"(Jamilah, 2016; Nastiti &amp; Kasri, 2019)","plainCitation":"(Jamilah, 2016; Nastiti &amp; Kasri, 2019)","noteIndex":0},"citationItems":[{"id":3107,"uris":["http://zotero.org/groups/2238283/items/SCKE9446"],"uri":["http://zotero.org/groups/2238283/items/SCKE9446"],"itemData":{"id":3107,"type":"article-journal","container-title":"Jurnal Ilmu dan Riset Akuntansi","issue":"4","page":"1-20","title":"Faktor-faktor yang Mempengaruhi Pembiayaan Mudharabah pada Bank Umum Syariah di Indonesia","volume":"5","author":[{"family":"Jamilah","given":""}],"issued":{"date-parts":[["2016",4]]}}},{"id":1743,"uris":["http://zotero.org/groups/2238283/items/CD48I2UN"],"uri":["http://zotero.org/groups/2238283/items/CD48I2UN"],"itemData":{"id":1743,"type":"article-journal","abstract":"Purpose The 2015 global economic crisis has triggered the issuance of several banking regulations in Indonesia, including those related to temporary stimulus for Islamic banks and branchless banking (fintech). However, few studies attempt to evaluate the effectiveness of such regulations. Thus, this study aims to determine the role and assess the effectiveness of such banking regulations. Design/methodology/approach The data used cover all 12 Islamic commercial banks in Indonesia during the stimulus period of Q3.2015 to Q2.2017. The variables included were banks’ fundamental factors (Islamic financing, capital adequacy ratio, investment, non-performing financing, return on asset, efficiency, financing deposit ratio and fintech) and macroeconomic variables (inflation, exchange rate and money supply). The model was analyzed by using multiple linear regressions with generalized least square estimation technique. Findings The main finding suggests that the stimulus regulation indeed played a positive role in the acceleration of Islamic bank financing. However, the fintech-related regulation was not yet effective to achieve the goal, at least in the short term. Furthermore, the study found that return of assets, operational efficiency, financing deposit ratio and money supply also influenced Islamic financing. Practical implications For policymakers, the effectiveness of the temporary stimulus in accelerating Islamic banking financing and preventing the possible negative impacts of the external crisis provides indications that the regulator could conduct similar policy in the future. More generally, the findings are also expected to enrich Islamic banking literature. Originality/value This is possibly one of the few studies to investigate the role and effectiveness of banking regulations on Islamic banking financing in Indonesia.","container-title":"International Journal of Islamic and Middle Eastern Finance and Management","DOI":"10.1108/IMEFM-10-2018-0365","ISSN":"1753-8394","issue":"5","note":"publisher: Emerald Publishing Limited","page":"643-662","source":"Emerald Insight","title":"The role of banking regulation in the development of Islamic banking financing in Indonesia","volume":"12","author":[{"family":"Nastiti","given":"Nur Dyah"},{"family":"Kasri","given":"Rahmatina Awaliah"}],"issued":{"date-parts":[["2019",1,1]]}}}],"schema":"https://github.com/citation-style-language/schema/raw/master/csl-citation.json"} </w:instrText>
      </w:r>
      <w:r w:rsidR="00D159C4" w:rsidRPr="00005EA2">
        <w:rPr>
          <w:rFonts w:ascii="Cambria" w:hAnsi="Cambria" w:cs="Times New Roman"/>
          <w:lang w:val="en-US"/>
        </w:rPr>
        <w:fldChar w:fldCharType="separate"/>
      </w:r>
      <w:r w:rsidR="00D159C4" w:rsidRPr="00005EA2">
        <w:rPr>
          <w:rFonts w:ascii="Cambria" w:hAnsi="Cambria" w:cs="Times New Roman"/>
        </w:rPr>
        <w:t>(Jamilah, 2016; Nastiti &amp; Kasri, 2019)</w:t>
      </w:r>
      <w:r w:rsidR="00D159C4" w:rsidRPr="00005EA2">
        <w:rPr>
          <w:rFonts w:ascii="Cambria" w:hAnsi="Cambria" w:cs="Times New Roman"/>
          <w:lang w:val="en-US"/>
        </w:rPr>
        <w:fldChar w:fldCharType="end"/>
      </w:r>
      <w:r w:rsidR="00D159C4" w:rsidRPr="00005EA2">
        <w:rPr>
          <w:rFonts w:ascii="Cambria" w:hAnsi="Cambria" w:cs="Times New Roman"/>
          <w:lang w:val="en-US"/>
        </w:rPr>
        <w:t>,</w:t>
      </w:r>
      <w:r w:rsidR="00634FCF" w:rsidRPr="00005EA2">
        <w:rPr>
          <w:rFonts w:ascii="Cambria" w:hAnsi="Cambria" w:cs="Times New Roman"/>
          <w:lang w:val="en-US"/>
        </w:rPr>
        <w:t xml:space="preserve"> economic growth </w:t>
      </w:r>
      <w:r w:rsidR="00634FCF" w:rsidRPr="00005EA2">
        <w:rPr>
          <w:rFonts w:ascii="Cambria" w:hAnsi="Cambria" w:cs="Times New Roman"/>
          <w:lang w:val="en-US"/>
        </w:rPr>
        <w:fldChar w:fldCharType="begin"/>
      </w:r>
      <w:r w:rsidR="00375431">
        <w:rPr>
          <w:rFonts w:ascii="Cambria" w:hAnsi="Cambria" w:cs="Times New Roman"/>
          <w:lang w:val="en-US"/>
        </w:rPr>
        <w:instrText xml:space="preserve"> ADDIN ZOTERO_ITEM CSL_CITATION {"citationID":"0mMxF4Vp","properties":{"unsorted":true,"formattedCitation":"(Ayyubi et al., 2017; Anwar et al., 2020; Hafizh et al., 2020)","plainCitation":"(Ayyubi et al., 2017; Anwar et al., 2020; Hafizh et al., 2020)","noteIndex":0},"citationItems":[{"id":3130,"uris":["http://zotero.org/groups/2238283/items/HMV6LBXM"],"uri":["http://zotero.org/groups/2238283/items/HMV6LBXM"],"itemData":{"id":3130,"type":"article-journal","container-title":"Al-Muzara'ah","DOI":"10.29244/jam.5.2.88-106","ISSN":"2615-7659","issue":"2","language":"id-ID","note":"number: 2","page":"88-106","source":"journal.ipb.ac.id","title":"Pengaruh Bank Syariah terhadap Pertumbuhan Ekonomi di Indonesia","volume":"5","author":[{"family":"Ayyubi","given":"Salahuddin El"},{"family":"Anggraeni","given":"Lukytawati"},{"family":"Mahiswari","given":"Almira Dyah"}],"issued":{"date-parts":[["2017"]]}},"label":"page"},{"id":3134,"uris":["http://zotero.org/groups/2238283/items/Q9224ADD"],"uri":["http://zotero.org/groups/2238283/items/Q9224ADD"],"itemData":{"id":3134,"type":"article-journal","abstract":"Purpose – This paper aims to examine the short run and long run of Indonesia Islamic bank (IIB) contribution to economic growth over the periods 2009: Q1 – 2019: Q4. IIB is considered which supported by the largest Muslim population in the world. Deposits, ﬁnancing and ofﬁces are proxy to highlight the relationship between Islamic banks and Indonesia’s economic growth.","container-title":"International Journal of Islamic and Middle Eastern Finance and Management","DOI":"10.1108/IMEFM-02-2018-0071","ISSN":"1753-8394, 1753-8394","issue":"3","journalAbbreviation":"IMEFM","language":"en","page":"519-532","source":"DOI.org (Crossref)","title":"Islamic bank contribution to Indonesian economic growth","volume":"13","author":[{"family":"Anwar","given":"Suhardi M."},{"family":"Junaidi","given":"Junaidi"},{"family":"Salju","given":"Salju"},{"family":"Wicaksono","given":"Ready"},{"family":"Mispiyanti","given":"Mispiyanti"}],"issued":{"date-parts":[["2020",6,22]]}},"label":"page"},{"id":3117,"uris":["http://zotero.org/groups/2238283/items/X7NXS49I"],"uri":["http://zotero.org/groups/2238283/items/X7NXS49I"],"itemData":{"id":3117,"type":"article-journal","abstract":"Permasalahan utama Dana Pihak Ketiga dan pembiayaan bagi hasil pada perbankan syariah di Indonesia dipengaruhi oleh faktor eksternal yang dikenal dengan istilah makroekonomi. Dana pihak ketiga sebagai variabel intervening inilah yang membedakan penelitian yang dilakukan peneliti dengan penelitian sebelumnya. Metode yang digunakan dalam penelitian ini menggunakan metode analisis jalur dengan model trimming. Hasil penelitian ini menunjukkan bahwa Ekonomi Makro secara simultan mempengaruhi Dana Pihak Ketiga. Secara parsial BI Rate, PDB, dan IHSG berpengaruh terhadap Dana Pihak Ketiga dilihat dari nilai probabilitas 0,000 &lt;0,05, dimana hanya inflasi yang tidak mempengaruhi Dana Pihak Ketiga. Sedangkan secara simultan pengaruh makroekonomi terhadap bagi hasil dimana pengaruhnya secara parsial menunjukkan bahwa inflasi, BI Rate, IHSG dan Dana Pihak Ketiga berpengaruh signifikan terhadap pembiayaan bagi hasil. Dari temuan di atas, secara tidak langsung ekonomi makro melalui Dana Pihak Ketiga lebih baik untuk pembiayaan bagi hasil, karena naik turunnya Dana Pihak Ketiga berpengaruh signifikan terhadap pembiayaan bagi hasil pada perbankan syariah.The main problems of Third Parties Fund and profit and loss sharing financing in Islamic banking in Indonesia are influenced by external factors have known as macroeconomics. Third parties funds as an intervening variable are what distinguish research conducted by researchers from previous research. The method used in this study uses the path analysis method with a trimming model. Processing data using IBM SPSS 25 tools. The results of this study indicate Macroeconomics simultaneously affects Third-Parties Funds. Partially, the BI Rate, GDP, and IHSG have an effect on Third Party Funds seen from the probability value 0.000 &lt;0.05, where only inflation does not affect Third-Parties Funds. Meanwhile, the macroeconomy simultaneously influences the profit-sharing where the effect partially shows that inflation, the BI Rate, IHSG and Third-Parties Funds have a significant effect on profit-sharing financing. From the above findings, the macroeconomy indirectly through Third-Parties Funds is better for profit-sharing financing, because the ups and downs of Third Parties Funds significantly affect profit-sharing financing in Islamic banking.","container-title":"Jurnal Akuntansi dan Keuangan Islam","DOI":"10.35836/jakis.v8i2.183","ISSN":"25493876","issue":"2, Oktober","language":"en","note":"number: 2, Oktober","page":"131-147","source":"journal.sebi.ac.id","title":"Macroeconomics And Profit Sharing Financing In Islamic Banking In Indonesia: The Third Parties Fund As Intervening","title-short":"Macroeconomics And Profit Sharing Financing In Islamic Banking In Indonesia","volume":"8","author":[{"family":"Hafizh","given":"Muhammad"},{"family":"Hidayah","given":"Nur"},{"family":"Silalahi","given":"Purnama Ramadani"}],"issued":{"date-parts":[["2020",10,26]]}},"label":"page"}],"schema":"https://github.com/citation-style-language/schema/raw/master/csl-citation.json"} </w:instrText>
      </w:r>
      <w:r w:rsidR="00634FCF" w:rsidRPr="00005EA2">
        <w:rPr>
          <w:rFonts w:ascii="Cambria" w:hAnsi="Cambria" w:cs="Times New Roman"/>
          <w:lang w:val="en-US"/>
        </w:rPr>
        <w:fldChar w:fldCharType="separate"/>
      </w:r>
      <w:r w:rsidR="00375431" w:rsidRPr="00375431">
        <w:rPr>
          <w:rFonts w:ascii="Cambria" w:hAnsi="Cambria"/>
        </w:rPr>
        <w:t>(Ayyubi et al., 2017; Anwar et al., 2020; Hafizh et al., 2020)</w:t>
      </w:r>
      <w:r w:rsidR="00634FCF" w:rsidRPr="00005EA2">
        <w:rPr>
          <w:rFonts w:ascii="Cambria" w:hAnsi="Cambria" w:cs="Times New Roman"/>
          <w:lang w:val="en-US"/>
        </w:rPr>
        <w:fldChar w:fldCharType="end"/>
      </w:r>
      <w:r w:rsidR="00D159C4" w:rsidRPr="00005EA2">
        <w:rPr>
          <w:rFonts w:ascii="Cambria" w:hAnsi="Cambria" w:cs="Times New Roman"/>
          <w:lang w:val="en-US"/>
        </w:rPr>
        <w:t xml:space="preserve"> </w:t>
      </w:r>
      <w:r w:rsidR="00DE3F24" w:rsidRPr="00005EA2">
        <w:rPr>
          <w:rFonts w:ascii="Cambria" w:hAnsi="Cambria" w:cs="Times New Roman"/>
        </w:rPr>
        <w:t>and</w:t>
      </w:r>
      <w:r w:rsidR="00D159C4" w:rsidRPr="00005EA2">
        <w:rPr>
          <w:rFonts w:ascii="Cambria" w:hAnsi="Cambria" w:cs="Times New Roman"/>
          <w:lang w:val="en-US"/>
        </w:rPr>
        <w:t xml:space="preserve"> inflation </w:t>
      </w:r>
      <w:r w:rsidR="00D159C4" w:rsidRPr="00005EA2">
        <w:rPr>
          <w:rFonts w:ascii="Cambria" w:hAnsi="Cambria" w:cs="Times New Roman"/>
          <w:lang w:val="en-US"/>
        </w:rPr>
        <w:fldChar w:fldCharType="begin"/>
      </w:r>
      <w:r w:rsidR="00375431">
        <w:rPr>
          <w:rFonts w:ascii="Cambria" w:hAnsi="Cambria" w:cs="Times New Roman"/>
          <w:lang w:val="en-US"/>
        </w:rPr>
        <w:instrText xml:space="preserve"> ADDIN ZOTERO_ITEM CSL_CITATION {"citationID":"kUtnkQB6","properties":{"unsorted":true,"formattedCitation":"(Priyanto et al., 2016; Nastiti &amp; Kasri, 2019; Mubarok et al., 2020)","plainCitation":"(Priyanto et al., 2016; Nastiti &amp; Kasri, 2019; Mubarok et al., 2020)","noteIndex":0},"citationItems":[{"id":1745,"uris":["http://zotero.org/groups/2238283/items/72T7KMRV"],"uri":["http://zotero.org/groups/2238283/items/72T7KMRV"],"itemData":{"id":1745,"type":"article-journal","abstract":"This study aims to determine the factors that affect the equity financing at the Islamic Banking which covers quantitative financing profit and loss sharing and to formulate policies to be performed by the management in maintaining the financing growth. The study was conducted by utilizing Autoregressive Distributed Lag (ARDL) model with variables including BI rate and inflation as the external factor. The test results of both external factors indicated a negative impact on both financing. BI rate as an indicator of the government's policy becomes the fastest variable affecting the equity financing i.e. at lag 1. Inflation comes as the macroeconomic indicator at lags 2, 9 and 10. All internal factors have a negative impact on both financing types except for the cost of education and training, and autoregressive variables. The fund of the third party influences the sharing of profit and loss (mudharabah) at lag 1 and at 9, meanwhile the capital adequacy ratio affects the profit sharing (mudharabah) at lag 8, and it affects the loss sharing (musyarakah) at lag 6. The cost of education and training has an effect on loss sharing at lag 5, and Islamic banking basic education affects profit financing at lag 2 whereas the trend of financing profit sharing is at lag 8 and loss sharing at lags 1 and 2 and since it autoregressive, it affects each financing of the current period.Keywords: autoregressive, dynamic, mudaraba, musharaka, profit and loss sharing financingABSTRAKPenelitian ini bertujuan mengetahui faktor-faktor yang memengaruhi pembiayaan berbasis bagi hasil pada Bank Syariah yang meliputi pembiayaan mudharabah dan musyarakah secara kuantitatif dan merumuskan kebijakan-kebijakan yang dapat dilakukan manajemen dalam menjaga pertumbuhan pembiayaannya. Penelitian dilakukan menggunakan Autoregressive Distributed Lag (ARDL) Model dengan variabel yang digunakan meliputi BI Rate dan inflasi sebagai faktor eksternal. Hasil pengujian kedua faktor eksternal memberikan pengaruh negatif terhadap kedua pembiayaan tersebut. BI Rate sebagai indikator kebijakan pemerintah menjadi variabel yang paling cepat memengaruhi pembiayaan berbasis bagi hasil yaitu pada lag 1. Berikutnya diikuti oleh inflasi sebagai indikator makroekonomi pada lag 2, 9 dan 10. Seluruh faktor internal memberikan pengaruh negatif terhadap kedua jenis pembiayaan kecuali biaya pendidikan dan pelatihan dan variabel autoregressive. Dana pihak ketiga memengaruhi pembiayaan mudharabah pada lag 1 dan 9. Sementara rasio kecukupan modal pada lag 8 memengaruhi pembiayaan mudharabah dan pada lag 6 memengaruhi pembiayaan musyarakah. Biaya pendidikan dan pelatihan memengaruhi pembiayaan musyarakah pada lag 5, pendidikan dasar perbankan syariah memengaruhi pembiayaan mudharabah pada lag 2. Sementara tren pembiayaan mudharabah pada lag 8 dan pembiayaan musyarakah pada lag 1 dan 2 sebagai autoregressive memengaruhi masing-masing pembiayaan pada periode kini.Kata kunci:    autoregressive, dynamic, mudaraba, musharaka, profit and loss sharing financing","container-title":"Jurnal Aplikasi Bisnis dan Manajemen (JABM)","DOI":"10.17358/jabm.2.3.281","ISSN":"2460-7819","issue":"3","language":"en","page":"281-290","source":"journal.ipb.ac.id","title":"Faktor-Faktor Yang Mempengaruhi Pembiayaan Berbasis Bagi Hasil (Equity Financing) Pada Bank Syariah X","volume":"2","author":[{"family":"Priyanto","given":"Toni"},{"family":"Fahmi","given":"Idqan"},{"family":"Ismal","given":"Rifki"}],"issued":{"date-parts":[["2016",9,1]]}},"label":"page"},{"id":1743,"uris":["http://zotero.org/groups/2238283/items/CD48I2UN"],"uri":["http://zotero.org/groups/2238283/items/CD48I2UN"],"itemData":{"id":1743,"type":"article-journal","abstract":"Purpose The 2015 global economic crisis has triggered the issuance of several banking regulations in Indonesia, including those related to temporary stimulus for Islamic banks and branchless banking (fintech). However, few studies attempt to evaluate the effectiveness of such regulations. Thus, this study aims to determine the role and assess the effectiveness of such banking regulations. Design/methodology/approach The data used cover all 12 Islamic commercial banks in Indonesia during the stimulus period of Q3.2015 to Q2.2017. The variables included were banks’ fundamental factors (Islamic financing, capital adequacy ratio, investment, non-performing financing, return on asset, efficiency, financing deposit ratio and fintech) and macroeconomic variables (inflation, exchange rate and money supply). The model was analyzed by using multiple linear regressions with generalized least square estimation technique. Findings The main finding suggests that the stimulus regulation indeed played a positive role in the acceleration of Islamic bank financing. However, the fintech-related regulation was not yet effective to achieve the goal, at least in the short term. Furthermore, the study found that return of assets, operational efficiency, financing deposit ratio and money supply also influenced Islamic financing. Practical implications For policymakers, the effectiveness of the temporary stimulus in accelerating Islamic banking financing and preventing the possible negative impacts of the external crisis provides indications that the regulator could conduct similar policy in the future. More generally, the findings are also expected to enrich Islamic banking literature. Originality/value This is possibly one of the few studies to investigate the role and effectiveness of banking regulations on Islamic banking financing in Indonesia.","container-title":"International Journal of Islamic and Middle Eastern Finance and Management","DOI":"10.1108/IMEFM-10-2018-0365","ISSN":"1753-8394","issue":"5","note":"publisher: Emerald Publishing Limited","page":"643-662","source":"Emerald Insight","title":"The role of banking regulation in the development of Islamic banking financing in Indonesia","volume":"12","author":[{"family":"Nastiti","given":"Nur Dyah"},{"family":"Kasri","given":"Rahmatina Awaliah"}],"issued":{"date-parts":[["2019",1,1]]}},"label":"page"},{"id":3135,"uris":["http://zotero.org/groups/2238283/items/V7BYDMIG"],"uri":["http://zotero.org/groups/2238283/items/V7BYDMIG"],"itemData":{"id":3135,"type":"article-journal","abstract":"This study aims to analyze the effect of the movement of macroeconomic variables on financing using the musharaka contract on Islamic banks. This study consists of sharia commercial banks and sharia business units using monthly data from January 2004 to December 2019. This study uses Vector Error Correction Model (VECM) to answer the research objectives. All variables tested have an influence on financing using the musharaka contract. Financing using the musharaka contract responds negatively to movements in the exchange rate and interest rates while inflation responds positively and negatively. Islamic banking needs to prepare more reserve funds in the face of such movements before achieving stability. The musharaka contract financing itself dominates the forecasting then followed by interest rates, inflation, and exchange rates. Therefore, Islamic banking needs to prepare a reserve fund in the face of these shocks before achieving stability. JEL Classification: E31, E43, E52, G32 How to Cite:Mubarok, F., Hamid, A., &amp; Al Arif, M. N. R. (2020). Macroeconomics fluctuations and its impact on musharaka financing. Jurnal Keuangan dan Perbankan, 24(2), 164-174.DOI: https://doi.org/10.26905/jkdp.v24i2.4061","container-title":"Jurnal Keuangan dan Perbankan","DOI":"10.26905/jkdp.v24i2.4061","ISSN":"2443-2687","issue":"2","language":"en","note":"number: 2","page":"164-174","source":"jurnal.unmer.ac.id","title":"Macroeconomics fluctuations and its impact on musharaka financing","volume":"24","author":[{"family":"Mubarok","given":"Faizul"},{"family":"Hamid","given":"Abdul"},{"family":"Arif","given":"Mohammad Nur Rianto Al"}],"issued":{"date-parts":[["2020",4,27]]}},"label":"page"}],"schema":"https://github.com/citation-style-language/schema/raw/master/csl-citation.json"} </w:instrText>
      </w:r>
      <w:r w:rsidR="00D159C4" w:rsidRPr="00005EA2">
        <w:rPr>
          <w:rFonts w:ascii="Cambria" w:hAnsi="Cambria" w:cs="Times New Roman"/>
          <w:lang w:val="en-US"/>
        </w:rPr>
        <w:fldChar w:fldCharType="separate"/>
      </w:r>
      <w:r w:rsidR="00375431" w:rsidRPr="00375431">
        <w:rPr>
          <w:rFonts w:ascii="Cambria" w:hAnsi="Cambria"/>
        </w:rPr>
        <w:t>(Priyanto et al., 2016; Nastiti &amp; Kasri, 2019; Mubarok et al., 2020)</w:t>
      </w:r>
      <w:r w:rsidR="00D159C4" w:rsidRPr="00005EA2">
        <w:rPr>
          <w:rFonts w:ascii="Cambria" w:hAnsi="Cambria" w:cs="Times New Roman"/>
          <w:lang w:val="en-US"/>
        </w:rPr>
        <w:fldChar w:fldCharType="end"/>
      </w:r>
      <w:r w:rsidR="00403E73" w:rsidRPr="00005EA2">
        <w:rPr>
          <w:rFonts w:ascii="Cambria" w:hAnsi="Cambria" w:cs="Times New Roman"/>
        </w:rPr>
        <w:t>.</w:t>
      </w:r>
    </w:p>
    <w:p w14:paraId="19316DF9" w14:textId="0F07A817" w:rsidR="003D27F6" w:rsidRDefault="003D27F6" w:rsidP="00AF6B88">
      <w:pPr>
        <w:spacing w:after="0" w:line="240" w:lineRule="auto"/>
        <w:ind w:firstLine="426"/>
        <w:jc w:val="both"/>
        <w:rPr>
          <w:rFonts w:ascii="Cambria" w:hAnsi="Cambria" w:cs="Times New Roman"/>
        </w:rPr>
      </w:pPr>
      <w:r w:rsidRPr="006758B0">
        <w:rPr>
          <w:rFonts w:ascii="Cambria" w:hAnsi="Cambria" w:cs="Times New Roman"/>
        </w:rPr>
        <w:lastRenderedPageBreak/>
        <w:t xml:space="preserve">Several previous studies found different results regarding the factors that affect the size of profit-sharing financing in Islamic banks, as shown by </w:t>
      </w:r>
      <w:r w:rsidR="00632D28" w:rsidRPr="006758B0">
        <w:rPr>
          <w:rFonts w:ascii="Cambria" w:hAnsi="Cambria" w:cs="Times New Roman"/>
        </w:rPr>
        <w:fldChar w:fldCharType="begin"/>
      </w:r>
      <w:r w:rsidR="00E07B07">
        <w:rPr>
          <w:rFonts w:ascii="Cambria" w:hAnsi="Cambria" w:cs="Times New Roman"/>
        </w:rPr>
        <w:instrText xml:space="preserve"> ADDIN ZOTERO_ITEM CSL_CITATION {"citationID":"wJPoKp46","properties":{"unsorted":true,"formattedCitation":"(Annisa &amp; Yaya, 2015; Riyanto, 2016; Ispad, 2019)","plainCitation":"(Annisa &amp; Yaya, 2015; Riyanto, 2016; Ispad, 2019)","dontUpdate":true,"noteIndex":0},"citationItems":[{"id":3108,"uris":["http://zotero.org/groups/2238283/items/RMRBACB9"],"uri":["http://zotero.org/groups/2238283/items/RMRBACB9"],"itemData":{"id":3108,"type":"article-journal","abstract":"This study aims to examine the impact of the third-party funds (DPK), profit sharing rate and non-performing financing (NPF) of the volume and financing portion of profit sharing based on Islamic banking. The sample of this study is seven Islamic banks with the purpose of research object are quarterly financial statements from June 2010 until September 201. Methods of data analysis are using multiple linear regression analysis. The results showed that, from the aspect of volume, DPK variable, profit sharing rate and NPF last period has a significant impact on the profit-sharing based on financing volume for the subsequent period. In the proportion aspect, it is found that the only variable level of revenue sharing finance portfolio of last period that significantly influences the results-based financing portion for the next period.\n===========================================\nPenelitian ini bertujuan untuk mengetahui pengaruh dana pihak ketiga (DPK), tingkat bagi hasil dan non-performing financing (NPF) terhadap volume dan porsi pembiayaan berbasis bagi hasil pada perbankan syariah. Sampel yang digunakan adalah tujuh bank umum syariah dengan objek penelitian laporan keuangan triwulan dari Juni 2010 hingga September 2013.Metode analisis data menggunakan analisis regresi linear berganda.Hasil penelitian menunjukkan bahwa, dari aspek volume, variabel DPK, tingkat bagi hasil dan NPF periode lalu berpengaruh signifikan terhadap volume pembiayaan berbasis bagi hasil periode berikutnya.Pada aspek proporsi ditemukan bahwa hanya variable tingkat bagi hasil penyaluran pembiayaan periode lalu yang berpengaruh signifikan terhadap porsi pembiayaan berbasis bagi hasil periode berikutnya.","container-title":"Share: Jurnal Ekonomi dan Keuangan Islam","DOI":"10.22373/share.v4i1.754","ISSN":"2549-0648","issue":"1","language":"id","note":"number: 1","page":"79-104","source":"jurnal.ar-raniry.ac.id","title":"Pengaruh Dana Pihak Ketiga, Tingkat Bagi Hasil dan Non Performing Financing terhadap Volume dan Porsi Pembiayaan Berbasis Bagi Hasil pada Perbankan Syariah di Indonesia","volume":"4","author":[{"family":"Annisa","given":"Lintang Nurul"},{"family":"Yaya","given":"Rizal"}],"issued":{"date-parts":[["2015",6,30]]}},"label":"page"},{"id":1788,"uris":["http://zotero.org/groups/2238283/items/L9YGPPH6"],"uri":["http://zotero.org/groups/2238283/items/L9YGPPH6"],"itemData":{"id":1788,"type":"article-journal","abstract":"Islamic banking is a financial institution that uses the sharing system has a wide range ofproducts offered, especially in the task of channeling bank funds for financing one of which isprofit and loss sharing financing (Mudaraba and Musharaka). Suposed profit and loss sharingfinancing that dominates among other types of financing due in accordance with conventionalbanks as well differentiator, but the reality is not profit and loss sharing financing dominate. Thisstudy aims analyze the factors that affect profit and loss sharing financing. The purpose of thisstudy was to analyze the influence of deposits mudaraba, equivalent of profit sharing, spreadprofit sharing, and Non Performing Financing of profit and loss sharing financing. The populationwas islamic Banking in Indonesia, which consists of 11 banks. The samples used are selectedusing purposive sampling technique and only 4 bank in accordance with the criteria. The datais taken from the Quarterly Financing Reports Sharia Bank Devisa in Bank Indonesia’s websiteduring the period of 4 years from 2010 to 2013, in this study consisted of 64 observation points.The data collected were analyzed using descriptive statistics and multiple regression analysis.The result showed that the coefficient of determination through the four test variables: depositsmudaraba, equivalent of profit sharing, spread profit sharing, and Non Performing Financingcan explian the variation in the dependent variable for profit and loss sharing financing by70.4% while the rest is explained by other causes beyond the research variables. Four variablessimultaneously affect the results because the financing for the significance level of less than0.05. From the partial results variable equivalent of profit sharing has not significant affect toprofit and loss sharing financing and variable non-performing ratio has negative significant affectto profit and loss sharing financing, while the other two variables deposits mudaraba and spreadprofit sharing has positive significant affect to profit and loss sharing financing.Keywords : deposits mudaraba, equivalent of profit sharing, spread profit sharing, and NonPerforming Financing of profit and loss sharing financing.","container-title":"Jurnal Ekonomi &amp; Bisnis","DOI":"10.30659/ekobis.17.1.54-65","ISSN":"14112280","issue":"1","language":"ID","page":"54-65","source":"jurnal.unissula.ac.id","title":"Optimalisasi Pembiayaan Berbasis Bagi Hasil Pada Bank Devisa Syariah Di Indonesia","volume":"17","author":[{"family":"Riyanto","given":"Hermawan"}],"issued":{"date-parts":[["2016",1,11]]}},"label":"page"},{"id":1728,"uris":["http://zotero.org/groups/2238283/items/ZYUWIHJ5"],"uri":["http://zotero.org/groups/2238283/items/ZYUWIHJ5"],"itemData":{"id":1728,"type":"paper-conference","abstract":"Abstract.Banking is a very important part in the economy, one of them as an institution whose job intermediation gathers funds from community and channel it back in the form of credit. This research aims to analyze the effect of Capital Adequacy Ratio (CAR), a Non-Performing Financing (NPF), and third-party Funds (DPK) against Channelling Public Banks On Mudharabah Financing Islamic Indonesia in the period 2015-2017. This type of research using time series data in the form of a monthly statistics report from January until December 2015 2017, published by the financial services authority (OJK). Analytical techniques used is multiple regression analysis by using the method of Ordinary Least Square (OLS) on application Software Eviews 7, namely analyzing the magnitude of the influence of the free variable (independent) against the variable (dependent) with a level of significance of 5%.The overall results of the study indicate that simultaneous or CAR, NPF and DPK mudharabah financing channelling effect. In pasrsial or each CAR has no effect against the channelling of mudharabah financing, this is proved with probability values (t-statistics) is greater than the significance level of 5%, the NPF and partially against influential DPK channeling mudharabah financing. Based on the Adjusted  of 0.499745 give meaning to that variable mudharabah financing is able to explained by variable CAR, NPF, and DPK of 49.97% while the rest 50.03% explained by other variables that are not included in the This research. Keywords: CAR, NPF, DPK, MudharabahAbstrak. Perbankan merupakan bagian yang sangat penting dalam perekonomian, salah satunya sebagai lembaga intermediasi yang tugasnya menghimpun dana dari masyarakat dan menyalurkannya kembali dalam bentuk kredit. Penelitian ini bertujuan untuk menganalisis pengaruh Capital Adequacy Ratio (CAR), Non Performing Financing (NPF), dan Dana Pihak Ketiga (DPK) terhadap Penyaluran Pembiayaan Mudharabah Pada Bank Umum Syariah di Indonesia Periode 2015-2017. Jenis Penelitian ini menggunakan data time series dalam bentuk laporan statistik bulanan periode Januari 2015 hingga Desember 2017 yang dipublikasikan oleh Otoritas Jasa Keuangan (OJK). Teknik analisis yang digunakan adalah analisis regresi berganda dengan menggunakan metode Ordinary Least Square (OLS) pada aplikasi Software Eviews 7, yaitu menganalisis besarnya pengaruh variabel bebas (independent) terhadap variabel terikat (dependent) dengan tingkat signifikasi 5%.Hasil penelitian secara keseluruhan atau simultan menunjukan bahwa CAR, NPF dan DPK berpengaruh terhadap penyaluran pembiayaan mudharabah. Secara pasrsial atau masing-masing CAR tidak berpengaruh terhadap penyaluran pembiayaan mudharabah, hal ini dibuktikan dengan nilai probabilitas (t-statistik) lebih besar dari tingkat signifikasi 5%, NPF dan DPK berpengaruh secara parsial terhadap penyaluran pembiayaan mudharabah. Berdasarkan nilai Adjusted  sebesar 0.499745 memberikan makna bahwa variabel pembiayaan mudharabah mampu dijelaskan dengan oleh variabel CAR, NPF, dan DPK sebesar 49.97% sedangkan sisanya 50.03% dijelaskan oleh variabel lain yang tidak termasuk dalam penelitian ini.Keywords: CAR, NPF, DPK, Mudharabah","collection-title":"1","container-title":"Prosiding Ilmu Ekonomi","event":"Seminar Penelitian Sivitas Akademika Unisba","event-place":"Bandung","language":"id","page":"83-90","publisher":"FEB UNISBA","publisher-place":"Bandung","source":"karyailmiah.unisba.ac.id","title":"Pengaruh Capital Adequacy Ratio (CAR), Non Performing Financing (NPF), dan Dana Pihak Ketiga (DPK), terhadap Penyaluran Pembiayaan Mudharabah pada Bank Umum Syariah di Indonesia Periode 2015-2017","URL":"http://karyailmiah.unisba.ac.id/index.php/ekonomi/article/view/15193","volume":"5","author":[{"family":"Ispad","given":"Agnisma Nur Balkis"}],"accessed":{"date-parts":[["2019",5,14]]},"issued":{"date-parts":[["2019",1,25]]}},"label":"page"}],"schema":"https://github.com/citation-style-language/schema/raw/master/csl-citation.json"} </w:instrText>
      </w:r>
      <w:r w:rsidR="00632D28" w:rsidRPr="006758B0">
        <w:rPr>
          <w:rFonts w:ascii="Cambria" w:hAnsi="Cambria" w:cs="Times New Roman"/>
        </w:rPr>
        <w:fldChar w:fldCharType="separate"/>
      </w:r>
      <w:r w:rsidR="00375431" w:rsidRPr="006758B0">
        <w:rPr>
          <w:rFonts w:ascii="Cambria" w:hAnsi="Cambria"/>
        </w:rPr>
        <w:t xml:space="preserve">Annisa &amp; Yaya </w:t>
      </w:r>
      <w:r w:rsidR="00375431" w:rsidRPr="006758B0">
        <w:rPr>
          <w:rFonts w:ascii="Cambria" w:hAnsi="Cambria"/>
          <w:lang w:val="en-US"/>
        </w:rPr>
        <w:t>(</w:t>
      </w:r>
      <w:r w:rsidR="00375431" w:rsidRPr="006758B0">
        <w:rPr>
          <w:rFonts w:ascii="Cambria" w:hAnsi="Cambria"/>
        </w:rPr>
        <w:t xml:space="preserve">2015), Riyanto </w:t>
      </w:r>
      <w:r w:rsidR="00375431" w:rsidRPr="006758B0">
        <w:rPr>
          <w:rFonts w:ascii="Cambria" w:hAnsi="Cambria"/>
          <w:lang w:val="en-US"/>
        </w:rPr>
        <w:t>(</w:t>
      </w:r>
      <w:r w:rsidR="00375431" w:rsidRPr="006758B0">
        <w:rPr>
          <w:rFonts w:ascii="Cambria" w:hAnsi="Cambria"/>
        </w:rPr>
        <w:t xml:space="preserve">2016) </w:t>
      </w:r>
      <w:r w:rsidR="00375431" w:rsidRPr="006758B0">
        <w:rPr>
          <w:rFonts w:ascii="Cambria" w:hAnsi="Cambria"/>
          <w:lang w:val="en-US"/>
        </w:rPr>
        <w:t xml:space="preserve">and </w:t>
      </w:r>
      <w:r w:rsidR="00375431" w:rsidRPr="006758B0">
        <w:rPr>
          <w:rFonts w:ascii="Cambria" w:hAnsi="Cambria"/>
        </w:rPr>
        <w:t xml:space="preserve">Ispad </w:t>
      </w:r>
      <w:r w:rsidR="00375431" w:rsidRPr="006758B0">
        <w:rPr>
          <w:rFonts w:ascii="Cambria" w:hAnsi="Cambria"/>
          <w:lang w:val="en-US"/>
        </w:rPr>
        <w:t>(</w:t>
      </w:r>
      <w:r w:rsidR="00375431" w:rsidRPr="006758B0">
        <w:rPr>
          <w:rFonts w:ascii="Cambria" w:hAnsi="Cambria"/>
        </w:rPr>
        <w:t>2019)</w:t>
      </w:r>
      <w:r w:rsidR="00632D28" w:rsidRPr="006758B0">
        <w:rPr>
          <w:rFonts w:ascii="Cambria" w:hAnsi="Cambria" w:cs="Times New Roman"/>
        </w:rPr>
        <w:fldChar w:fldCharType="end"/>
      </w:r>
      <w:r w:rsidRPr="006758B0">
        <w:rPr>
          <w:rFonts w:ascii="Cambria" w:hAnsi="Cambria" w:cs="Times New Roman"/>
        </w:rPr>
        <w:t xml:space="preserve"> </w:t>
      </w:r>
      <w:r w:rsidR="00632D28" w:rsidRPr="006758B0">
        <w:rPr>
          <w:rFonts w:ascii="Cambria" w:hAnsi="Cambria" w:cs="Times New Roman"/>
          <w:lang w:val="en-US"/>
        </w:rPr>
        <w:t xml:space="preserve">which </w:t>
      </w:r>
      <w:r w:rsidRPr="006758B0">
        <w:rPr>
          <w:rFonts w:ascii="Cambria" w:hAnsi="Cambria" w:cs="Times New Roman"/>
        </w:rPr>
        <w:t xml:space="preserve">found that Non-Performing Financing (NPF) has a negative effect on profit-sharing financing, </w:t>
      </w:r>
      <w:r w:rsidR="00632D28" w:rsidRPr="006758B0">
        <w:rPr>
          <w:rFonts w:ascii="Cambria" w:hAnsi="Cambria" w:cs="Times New Roman"/>
          <w:lang w:val="en-US"/>
        </w:rPr>
        <w:t xml:space="preserve">while </w:t>
      </w:r>
      <w:r w:rsidR="00375431" w:rsidRPr="006758B0">
        <w:rPr>
          <w:rFonts w:ascii="Cambria" w:hAnsi="Cambria" w:cs="Times New Roman"/>
          <w:lang w:val="en-US"/>
        </w:rPr>
        <w:fldChar w:fldCharType="begin"/>
      </w:r>
      <w:r w:rsidR="00E07B07">
        <w:rPr>
          <w:rFonts w:ascii="Cambria" w:hAnsi="Cambria" w:cs="Times New Roman"/>
          <w:lang w:val="en-US"/>
        </w:rPr>
        <w:instrText xml:space="preserve"> ADDIN ZOTERO_ITEM CSL_CITATION {"citationID":"Tgflq03F","properties":{"formattedCitation":"(Destiana, 2016; Jamilah, 2016; Nastiti &amp; Kasri, 2019)","plainCitation":"(Destiana, 2016; Jamilah, 2016; Nastiti &amp; Kasri, 2019)","dontUpdate":true,"noteIndex":0},"citationItems":[{"id":1817,"uris":["http://zotero.org/groups/2238283/items/BXYLH9IE"],"uri":["http://zotero.org/groups/2238283/items/BXYLH9IE"],"itemData":{"id":1817,"type":"article-journal","abstract":"Pembiayaan mudharabah dan musyarakah termasuk ke dalam pembiayaandengan prinsip bagi hasil. Pembiayaan mudharabah dan musyarakah lebih menyentuhpada sektor riil dan menggerakkan perekonomian. Penelitian ini bertujuan untukmenguji dan menganalisis pengaruh dana pihak ketiga dan risiko terhadap pembiayaanmudharabah dan musyarakah pada bank syariah di Indonesia. Penelitian inimenggunakan pendekatan kuantitatif. Data yang digunakan adalah data sekunder yangdiperoleh dari Statistik Perbankan Syariah yang dipublikasikan dalam situs resmi BankIndonesia. Data yang disajikan dalam Statistik Perbankan Syariah tersebut bersumberdari laporan bulanan bank umum syariah (BUS) sehingga data penelitian inimerupakan data gabungan BUS dan unit usaha syariah (UUS) yang terdaftar di BankIndonesia. Data kemudian dianalisis menggunakan analisis regresi berganda. Hipotesispenelitian diuji menggunakan uji t. Hasil penelitian menunjukkan bahwa baik DPKmaupun risiko, kedua-duanya berpengaruh positif terhadap pembiayaan mudharabahdan musyarakah pada bank syariah di Indonesia.","container-title":"LOGIKA: Jurnal Ilmiah Lemlit Unswagati Cirebon","ISSN":"2442-5176","issue":"2","language":"id-ID","page":"42-54","source":"jurnal.unswagati.ac.id","title":"Analisis Dana Pihak Ketiga dan Risiko Terhadap Pembiayaan Mudharabah dan Musyarakah Pada Bank Syariah di Indonesia","volume":"17","author":[{"family":"Destiana","given":"Rina"}],"issued":{"date-parts":[["2016",8,6]]}}},{"id":3107,"uris":["http://zotero.org/groups/2238283/items/SCKE9446"],"uri":["http://zotero.org/groups/2238283/items/SCKE9446"],"itemData":{"id":3107,"type":"article-journal","container-title":"Jurnal Ilmu dan Riset Akuntansi","issue":"4","page":"1-20","title":"Faktor-faktor yang Mempengaruhi Pembiayaan Mudharabah pada Bank Umum Syariah di Indonesia","volume":"5","author":[{"family":"Jamilah","given":""}],"issued":{"date-parts":[["2016",4]]}}},{"id":1743,"uris":["http://zotero.org/groups/2238283/items/CD48I2UN"],"uri":["http://zotero.org/groups/2238283/items/CD48I2UN"],"itemData":{"id":1743,"type":"article-journal","abstract":"Purpose The 2015 global economic crisis has triggered the issuance of several banking regulations in Indonesia, including those related to temporary stimulus for Islamic banks and branchless banking (fintech). However, few studies attempt to evaluate the effectiveness of such regulations. Thus, this study aims to determine the role and assess the effectiveness of such banking regulations. Design/methodology/approach The data used cover all 12 Islamic commercial banks in Indonesia during the stimulus period of Q3.2015 to Q2.2017. The variables included were banks’ fundamental factors (Islamic financing, capital adequacy ratio, investment, non-performing financing, return on asset, efficiency, financing deposit ratio and fintech) and macroeconomic variables (inflation, exchange rate and money supply). The model was analyzed by using multiple linear regressions with generalized least square estimation technique. Findings The main finding suggests that the stimulus regulation indeed played a positive role in the acceleration of Islamic bank financing. However, the fintech-related regulation was not yet effective to achieve the goal, at least in the short term. Furthermore, the study found that return of assets, operational efficiency, financing deposit ratio and money supply also influenced Islamic financing. Practical implications For policymakers, the effectiveness of the temporary stimulus in accelerating Islamic banking financing and preventing the possible negative impacts of the external crisis provides indications that the regulator could conduct similar policy in the future. More generally, the findings are also expected to enrich Islamic banking literature. Originality/value This is possibly one of the few studies to investigate the role and effectiveness of banking regulations on Islamic banking financing in Indonesia.","container-title":"International Journal of Islamic and Middle Eastern Finance and Management","DOI":"10.1108/IMEFM-10-2018-0365","ISSN":"1753-8394","issue":"5","note":"publisher: Emerald Publishing Limited","page":"643-662","source":"Emerald Insight","title":"The role of banking regulation in the development of Islamic banking financing in Indonesia","volume":"12","author":[{"family":"Nastiti","given":"Nur Dyah"},{"family":"Kasri","given":"Rahmatina Awaliah"}],"issued":{"date-parts":[["2019",1,1]]}}}],"schema":"https://github.com/citation-style-language/schema/raw/master/csl-citation.json"} </w:instrText>
      </w:r>
      <w:r w:rsidR="00375431" w:rsidRPr="006758B0">
        <w:rPr>
          <w:rFonts w:ascii="Cambria" w:hAnsi="Cambria" w:cs="Times New Roman"/>
          <w:lang w:val="en-US"/>
        </w:rPr>
        <w:fldChar w:fldCharType="separate"/>
      </w:r>
      <w:r w:rsidR="00375431" w:rsidRPr="006758B0">
        <w:rPr>
          <w:rFonts w:ascii="Cambria" w:hAnsi="Cambria"/>
        </w:rPr>
        <w:t xml:space="preserve">Destiana </w:t>
      </w:r>
      <w:r w:rsidR="00375431" w:rsidRPr="006758B0">
        <w:rPr>
          <w:rFonts w:ascii="Cambria" w:hAnsi="Cambria"/>
          <w:lang w:val="en-US"/>
        </w:rPr>
        <w:t>(</w:t>
      </w:r>
      <w:r w:rsidR="00375431" w:rsidRPr="006758B0">
        <w:rPr>
          <w:rFonts w:ascii="Cambria" w:hAnsi="Cambria"/>
        </w:rPr>
        <w:t>2016)</w:t>
      </w:r>
      <w:r w:rsidR="00375431" w:rsidRPr="006758B0">
        <w:rPr>
          <w:rFonts w:ascii="Cambria" w:hAnsi="Cambria"/>
          <w:lang w:val="en-US"/>
        </w:rPr>
        <w:t>,</w:t>
      </w:r>
      <w:r w:rsidR="00375431" w:rsidRPr="006758B0">
        <w:rPr>
          <w:rFonts w:ascii="Cambria" w:hAnsi="Cambria"/>
        </w:rPr>
        <w:t xml:space="preserve"> Jamilah </w:t>
      </w:r>
      <w:r w:rsidR="00375431" w:rsidRPr="006758B0">
        <w:rPr>
          <w:rFonts w:ascii="Cambria" w:hAnsi="Cambria"/>
          <w:lang w:val="en-US"/>
        </w:rPr>
        <w:t>(</w:t>
      </w:r>
      <w:r w:rsidR="00375431" w:rsidRPr="006758B0">
        <w:rPr>
          <w:rFonts w:ascii="Cambria" w:hAnsi="Cambria"/>
        </w:rPr>
        <w:t>2016</w:t>
      </w:r>
      <w:r w:rsidR="00375431" w:rsidRPr="006758B0">
        <w:rPr>
          <w:rFonts w:ascii="Cambria" w:hAnsi="Cambria"/>
          <w:lang w:val="en-US"/>
        </w:rPr>
        <w:t>)</w:t>
      </w:r>
      <w:r w:rsidR="00375431" w:rsidRPr="006758B0">
        <w:rPr>
          <w:rFonts w:ascii="Cambria" w:hAnsi="Cambria"/>
        </w:rPr>
        <w:t xml:space="preserve"> and Nastiti &amp; Kasri </w:t>
      </w:r>
      <w:r w:rsidR="00375431" w:rsidRPr="006758B0">
        <w:rPr>
          <w:rFonts w:ascii="Cambria" w:hAnsi="Cambria"/>
          <w:lang w:val="en-US"/>
        </w:rPr>
        <w:t>(</w:t>
      </w:r>
      <w:r w:rsidR="00375431" w:rsidRPr="006758B0">
        <w:rPr>
          <w:rFonts w:ascii="Cambria" w:hAnsi="Cambria"/>
        </w:rPr>
        <w:t>2019)</w:t>
      </w:r>
      <w:r w:rsidR="00375431" w:rsidRPr="006758B0">
        <w:rPr>
          <w:rFonts w:ascii="Cambria" w:hAnsi="Cambria" w:cs="Times New Roman"/>
          <w:lang w:val="en-US"/>
        </w:rPr>
        <w:fldChar w:fldCharType="end"/>
      </w:r>
      <w:r w:rsidR="00375431" w:rsidRPr="006758B0">
        <w:rPr>
          <w:rFonts w:ascii="Cambria" w:hAnsi="Cambria" w:cs="Times New Roman"/>
          <w:lang w:val="en-US"/>
        </w:rPr>
        <w:t xml:space="preserve"> </w:t>
      </w:r>
      <w:r w:rsidRPr="006758B0">
        <w:rPr>
          <w:rFonts w:ascii="Cambria" w:hAnsi="Cambria" w:cs="Times New Roman"/>
        </w:rPr>
        <w:t xml:space="preserve">found that NPF has a positive effect on profit-sharing </w:t>
      </w:r>
      <w:r w:rsidR="00375431" w:rsidRPr="006758B0">
        <w:rPr>
          <w:rFonts w:ascii="Cambria" w:hAnsi="Cambria" w:cs="Times New Roman"/>
        </w:rPr>
        <w:t xml:space="preserve">financing. On the other hand </w:t>
      </w:r>
      <w:r w:rsidR="00375431" w:rsidRPr="006758B0">
        <w:rPr>
          <w:rFonts w:ascii="Cambria" w:hAnsi="Cambria" w:cs="Times New Roman"/>
        </w:rPr>
        <w:fldChar w:fldCharType="begin"/>
      </w:r>
      <w:r w:rsidR="00E07B07">
        <w:rPr>
          <w:rFonts w:ascii="Cambria" w:hAnsi="Cambria" w:cs="Times New Roman"/>
        </w:rPr>
        <w:instrText xml:space="preserve"> ADDIN ZOTERO_ITEM CSL_CITATION {"citationID":"H1JJ0RnS","properties":{"unsorted":true,"formattedCitation":"(Giannini, 2013; Arnan &amp; Kurniawasih, 2014; Kurniawanti &amp; Zulfikar, 2014; Kalkarina et al., 2016; Murni et al., 2018)","plainCitation":"(Giannini, 2013; Arnan &amp; Kurniawasih, 2014; Kurniawanti &amp; Zulfikar, 2014; Kalkarina et al., 2016; Murni et al., 2018)","dontUpdate":true,"noteIndex":0},"citationItems":[{"id":1752,"uris":["http://zotero.org/groups/2238283/items/DA5CPP7A"],"uri":["http://zotero.org/groups/2238283/items/DA5CPP7A"],"itemData":{"id":1752,"type":"article-journal","container-title":"Accounting Analysis Journal","DOI":"10.15294/aaj.v2i1.1178","ISSN":"2252-6765","issue":"1","journalAbbreviation":"1","language":"en","page":"97-103","source":"journal.unnes.ac.id","title":"Faktor Yang Mempengaruhi Pembiayaan Mudharabah Pada Bank Umum Syariah Di Indonesia","volume":"2","author":[{"family":"Giannini","given":"Nur Gilang"}],"issued":{"date-parts":[["2013"]]}},"label":"page"},{"id":1730,"uris":["http://zotero.org/groups/2238283/items/QXFBV8YG"],"uri":["http://zotero.org/groups/2238283/items/QXFBV8YG"],"itemData":{"id":1730,"type":"paper-conference","container-title":"Seminar Nasional Ekonomi dan Bisnis","event":"Memperkuat Daya Saing Ekonomi dan Bisnis Dalam Menghadapi Asean Economic Community 2015","event-place":"Bandung","language":"id","page":"1-6","publisher":"Fak. Ekonomi Universitas Jenderal Achmad Yani","publisher-place":"Bandung","source":"Zotero","title":"Pengaruh Jumlah Dana Pihak Ketiga Dan Tingkat Non- Performing Financing Terhadap Pembiayaan Mudharabah Pada Bank Umum Syariah Di Indonesia","author":[{"family":"Arnan","given":"Sendi Gusnandar"},{"family":"Kurniawasih","given":"Imas"}],"issued":{"date-parts":[["2014"]]}},"label":"page"},{"id":1726,"uris":["http://zotero.org/groups/2238283/items/FMCVX5KD"],"uri":["http://zotero.org/groups/2238283/items/FMCVX5KD"],"itemData":{"id":1726,"type":"paper-conference","abstract":"Sharia banking has a great move for a decade. Profit and loss sharing become more \npopular as one of bank service system. The objective of this study is to analyze the  factors \nthat influencing volume of profit and loss sharing based-financing in sharia banking in \nIndonesia during 2009-2013. Analysis method used is SPSS, the results show that profit and \nloss sharing level and also total assets have positive significant influence toward volume of \nprofit and loss sharing based-financing, while depositors’ funds and also non performing \nfinancing doesn’t have significant influence.","container-title":"Proceeding Call for Syariah Paper","event":"Seminar Nasional dan Call For Paper  Program Studi Akuntansi-FEB UMS","event-place":"Surakarta","language":"en","page":"145-164","publisher":"Universitas Muhammadiyah Surakarta","publisher-place":"Surakarta","source":"publikasiilmiah.ums.ac.id","title":"Analisis Faktor-Faktor yang Mempengaruhi Volume Pembiayaan Berbasis Bagi Hasil Pada Bank Umum Syariah di Indonesia","URL":"http://publikasiilmiah.ums.ac.id/handle/11617/4718","volume":"-","author":[{"family":"Kurniawanti","given":"Agustina"},{"family":"Zulfikar","given":""}],"accessed":{"date-parts":[["2019",5,25]]},"issued":{"date-parts":[["2014",6,25]]}},"label":"page"},{"id":1749,"uris":["http://zotero.org/groups/2238283/items/4YYU692N"],"uri":["http://zotero.org/groups/2238283/items/4YYU692N"],"itemData":{"id":1749,"type":"article-journal","abstract":"Salah satu yang menjadi fungsi utama dari bank syariah yaitu melaksanakan kegiatan pembiayaan. Pada dasarnya yang membedakan pembiayaan yang disalurkan bank syariah dengan dengan bank konvensional yaitu prinsip bagi hasil (mudharabah dan musyarakah), namun fakta yang terjadi dilapangan prinsip bagi hasil menjadi kurang populer dibandingkan prinsip jual beli (murabahah) yang lebih mendominasi kegiatan usaha yang dilakukan oleh bank syariah. Penelitian ini memiliki tujuan menguji pengaruh Capital Adequacy Ratio (CAR), Non Performing Financing (NPF), dan simpanan Dana Phak Ketiga terhadap pembiayaan berbasis bagi hasil pada bank umum syariah d Indonesia untuk periode 2010-2014. sampel yang digunakan dalam penelitian ini yaitu 7 bank umum syariah yang terdaftar di Bursa Efek Indonesia. Teknik sampling yang digunakan yaitu metode perposive sampling. Periode penelitian dilakukan selama 5 tahun sehingga diperoleh 35 unit sampel pada penelitian ini. Alat analisis data yang digunakan dalam penelitian ini adalah analisis deskriptif dan analisis regresi data panel. Hasil penelitian menunjukan bahwa Capital Adequacy Ratio (CAR), Non Performing Ratio (NPF), dan simpanan Dana Pihak Ketiga (DPK) secara simultan memiliki pengaruh terhadap pembiayaan bagi hasil. Secara parsial simpana Dana Pihak Ketiga (DPK) memiliki pengaruh signifikan kearah positif terhadap pembiayaan bagi hasil, sedangkan Capital Adequacy Ratio (CAR), dan Non Performing Financing (NPF) tidak berpengaruh signifikan terhadap pembiayaan bagi hasil. Kata Kunci : Capital Adequacy Ratio (CAR), Non Performing Financing (NPF), simpanan Dana Pihak Ketiga (DPK), dan Pembiayaan Bagi hasil","container-title":"eProceedings of Management","ISSN":"2355-9357","issue":"3","language":"id","page":"3389-3395","source":"libraryeproceeding.telkomuniversity.ac.id","title":"Faktor-faktor Yang Mempengaruhi Pembiayaan Berbasis Bagi Hasil Pada Bank Syariah Di Indonesia (studi Kasus Pada Bank Umum Syariah Yang Terdaftar Di Bei)","volume":"3","author":[{"family":"Kalkarina","given":"Samira"},{"family":"Rahayu","given":"Sri"},{"family":"Nurbaiti","given":"Annisa"}],"issued":{"date-parts":[["2016",12,1]]}},"label":"page"},{"id":3140,"uris":["http://zotero.org/groups/2238283/items/LT2A2VHN"],"uri":["http://zotero.org/groups/2238283/items/LT2A2VHN"],"itemData":{"id":3140,"type":"article-journal","abstract":"The rapid development of Islamic banking has many positive impacts, but on the other hand, the development also demands the readiness of sharia banking in meeting the soundness level standard set by the regulator. This study aimed to integrate the two methods of measurement of Islamic financial institutions, the CAMEL method and maqasidsharia method. How far the ability of CAMEL, macro and general measurement, in measuring the variables on the maqasid sharia. This research used panel data model and analyzed four regressions model which welfare model for Sharia Commercial Bank and Sharia Business Unit and affordable product model for Sharia Commercial Bank and Sharia Business Unit. This research used the quantitative descriptive method. We found that only affordable product in Sharia Business Unit can explain independent variable. Other than that, earning component in CAMEL (ROA) had a positive and significant relationship with profit sharing scheme loan. From the results of research conducted, in general, CAMEL and maqasid sharia did not have a relationship except for Sharia Business Unit. This condition can happen because of many things. Among the greater was risks and in terms of better profitability. Therefore, Sharia Commercial Bank and Sharia Business Unit, generally still run a relatively low-risk financing scheme such as murabahah.","container-title":"Jurnal Keuangan dan Perbankan","DOI":"10.26905/jkdp.v22i4.1994","ISSN":"2443-2687, 1410-8089","issue":"4","language":"en","source":"DOI.org (Crossref)","title":"Determinants of Profit Sharing Financing and Zakat Distribution Based on CAMEL Analysis","URL":"http://jurnal.unmer.ac.id/index.php/jkdp/article/view/1994","volume":"22","author":[{"family":"Murni","given":"Yetty"},{"family":"Astuti","given":"Tri"},{"family":"Nisa","given":"Chaerani"}],"accessed":{"date-parts":[["2020",12,21]]},"issued":{"date-parts":[["2018",10,30]]}},"label":"page"}],"schema":"https://github.com/citation-style-language/schema/raw/master/csl-citation.json"} </w:instrText>
      </w:r>
      <w:r w:rsidR="00375431" w:rsidRPr="006758B0">
        <w:rPr>
          <w:rFonts w:ascii="Cambria" w:hAnsi="Cambria" w:cs="Times New Roman"/>
        </w:rPr>
        <w:fldChar w:fldCharType="separate"/>
      </w:r>
      <w:r w:rsidR="00375431" w:rsidRPr="006758B0">
        <w:rPr>
          <w:rFonts w:ascii="Cambria" w:hAnsi="Cambria"/>
        </w:rPr>
        <w:t xml:space="preserve">Giannini </w:t>
      </w:r>
      <w:r w:rsidR="00375431" w:rsidRPr="006758B0">
        <w:rPr>
          <w:rFonts w:ascii="Cambria" w:hAnsi="Cambria"/>
          <w:lang w:val="en-US"/>
        </w:rPr>
        <w:t>(</w:t>
      </w:r>
      <w:r w:rsidR="00375431" w:rsidRPr="006758B0">
        <w:rPr>
          <w:rFonts w:ascii="Cambria" w:hAnsi="Cambria"/>
        </w:rPr>
        <w:t>2013), Arnan &amp; Kurniawasih</w:t>
      </w:r>
      <w:r w:rsidR="00375431" w:rsidRPr="006758B0">
        <w:rPr>
          <w:rFonts w:ascii="Cambria" w:hAnsi="Cambria"/>
          <w:lang w:val="en-US"/>
        </w:rPr>
        <w:t xml:space="preserve"> (</w:t>
      </w:r>
      <w:r w:rsidR="00375431" w:rsidRPr="006758B0">
        <w:rPr>
          <w:rFonts w:ascii="Cambria" w:hAnsi="Cambria"/>
        </w:rPr>
        <w:t>2014</w:t>
      </w:r>
      <w:r w:rsidR="00375431" w:rsidRPr="006758B0">
        <w:rPr>
          <w:rFonts w:ascii="Cambria" w:hAnsi="Cambria"/>
          <w:lang w:val="en-US"/>
        </w:rPr>
        <w:t>),</w:t>
      </w:r>
      <w:r w:rsidR="00375431" w:rsidRPr="006758B0">
        <w:rPr>
          <w:rFonts w:ascii="Cambria" w:hAnsi="Cambria"/>
        </w:rPr>
        <w:t xml:space="preserve"> Kurniawanti &amp; Zulfikar </w:t>
      </w:r>
      <w:r w:rsidR="00375431" w:rsidRPr="006758B0">
        <w:rPr>
          <w:rFonts w:ascii="Cambria" w:hAnsi="Cambria"/>
          <w:lang w:val="en-US"/>
        </w:rPr>
        <w:t>(</w:t>
      </w:r>
      <w:r w:rsidR="00375431" w:rsidRPr="006758B0">
        <w:rPr>
          <w:rFonts w:ascii="Cambria" w:hAnsi="Cambria"/>
        </w:rPr>
        <w:t xml:space="preserve">2014), Kalkarina et al. </w:t>
      </w:r>
      <w:r w:rsidR="00375431" w:rsidRPr="006758B0">
        <w:rPr>
          <w:rFonts w:ascii="Cambria" w:hAnsi="Cambria"/>
          <w:lang w:val="en-US"/>
        </w:rPr>
        <w:t>(</w:t>
      </w:r>
      <w:r w:rsidR="00375431" w:rsidRPr="006758B0">
        <w:rPr>
          <w:rFonts w:ascii="Cambria" w:hAnsi="Cambria"/>
        </w:rPr>
        <w:t>2016</w:t>
      </w:r>
      <w:r w:rsidR="00375431" w:rsidRPr="006758B0">
        <w:rPr>
          <w:rFonts w:ascii="Cambria" w:hAnsi="Cambria"/>
          <w:lang w:val="en-US"/>
        </w:rPr>
        <w:t>)</w:t>
      </w:r>
      <w:r w:rsidR="00375431" w:rsidRPr="006758B0">
        <w:rPr>
          <w:rFonts w:ascii="Cambria" w:hAnsi="Cambria"/>
        </w:rPr>
        <w:t xml:space="preserve"> and Murni et al. </w:t>
      </w:r>
      <w:r w:rsidR="00375431" w:rsidRPr="006758B0">
        <w:rPr>
          <w:rFonts w:ascii="Cambria" w:hAnsi="Cambria"/>
          <w:lang w:val="en-US"/>
        </w:rPr>
        <w:t>(</w:t>
      </w:r>
      <w:r w:rsidR="00375431" w:rsidRPr="006758B0">
        <w:rPr>
          <w:rFonts w:ascii="Cambria" w:hAnsi="Cambria"/>
        </w:rPr>
        <w:t>2018)</w:t>
      </w:r>
      <w:r w:rsidR="00375431" w:rsidRPr="006758B0">
        <w:rPr>
          <w:rFonts w:ascii="Cambria" w:hAnsi="Cambria" w:cs="Times New Roman"/>
        </w:rPr>
        <w:fldChar w:fldCharType="end"/>
      </w:r>
      <w:r w:rsidRPr="006758B0">
        <w:rPr>
          <w:rFonts w:ascii="Cambria" w:hAnsi="Cambria" w:cs="Times New Roman"/>
        </w:rPr>
        <w:t xml:space="preserve"> revealed t</w:t>
      </w:r>
      <w:r w:rsidR="006758B0" w:rsidRPr="006758B0">
        <w:rPr>
          <w:rFonts w:ascii="Cambria" w:hAnsi="Cambria" w:cs="Times New Roman"/>
        </w:rPr>
        <w:t>hat NPF has no effect on profit-</w:t>
      </w:r>
      <w:r w:rsidRPr="006758B0">
        <w:rPr>
          <w:rFonts w:ascii="Cambria" w:hAnsi="Cambria" w:cs="Times New Roman"/>
        </w:rPr>
        <w:t xml:space="preserve">sharing financing. In addition, there are differences in the results of research conducted by </w:t>
      </w:r>
      <w:r w:rsidR="006758B0" w:rsidRPr="006758B0">
        <w:rPr>
          <w:rFonts w:ascii="Cambria" w:hAnsi="Cambria" w:cs="Times New Roman"/>
        </w:rPr>
        <w:fldChar w:fldCharType="begin"/>
      </w:r>
      <w:r w:rsidR="00E07B07">
        <w:rPr>
          <w:rFonts w:ascii="Cambria" w:hAnsi="Cambria" w:cs="Times New Roman"/>
        </w:rPr>
        <w:instrText xml:space="preserve"> ADDIN ZOTERO_ITEM CSL_CITATION {"citationID":"f55rBjhE","properties":{"unsorted":true,"formattedCitation":"(Giannini, 2013; Kiswanto, 2013; Kurniawanti &amp; Zulfikar, 2014; Annisa &amp; Yaya, 2015)","plainCitation":"(Giannini, 2013; Kiswanto, 2013; Kurniawanti &amp; Zulfikar, 2014; Annisa &amp; Yaya, 2015)","dontUpdate":true,"noteIndex":0},"citationItems":[{"id":1752,"uris":["http://zotero.org/groups/2238283/items/DA5CPP7A"],"uri":["http://zotero.org/groups/2238283/items/DA5CPP7A"],"itemData":{"id":1752,"type":"article-journal","container-title":"Accounting Analysis Journal","DOI":"10.15294/aaj.v2i1.1178","ISSN":"2252-6765","issue":"1","journalAbbreviation":"1","language":"en","page":"97-103","source":"journal.unnes.ac.id","title":"Faktor Yang Mempengaruhi Pembiayaan Mudharabah Pada Bank Umum Syariah Di Indonesia","volume":"2","author":[{"family":"Giannini","given":"Nur Gilang"}],"issued":{"date-parts":[["2013"]]}},"label":"page"},{"id":1748,"uris":["http://zotero.org/groups/2238283/items/HM9EYXIF"],"uri":["http://zotero.org/groups/2238283/items/HM9EYXIF"],"itemData":{"id":1748,"type":"article-journal","abstract":"The purpose of this study was to examine the effect mudharaba deposits, return, profit-sharing rate and the average interest rate loans to profit and loss sharing of Islamic banks either simultaneously or partially. The population is Islamic bank in Indonesia, which consisted of 11 banks with a sample consisting of 7 Islamic banks. Criteria for selection of the sample is using purposive sampling. The unit of analysis is a semi-annual publication of the financial statements of Islamic banks in 2010-2012. The method of data analysis used in this study is multiple linear regression. Variables mudharaba deposits, return, profit sharing rate and the average interest rate are significant effect simultaneously to the profit sharing. While partially only variable mudaraba deposits, profit -sharing and profit sharing rate is significant positive effect on the profit and loss sharing. Meanwhile, the average interest rate credit does not significantly influence the profit and loss sharing. Keywords: Mudharaba Deposits, Return, Profit Sharing Rate, Average Interest Rate, Profit and Loss Sharing.","container-title":"Jurnal Reviu Akuntansi dan Keuangan","ISSN":"2615-2223","issue":"2","language":"en","page":"437-446","source":"ejournal.umm.ac.id","title":"Faktor-Faktor yang Mempengaruhi Pembiayaan Berbasis Bagi Hasil (Profit And Loss Sharing)","volume":"3","author":[{"family":"Kiswanto","given":"Wahyuli Ambarwati Wulandari"}],"issued":{"date-parts":[["2013"]]}},"label":"page"},{"id":1726,"uris":["http://zotero.org/groups/2238283/items/FMCVX5KD"],"uri":["http://zotero.org/groups/2238283/items/FMCVX5KD"],"itemData":{"id":1726,"type":"paper-conference","abstract":"Sharia banking has a great move for a decade. Profit and loss sharing become more \npopular as one of bank service system. The objective of this study is to analyze the  factors \nthat influencing volume of profit and loss sharing based-financing in sharia banking in \nIndonesia during 2009-2013. Analysis method used is SPSS, the results show that profit and \nloss sharing level and also total assets have positive significant influence toward volume of \nprofit and loss sharing based-financing, while depositors’ funds and also non performing \nfinancing doesn’t have significant influence.","container-title":"Proceeding Call for Syariah Paper","event":"Seminar Nasional dan Call For Paper  Program Studi Akuntansi-FEB UMS","event-place":"Surakarta","language":"en","page":"145-164","publisher":"Universitas Muhammadiyah Surakarta","publisher-place":"Surakarta","source":"publikasiilmiah.ums.ac.id","title":"Analisis Faktor-Faktor yang Mempengaruhi Volume Pembiayaan Berbasis Bagi Hasil Pada Bank Umum Syariah di Indonesia","URL":"http://publikasiilmiah.ums.ac.id/handle/11617/4718","volume":"-","author":[{"family":"Kurniawanti","given":"Agustina"},{"family":"Zulfikar","given":""}],"accessed":{"date-parts":[["2019",5,25]]},"issued":{"date-parts":[["2014",6,25]]}},"label":"page"},{"id":3108,"uris":["http://zotero.org/groups/2238283/items/RMRBACB9"],"uri":["http://zotero.org/groups/2238283/items/RMRBACB9"],"itemData":{"id":3108,"type":"article-journal","abstract":"This study aims to examine the impact of the third-party funds (DPK), profit sharing rate and non-performing financing (NPF) of the volume and financing portion of profit sharing based on Islamic banking. The sample of this study is seven Islamic banks with the purpose of research object are quarterly financial statements from June 2010 until September 201. Methods of data analysis are using multiple linear regression analysis. The results showed that, from the aspect of volume, DPK variable, profit sharing rate and NPF last period has a significant impact on the profit-sharing based on financing volume for the subsequent period. In the proportion aspect, it is found that the only variable level of revenue sharing finance portfolio of last period that significantly influences the results-based financing portion for the next period.\n===========================================\nPenelitian ini bertujuan untuk mengetahui pengaruh dana pihak ketiga (DPK), tingkat bagi hasil dan non-performing financing (NPF) terhadap volume dan porsi pembiayaan berbasis bagi hasil pada perbankan syariah. Sampel yang digunakan adalah tujuh bank umum syariah dengan objek penelitian laporan keuangan triwulan dari Juni 2010 hingga September 2013.Metode analisis data menggunakan analisis regresi linear berganda.Hasil penelitian menunjukkan bahwa, dari aspek volume, variabel DPK, tingkat bagi hasil dan NPF periode lalu berpengaruh signifikan terhadap volume pembiayaan berbasis bagi hasil periode berikutnya.Pada aspek proporsi ditemukan bahwa hanya variable tingkat bagi hasil penyaluran pembiayaan periode lalu yang berpengaruh signifikan terhadap porsi pembiayaan berbasis bagi hasil periode berikutnya.","container-title":"Share: Jurnal Ekonomi dan Keuangan Islam","DOI":"10.22373/share.v4i1.754","ISSN":"2549-0648","issue":"1","language":"id","note":"number: 1","page":"79-104","source":"jurnal.ar-raniry.ac.id","title":"Pengaruh Dana Pihak Ketiga, Tingkat Bagi Hasil dan Non Performing Financing terhadap Volume dan Porsi Pembiayaan Berbasis Bagi Hasil pada Perbankan Syariah di Indonesia","volume":"4","author":[{"family":"Annisa","given":"Lintang Nurul"},{"family":"Yaya","given":"Rizal"}],"issued":{"date-parts":[["2015",6,30]]}},"label":"page"}],"schema":"https://github.com/citation-style-language/schema/raw/master/csl-citation.json"} </w:instrText>
      </w:r>
      <w:r w:rsidR="006758B0" w:rsidRPr="006758B0">
        <w:rPr>
          <w:rFonts w:ascii="Cambria" w:hAnsi="Cambria" w:cs="Times New Roman"/>
        </w:rPr>
        <w:fldChar w:fldCharType="separate"/>
      </w:r>
      <w:r w:rsidR="006758B0" w:rsidRPr="006758B0">
        <w:rPr>
          <w:rFonts w:ascii="Cambria" w:hAnsi="Cambria"/>
        </w:rPr>
        <w:t xml:space="preserve">Giannini </w:t>
      </w:r>
      <w:r w:rsidR="006758B0" w:rsidRPr="006758B0">
        <w:rPr>
          <w:rFonts w:ascii="Cambria" w:hAnsi="Cambria"/>
          <w:lang w:val="en-US"/>
        </w:rPr>
        <w:t>(</w:t>
      </w:r>
      <w:r w:rsidR="006758B0" w:rsidRPr="006758B0">
        <w:rPr>
          <w:rFonts w:ascii="Cambria" w:hAnsi="Cambria"/>
        </w:rPr>
        <w:t>2013)</w:t>
      </w:r>
      <w:r w:rsidR="006758B0" w:rsidRPr="006758B0">
        <w:rPr>
          <w:rFonts w:ascii="Cambria" w:hAnsi="Cambria"/>
          <w:lang w:val="en-US"/>
        </w:rPr>
        <w:t>,</w:t>
      </w:r>
      <w:r w:rsidR="006758B0" w:rsidRPr="006758B0">
        <w:rPr>
          <w:rFonts w:ascii="Cambria" w:hAnsi="Cambria"/>
        </w:rPr>
        <w:t xml:space="preserve"> Kiswanto </w:t>
      </w:r>
      <w:r w:rsidR="006758B0" w:rsidRPr="006758B0">
        <w:rPr>
          <w:rFonts w:ascii="Cambria" w:hAnsi="Cambria"/>
          <w:lang w:val="en-US"/>
        </w:rPr>
        <w:t>(</w:t>
      </w:r>
      <w:r w:rsidR="006758B0" w:rsidRPr="006758B0">
        <w:rPr>
          <w:rFonts w:ascii="Cambria" w:hAnsi="Cambria"/>
        </w:rPr>
        <w:t xml:space="preserve">2013), Kurniawanti &amp; Zulfikar </w:t>
      </w:r>
      <w:r w:rsidR="006758B0" w:rsidRPr="006758B0">
        <w:rPr>
          <w:rFonts w:ascii="Cambria" w:hAnsi="Cambria"/>
          <w:lang w:val="en-US"/>
        </w:rPr>
        <w:t>(</w:t>
      </w:r>
      <w:r w:rsidR="006758B0" w:rsidRPr="006758B0">
        <w:rPr>
          <w:rFonts w:ascii="Cambria" w:hAnsi="Cambria"/>
        </w:rPr>
        <w:t xml:space="preserve">2014) and Annisa &amp; Yaya </w:t>
      </w:r>
      <w:r w:rsidR="006758B0" w:rsidRPr="006758B0">
        <w:rPr>
          <w:rFonts w:ascii="Cambria" w:hAnsi="Cambria"/>
          <w:lang w:val="en-US"/>
        </w:rPr>
        <w:t>(</w:t>
      </w:r>
      <w:r w:rsidR="006758B0" w:rsidRPr="006758B0">
        <w:rPr>
          <w:rFonts w:ascii="Cambria" w:hAnsi="Cambria"/>
        </w:rPr>
        <w:t>2015)</w:t>
      </w:r>
      <w:r w:rsidR="006758B0" w:rsidRPr="006758B0">
        <w:rPr>
          <w:rFonts w:ascii="Cambria" w:hAnsi="Cambria" w:cs="Times New Roman"/>
        </w:rPr>
        <w:fldChar w:fldCharType="end"/>
      </w:r>
      <w:r w:rsidRPr="006758B0">
        <w:rPr>
          <w:rFonts w:ascii="Cambria" w:hAnsi="Cambria" w:cs="Times New Roman"/>
        </w:rPr>
        <w:t xml:space="preserve"> which found that </w:t>
      </w:r>
      <w:r w:rsidR="006758B0" w:rsidRPr="006758B0">
        <w:rPr>
          <w:rFonts w:ascii="Cambria" w:hAnsi="Cambria" w:cs="Times New Roman"/>
          <w:lang w:val="en-US"/>
        </w:rPr>
        <w:t>equivalent rate (</w:t>
      </w:r>
      <w:r w:rsidR="00375431" w:rsidRPr="006758B0">
        <w:rPr>
          <w:rFonts w:ascii="Cambria" w:hAnsi="Cambria" w:cs="Times New Roman"/>
        </w:rPr>
        <w:t>profit-</w:t>
      </w:r>
      <w:r w:rsidRPr="006758B0">
        <w:rPr>
          <w:rFonts w:ascii="Cambria" w:hAnsi="Cambria" w:cs="Times New Roman"/>
        </w:rPr>
        <w:t xml:space="preserve">sharing </w:t>
      </w:r>
      <w:r w:rsidR="00375431" w:rsidRPr="006758B0">
        <w:rPr>
          <w:rFonts w:ascii="Cambria" w:hAnsi="Cambria" w:cs="Times New Roman"/>
          <w:lang w:val="en-US"/>
        </w:rPr>
        <w:t>rates</w:t>
      </w:r>
      <w:r w:rsidR="006758B0" w:rsidRPr="006758B0">
        <w:rPr>
          <w:rFonts w:ascii="Cambria" w:hAnsi="Cambria" w:cs="Times New Roman"/>
          <w:lang w:val="en-US"/>
        </w:rPr>
        <w:t>)</w:t>
      </w:r>
      <w:r w:rsidR="00375431" w:rsidRPr="006758B0">
        <w:rPr>
          <w:rFonts w:ascii="Cambria" w:hAnsi="Cambria" w:cs="Times New Roman"/>
          <w:lang w:val="en-US"/>
        </w:rPr>
        <w:t xml:space="preserve"> </w:t>
      </w:r>
      <w:r w:rsidR="006758B0" w:rsidRPr="006758B0">
        <w:rPr>
          <w:rFonts w:ascii="Cambria" w:hAnsi="Cambria" w:cs="Times New Roman"/>
        </w:rPr>
        <w:t>has an effect on profit-</w:t>
      </w:r>
      <w:r w:rsidRPr="006758B0">
        <w:rPr>
          <w:rFonts w:ascii="Cambria" w:hAnsi="Cambria" w:cs="Times New Roman"/>
        </w:rPr>
        <w:t xml:space="preserve">sharing financing, </w:t>
      </w:r>
      <w:r w:rsidR="006758B0" w:rsidRPr="006758B0">
        <w:rPr>
          <w:rFonts w:ascii="Cambria" w:hAnsi="Cambria" w:cs="Times New Roman"/>
          <w:lang w:val="en-US"/>
        </w:rPr>
        <w:t>while</w:t>
      </w:r>
      <w:r w:rsidRPr="006758B0">
        <w:rPr>
          <w:rFonts w:ascii="Cambria" w:hAnsi="Cambria" w:cs="Times New Roman"/>
        </w:rPr>
        <w:t xml:space="preserve"> </w:t>
      </w:r>
      <w:r w:rsidR="006758B0" w:rsidRPr="006758B0">
        <w:rPr>
          <w:rFonts w:ascii="Cambria" w:hAnsi="Cambria" w:cs="Times New Roman"/>
        </w:rPr>
        <w:fldChar w:fldCharType="begin"/>
      </w:r>
      <w:r w:rsidR="00E07B07">
        <w:rPr>
          <w:rFonts w:ascii="Cambria" w:hAnsi="Cambria" w:cs="Times New Roman"/>
        </w:rPr>
        <w:instrText xml:space="preserve"> ADDIN ZOTERO_ITEM CSL_CITATION {"citationID":"vh8jSZZ2","properties":{"formattedCitation":"(Pramono, 2013; Riyanto, 2016)","plainCitation":"(Pramono, 2013; Riyanto, 2016)","dontUpdate":true,"noteIndex":0},"citationItems":[{"id":1725,"uris":["http://zotero.org/groups/2238283/items/MPPH864L"],"uri":["http://zotero.org/groups/2238283/items/MPPH864L"],"itemData":{"id":1725,"type":"article-journal","abstract":"Tujuan penelitian ini adalah untuk mengetahui ada tidaknya pengaruh deposito mudharabah, spread bagi hasil, dan tingkat bagi hasil terhadap pembiayaan berbasis bagi hasil bank syariah baik secara simultan maupun parsial. Populasi dalam penelitian ini adalah bank syariah di Indonesia yang terdiri dari 11 bank. Sedangkan sampelnya terdiri dari 5 bank syariah. Kriteria pemilihan sampel menggunakan purposive sampling. Unit analisis yang digunakan adalah laporan keuangan publikasi triwulanan bank syariah tahun 2010-2012. Metode analisis data yang digunakan dalam penelitian ini adalah regresi linier berganda. Secara simultan variabel deposito mudharabah, spread bagi hasil, dan tingkat bagi hasil berpengaruh positif signifikan terhadap pembiayaan berbasis bagi hasil. Sedangkan secara parsial hanya variabel deposito mudharabah dan spread bagi hasil yang berpengaruh positif signifikan terhadap pembiayaan berbasis bagi hasil. Sedangkan tingkat bagi hasil tidak berpengaruh signifikan terhadap pembiayaan berbasis bagi hasil.    The purpose of this study to examine the effect of mudharabah deposits, spread proft sharing, and equivalent rate to profit sharing of Islamic bank either simultaneously or partially. The population of this study is Islamic bank in Indonesia which consists of 11 banks. While the sample consisted of 5 Islamic banks. Sampling technique using purposive sampling. The unit analysis whichis used is the quarterly publication of the financial report of Islamic bank in 2010-2012. Multiple regression analysis was employed to analysis data. Variables of mudharabah deposits, spread profit sharing, and equivalent rate are significant effect simultaneously to the profit sharing. Based on the results of this study can be concluded that variable of mudharabah deposit and spread profit sharing are partially significant to the profit sharing. While equivalent rate is not significant to the profit sharing.","container-title":"Accounting Analysis Journal","DOI":"10.15294/aaj.v2i2.1437","ISSN":"2252-6765","issue":"2","journalAbbreviation":"1","language":"en","page":"154-162","source":"journal.unnes.ac.id","title":"Optimalisasi Pembiayaan Berbasis Bagi Hasil Pada Bank Syariah Di Indonesia","volume":"2","author":[{"family":"Pramono","given":"Nugroho Heri"}],"issued":{"date-parts":[["2013"]]}}},{"id":1788,"uris":["http://zotero.org/groups/2238283/items/L9YGPPH6"],"uri":["http://zotero.org/groups/2238283/items/L9YGPPH6"],"itemData":{"id":1788,"type":"article-journal","abstract":"Islamic banking is a financial institution that uses the sharing system has a wide range ofproducts offered, especially in the task of channeling bank funds for financing one of which isprofit and loss sharing financing (Mudaraba and Musharaka). Suposed profit and loss sharingfinancing that dominates among other types of financing due in accordance with conventionalbanks as well differentiator, but the reality is not profit and loss sharing financing dominate. Thisstudy aims analyze the factors that affect profit and loss sharing financing. The purpose of thisstudy was to analyze the influence of deposits mudaraba, equivalent of profit sharing, spreadprofit sharing, and Non Performing Financing of profit and loss sharing financing. The populationwas islamic Banking in Indonesia, which consists of 11 banks. The samples used are selectedusing purposive sampling technique and only 4 bank in accordance with the criteria. The datais taken from the Quarterly Financing Reports Sharia Bank Devisa in Bank Indonesia’s websiteduring the period of 4 years from 2010 to 2013, in this study consisted of 64 observation points.The data collected were analyzed using descriptive statistics and multiple regression analysis.The result showed that the coefficient of determination through the four test variables: depositsmudaraba, equivalent of profit sharing, spread profit sharing, and Non Performing Financingcan explian the variation in the dependent variable for profit and loss sharing financing by70.4% while the rest is explained by other causes beyond the research variables. Four variablessimultaneously affect the results because the financing for the significance level of less than0.05. From the partial results variable equivalent of profit sharing has not significant affect toprofit and loss sharing financing and variable non-performing ratio has negative significant affectto profit and loss sharing financing, while the other two variables deposits mudaraba and spreadprofit sharing has positive significant affect to profit and loss sharing financing.Keywords : deposits mudaraba, equivalent of profit sharing, spread profit sharing, and NonPerforming Financing of profit and loss sharing financing.","container-title":"Jurnal Ekonomi &amp; Bisnis","DOI":"10.30659/ekobis.17.1.54-65","ISSN":"14112280","issue":"1","language":"ID","page":"54-65","source":"jurnal.unissula.ac.id","title":"Optimalisasi Pembiayaan Berbasis Bagi Hasil Pada Bank Devisa Syariah Di Indonesia","volume":"17","author":[{"family":"Riyanto","given":"Hermawan"}],"issued":{"date-parts":[["2016",1,11]]}}}],"schema":"https://github.com/citation-style-language/schema/raw/master/csl-citation.json"} </w:instrText>
      </w:r>
      <w:r w:rsidR="006758B0" w:rsidRPr="006758B0">
        <w:rPr>
          <w:rFonts w:ascii="Cambria" w:hAnsi="Cambria" w:cs="Times New Roman"/>
        </w:rPr>
        <w:fldChar w:fldCharType="separate"/>
      </w:r>
      <w:r w:rsidR="006758B0" w:rsidRPr="006758B0">
        <w:rPr>
          <w:rFonts w:ascii="Cambria" w:hAnsi="Cambria"/>
        </w:rPr>
        <w:t xml:space="preserve">Pramono </w:t>
      </w:r>
      <w:r w:rsidR="006758B0" w:rsidRPr="006758B0">
        <w:rPr>
          <w:rFonts w:ascii="Cambria" w:hAnsi="Cambria"/>
          <w:lang w:val="en-US"/>
        </w:rPr>
        <w:t>(</w:t>
      </w:r>
      <w:r w:rsidR="006758B0" w:rsidRPr="006758B0">
        <w:rPr>
          <w:rFonts w:ascii="Cambria" w:hAnsi="Cambria"/>
        </w:rPr>
        <w:t>2013</w:t>
      </w:r>
      <w:r w:rsidR="006758B0" w:rsidRPr="006758B0">
        <w:rPr>
          <w:rFonts w:ascii="Cambria" w:hAnsi="Cambria"/>
          <w:lang w:val="en-US"/>
        </w:rPr>
        <w:t>)</w:t>
      </w:r>
      <w:r w:rsidR="006758B0" w:rsidRPr="006758B0">
        <w:rPr>
          <w:rFonts w:ascii="Cambria" w:hAnsi="Cambria"/>
        </w:rPr>
        <w:t xml:space="preserve"> and Riyanto </w:t>
      </w:r>
      <w:r w:rsidR="006758B0" w:rsidRPr="006758B0">
        <w:rPr>
          <w:rFonts w:ascii="Cambria" w:hAnsi="Cambria"/>
          <w:lang w:val="en-US"/>
        </w:rPr>
        <w:t>(</w:t>
      </w:r>
      <w:r w:rsidR="006758B0" w:rsidRPr="006758B0">
        <w:rPr>
          <w:rFonts w:ascii="Cambria" w:hAnsi="Cambria"/>
        </w:rPr>
        <w:t>2016)</w:t>
      </w:r>
      <w:r w:rsidR="006758B0" w:rsidRPr="006758B0">
        <w:rPr>
          <w:rFonts w:ascii="Cambria" w:hAnsi="Cambria" w:cs="Times New Roman"/>
        </w:rPr>
        <w:fldChar w:fldCharType="end"/>
      </w:r>
      <w:r w:rsidRPr="006758B0">
        <w:rPr>
          <w:rFonts w:ascii="Cambria" w:hAnsi="Cambria" w:cs="Times New Roman"/>
        </w:rPr>
        <w:t xml:space="preserve"> found that the profit-sharing rate has no effect on profit-sharing financing.</w:t>
      </w:r>
    </w:p>
    <w:p w14:paraId="3547555C" w14:textId="2B4B13FE" w:rsidR="002D28D3" w:rsidRDefault="009238B0" w:rsidP="00AF6B88">
      <w:pPr>
        <w:spacing w:after="0" w:line="240" w:lineRule="auto"/>
        <w:ind w:firstLine="426"/>
        <w:jc w:val="both"/>
        <w:rPr>
          <w:rFonts w:ascii="Cambria" w:hAnsi="Cambria" w:cs="Times New Roman"/>
        </w:rPr>
      </w:pPr>
      <w:r>
        <w:rPr>
          <w:rFonts w:ascii="Cambria" w:hAnsi="Cambria" w:cs="Times New Roman"/>
        </w:rPr>
        <w:t>Profit-</w:t>
      </w:r>
      <w:r w:rsidRPr="009238B0">
        <w:rPr>
          <w:rFonts w:ascii="Cambria" w:hAnsi="Cambria" w:cs="Times New Roman"/>
        </w:rPr>
        <w:t>sharing financing should be the spirit of Islamic banking, because the profit sharing system is able to increase business opportunities for poor people who lack capital so as to improve people's lives</w:t>
      </w:r>
      <w:r w:rsidR="00E07B07">
        <w:rPr>
          <w:rFonts w:ascii="Cambria" w:hAnsi="Cambria" w:cs="Times New Roman"/>
          <w:lang w:val="en-US"/>
        </w:rPr>
        <w:t xml:space="preserve"> </w:t>
      </w:r>
      <w:r w:rsidR="00E07B07">
        <w:rPr>
          <w:rFonts w:ascii="Cambria" w:hAnsi="Cambria" w:cs="Times New Roman"/>
          <w:lang w:val="en-US"/>
        </w:rPr>
        <w:fldChar w:fldCharType="begin"/>
      </w:r>
      <w:r w:rsidR="00E07B07">
        <w:rPr>
          <w:rFonts w:ascii="Cambria" w:hAnsi="Cambria" w:cs="Times New Roman"/>
          <w:lang w:val="en-US"/>
        </w:rPr>
        <w:instrText xml:space="preserve"> ADDIN ZOTERO_ITEM CSL_CITATION {"citationID":"cvsu3sdF","properties":{"formattedCitation":"(Abdul-Rahman &amp; Nor, 2016)","plainCitation":"(Abdul-Rahman &amp; Nor, 2016)","noteIndex":0},"citationItems":[{"id":1738,"uris":["http://zotero.org/groups/2238283/items/X77WERGE"],"uri":["http://zotero.org/groups/2238283/items/X77WERGE"],"itemData":{"id":1738,"type":"article-journal","abstract":"There are challenges faced by the profit-and-loss sharing (PLS) financing in Islamic banking institutions in Malaysia. PLS financing is comprised of mudharabah and musharakah contracts. This study  evaluated the application and modus operandi of mudharabah and musharakah contracts before dwelling into the challenges.  While musharakah contract involves contribution of capital and labor by both the investor and the entrepreneur, mudharabah contract allows the investor to provide the capital and only the entrepreneur operates the business.  In terms of return on investment, both partners share the profit or loss based on the pre-agreed ratio for musharakah; but only the capital provider bears the loss for mudharabah as the entrepreneur already forgone his or her effort for the project. In examining the challenges, we had conducted several interview sessions with Malaysian Islamic banks that offer PLS financing.  The findings showed that there were four major obstacles to PLS financing such as high risk of investment; difficulty in selecting appropriate partners; demand comes from low credit worthiness customers; and lack of capital security.    Keywords: capital security,  challenges, Islamic banking, mudharabah,  musharakah, profit and loss sharing financing","container-title":"Geografia-Malaysian Journal of Society and Space","issue":"2","language":"en","page":"39-46","source":"ejournals.ukm.my","title":"Challenges Of Profit-And-Loss Sharing Financing In Malaysian Islamic Banking","volume":"12","author":[{"family":"Abdul-Rahman","given":"Aisyah"},{"family":"Nor","given":"Shifa Mohd"}],"issued":{"date-parts":[["2016"]]}}}],"schema":"https://github.com/citation-style-language/schema/raw/master/csl-citation.json"} </w:instrText>
      </w:r>
      <w:r w:rsidR="00E07B07">
        <w:rPr>
          <w:rFonts w:ascii="Cambria" w:hAnsi="Cambria" w:cs="Times New Roman"/>
          <w:lang w:val="en-US"/>
        </w:rPr>
        <w:fldChar w:fldCharType="separate"/>
      </w:r>
      <w:r w:rsidR="00E07B07" w:rsidRPr="00E07B07">
        <w:rPr>
          <w:rFonts w:ascii="Cambria" w:hAnsi="Cambria"/>
        </w:rPr>
        <w:t>(Abdul-Rahman &amp; Nor, 2016)</w:t>
      </w:r>
      <w:r w:rsidR="00E07B07">
        <w:rPr>
          <w:rFonts w:ascii="Cambria" w:hAnsi="Cambria" w:cs="Times New Roman"/>
          <w:lang w:val="en-US"/>
        </w:rPr>
        <w:fldChar w:fldCharType="end"/>
      </w:r>
      <w:r w:rsidRPr="009238B0">
        <w:rPr>
          <w:rFonts w:ascii="Cambria" w:hAnsi="Cambria" w:cs="Times New Roman"/>
        </w:rPr>
        <w:t xml:space="preserve">. Profit sharing financing has also been proven to be able to boost the economic growth of a country </w:t>
      </w:r>
      <w:r w:rsidR="00E07B07">
        <w:rPr>
          <w:rFonts w:ascii="Cambria" w:hAnsi="Cambria" w:cs="Times New Roman"/>
        </w:rPr>
        <w:fldChar w:fldCharType="begin"/>
      </w:r>
      <w:r w:rsidR="00E07B07">
        <w:rPr>
          <w:rFonts w:ascii="Cambria" w:hAnsi="Cambria" w:cs="Times New Roman"/>
        </w:rPr>
        <w:instrText xml:space="preserve"> ADDIN ZOTERO_ITEM CSL_CITATION {"citationID":"1O8bjMxm","properties":{"formattedCitation":"(Chowdhury et al., 2018)","plainCitation":"(Chowdhury et al., 2018)","noteIndex":0},"citationItems":[{"id":3162,"uris":["http://zotero.org/groups/2238283/items/WMKI4GI7"],"uri":["http://zotero.org/groups/2238283/items/WMKI4GI7"],"itemData":{"id":3162,"type":"article-journal","abstract":"Purpose The purpose of this paper is to examine the linkage between Islamic financing principles and economic growth (EG) by taking into consideration two Islamic Financing Principles: Risk Sharing and non-risk sharing separately. Design/methodology/approach The data for this study are obtained from the annual reports of all Islamic banks from Bangladesh using Bank scope database and annual report for the period 1984-2014. The research uses an Autoregressive Distributive Lags (ARDL) approach. For robustness, this study also employs a continuous wavelet transform approach. Findings The empirical findings reveal that the risk sharing instruments are positively related to the EG of the country. On the other hand, non-risk sharing instruments are negatively related to the EG of the country. Research limitations/implications The dominant use of non-risk sharing-based financing has undermined the greater possibility of Islamic banking to contribute more to the EG of the country. Banks and other financial institutions need to pay greater attention to systemic risk created by risk transfer and apply risk sharing methods of financing more vigorously to achieve greater equity, efficient allocation of resources, stability and growth of the financial system and welfare of the society as a whole. Originality/value This study has advanced the knowledge by examining the issue of Islamic financing principles and EG. This is probably one of the first attempts to find the linkage between Islamic financing principles and EG by taking into consideration two portfolios: risk sharing and non-risk sharing separately and provide significant insights for policy makers, market players and academicians.","container-title":"Managerial Finance","DOI":"10.1108/MF-12-2016-0371","ISSN":"0307-4358","issue":"6","note":"publisher: Emerald Publishing Limited","page":"739-758","source":"Emerald Insight","title":"Nexus between risk sharing vs non-risk sharing financing and economic growth of Bangladesh: ARDL bound testing and continuous wavelet transform (CWT) approach","title-short":"Nexus between risk sharing vs non-risk sharing financing and economic growth of Bangladesh","volume":"44","author":[{"family":"Chowdhury","given":"Mohammad Ashraful Ferdous"},{"family":"Akbar","given":"Chowdhury Shahed"},{"family":"Shoyeb","given":"Mohammad"}],"issued":{"date-parts":[["2018",1,1]]}}}],"schema":"https://github.com/citation-style-language/schema/raw/master/csl-citation.json"} </w:instrText>
      </w:r>
      <w:r w:rsidR="00E07B07">
        <w:rPr>
          <w:rFonts w:ascii="Cambria" w:hAnsi="Cambria" w:cs="Times New Roman"/>
        </w:rPr>
        <w:fldChar w:fldCharType="separate"/>
      </w:r>
      <w:r w:rsidR="00E07B07" w:rsidRPr="00E07B07">
        <w:rPr>
          <w:rFonts w:ascii="Cambria" w:hAnsi="Cambria"/>
        </w:rPr>
        <w:t>(Chowdhury et al., 2018)</w:t>
      </w:r>
      <w:r w:rsidR="00E07B07">
        <w:rPr>
          <w:rFonts w:ascii="Cambria" w:hAnsi="Cambria" w:cs="Times New Roman"/>
        </w:rPr>
        <w:fldChar w:fldCharType="end"/>
      </w:r>
      <w:r w:rsidR="00E07B07">
        <w:rPr>
          <w:rFonts w:ascii="Cambria" w:hAnsi="Cambria" w:cs="Times New Roman"/>
          <w:lang w:val="en-US"/>
        </w:rPr>
        <w:t xml:space="preserve"> </w:t>
      </w:r>
      <w:r w:rsidRPr="009238B0">
        <w:rPr>
          <w:rFonts w:ascii="Cambria" w:hAnsi="Cambria" w:cs="Times New Roman"/>
        </w:rPr>
        <w:t xml:space="preserve">and contribute to industrial growth in driving </w:t>
      </w:r>
      <w:r w:rsidR="00E07B07">
        <w:rPr>
          <w:rFonts w:ascii="Cambria" w:hAnsi="Cambria" w:cs="Times New Roman"/>
        </w:rPr>
        <w:t xml:space="preserve">productive businesses </w:t>
      </w:r>
      <w:r w:rsidR="00E07B07">
        <w:rPr>
          <w:rFonts w:ascii="Cambria" w:hAnsi="Cambria" w:cs="Times New Roman"/>
        </w:rPr>
        <w:fldChar w:fldCharType="begin"/>
      </w:r>
      <w:r w:rsidR="00E07B07">
        <w:rPr>
          <w:rFonts w:ascii="Cambria" w:hAnsi="Cambria" w:cs="Times New Roman"/>
        </w:rPr>
        <w:instrText xml:space="preserve"> ADDIN ZOTERO_ITEM CSL_CITATION {"citationID":"5GeJidR6","properties":{"formattedCitation":"(Bougatef et al., 2020)","plainCitation":"(Bougatef et al., 2020)","noteIndex":0},"citationItems":[{"id":3165,"uris":["http://zotero.org/groups/2238283/items/A6F8KJSE"],"uri":["http://zotero.org/groups/2238283/items/A6F8KJSE"],"itemData":{"id":3165,"type":"article-journal","abstract":"Purpose The purpose of this paper is to investigate the relationship between Islamic banking and industrial production by decomposing Islamic financing (IF) into profit and loss sharing (PLS) and non-profit and loss sharing (non-PLS) modes of financing. Design/methodology/approach This paper applies the autoregressive distributed lag (ARDL) approach and Toda and Yamamoto causality test on the monthly data set for Malaysia from 2010M1 to 2018M6. Findings The results reveal that IF plays an important role in boosting industrial production in the short run, as well as in the long run. Moreover, this positive effect mainly comes from non-PLS financing. In contrast, no significant relationship was found between PLS financing and industrial development neither in the short run nor in the long run. Practical implications The results have several policy implications. The existence of a time lag between the pooling of funds through PLS contracts and their channeling to industrial activities imply that Malaysian Islamic banks should maintain a long-term relationship with investment account holders. In addition, Islamic banks are called to increase the portion of PLS financing. The positive relationship between the industrial production index and IF (through non-PLS techniques) in the short and the long runs implies that policymakers in Malaysia should multiply their efforts to further expand the Islamic banking industry. Originality/value The originality of this study lies in decomposing Islamic banks’ financing into PLS financing (muḍārabah and mushārakah) and non-PLS financing to assess the contribution of each mode of financing in industrial development.","container-title":"ISRA International Journal of Islamic Finance","DOI":"10.1108/IJIF-05-2018-0052","ISSN":"0128-1976","issue":"1","note":"publisher: Emerald Publishing Limited","page":"103-114","source":"Emerald Insight","title":"The nexus between Islamic banking and industrial production: Empirical evidence from Malaysia","title-short":"The nexus between Islamic banking and industrial production","volume":"12","author":[{"family":"Bougatef","given":"Khemaies"},{"family":"Nakhli","given":"Mohamed Sahbi"},{"family":"Mnari","given":"Othman"}],"issued":{"date-parts":[["2020",1,1]]}}}],"schema":"https://github.com/citation-style-language/schema/raw/master/csl-citation.json"} </w:instrText>
      </w:r>
      <w:r w:rsidR="00E07B07">
        <w:rPr>
          <w:rFonts w:ascii="Cambria" w:hAnsi="Cambria" w:cs="Times New Roman"/>
        </w:rPr>
        <w:fldChar w:fldCharType="separate"/>
      </w:r>
      <w:r w:rsidR="00E07B07" w:rsidRPr="00E07B07">
        <w:rPr>
          <w:rFonts w:ascii="Cambria" w:hAnsi="Cambria"/>
        </w:rPr>
        <w:t>(Bougatef et al., 2020)</w:t>
      </w:r>
      <w:r w:rsidR="00E07B07">
        <w:rPr>
          <w:rFonts w:ascii="Cambria" w:hAnsi="Cambria" w:cs="Times New Roman"/>
        </w:rPr>
        <w:fldChar w:fldCharType="end"/>
      </w:r>
      <w:r w:rsidRPr="009238B0">
        <w:rPr>
          <w:rFonts w:ascii="Cambria" w:hAnsi="Cambria" w:cs="Times New Roman"/>
        </w:rPr>
        <w:t>.</w:t>
      </w:r>
    </w:p>
    <w:p w14:paraId="4ED36208" w14:textId="2835DC0B" w:rsidR="007D685A" w:rsidRDefault="00B4090C" w:rsidP="00D80380">
      <w:pPr>
        <w:spacing w:after="120" w:line="240" w:lineRule="auto"/>
        <w:ind w:firstLine="425"/>
        <w:jc w:val="both"/>
        <w:rPr>
          <w:rFonts w:ascii="Cambria" w:hAnsi="Cambria" w:cs="Times New Roman"/>
        </w:rPr>
      </w:pPr>
      <w:r>
        <w:rPr>
          <w:rFonts w:ascii="Cambria" w:hAnsi="Cambria" w:cs="Times New Roman"/>
        </w:rPr>
        <w:t>Profit-</w:t>
      </w:r>
      <w:r w:rsidR="004D71F5" w:rsidRPr="00005EA2">
        <w:rPr>
          <w:rFonts w:ascii="Cambria" w:hAnsi="Cambria" w:cs="Times New Roman"/>
        </w:rPr>
        <w:t xml:space="preserve">sharing financing, as we know, is far more equitable, both for the customer and for the bank, besides that, profit sharing financing is expected to be able to dominate Islamic banks, which are identical to the profit sharing system. On that basis, it is necessary to identify the factors that influence profit-sharing based financing in order to optimize it. The factors that influence profit sharing financing include third party funds in the form of mudharabah deposits, non-performing financing, the equivalent rate, </w:t>
      </w:r>
      <w:r w:rsidR="00F64BE4">
        <w:rPr>
          <w:rFonts w:ascii="Cambria" w:hAnsi="Cambria" w:cs="Times New Roman"/>
          <w:lang w:val="en-US"/>
        </w:rPr>
        <w:t xml:space="preserve">efficiency, economic growth </w:t>
      </w:r>
      <w:r w:rsidR="004D71F5" w:rsidRPr="00005EA2">
        <w:rPr>
          <w:rFonts w:ascii="Cambria" w:hAnsi="Cambria" w:cs="Times New Roman"/>
        </w:rPr>
        <w:t xml:space="preserve">and </w:t>
      </w:r>
      <w:r w:rsidR="00F64BE4">
        <w:rPr>
          <w:rFonts w:ascii="Cambria" w:hAnsi="Cambria" w:cs="Times New Roman"/>
          <w:lang w:val="en-US"/>
        </w:rPr>
        <w:t>inflation</w:t>
      </w:r>
      <w:r w:rsidR="004D71F5" w:rsidRPr="00005EA2">
        <w:rPr>
          <w:rFonts w:ascii="Cambria" w:hAnsi="Cambria" w:cs="Times New Roman"/>
        </w:rPr>
        <w:t>.</w:t>
      </w:r>
    </w:p>
    <w:p w14:paraId="7B394C34" w14:textId="602D61C5" w:rsidR="00147A5A" w:rsidRDefault="00147A5A" w:rsidP="00147A5A">
      <w:pPr>
        <w:spacing w:after="0" w:line="240" w:lineRule="auto"/>
        <w:jc w:val="both"/>
        <w:rPr>
          <w:rFonts w:ascii="Cambria" w:hAnsi="Cambria" w:cs="Times New Roman"/>
        </w:rPr>
      </w:pPr>
    </w:p>
    <w:p w14:paraId="480CBE93" w14:textId="04D4F225" w:rsidR="00147A5A" w:rsidRPr="001029A9" w:rsidRDefault="00147A5A" w:rsidP="001029A9">
      <w:pPr>
        <w:spacing w:after="120" w:line="240" w:lineRule="auto"/>
        <w:jc w:val="both"/>
        <w:rPr>
          <w:rFonts w:cstheme="minorHAnsi"/>
          <w:b/>
          <w:sz w:val="24"/>
          <w:szCs w:val="24"/>
          <w:lang w:val="en-US"/>
        </w:rPr>
      </w:pPr>
      <w:r w:rsidRPr="001029A9">
        <w:rPr>
          <w:rFonts w:cstheme="minorHAnsi"/>
          <w:b/>
          <w:sz w:val="24"/>
          <w:szCs w:val="24"/>
          <w:lang w:val="en-US"/>
        </w:rPr>
        <w:t>2. Hypotheses Development</w:t>
      </w:r>
    </w:p>
    <w:p w14:paraId="72145E30" w14:textId="7000A311" w:rsidR="004A1E90" w:rsidRPr="004A1E90" w:rsidRDefault="004D71F5" w:rsidP="004A1E90">
      <w:pPr>
        <w:spacing w:after="0" w:line="240" w:lineRule="auto"/>
        <w:ind w:firstLine="426"/>
        <w:jc w:val="both"/>
      </w:pPr>
      <w:r w:rsidRPr="00005EA2">
        <w:rPr>
          <w:rFonts w:ascii="Cambria" w:hAnsi="Cambria" w:cs="Times New Roman"/>
        </w:rPr>
        <w:t>Mudharabah deposits are deposits whose withdrawals can only be made at a certain time in accordance with the customer's agreement with the depositor with the mudharabah agreement</w:t>
      </w:r>
      <w:r w:rsidR="00507FE3" w:rsidRPr="00005EA2">
        <w:rPr>
          <w:rFonts w:ascii="Cambria" w:hAnsi="Cambria" w:cs="Times New Roman"/>
        </w:rPr>
        <w:t xml:space="preserve"> .</w:t>
      </w:r>
      <w:r w:rsidR="00A25823" w:rsidRPr="00005EA2">
        <w:rPr>
          <w:rFonts w:ascii="Cambria" w:hAnsi="Cambria" w:cs="Times New Roman"/>
        </w:rPr>
        <w:t xml:space="preserve"> </w:t>
      </w:r>
      <w:r w:rsidRPr="00005EA2">
        <w:rPr>
          <w:rFonts w:ascii="Cambria" w:hAnsi="Cambria" w:cs="Times New Roman"/>
        </w:rPr>
        <w:t>Mudharabah deposits for banks function as a large enough source of funds that can be used to finance bank activities, for the customer to seek a profit or a high enough profit sharing ratio for mudharabah deposits and for the government to help reduce the rate of inflation by reducing the money supply in society. and as financing for national development.</w:t>
      </w:r>
      <w:r w:rsidR="004A1E90" w:rsidRPr="004A1E90">
        <w:rPr>
          <w:rFonts w:ascii="Cambria" w:hAnsi="Cambria" w:cs="Times New Roman"/>
        </w:rPr>
        <w:t xml:space="preserve"> </w:t>
      </w:r>
      <w:r w:rsidR="004A1E90" w:rsidRPr="00005EA2">
        <w:rPr>
          <w:rFonts w:ascii="Cambria" w:hAnsi="Cambria" w:cs="Times New Roman"/>
        </w:rPr>
        <w:t xml:space="preserve">Based on the findings of </w:t>
      </w:r>
      <w:r w:rsidR="004A1E90" w:rsidRPr="00005EA2">
        <w:rPr>
          <w:rFonts w:ascii="Cambria" w:hAnsi="Cambria" w:cs="Times New Roman"/>
        </w:rPr>
        <w:fldChar w:fldCharType="begin"/>
      </w:r>
      <w:r w:rsidR="004A1E90" w:rsidRPr="00005EA2">
        <w:rPr>
          <w:rFonts w:ascii="Cambria" w:hAnsi="Cambria" w:cs="Times New Roman"/>
        </w:rPr>
        <w:instrText xml:space="preserve"> ADDIN ZOTERO_ITEM CSL_CITATION {"citationID":"FwKfRDth","properties":{"formattedCitation":"(Pramono, 2013)","plainCitation":"(Pramono, 2013)","dontUpdate":true,"noteIndex":0},"citationItems":[{"id":1725,"uris":["http://zotero.org/groups/2238283/items/MPPH864L"],"uri":["http://zotero.org/groups/2238283/items/MPPH864L"],"itemData":{"id":1725,"type":"article-journal","abstract":"Tujuan penelitian ini adalah untuk mengetahui ada tidaknya pengaruh deposito mudharabah, spread bagi hasil, dan tingkat bagi hasil terhadap pembiayaan berbasis bagi hasil bank syariah baik secara simultan maupun parsial. Populasi dalam penelitian ini adalah bank syariah di Indonesia yang terdiri dari 11 bank. Sedangkan sampelnya terdiri dari 5 bank syariah. Kriteria pemilihan sampel menggunakan purposive sampling. Unit analisis yang digunakan adalah laporan keuangan publikasi triwulanan bank syariah tahun 2010-2012. Metode analisis data yang digunakan dalam penelitian ini adalah regresi linier berganda. Secara simultan variabel deposito mudharabah, spread bagi hasil, dan tingkat bagi hasil berpengaruh positif signifikan terhadap pembiayaan berbasis bagi hasil. Sedangkan secara parsial hanya variabel deposito mudharabah dan spread bagi hasil yang berpengaruh positif signifikan terhadap pembiayaan berbasis bagi hasil. Sedangkan tingkat bagi hasil tidak berpengaruh signifikan terhadap pembiayaan berbasis bagi hasil.    The purpose of this study to examine the effect of mudharabah deposits, spread proft sharing, and equivalent rate to profit sharing of Islamic bank either simultaneously or partially. The population of this study is Islamic bank in Indonesia which consists of 11 banks. While the sample consisted of 5 Islamic banks. Sampling technique using purposive sampling. The unit analysis whichis used is the quarterly publication of the financial report of Islamic bank in 2010-2012. Multiple regression analysis was employed to analysis data. Variables of mudharabah deposits, spread profit sharing, and equivalent rate are significant effect simultaneously to the profit sharing. Based on the results of this study can be concluded that variable of mudharabah deposit and spread profit sharing are partially significant to the profit sharing. While equivalent rate is not significant to the profit sharing.","container-title":"Accounting Analysis Journal","DOI":"10.15294/aaj.v2i2.1437","ISSN":"2252-6765","issue":"2","journalAbbreviation":"1","language":"en","page":"154-162","source":"journal.unnes.ac.id","title":"Optimalisasi Pembiayaan Berbasis Bagi Hasil Pada Bank Syariah Di Indonesia","volume":"2","author":[{"family":"Pramono","given":"Nugroho Heri"}],"issued":{"date-parts":[["2013"]]}}}],"schema":"https://github.com/citation-style-language/schema/raw/master/csl-citation.json"} </w:instrText>
      </w:r>
      <w:r w:rsidR="004A1E90" w:rsidRPr="00005EA2">
        <w:rPr>
          <w:rFonts w:ascii="Cambria" w:hAnsi="Cambria" w:cs="Times New Roman"/>
        </w:rPr>
        <w:fldChar w:fldCharType="separate"/>
      </w:r>
      <w:r w:rsidR="004A1E90" w:rsidRPr="00005EA2">
        <w:rPr>
          <w:rFonts w:ascii="Cambria" w:hAnsi="Cambria" w:cs="Times New Roman"/>
        </w:rPr>
        <w:t>Pramono (2013)</w:t>
      </w:r>
      <w:r w:rsidR="004A1E90" w:rsidRPr="00005EA2">
        <w:rPr>
          <w:rFonts w:ascii="Cambria" w:hAnsi="Cambria" w:cs="Times New Roman"/>
        </w:rPr>
        <w:fldChar w:fldCharType="end"/>
      </w:r>
      <w:r w:rsidR="004A1E90" w:rsidRPr="00005EA2">
        <w:rPr>
          <w:rFonts w:ascii="Cambria" w:hAnsi="Cambria" w:cs="Times New Roman"/>
        </w:rPr>
        <w:t xml:space="preserve"> and </w:t>
      </w:r>
      <w:r w:rsidR="004A1E90" w:rsidRPr="00005EA2">
        <w:rPr>
          <w:rFonts w:ascii="Cambria" w:hAnsi="Cambria" w:cs="Times New Roman"/>
        </w:rPr>
        <w:fldChar w:fldCharType="begin"/>
      </w:r>
      <w:r w:rsidR="004A1E90" w:rsidRPr="00005EA2">
        <w:rPr>
          <w:rFonts w:ascii="Cambria" w:hAnsi="Cambria" w:cs="Times New Roman"/>
        </w:rPr>
        <w:instrText xml:space="preserve"> ADDIN ZOTERO_ITEM CSL_CITATION {"citationID":"KgHhZi8d","properties":{"formattedCitation":"(Riyanto, 2016)","plainCitation":"(Riyanto, 2016)","dontUpdate":true,"noteIndex":0},"citationItems":[{"id":1788,"uris":["http://zotero.org/groups/2238283/items/L9YGPPH6"],"uri":["http://zotero.org/groups/2238283/items/L9YGPPH6"],"itemData":{"id":1788,"type":"article-journal","abstract":"Islamic banking is a financial institution that uses the sharing system has a wide range ofproducts offered, especially in the task of channeling bank funds for financing one of which isprofit and loss sharing financing (Mudaraba and Musharaka). Suposed profit and loss sharingfinancing that dominates among other types of financing due in accordance with conventionalbanks as well differentiator, but the reality is not profit and loss sharing financing dominate. Thisstudy aims analyze the factors that affect profit and loss sharing financing. The purpose of thisstudy was to analyze the influence of deposits mudaraba, equivalent of profit sharing, spreadprofit sharing, and Non Performing Financing of profit and loss sharing financing. The populationwas islamic Banking in Indonesia, which consists of 11 banks. The samples used are selectedusing purposive sampling technique and only 4 bank in accordance with the criteria. The datais taken from the Quarterly Financing Reports Sharia Bank Devisa in Bank Indonesia’s websiteduring the period of 4 years from 2010 to 2013, in this study consisted of 64 observation points.The data collected were analyzed using descriptive statistics and multiple regression analysis.The result showed that the coefficient of determination through the four test variables: depositsmudaraba, equivalent of profit sharing, spread profit sharing, and Non Performing Financingcan explian the variation in the dependent variable for profit and loss sharing financing by70.4% while the rest is explained by other causes beyond the research variables. Four variablessimultaneously affect the results because the financing for the significance level of less than0.05. From the partial results variable equivalent of profit sharing has not significant affect toprofit and loss sharing financing and variable non-performing ratio has negative significant affectto profit and loss sharing financing, while the other two variables deposits mudaraba and spreadprofit sharing has positive significant affect to profit and loss sharing financing.Keywords : deposits mudaraba, equivalent of profit sharing, spread profit sharing, and NonPerforming Financing of profit and loss sharing financing.","container-title":"Jurnal Ekonomi &amp; Bisnis","DOI":"10.30659/ekobis.17.1.54-65","ISSN":"14112280","issue":"1","language":"ID","page":"54-65","source":"jurnal.unissula.ac.id","title":"Optimalisasi Pembiayaan Berbasis Bagi Hasil Pada Bank Devisa Syariah Di Indonesia","volume":"17","author":[{"family":"Riyanto","given":"Hermawan"}],"issued":{"date-parts":[["2016",1,11]]}}}],"schema":"https://github.com/citation-style-language/schema/raw/master/csl-citation.json"} </w:instrText>
      </w:r>
      <w:r w:rsidR="004A1E90" w:rsidRPr="00005EA2">
        <w:rPr>
          <w:rFonts w:ascii="Cambria" w:hAnsi="Cambria" w:cs="Times New Roman"/>
        </w:rPr>
        <w:fldChar w:fldCharType="separate"/>
      </w:r>
      <w:r w:rsidR="004A1E90" w:rsidRPr="00005EA2">
        <w:rPr>
          <w:rFonts w:ascii="Cambria" w:hAnsi="Cambria" w:cs="Times New Roman"/>
        </w:rPr>
        <w:t>Riyanto (2016)</w:t>
      </w:r>
      <w:r w:rsidR="004A1E90" w:rsidRPr="00005EA2">
        <w:rPr>
          <w:rFonts w:ascii="Cambria" w:hAnsi="Cambria" w:cs="Times New Roman"/>
        </w:rPr>
        <w:fldChar w:fldCharType="end"/>
      </w:r>
      <w:r w:rsidR="004A1E90" w:rsidRPr="00005EA2">
        <w:rPr>
          <w:rFonts w:ascii="Cambria" w:hAnsi="Cambria" w:cs="Times New Roman"/>
        </w:rPr>
        <w:t xml:space="preserve"> found that the greater the mudharabah deposit rate, the greater the financing funds that the bank will provide to customers, so that a </w:t>
      </w:r>
      <w:r w:rsidR="00F13341">
        <w:rPr>
          <w:rFonts w:ascii="Cambria" w:hAnsi="Cambria" w:cs="Times New Roman"/>
          <w:lang w:val="en-US"/>
        </w:rPr>
        <w:t xml:space="preserve">first </w:t>
      </w:r>
      <w:r w:rsidR="004A1E90" w:rsidRPr="00005EA2">
        <w:rPr>
          <w:rFonts w:ascii="Cambria" w:hAnsi="Cambria" w:cs="Times New Roman"/>
        </w:rPr>
        <w:t xml:space="preserve">hypothesis can be proposed. </w:t>
      </w:r>
    </w:p>
    <w:p w14:paraId="126E5CD0" w14:textId="4557A355" w:rsidR="004A1E90" w:rsidRPr="00005EA2" w:rsidRDefault="004A1E90" w:rsidP="004A1E90">
      <w:pPr>
        <w:spacing w:after="0" w:line="240" w:lineRule="auto"/>
        <w:ind w:firstLine="426"/>
        <w:jc w:val="both"/>
        <w:rPr>
          <w:rFonts w:ascii="Cambria" w:hAnsi="Cambria" w:cs="Times New Roman"/>
        </w:rPr>
      </w:pPr>
      <w:r w:rsidRPr="00005EA2">
        <w:rPr>
          <w:rFonts w:ascii="Cambria" w:hAnsi="Cambria" w:cs="Times New Roman"/>
        </w:rPr>
        <w:t>H</w:t>
      </w:r>
      <w:r>
        <w:rPr>
          <w:rFonts w:ascii="Cambria" w:hAnsi="Cambria" w:cs="Times New Roman"/>
          <w:vertAlign w:val="subscript"/>
        </w:rPr>
        <w:t>1</w:t>
      </w:r>
      <w:r w:rsidRPr="00005EA2">
        <w:rPr>
          <w:rFonts w:ascii="Cambria" w:hAnsi="Cambria" w:cs="Times New Roman"/>
        </w:rPr>
        <w:t xml:space="preserve"> : Mudharabah deposits have a signif</w:t>
      </w:r>
      <w:r>
        <w:rPr>
          <w:rFonts w:ascii="Cambria" w:hAnsi="Cambria" w:cs="Times New Roman"/>
        </w:rPr>
        <w:t>icant positive effect on profit-</w:t>
      </w:r>
      <w:r w:rsidRPr="00005EA2">
        <w:rPr>
          <w:rFonts w:ascii="Cambria" w:hAnsi="Cambria" w:cs="Times New Roman"/>
        </w:rPr>
        <w:t xml:space="preserve">sharing financing. </w:t>
      </w:r>
    </w:p>
    <w:p w14:paraId="14F38F5B" w14:textId="3DD8F852" w:rsidR="007D685A" w:rsidRPr="00005EA2" w:rsidRDefault="007D685A" w:rsidP="00AF6B88">
      <w:pPr>
        <w:spacing w:after="0" w:line="240" w:lineRule="auto"/>
        <w:ind w:firstLine="426"/>
        <w:jc w:val="both"/>
        <w:rPr>
          <w:rFonts w:ascii="Cambria" w:hAnsi="Cambria" w:cs="Times New Roman"/>
        </w:rPr>
      </w:pPr>
    </w:p>
    <w:p w14:paraId="321E0D23" w14:textId="0A70A93E" w:rsidR="004A1E90" w:rsidRPr="00005EA2" w:rsidRDefault="00B30991" w:rsidP="004A1E90">
      <w:pPr>
        <w:spacing w:after="0" w:line="240" w:lineRule="auto"/>
        <w:ind w:firstLine="426"/>
        <w:jc w:val="both"/>
        <w:rPr>
          <w:rFonts w:ascii="Cambria" w:hAnsi="Cambria" w:cs="Times New Roman"/>
        </w:rPr>
      </w:pPr>
      <w:r w:rsidRPr="00005EA2">
        <w:rPr>
          <w:rFonts w:ascii="Cambria" w:hAnsi="Cambria" w:cs="Times New Roman"/>
        </w:rPr>
        <w:t>Non-performing financing can be defined as a credit whose payments are stagnant and do not meet the minimum obligations set up to credit that is difficult to pay off or even uncollectible</w:t>
      </w:r>
      <w:r w:rsidR="009D6C3E" w:rsidRPr="00005EA2">
        <w:rPr>
          <w:rFonts w:ascii="Cambria" w:hAnsi="Cambria" w:cs="Times New Roman"/>
        </w:rPr>
        <w:t xml:space="preserve"> </w:t>
      </w:r>
      <w:r w:rsidR="004B02FA"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{"citationID":"NYcIBdDg","properties":{"formattedCitation":"(Hadiyati, 2013)","plainCitation":"(Hadiyati, 2013)","noteIndex":0},"citationItems":[{"id":1751,"uris":["http://zotero.org/groups/2238283/items/NQKMNX2H"],"uri":["http://zotero.org/groups/2238283/items/NQKMNX2H"],"itemData":{"id":1751,"type":"article-journal","abstract":"This research aims at analyzing the impact of non-performing financing of mudharabah and musyarakah financing in Muamalat Indonesia Bank either in partial or simultaneously. The data used in this research are secondary data compiled from the Muamalat Indonesia Bank’s quarterly financial statements within 2006-2010 periods. Data analysis method used is multiple linear regression with hypotheses examination as of t test, F test, and Adjusted R Square. The findings in partial is that non performing financing of mudharabah financing has negative impact and significant to profitability rate with the score of t test (-3,146) t table &lt; (-2,1098), whereas non performing financing of musyarakah financing does not have significant impact to profitability rate with the score t test (-1,119) &gt; t table (-2,1098), so that simultaneously non performing financing of mudharabah and musyarakah has significant impact to Muamalat Indonesia Bank’s profitability with the score of F test (7,298) &gt; F table (3,5915) and the independent variables contribution to profitability is 39,9 percent.","container-title":"e-Jurnal Manajemen dan Bisnis","ISSN":"2355-0244","issue":"1","language":"id","page":"1-14","source":"Zotero","title":"Pengaruh Non Performing Financing Pembiayaan Mudharabah Dan Musyarakah Pada Bank Muamalat Indonesia","volume":"1","author":[{"family":"Hadiyati","given":"Puji"}],"issued":{"date-parts":[["2013"]]}}}],"schema":"https://github.com/citation-style-language/schema/raw/master/csl-citation.json"} </w:instrText>
      </w:r>
      <w:r w:rsidR="004B02FA" w:rsidRPr="00005EA2">
        <w:rPr>
          <w:rFonts w:ascii="Cambria" w:hAnsi="Cambria" w:cs="Times New Roman"/>
        </w:rPr>
        <w:fldChar w:fldCharType="separate"/>
      </w:r>
      <w:r w:rsidR="004B02FA" w:rsidRPr="00005EA2">
        <w:rPr>
          <w:rFonts w:ascii="Cambria" w:hAnsi="Cambria" w:cs="Times New Roman"/>
        </w:rPr>
        <w:t>(Hadiyati, 2013)</w:t>
      </w:r>
      <w:r w:rsidR="004B02FA" w:rsidRPr="00005EA2">
        <w:rPr>
          <w:rFonts w:ascii="Cambria" w:hAnsi="Cambria" w:cs="Times New Roman"/>
        </w:rPr>
        <w:fldChar w:fldCharType="end"/>
      </w:r>
      <w:r w:rsidR="00D02924" w:rsidRPr="00005EA2">
        <w:rPr>
          <w:rFonts w:ascii="Cambria" w:hAnsi="Cambria" w:cs="Times New Roman"/>
        </w:rPr>
        <w:t xml:space="preserve">. </w:t>
      </w:r>
      <w:r w:rsidRPr="00005EA2">
        <w:rPr>
          <w:rFonts w:ascii="Cambria" w:hAnsi="Cambria" w:cs="Times New Roman"/>
        </w:rPr>
        <w:t>The amount of non-performing financing reflects the level of cost control and financing p</w:t>
      </w:r>
      <w:r w:rsidR="00F13341">
        <w:rPr>
          <w:rFonts w:ascii="Cambria" w:hAnsi="Cambria" w:cs="Times New Roman"/>
        </w:rPr>
        <w:t>olicies implemented by the bank</w:t>
      </w:r>
      <w:r w:rsidR="009D6C3E" w:rsidRPr="00005EA2">
        <w:rPr>
          <w:rFonts w:ascii="Cambria" w:hAnsi="Cambria" w:cs="Times New Roman"/>
        </w:rPr>
        <w:t xml:space="preserve"> </w:t>
      </w:r>
      <w:r w:rsidR="009D6C3E"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{"citationID":"sxenLe6f","properties":{"formattedCitation":"(Kalkarina dkk., 2016)","plainCitation":"(Kalkarina dkk., 2016)","dontUpdate":true,"noteIndex":0},"citationItems":[{"id":1749,"uris":["http://zotero.org/groups/2238283/items/4YYU692N"],"uri":["http://zotero.org/groups/2238283/items/4YYU692N"],"itemData":{"id":1749,"type":"article-journal","abstract":"Salah satu yang menjadi fungsi utama dari bank syariah yaitu melaksanakan kegiatan pembiayaan. Pada dasarnya yang membedakan pembiayaan yang disalurkan bank syariah dengan dengan bank konvensional yaitu prinsip bagi hasil (mudharabah dan musyarakah), namun fakta yang terjadi dilapangan prinsip bagi hasil menjadi kurang populer dibandingkan prinsip jual beli (murabahah) yang lebih mendominasi kegiatan usaha yang dilakukan oleh bank syariah. Penelitian ini memiliki tujuan menguji pengaruh Capital Adequacy Ratio (CAR), Non Performing Financing (NPF), dan simpanan Dana Phak Ketiga terhadap pembiayaan berbasis bagi hasil pada bank umum syariah d Indonesia untuk periode 2010-2014. sampel yang digunakan dalam penelitian ini yaitu 7 bank umum syariah yang terdaftar di Bursa Efek Indonesia. Teknik sampling yang digunakan yaitu metode perposive sampling. Periode penelitian dilakukan selama 5 tahun sehingga diperoleh 35 unit sampel pada penelitian ini. Alat analisis data yang digunakan dalam penelitian ini adalah analisis deskriptif dan analisis regresi data panel. Hasil penelitian menunjukan bahwa Capital Adequacy Ratio (CAR), Non Performing Ratio (NPF), dan simpanan Dana Pihak Ketiga (DPK) secara simultan memiliki pengaruh terhadap pembiayaan bagi hasil. Secara parsial simpana Dana Pihak Ketiga (DPK) memiliki pengaruh signifikan kearah positif terhadap pembiayaan bagi hasil, sedangkan Capital Adequacy Ratio (CAR), dan Non Performing Financing (NPF) tidak berpengaruh signifikan terhadap pembiayaan bagi hasil. Kata Kunci : Capital Adequacy Ratio (CAR), Non Performing Financing (NPF), simpanan Dana Pihak Ketiga (DPK), dan Pembiayaan Bagi hasil","container-title":"eProceedings of Management","ISSN":"2355-9357","issue":"3","language":"id","page":"3389-3395","source":"libraryeproceeding.telkomuniversity.ac.id","title":"Faktor-faktor Yang Mempengaruhi Pembiayaan Berbasis Bagi Hasil Pada Bank Syariah Di Indonesia (studi Kasus Pada Bank Umum Syariah Yang Terdaftar Di Bei)","volume":"3","author":[{"family":"Kalkarina","given":"Samira"},{"family":"Rahayu","given":"Sri"},{"family":"Nurbaiti","given":"Annisa"}],"issued":{"date-parts":[["2016",12,1]]}}}],"schema":"https://github.com/citation-style-language/schema/raw/master/csl-citation.json"} </w:instrText>
      </w:r>
      <w:r w:rsidR="009D6C3E" w:rsidRPr="00005EA2">
        <w:rPr>
          <w:rFonts w:ascii="Cambria" w:hAnsi="Cambria" w:cs="Times New Roman"/>
        </w:rPr>
        <w:fldChar w:fldCharType="separate"/>
      </w:r>
      <w:r w:rsidR="00AE3BEA" w:rsidRPr="00005EA2">
        <w:rPr>
          <w:rFonts w:ascii="Cambria" w:hAnsi="Cambria" w:cs="Times New Roman"/>
        </w:rPr>
        <w:t xml:space="preserve">(Kalkarina </w:t>
      </w:r>
      <w:r w:rsidRPr="00005EA2">
        <w:rPr>
          <w:rFonts w:ascii="Cambria" w:hAnsi="Cambria" w:cs="Times New Roman"/>
        </w:rPr>
        <w:t>et al</w:t>
      </w:r>
      <w:r w:rsidR="00AE3BEA" w:rsidRPr="00005EA2">
        <w:rPr>
          <w:rFonts w:ascii="Cambria" w:hAnsi="Cambria" w:cs="Times New Roman"/>
        </w:rPr>
        <w:t>., 2016)</w:t>
      </w:r>
      <w:r w:rsidR="009D6C3E" w:rsidRPr="00005EA2">
        <w:rPr>
          <w:rFonts w:ascii="Cambria" w:hAnsi="Cambria" w:cs="Times New Roman"/>
        </w:rPr>
        <w:fldChar w:fldCharType="end"/>
      </w:r>
      <w:r w:rsidR="009D6C3E" w:rsidRPr="00005EA2">
        <w:rPr>
          <w:rFonts w:ascii="Cambria" w:hAnsi="Cambria" w:cs="Times New Roman"/>
        </w:rPr>
        <w:t xml:space="preserve">. </w:t>
      </w:r>
      <w:r w:rsidR="00F13341">
        <w:rPr>
          <w:rFonts w:ascii="Cambria" w:hAnsi="Cambria" w:cs="Times New Roman"/>
        </w:rPr>
        <w:t>Non-performing f</w:t>
      </w:r>
      <w:r w:rsidR="004A1E90" w:rsidRPr="00005EA2">
        <w:rPr>
          <w:rFonts w:ascii="Cambria" w:hAnsi="Cambria" w:cs="Times New Roman"/>
        </w:rPr>
        <w:t>inancing (NPF) is one of the bank risks in channeling financing. The higher the NPF level, the greater the credit risk borne by the bank, as a result banks will be more selective in lending (</w:t>
      </w:r>
      <w:r w:rsidR="004A1E90" w:rsidRPr="00005EA2">
        <w:rPr>
          <w:rFonts w:ascii="Cambria" w:hAnsi="Cambria" w:cs="Times New Roman"/>
        </w:rPr>
        <w:fldChar w:fldCharType="begin"/>
      </w:r>
      <w:r w:rsidR="004A1E90" w:rsidRPr="00005EA2">
        <w:rPr>
          <w:rFonts w:ascii="Cambria" w:hAnsi="Cambria" w:cs="Times New Roman"/>
        </w:rPr>
        <w:instrText xml:space="preserve"> ADDIN ZOTERO_ITEM CSL_CITATION {"citationID":"gF4osXqW","properties":{"formattedCitation":"(Ispad, 2019)","plainCitation":"(Ispad, 2019)","dontUpdate":true,"noteIndex":0},"citationItems":[{"id":1728,"uris":["http://zotero.org/groups/2238283/items/ZYUWIHJ5"],"uri":["http://zotero.org/groups/2238283/items/ZYUWIHJ5"],"itemData":{"id":1728,"type":"paper-conference","abstract":"Abstract.Banking is a very important part in the economy, one of them as an institution whose job intermediation gathers funds from community and channel it back in the form of credit. This research aims to analyze the effect of Capital Adequacy Ratio (CAR), a Non-Performing Financing (NPF), and third-party Funds (DPK) against Channelling Public Banks On Mudharabah Financing Islamic Indonesia in the period 2015-2017. This type of research using time series data in the form of a monthly statistics report from January until December 2015 2017, published by the financial services authority (OJK). Analytical techniques used is multiple regression analysis by using the method of Ordinary Least Square (OLS) on application Software Eviews 7, namely analyzing the magnitude of the influence of the free variable (independent) against the variable (dependent) with a level of significance of 5%.The overall results of the study indicate that simultaneous or CAR, NPF and DPK mudharabah financing channelling effect. In pasrsial or each CAR has no effect against the channelling of mudharabah financing, this is proved with probability values (t-statistics) is greater than the significance level of 5%, the NPF and partially against influential DPK channeling mudharabah financing. Based on the Adjusted  of 0.499745 give meaning to that variable mudharabah financing is able to explained by variable CAR, NPF, and DPK of 49.97% while the rest 50.03% explained by other variables that are not included in the This research. Keywords: CAR, NPF, DPK, MudharabahAbstrak. Perbankan merupakan bagian yang sangat penting dalam perekonomian, salah satunya sebagai lembaga intermediasi yang tugasnya menghimpun dana dari masyarakat dan menyalurkannya kembali dalam bentuk kredit. Penelitian ini bertujuan untuk menganalisis pengaruh Capital Adequacy Ratio (CAR), Non Performing Financing (NPF), dan Dana Pihak Ketiga (DPK) terhadap Penyaluran Pembiayaan Mudharabah Pada Bank Umum Syariah di Indonesia Periode 2015-2017. Jenis Penelitian ini menggunakan data time series dalam bentuk laporan statistik bulanan periode Januari 2015 hingga Desember 2017 yang dipublikasikan oleh Otoritas Jasa Keuangan (OJK). Teknik analisis yang digunakan adalah analisis regresi berganda dengan menggunakan metode Ordinary Least Square (OLS) pada aplikasi Software Eviews 7, yaitu menganalisis besarnya pengaruh variabel bebas (independent) terhadap variabel terikat (dependent) dengan tingkat signifikasi 5%.Hasil penelitian secara keseluruhan atau simultan menunjukan bahwa CAR, NPF dan DPK berpengaruh terhadap penyaluran pembiayaan mudharabah. Secara pasrsial atau masing-masing CAR tidak berpengaruh terhadap penyaluran pembiayaan mudharabah, hal ini dibuktikan dengan nilai probabilitas (t-statistik) lebih besar dari tingkat signifikasi 5%, NPF dan DPK berpengaruh secara parsial terhadap penyaluran pembiayaan mudharabah. Berdasarkan nilai Adjusted  sebesar 0.499745 memberikan makna bahwa variabel pembiayaan mudharabah mampu dijelaskan dengan oleh variabel CAR, NPF, dan DPK sebesar 49.97% sedangkan sisanya 50.03% dijelaskan oleh variabel lain yang tidak termasuk dalam penelitian ini.Keywords: CAR, NPF, DPK, Mudharabah","collection-title":"1","container-title":"Prosiding Ilmu Ekonomi","event":"Seminar Penelitian Sivitas Akademika Unisba","event-place":"Bandung","language":"id","page":"83-90","publisher":"FEB UNISBA","publisher-place":"Bandung","source":"karyailmiah.unisba.ac.id","title":"Pengaruh Capital Adequacy Ratio (CAR), Non Performing Financing (NPF), dan Dana Pihak Ketiga (DPK), terhadap Penyaluran Pembiayaan Mudharabah pada Bank Umum Syariah di Indonesia Periode 2015-2017","URL":"http://karyailmiah.unisba.ac.id/index.php/ekonomi/article/view/15193","volume":"5","author":[{"family":"Ispad","given":"Agnisma Nur Balkis"}],"accessed":{"date-parts":[["2019",5,14]]},"issued":{"date-parts":[["2019",1,25]]}}}],"schema":"https://github.com/citation-style-language/schema/raw/master/csl-citation.json"} </w:instrText>
      </w:r>
      <w:r w:rsidR="004A1E90" w:rsidRPr="00005EA2">
        <w:rPr>
          <w:rFonts w:ascii="Cambria" w:hAnsi="Cambria" w:cs="Times New Roman"/>
        </w:rPr>
        <w:fldChar w:fldCharType="separate"/>
      </w:r>
      <w:r w:rsidR="004A1E90" w:rsidRPr="00005EA2">
        <w:rPr>
          <w:rFonts w:ascii="Cambria" w:hAnsi="Cambria" w:cs="Times New Roman"/>
        </w:rPr>
        <w:t>Ispad, 2019)</w:t>
      </w:r>
      <w:r w:rsidR="004A1E90" w:rsidRPr="00005EA2">
        <w:rPr>
          <w:rFonts w:ascii="Cambria" w:hAnsi="Cambria" w:cs="Times New Roman"/>
        </w:rPr>
        <w:fldChar w:fldCharType="end"/>
      </w:r>
      <w:r w:rsidR="004A1E90" w:rsidRPr="00005EA2">
        <w:rPr>
          <w:rFonts w:ascii="Cambria" w:hAnsi="Cambria" w:cs="Times New Roman"/>
        </w:rPr>
        <w:t xml:space="preserve">, which in turn reduces the amount of financing. On this basis the </w:t>
      </w:r>
      <w:r w:rsidR="00F13341">
        <w:rPr>
          <w:rFonts w:ascii="Cambria" w:hAnsi="Cambria" w:cs="Times New Roman"/>
          <w:lang w:val="en-US"/>
        </w:rPr>
        <w:t xml:space="preserve">second </w:t>
      </w:r>
      <w:r w:rsidR="004A1E90" w:rsidRPr="00005EA2">
        <w:rPr>
          <w:rFonts w:ascii="Cambria" w:hAnsi="Cambria" w:cs="Times New Roman"/>
        </w:rPr>
        <w:t xml:space="preserve">hypothesis is proposed. </w:t>
      </w:r>
    </w:p>
    <w:p w14:paraId="45EAB47B" w14:textId="763EBA8F" w:rsidR="004A1E90" w:rsidRPr="00005EA2" w:rsidRDefault="004A1E90" w:rsidP="004A1E90">
      <w:pPr>
        <w:spacing w:after="0" w:line="240" w:lineRule="auto"/>
        <w:ind w:firstLine="426"/>
        <w:jc w:val="both"/>
        <w:rPr>
          <w:rFonts w:ascii="Cambria" w:hAnsi="Cambria" w:cs="Times New Roman"/>
        </w:rPr>
      </w:pPr>
      <w:r w:rsidRPr="00005EA2">
        <w:rPr>
          <w:rFonts w:ascii="Cambria" w:hAnsi="Cambria" w:cs="Times New Roman"/>
        </w:rPr>
        <w:t>H</w:t>
      </w:r>
      <w:r>
        <w:rPr>
          <w:rFonts w:ascii="Cambria" w:hAnsi="Cambria" w:cs="Times New Roman"/>
          <w:vertAlign w:val="subscript"/>
        </w:rPr>
        <w:t>2</w:t>
      </w:r>
      <w:r w:rsidRPr="00005EA2">
        <w:rPr>
          <w:rFonts w:ascii="Cambria" w:hAnsi="Cambria" w:cs="Times New Roman"/>
        </w:rPr>
        <w:t xml:space="preserve"> : </w:t>
      </w:r>
      <w:r w:rsidR="00F13341">
        <w:rPr>
          <w:rFonts w:ascii="Cambria" w:hAnsi="Cambria" w:cs="Times New Roman"/>
        </w:rPr>
        <w:t>Non-performing f</w:t>
      </w:r>
      <w:r w:rsidRPr="00005EA2">
        <w:rPr>
          <w:rFonts w:ascii="Cambria" w:hAnsi="Cambria" w:cs="Times New Roman"/>
        </w:rPr>
        <w:t>inancing has a signif</w:t>
      </w:r>
      <w:r>
        <w:rPr>
          <w:rFonts w:ascii="Cambria" w:hAnsi="Cambria" w:cs="Times New Roman"/>
        </w:rPr>
        <w:t>icant negative effect on profit-</w:t>
      </w:r>
      <w:r w:rsidRPr="00005EA2">
        <w:rPr>
          <w:rFonts w:ascii="Cambria" w:hAnsi="Cambria" w:cs="Times New Roman"/>
        </w:rPr>
        <w:t xml:space="preserve">sharing financing. </w:t>
      </w:r>
    </w:p>
    <w:p w14:paraId="5ECF5D9D" w14:textId="42B3313C" w:rsidR="007D685A" w:rsidRPr="00005EA2" w:rsidRDefault="007D685A" w:rsidP="00AF6B88">
      <w:pPr>
        <w:spacing w:after="0" w:line="240" w:lineRule="auto"/>
        <w:ind w:firstLine="426"/>
        <w:jc w:val="both"/>
        <w:rPr>
          <w:rFonts w:ascii="Cambria" w:hAnsi="Cambria" w:cs="Times New Roman"/>
        </w:rPr>
      </w:pPr>
    </w:p>
    <w:p w14:paraId="54473BC8" w14:textId="0AA8F7BA" w:rsidR="00A4374A" w:rsidRPr="00005EA2" w:rsidRDefault="00B30991" w:rsidP="00AF6B88">
      <w:pPr>
        <w:spacing w:after="0" w:line="240" w:lineRule="auto"/>
        <w:ind w:firstLine="426"/>
        <w:jc w:val="both"/>
        <w:rPr>
          <w:rFonts w:ascii="Cambria" w:hAnsi="Cambria" w:cs="Times New Roman"/>
        </w:rPr>
      </w:pPr>
      <w:r w:rsidRPr="00005EA2">
        <w:rPr>
          <w:rFonts w:ascii="Cambria" w:hAnsi="Cambria" w:cs="Times New Roman"/>
        </w:rPr>
        <w:t>Profit sharing or ratio is an agreement between the owner of the fund (shahibulmaal) and the fund manager (mudharib) made at the beginning of the agreement or contract regarding the amount of each portion of the profit sharing to be received</w:t>
      </w:r>
      <w:r w:rsidR="007D685A" w:rsidRPr="00005EA2">
        <w:rPr>
          <w:rFonts w:ascii="Cambria" w:hAnsi="Cambria" w:cs="Times New Roman"/>
        </w:rPr>
        <w:t xml:space="preserve">. </w:t>
      </w:r>
      <w:r w:rsidRPr="00005EA2">
        <w:rPr>
          <w:rFonts w:ascii="Cambria" w:hAnsi="Cambria" w:cs="Times New Roman"/>
        </w:rPr>
        <w:t xml:space="preserve">According to </w:t>
      </w:r>
      <w:r w:rsidR="00D02924"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{"citationID":"3eq3YpVn","properties":{"formattedCitation":"(Susana &amp; Prasetyanti, 2011)","plainCitation":"(Susana &amp; Prasetyanti, 2011)","dontUpdate":true,"noteIndex":0},"citationItems":[{"id":1744,"uris":["http://zotero.org/groups/2238283/items/ZSFVPWGF"],"uri":["http://zotero.org/groups/2238283/items/ZSFVPWGF"],"itemData":{"id":1744,"type":"article-journal","abstract":"Al-Mudharabah finance distribution was given to all economy sectors which could give profit and forbid distribution for the business which was illegal. Al-Mudharabah financing was distributed for the business of farming, trading, construction, and other service businesses. The aim of this article was to know the realization and application of Al-Mudharabah finance profit sharing system at PT. Bank Muamalat Indonesia Tbk, branch of Malang, realization of al-mudharaba financing and profit sharing system at Bank Muamalat Indonesia, branch of Malang. The realization of al-mudharabah financing and profit sharing system at Bank Muamalat Indonesia, branch of Malang was right and suitable with financing analysis based on the principle of syariah.","container-title":"Jurnal Keuangan dan Perbankan","issue":"3","language":"id","page":"466-478","source":"Zotero","title":"Pelaksanaan Dan Sistem Bagi Hasil Pembiayaan Al-Mudharabah Pada Bank Syariah","volume":"15","author":[{"family":"Susana","given":"Erni"},{"family":"Prasetyanti","given":"Annisa"}],"issued":{"date-parts":[["2011"]]}}}],"schema":"https://github.com/citation-style-language/schema/raw/master/csl-citation.json"} </w:instrText>
      </w:r>
      <w:r w:rsidR="00D02924" w:rsidRPr="00005EA2">
        <w:rPr>
          <w:rFonts w:ascii="Cambria" w:hAnsi="Cambria" w:cs="Times New Roman"/>
        </w:rPr>
        <w:fldChar w:fldCharType="separate"/>
      </w:r>
      <w:r w:rsidR="00D02924" w:rsidRPr="00005EA2">
        <w:rPr>
          <w:rFonts w:ascii="Cambria" w:hAnsi="Cambria" w:cs="Times New Roman"/>
        </w:rPr>
        <w:t>Susana &amp; Prasetyanti (2011)</w:t>
      </w:r>
      <w:r w:rsidR="00D02924" w:rsidRPr="00005EA2">
        <w:rPr>
          <w:rFonts w:ascii="Cambria" w:hAnsi="Cambria" w:cs="Times New Roman"/>
        </w:rPr>
        <w:fldChar w:fldCharType="end"/>
      </w:r>
      <w:r w:rsidR="00D02924" w:rsidRPr="00005EA2">
        <w:rPr>
          <w:rFonts w:ascii="Cambria" w:hAnsi="Cambria" w:cs="Times New Roman"/>
        </w:rPr>
        <w:t xml:space="preserve"> </w:t>
      </w:r>
      <w:r w:rsidRPr="00005EA2">
        <w:rPr>
          <w:rFonts w:ascii="Cambria" w:hAnsi="Cambria" w:cs="Times New Roman"/>
        </w:rPr>
        <w:t xml:space="preserve">the profit sharing ratio is an important factor in determining profit sharing in Islamic banks, because the ratio is an aspect that is mutually agreed upon between the two parties conducting the transaction. The profit sharing rate </w:t>
      </w:r>
      <w:r w:rsidR="00F13341" w:rsidRPr="00F13341">
        <w:rPr>
          <w:rFonts w:ascii="Cambria" w:hAnsi="Cambria" w:cs="Times New Roman"/>
        </w:rPr>
        <w:t>or better known as</w:t>
      </w:r>
      <w:r w:rsidR="00F13341">
        <w:rPr>
          <w:rFonts w:ascii="Cambria" w:hAnsi="Cambria" w:cs="Times New Roman"/>
          <w:lang w:val="en-US"/>
        </w:rPr>
        <w:t xml:space="preserve"> equivalent rate </w:t>
      </w:r>
      <w:r w:rsidRPr="00005EA2">
        <w:rPr>
          <w:rFonts w:ascii="Cambria" w:hAnsi="Cambria" w:cs="Times New Roman"/>
        </w:rPr>
        <w:t>is the proportion of profit sharing that will be received by fund owners and fund manager</w:t>
      </w:r>
      <w:r w:rsidR="00F13341">
        <w:rPr>
          <w:rFonts w:ascii="Cambria" w:hAnsi="Cambria" w:cs="Times New Roman"/>
        </w:rPr>
        <w:t>s who have made a qabul consent/</w:t>
      </w:r>
      <w:r w:rsidRPr="00005EA2">
        <w:rPr>
          <w:rFonts w:ascii="Cambria" w:hAnsi="Cambria" w:cs="Times New Roman"/>
        </w:rPr>
        <w:t xml:space="preserve">agreement </w:t>
      </w:r>
      <w:r w:rsidR="004B02FA"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{"citationID":"eLlZ8TE9","properties":{"formattedCitation":"(Rahmawati, 2017)","plainCitation":"(Rahmawati, 2017)","noteIndex":0},"citationItems":[{"id":1724,"uris":["http://zotero.org/groups/2238283/items/IVB3FAIT"],"uri":["http://zotero.org/groups/2238283/items/IVB3FAIT"],"itemData":{"id":1724,"type":"thesis","event-place":"Surakarta","genre":"Thesis","language":"id","number-of-pages":"96","publisher":"Institut Agama Islam Negeri Surakarta","publisher-place":"Surakarta","source":"Zotero","title":"Analisis Pengaruh Tingkat Suku Bunga, Tingkat Bagi Hasil, Dan Financing To Deposit Ratio (FDR) Terhadap Pembiayaan Mudharabah Studi Pada Bank Umum Syariah Di Indonesia Periode 2014-2016","author":[{"family":"Rahmawati","given":"Fitria Nur"}],"issued":{"date-parts":[["2017"]]}}}],"schema":"https://github.com/citation-style-language/schema/raw/master/csl-citation.json"} </w:instrText>
      </w:r>
      <w:r w:rsidR="004B02FA" w:rsidRPr="00005EA2">
        <w:rPr>
          <w:rFonts w:ascii="Cambria" w:hAnsi="Cambria" w:cs="Times New Roman"/>
        </w:rPr>
        <w:fldChar w:fldCharType="separate"/>
      </w:r>
      <w:r w:rsidR="004B02FA" w:rsidRPr="00005EA2">
        <w:rPr>
          <w:rFonts w:ascii="Cambria" w:hAnsi="Cambria" w:cs="Times New Roman"/>
        </w:rPr>
        <w:t>(Rahmawati, 2017)</w:t>
      </w:r>
      <w:r w:rsidR="004B02FA" w:rsidRPr="00005EA2">
        <w:rPr>
          <w:rFonts w:ascii="Cambria" w:hAnsi="Cambria" w:cs="Times New Roman"/>
        </w:rPr>
        <w:fldChar w:fldCharType="end"/>
      </w:r>
      <w:r w:rsidR="000F280B" w:rsidRPr="00005EA2">
        <w:rPr>
          <w:rFonts w:ascii="Cambria" w:hAnsi="Cambria" w:cs="Times New Roman"/>
        </w:rPr>
        <w:t xml:space="preserve">. </w:t>
      </w:r>
      <w:r w:rsidR="00F13341">
        <w:rPr>
          <w:rFonts w:ascii="Cambria" w:hAnsi="Cambria" w:cs="Times New Roman"/>
          <w:lang w:val="en-US"/>
        </w:rPr>
        <w:t xml:space="preserve">Equivalent rate </w:t>
      </w:r>
      <w:r w:rsidRPr="00005EA2">
        <w:rPr>
          <w:rFonts w:ascii="Cambria" w:hAnsi="Cambria" w:cs="Times New Roman"/>
        </w:rPr>
        <w:t>is obtained from the comparison of the profit sharing received with the total financing on a profit sharing basis. Thus, Islamic banks are very careful in determining the ratio or level of profit sharing to profit sharing financing customers so that the risk of problematic financing can be controlled.</w:t>
      </w:r>
    </w:p>
    <w:p w14:paraId="56020DDF" w14:textId="27B2AA86" w:rsidR="00CF39F4" w:rsidRPr="00005EA2" w:rsidRDefault="00B30991" w:rsidP="00AF6B88">
      <w:pPr>
        <w:spacing w:after="0" w:line="240" w:lineRule="auto"/>
        <w:ind w:firstLine="426"/>
        <w:jc w:val="both"/>
        <w:rPr>
          <w:rFonts w:ascii="Cambria" w:hAnsi="Cambria" w:cs="Times New Roman"/>
        </w:rPr>
      </w:pPr>
      <w:r w:rsidRPr="00005EA2">
        <w:rPr>
          <w:rFonts w:ascii="Cambria" w:hAnsi="Cambria" w:cs="Times New Roman"/>
        </w:rPr>
        <w:t xml:space="preserve">In addition, according to </w:t>
      </w:r>
      <w:r w:rsidR="002A6835"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{"citationID":"Oxp72Neg","properties":{"formattedCitation":"(Kurniawanti &amp; Zulfikar, 2014)","plainCitation":"(Kurniawanti &amp; Zulfikar, 2014)","dontUpdate":true,"noteIndex":0},"citationItems":[{"id":1726,"uris":["http://zotero.org/groups/2238283/items/FMCVX5KD"],"uri":["http://zotero.org/groups/2238283/items/FMCVX5KD"],"itemData":{"id":1726,"type":"paper-conference","abstract":"Sharia banking has a great move for a decade. Profit and loss sharing become more \npopular as one of bank service system. The objective of this study is to analyze the  factors \nthat influencing volume of profit and loss sharing based-financing in sharia banking in \nIndonesia during 2009-2013. Analysis method used is SPSS, the results show that profit and \nloss sharing level and also total assets have positive significant influence toward volume of \nprofit and loss sharing based-financing, while depositors’ funds and also non performing \nfinancing doesn’t have significant influence.","container-title":"Proceeding Call for Syariah Paper","event":"Seminar Nasional dan Call For Paper  Program Studi Akuntansi-FEB UMS","event-place":"Surakarta","language":"en","page":"145-164","publisher":"Universitas Muhammadiyah Surakarta","publisher-place":"Surakarta","source":"publikasiilmiah.ums.ac.id","title":"Analisis Faktor-Faktor yang Mempengaruhi Volume Pembiayaan Berbasis Bagi Hasil Pada Bank Umum Syariah di Indonesia","URL":"http://publikasiilmiah.ums.ac.id/handle/11617/4718","volume":"-","author":[{"family":"Kurniawanti","given":"Agustina"},{"family":"Zulfikar","given":""}],"accessed":{"date-parts":[["2019",5,25]]},"issued":{"date-parts":[["2014",6,25]]}}}],"schema":"https://github.com/citation-style-language/schema/raw/master/csl-citation.json"} </w:instrText>
      </w:r>
      <w:r w:rsidR="002A6835" w:rsidRPr="00005EA2">
        <w:rPr>
          <w:rFonts w:ascii="Cambria" w:hAnsi="Cambria" w:cs="Times New Roman"/>
        </w:rPr>
        <w:fldChar w:fldCharType="separate"/>
      </w:r>
      <w:r w:rsidR="002A6835" w:rsidRPr="00005EA2">
        <w:rPr>
          <w:rFonts w:ascii="Cambria" w:hAnsi="Cambria" w:cs="Times New Roman"/>
        </w:rPr>
        <w:t>Kurniawanti &amp; Zulfikar (2014)</w:t>
      </w:r>
      <w:r w:rsidR="002A6835" w:rsidRPr="00005EA2">
        <w:rPr>
          <w:rFonts w:ascii="Cambria" w:hAnsi="Cambria" w:cs="Times New Roman"/>
        </w:rPr>
        <w:fldChar w:fldCharType="end"/>
      </w:r>
      <w:r w:rsidRPr="00005EA2">
        <w:rPr>
          <w:rFonts w:ascii="Cambria" w:hAnsi="Cambria" w:cs="Times New Roman"/>
        </w:rPr>
        <w:t>,</w:t>
      </w:r>
      <w:r w:rsidR="002A6835" w:rsidRPr="00005EA2">
        <w:rPr>
          <w:rFonts w:ascii="Cambria" w:hAnsi="Cambria" w:cs="Times New Roman"/>
        </w:rPr>
        <w:t xml:space="preserve"> </w:t>
      </w:r>
      <w:r w:rsidR="00F13341">
        <w:rPr>
          <w:rFonts w:ascii="Cambria" w:hAnsi="Cambria" w:cs="Times New Roman"/>
          <w:lang w:val="en-US"/>
        </w:rPr>
        <w:t xml:space="preserve">equivalent rate </w:t>
      </w:r>
      <w:r w:rsidRPr="00005EA2">
        <w:rPr>
          <w:rFonts w:ascii="Cambria" w:hAnsi="Cambria" w:cs="Times New Roman"/>
        </w:rPr>
        <w:t>is an important fa</w:t>
      </w:r>
      <w:r w:rsidR="00945623">
        <w:rPr>
          <w:rFonts w:ascii="Cambria" w:hAnsi="Cambria" w:cs="Times New Roman"/>
        </w:rPr>
        <w:t>ctor because the type of profit-</w:t>
      </w:r>
      <w:r w:rsidRPr="00005EA2">
        <w:rPr>
          <w:rFonts w:ascii="Cambria" w:hAnsi="Cambria" w:cs="Times New Roman"/>
        </w:rPr>
        <w:t xml:space="preserve">sharing financing, namely mudharabah and musyarakah, is a Natural </w:t>
      </w:r>
      <w:r w:rsidRPr="00005EA2">
        <w:rPr>
          <w:rFonts w:ascii="Cambria" w:hAnsi="Cambria" w:cs="Times New Roman"/>
        </w:rPr>
        <w:lastRenderedPageBreak/>
        <w:t>Uncertainty Contract (NUC) which tends to have a high risk compared to other types of financing because the returns obtained by the bank are not certainly</w:t>
      </w:r>
      <w:r w:rsidR="0054498C" w:rsidRPr="00005EA2">
        <w:rPr>
          <w:rFonts w:ascii="Cambria" w:hAnsi="Cambria" w:cs="Times New Roman"/>
        </w:rPr>
        <w:t xml:space="preserve">. </w:t>
      </w:r>
      <w:r w:rsidR="0054498C"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{"citationID":"GTq9eVXL","properties":{"formattedCitation":"(Kiswanto, 2013)","plainCitation":"(Kiswanto, 2013)","dontUpdate":true,"noteIndex":0},"citationItems":[{"id":1748,"uris":["http://zotero.org/groups/2238283/items/HM9EYXIF"],"uri":["http://zotero.org/groups/2238283/items/HM9EYXIF"],"itemData":{"id":1748,"type":"article-journal","abstract":"The purpose of this study was to examine the effect mudharaba deposits, return, profit-sharing rate and the average interest rate loans to profit and loss sharing of Islamic banks either simultaneously or partially. The population is Islamic bank in Indonesia, which consisted of 11 banks with a sample consisting of 7 Islamic banks. Criteria for selection of the sample is using purposive sampling. The unit of analysis is a semi-annual publication of the financial statements of Islamic banks in 2010-2012. The method of data analysis used in this study is multiple linear regression. Variables mudharaba deposits, return, profit sharing rate and the average interest rate are significant effect simultaneously to the profit sharing. While partially only variable mudaraba deposits, profit -sharing and profit sharing rate is significant positive effect on the profit and loss sharing. Meanwhile, the average interest rate credit does not significantly influence the profit and loss sharing. Keywords: Mudharaba Deposits, Return, Profit Sharing Rate, Average Interest Rate, Profit and Loss Sharing.","container-title":"Jurnal Reviu Akuntansi dan Keuangan","ISSN":"2615-2223","issue":"2","language":"en","page":"437-446","source":"ejournal.umm.ac.id","title":"Faktor-Faktor yang Mempengaruhi Pembiayaan Berbasis Bagi Hasil (Profit And Loss Sharing)","volume":"3","author":[{"family":"Kiswanto","given":"Wahyuli Ambarwati Wulandari"}],"issued":{"date-parts":[["2013"]]}}}],"schema":"https://github.com/citation-style-language/schema/raw/master/csl-citation.json"} </w:instrText>
      </w:r>
      <w:r w:rsidR="0054498C" w:rsidRPr="00005EA2">
        <w:rPr>
          <w:rFonts w:ascii="Cambria" w:hAnsi="Cambria" w:cs="Times New Roman"/>
        </w:rPr>
        <w:fldChar w:fldCharType="separate"/>
      </w:r>
      <w:r w:rsidR="0054498C" w:rsidRPr="00005EA2">
        <w:rPr>
          <w:rFonts w:ascii="Cambria" w:hAnsi="Cambria" w:cs="Times New Roman"/>
        </w:rPr>
        <w:t>Kiswanto (2013)</w:t>
      </w:r>
      <w:r w:rsidR="0054498C" w:rsidRPr="00005EA2">
        <w:rPr>
          <w:rFonts w:ascii="Cambria" w:hAnsi="Cambria" w:cs="Times New Roman"/>
        </w:rPr>
        <w:fldChar w:fldCharType="end"/>
      </w:r>
      <w:r w:rsidR="0054498C" w:rsidRPr="00005EA2">
        <w:rPr>
          <w:rFonts w:ascii="Cambria" w:hAnsi="Cambria" w:cs="Times New Roman"/>
        </w:rPr>
        <w:t xml:space="preserve">, </w:t>
      </w:r>
      <w:r w:rsidR="0054498C"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{"citationID":"PfASpFLA","properties":{"formattedCitation":"(Kurniawanti &amp; Zulfikar, 2014)","plainCitation":"(Kurniawanti &amp; Zulfikar, 2014)","dontUpdate":true,"noteIndex":0},"citationItems":[{"id":1726,"uris":["http://zotero.org/groups/2238283/items/FMCVX5KD"],"uri":["http://zotero.org/groups/2238283/items/FMCVX5KD"],"itemData":{"id":1726,"type":"paper-conference","abstract":"Sharia banking has a great move for a decade. Profit and loss sharing become more \npopular as one of bank service system. The objective of this study is to analyze the  factors \nthat influencing volume of profit and loss sharing based-financing in sharia banking in \nIndonesia during 2009-2013. Analysis method used is SPSS, the results show that profit and \nloss sharing level and also total assets have positive significant influence toward volume of \nprofit and loss sharing based-financing, while depositors’ funds and also non performing \nfinancing doesn’t have significant influence.","container-title":"Proceeding Call for Syariah Paper","event":"Seminar Nasional dan Call For Paper  Program Studi Akuntansi-FEB UMS","event-place":"Surakarta","language":"en","page":"145-164","publisher":"Universitas Muhammadiyah Surakarta","publisher-place":"Surakarta","source":"publikasiilmiah.ums.ac.id","title":"Analisis Faktor-Faktor yang Mempengaruhi Volume Pembiayaan Berbasis Bagi Hasil Pada Bank Umum Syariah di Indonesia","URL":"http://publikasiilmiah.ums.ac.id/handle/11617/4718","volume":"-","author":[{"family":"Kurniawanti","given":"Agustina"},{"family":"Zulfikar","given":""}],"accessed":{"date-parts":[["2019",5,25]]},"issued":{"date-parts":[["2014",6,25]]}}}],"schema":"https://github.com/citation-style-language/schema/raw/master/csl-citation.json"} </w:instrText>
      </w:r>
      <w:r w:rsidR="0054498C" w:rsidRPr="00005EA2">
        <w:rPr>
          <w:rFonts w:ascii="Cambria" w:hAnsi="Cambria" w:cs="Times New Roman"/>
        </w:rPr>
        <w:fldChar w:fldCharType="separate"/>
      </w:r>
      <w:r w:rsidR="0054498C" w:rsidRPr="00005EA2">
        <w:rPr>
          <w:rFonts w:ascii="Cambria" w:hAnsi="Cambria" w:cs="Times New Roman"/>
        </w:rPr>
        <w:t>Kurniawanti &amp; Zulfikar (2014)</w:t>
      </w:r>
      <w:r w:rsidR="0054498C" w:rsidRPr="00005EA2">
        <w:rPr>
          <w:rFonts w:ascii="Cambria" w:hAnsi="Cambria" w:cs="Times New Roman"/>
        </w:rPr>
        <w:fldChar w:fldCharType="end"/>
      </w:r>
      <w:r w:rsidR="0054498C" w:rsidRPr="00005EA2">
        <w:rPr>
          <w:rFonts w:ascii="Cambria" w:hAnsi="Cambria" w:cs="Times New Roman"/>
        </w:rPr>
        <w:t xml:space="preserve"> </w:t>
      </w:r>
      <w:r w:rsidRPr="00005EA2">
        <w:rPr>
          <w:rFonts w:ascii="Cambria" w:hAnsi="Cambria" w:cs="Times New Roman"/>
        </w:rPr>
        <w:t>and</w:t>
      </w:r>
      <w:r w:rsidR="0054498C" w:rsidRPr="00005EA2">
        <w:rPr>
          <w:rFonts w:ascii="Cambria" w:hAnsi="Cambria" w:cs="Times New Roman"/>
        </w:rPr>
        <w:t xml:space="preserve"> </w:t>
      </w:r>
      <w:r w:rsidR="0054498C" w:rsidRPr="00005EA2">
        <w:rPr>
          <w:rFonts w:ascii="Cambria" w:hAnsi="Cambria" w:cs="Times New Roman"/>
        </w:rPr>
        <w:fldChar w:fldCharType="begin"/>
      </w:r>
      <w:r w:rsidR="00867A2B" w:rsidRPr="00005EA2">
        <w:rPr>
          <w:rFonts w:ascii="Cambria" w:hAnsi="Cambria" w:cs="Times New Roman"/>
        </w:rPr>
        <w:instrText xml:space="preserve"> ADDIN ZOTERO_ITEM CSL_CITATION {"citationID":"E34PCWnc","properties":{"formattedCitation":"(Rahmawati, 2017)","plainCitation":"(Rahmawati, 2017)","dontUpdate":true,"noteIndex":0},"citationItems":[{"id":1724,"uris":["http://zotero.org/groups/2238283/items/IVB3FAIT"],"uri":["http://zotero.org/groups/2238283/items/IVB3FAIT"],"itemData":{"id":1724,"type":"thesis","event-place":"Surakarta","genre":"Thesis","language":"id","number-of-pages":"96","publisher":"Institut Agama Islam Negeri Surakarta","publisher-place":"Surakarta","source":"Zotero","title":"Analisis Pengaruh Tingkat Suku Bunga, Tingkat Bagi Hasil, Dan Financing To Deposit Ratio (FDR) Terhadap Pembiayaan Mudharabah Studi Pada Bank Umum Syariah Di Indonesia Periode 2014-2016","author":[{"family":"Rahmawati","given":"Fitria Nur"}],"issued":{"date-parts":[["2017"]]}}}],"schema":"https://github.com/citation-style-language/schema/raw/master/csl-citation.json"} </w:instrText>
      </w:r>
      <w:r w:rsidR="0054498C" w:rsidRPr="00005EA2">
        <w:rPr>
          <w:rFonts w:ascii="Cambria" w:hAnsi="Cambria" w:cs="Times New Roman"/>
        </w:rPr>
        <w:fldChar w:fldCharType="separate"/>
      </w:r>
      <w:r w:rsidR="0054498C" w:rsidRPr="00005EA2">
        <w:rPr>
          <w:rFonts w:ascii="Cambria" w:hAnsi="Cambria" w:cs="Times New Roman"/>
        </w:rPr>
        <w:t>Rahmawati (2017)</w:t>
      </w:r>
      <w:r w:rsidR="0054498C" w:rsidRPr="00005EA2">
        <w:rPr>
          <w:rFonts w:ascii="Cambria" w:hAnsi="Cambria" w:cs="Times New Roman"/>
        </w:rPr>
        <w:fldChar w:fldCharType="end"/>
      </w:r>
      <w:r w:rsidR="0054498C" w:rsidRPr="00005EA2">
        <w:rPr>
          <w:rFonts w:ascii="Cambria" w:hAnsi="Cambria" w:cs="Times New Roman"/>
        </w:rPr>
        <w:t xml:space="preserve"> </w:t>
      </w:r>
      <w:r w:rsidRPr="00005EA2">
        <w:rPr>
          <w:rFonts w:ascii="Cambria" w:hAnsi="Cambria" w:cs="Times New Roman"/>
        </w:rPr>
        <w:t xml:space="preserve">found that the greater the </w:t>
      </w:r>
      <w:r w:rsidR="00F13341">
        <w:rPr>
          <w:rFonts w:ascii="Cambria" w:hAnsi="Cambria" w:cs="Times New Roman"/>
          <w:lang w:val="en-US"/>
        </w:rPr>
        <w:t xml:space="preserve">equivalent rate </w:t>
      </w:r>
      <w:r w:rsidRPr="00005EA2">
        <w:rPr>
          <w:rFonts w:ascii="Cambria" w:hAnsi="Cambria" w:cs="Times New Roman"/>
        </w:rPr>
        <w:t xml:space="preserve">set by Islamic banks, the more likely it will spur Islamic banks to distribute profit-sharing based financing, then a </w:t>
      </w:r>
      <w:r w:rsidR="00F13341" w:rsidRPr="00F13341">
        <w:rPr>
          <w:rFonts w:ascii="Cambria" w:hAnsi="Cambria" w:cs="Times New Roman"/>
        </w:rPr>
        <w:t>third</w:t>
      </w:r>
      <w:r w:rsidR="00F13341">
        <w:rPr>
          <w:rFonts w:ascii="Cambria" w:hAnsi="Cambria" w:cs="Times New Roman"/>
          <w:lang w:val="en-US"/>
        </w:rPr>
        <w:t xml:space="preserve"> </w:t>
      </w:r>
      <w:r w:rsidRPr="00005EA2">
        <w:rPr>
          <w:rFonts w:ascii="Cambria" w:hAnsi="Cambria" w:cs="Times New Roman"/>
        </w:rPr>
        <w:t>hypothesis can be proposed.</w:t>
      </w:r>
    </w:p>
    <w:p w14:paraId="27DAFCE1" w14:textId="02C5B24F" w:rsidR="00CF39F4" w:rsidRPr="00005EA2" w:rsidRDefault="00CF39F4" w:rsidP="00AF6B88">
      <w:pPr>
        <w:spacing w:after="0" w:line="240" w:lineRule="auto"/>
        <w:ind w:firstLine="426"/>
        <w:jc w:val="both"/>
        <w:rPr>
          <w:rFonts w:ascii="Cambria" w:hAnsi="Cambria" w:cs="Times New Roman"/>
        </w:rPr>
      </w:pPr>
      <w:r w:rsidRPr="00005EA2">
        <w:rPr>
          <w:rFonts w:ascii="Cambria" w:hAnsi="Cambria" w:cs="Times New Roman"/>
        </w:rPr>
        <w:t>H</w:t>
      </w:r>
      <w:r w:rsidR="00F13341">
        <w:rPr>
          <w:rFonts w:ascii="Cambria" w:hAnsi="Cambria" w:cs="Times New Roman"/>
          <w:vertAlign w:val="subscript"/>
        </w:rPr>
        <w:t>3</w:t>
      </w:r>
      <w:r w:rsidR="0054498C" w:rsidRPr="00005EA2">
        <w:rPr>
          <w:rFonts w:ascii="Cambria" w:hAnsi="Cambria" w:cs="Times New Roman"/>
        </w:rPr>
        <w:t xml:space="preserve"> </w:t>
      </w:r>
      <w:r w:rsidRPr="00005EA2">
        <w:rPr>
          <w:rFonts w:ascii="Cambria" w:hAnsi="Cambria" w:cs="Times New Roman"/>
        </w:rPr>
        <w:t xml:space="preserve">: </w:t>
      </w:r>
      <w:r w:rsidR="00F13341">
        <w:rPr>
          <w:rFonts w:ascii="Cambria" w:hAnsi="Cambria" w:cs="Times New Roman"/>
          <w:lang w:val="en-US"/>
        </w:rPr>
        <w:t xml:space="preserve">Equivalent rate </w:t>
      </w:r>
      <w:r w:rsidR="00B30991" w:rsidRPr="00005EA2">
        <w:rPr>
          <w:rFonts w:ascii="Cambria" w:hAnsi="Cambria" w:cs="Times New Roman"/>
        </w:rPr>
        <w:t xml:space="preserve">has a significant </w:t>
      </w:r>
      <w:r w:rsidR="00F13341">
        <w:rPr>
          <w:rFonts w:ascii="Cambria" w:hAnsi="Cambria" w:cs="Times New Roman"/>
        </w:rPr>
        <w:t xml:space="preserve">negative </w:t>
      </w:r>
      <w:r w:rsidR="00945623">
        <w:rPr>
          <w:rFonts w:ascii="Cambria" w:hAnsi="Cambria" w:cs="Times New Roman"/>
        </w:rPr>
        <w:t>effect on profit-</w:t>
      </w:r>
      <w:r w:rsidR="00B30991" w:rsidRPr="00005EA2">
        <w:rPr>
          <w:rFonts w:ascii="Cambria" w:hAnsi="Cambria" w:cs="Times New Roman"/>
        </w:rPr>
        <w:t>sharing financing.</w:t>
      </w:r>
      <w:r w:rsidR="00D76BB6" w:rsidRPr="00005EA2">
        <w:rPr>
          <w:rFonts w:ascii="Cambria" w:hAnsi="Cambria" w:cs="Times New Roman"/>
        </w:rPr>
        <w:t xml:space="preserve"> </w:t>
      </w:r>
    </w:p>
    <w:p w14:paraId="194729BD" w14:textId="553BCF06" w:rsidR="00627E0C" w:rsidRDefault="00627E0C" w:rsidP="00FB0B5B">
      <w:pPr>
        <w:spacing w:after="0" w:line="240" w:lineRule="auto"/>
        <w:jc w:val="both"/>
        <w:rPr>
          <w:rFonts w:ascii="Cambria" w:hAnsi="Cambria" w:cs="Times New Roman"/>
          <w:b/>
        </w:rPr>
      </w:pPr>
    </w:p>
    <w:p w14:paraId="3DCEA2FC" w14:textId="36C9523B" w:rsidR="00904861" w:rsidRPr="00904861" w:rsidRDefault="00904861" w:rsidP="00256ED8">
      <w:pPr>
        <w:spacing w:after="0" w:line="240" w:lineRule="auto"/>
        <w:ind w:firstLine="426"/>
        <w:jc w:val="both"/>
        <w:rPr>
          <w:rFonts w:ascii="Cambria" w:hAnsi="Cambria" w:cs="Times New Roman"/>
          <w:lang w:val="en-US"/>
        </w:rPr>
      </w:pPr>
      <w:r w:rsidRPr="00904861">
        <w:rPr>
          <w:rFonts w:ascii="Cambria" w:hAnsi="Cambria" w:cs="Times New Roman"/>
          <w:lang w:val="en-US"/>
        </w:rPr>
        <w:t>The operational efficiency of a bank shows the lower operating costs and the higher the income that the bank earns. The low cost of bank operations results in reduced costs that must be borne by financing customers, in other words, the cheaper the cost of financing. This will encourage customer interest to apply for financing and of course increase the amount of financing. Profit</w:t>
      </w:r>
      <w:r>
        <w:rPr>
          <w:rFonts w:ascii="Cambria" w:hAnsi="Cambria" w:cs="Times New Roman"/>
          <w:lang w:val="en-US"/>
        </w:rPr>
        <w:t>-</w:t>
      </w:r>
      <w:r w:rsidRPr="00904861">
        <w:rPr>
          <w:rFonts w:ascii="Cambria" w:hAnsi="Cambria" w:cs="Times New Roman"/>
          <w:lang w:val="en-US"/>
        </w:rPr>
        <w:t xml:space="preserve">sharing financing is a type of financing that is sensitive to the level of profit sharing. The bigger the portion for the results of the customer (the portion of the bank is getting smaller because the costs are also small), the greater the amount of financing for the results. As stated by </w:t>
      </w:r>
      <w:r>
        <w:rPr>
          <w:rFonts w:ascii="Cambria" w:hAnsi="Cambria" w:cs="Times New Roman"/>
          <w:lang w:val="en-US"/>
        </w:rPr>
        <w:fldChar w:fldCharType="begin"/>
      </w:r>
      <w:r w:rsidR="00DE604C">
        <w:rPr>
          <w:rFonts w:ascii="Cambria" w:hAnsi="Cambria" w:cs="Times New Roman"/>
          <w:lang w:val="en-US"/>
        </w:rPr>
        <w:instrText xml:space="preserve"> ADDIN ZOTERO_ITEM CSL_CITATION {"citationID":"9szUrvsp","properties":{"formattedCitation":"(Jamilah, 2016)","plainCitation":"(Jamilah, 2016)","dontUpdate":true,"noteIndex":0},"citationItems":[{"id":3107,"uris":["http://zotero.org/groups/2238283/items/SCKE9446"],"uri":["http://zotero.org/groups/2238283/items/SCKE9446"],"itemData":{"id":3107,"type":"article-journal","container-title":"Jurnal Ilmu dan Riset Akuntansi","issue":"4","page":"1-20","title":"Faktor-faktor yang Mempengaruhi Pembiayaan Mudharabah pada Bank Umum Syariah di Indonesia","volume":"5","author":[{"family":"Jamilah","given":""}],"issued":{"date-parts":[["2016",4]]}}}],"schema":"https://github.com/citation-style-language/schema/raw/master/csl-citation.json"} </w:instrText>
      </w:r>
      <w:r>
        <w:rPr>
          <w:rFonts w:ascii="Cambria" w:hAnsi="Cambria" w:cs="Times New Roman"/>
          <w:lang w:val="en-US"/>
        </w:rPr>
        <w:fldChar w:fldCharType="separate"/>
      </w:r>
      <w:r>
        <w:rPr>
          <w:rFonts w:ascii="Cambria" w:hAnsi="Cambria"/>
        </w:rPr>
        <w:t>Jamilah</w:t>
      </w:r>
      <w:r w:rsidRPr="00904861">
        <w:rPr>
          <w:rFonts w:ascii="Cambria" w:hAnsi="Cambria"/>
        </w:rPr>
        <w:t xml:space="preserve"> </w:t>
      </w:r>
      <w:r>
        <w:rPr>
          <w:rFonts w:ascii="Cambria" w:hAnsi="Cambria"/>
          <w:lang w:val="en-US"/>
        </w:rPr>
        <w:t>(</w:t>
      </w:r>
      <w:r w:rsidRPr="00904861">
        <w:rPr>
          <w:rFonts w:ascii="Cambria" w:hAnsi="Cambria"/>
        </w:rPr>
        <w:t>2016)</w:t>
      </w:r>
      <w:r>
        <w:rPr>
          <w:rFonts w:ascii="Cambria" w:hAnsi="Cambria" w:cs="Times New Roman"/>
          <w:lang w:val="en-US"/>
        </w:rPr>
        <w:fldChar w:fldCharType="end"/>
      </w:r>
      <w:r w:rsidRPr="00904861">
        <w:rPr>
          <w:rFonts w:ascii="Cambria" w:hAnsi="Cambria" w:cs="Times New Roman"/>
          <w:lang w:val="en-US"/>
        </w:rPr>
        <w:t xml:space="preserve">, the lower the BOPO ratio (the more efficient) a bank indicates, the lower its operating costs, the more financing will be distributed. Likewise, what was stated by </w:t>
      </w:r>
      <w:r>
        <w:rPr>
          <w:rFonts w:ascii="Cambria" w:hAnsi="Cambria" w:cs="Times New Roman"/>
          <w:lang w:val="en-US"/>
        </w:rPr>
        <w:fldChar w:fldCharType="begin"/>
      </w:r>
      <w:r w:rsidR="00DE604C">
        <w:rPr>
          <w:rFonts w:ascii="Cambria" w:hAnsi="Cambria" w:cs="Times New Roman"/>
          <w:lang w:val="en-US"/>
        </w:rPr>
        <w:instrText xml:space="preserve"> ADDIN ZOTERO_ITEM CSL_CITATION {"citationID":"2PJNyATd","properties":{"formattedCitation":"(Nastiti &amp; Kasri, 2019)","plainCitation":"(Nastiti &amp; Kasri, 2019)","dontUpdate":true,"noteIndex":0},"citationItems":[{"id":1743,"uris":["http://zotero.org/groups/2238283/items/CD48I2UN"],"uri":["http://zotero.org/groups/2238283/items/CD48I2UN"],"itemData":{"id":1743,"type":"article-journal","abstract":"Purpose The 2015 global economic crisis has triggered the issuance of several banking regulations in Indonesia, including those related to temporary stimulus for Islamic banks and branchless banking (fintech). However, few studies attempt to evaluate the effectiveness of such regulations. Thus, this study aims to determine the role and assess the effectiveness of such banking regulations. Design/methodology/approach The data used cover all 12 Islamic commercial banks in Indonesia during the stimulus period of Q3.2015 to Q2.2017. The variables included were banks’ fundamental factors (Islamic financing, capital adequacy ratio, investment, non-performing financing, return on asset, efficiency, financing deposit ratio and fintech) and macroeconomic variables (inflation, exchange rate and money supply). The model was analyzed by using multiple linear regressions with generalized least square estimation technique. Findings The main finding suggests that the stimulus regulation indeed played a positive role in the acceleration of Islamic bank financing. However, the fintech-related regulation was not yet effective to achieve the goal, at least in the short term. Furthermore, the study found that return of assets, operational efficiency, financing deposit ratio and money supply also influenced Islamic financing. Practical implications For policymakers, the effectiveness of the temporary stimulus in accelerating Islamic banking financing and preventing the possible negative impacts of the external crisis provides indications that the regulator could conduct similar policy in the future. More generally, the findings are also expected to enrich Islamic banking literature. Originality/value This is possibly one of the few studies to investigate the role and effectiveness of banking regulations on Islamic banking financing in Indonesia.","container-title":"International Journal of Islamic and Middle Eastern Finance and Management","DOI":"10.1108/IMEFM-10-2018-0365","ISSN":"1753-8394","issue":"5","note":"publisher: Emerald Publishing Limited","page":"643-662","source":"Emerald Insight","title":"The role of banking regulation in the development of Islamic banking financing in Indonesia","volume":"12","author":[{"family":"Nastiti","given":"Nur Dyah"},{"family":"Kasri","given":"Rahmatina Awaliah"}],"issued":{"date-parts":[["2019",1,1]]}}}],"schema":"https://github.com/citation-style-language/schema/raw/master/csl-citation.json"} </w:instrText>
      </w:r>
      <w:r>
        <w:rPr>
          <w:rFonts w:ascii="Cambria" w:hAnsi="Cambria" w:cs="Times New Roman"/>
          <w:lang w:val="en-US"/>
        </w:rPr>
        <w:fldChar w:fldCharType="separate"/>
      </w:r>
      <w:r>
        <w:rPr>
          <w:rFonts w:ascii="Cambria" w:hAnsi="Cambria"/>
        </w:rPr>
        <w:t>Nastiti &amp; Kasri</w:t>
      </w:r>
      <w:r w:rsidRPr="00904861">
        <w:rPr>
          <w:rFonts w:ascii="Cambria" w:hAnsi="Cambria"/>
        </w:rPr>
        <w:t xml:space="preserve"> </w:t>
      </w:r>
      <w:r>
        <w:rPr>
          <w:rFonts w:ascii="Cambria" w:hAnsi="Cambria"/>
          <w:lang w:val="en-US"/>
        </w:rPr>
        <w:t>(</w:t>
      </w:r>
      <w:r w:rsidRPr="00904861">
        <w:rPr>
          <w:rFonts w:ascii="Cambria" w:hAnsi="Cambria"/>
        </w:rPr>
        <w:t>2019)</w:t>
      </w:r>
      <w:r>
        <w:rPr>
          <w:rFonts w:ascii="Cambria" w:hAnsi="Cambria" w:cs="Times New Roman"/>
          <w:lang w:val="en-US"/>
        </w:rPr>
        <w:fldChar w:fldCharType="end"/>
      </w:r>
      <w:r w:rsidRPr="00904861">
        <w:rPr>
          <w:rFonts w:ascii="Cambria" w:hAnsi="Cambria" w:cs="Times New Roman"/>
          <w:lang w:val="en-US"/>
        </w:rPr>
        <w:t xml:space="preserve"> that BOPO has a negative effect on the amount of financing disbursed. When the BOPO decreases, there will be an increase in the distribution of financing. From the explanation, the fourth hypothesis is proposed.</w:t>
      </w:r>
    </w:p>
    <w:p w14:paraId="15F49663" w14:textId="6D70F448" w:rsidR="00657386" w:rsidRDefault="00657386" w:rsidP="00657386">
      <w:pPr>
        <w:spacing w:after="0" w:line="240" w:lineRule="auto"/>
        <w:ind w:firstLine="426"/>
        <w:jc w:val="both"/>
        <w:rPr>
          <w:rFonts w:ascii="Cambria" w:hAnsi="Cambria" w:cs="Times New Roman"/>
        </w:rPr>
      </w:pPr>
      <w:r w:rsidRPr="00005EA2">
        <w:rPr>
          <w:rFonts w:ascii="Cambria" w:hAnsi="Cambria" w:cs="Times New Roman"/>
        </w:rPr>
        <w:t>H</w:t>
      </w:r>
      <w:r>
        <w:rPr>
          <w:rFonts w:ascii="Cambria" w:hAnsi="Cambria" w:cs="Times New Roman"/>
          <w:vertAlign w:val="subscript"/>
        </w:rPr>
        <w:t>4</w:t>
      </w:r>
      <w:r w:rsidRPr="00005EA2">
        <w:rPr>
          <w:rFonts w:ascii="Cambria" w:hAnsi="Cambria" w:cs="Times New Roman"/>
        </w:rPr>
        <w:t xml:space="preserve"> : </w:t>
      </w:r>
      <w:r>
        <w:rPr>
          <w:rFonts w:ascii="Cambria" w:hAnsi="Cambria" w:cs="Times New Roman"/>
          <w:lang w:val="en-US"/>
        </w:rPr>
        <w:t xml:space="preserve">Eficiency </w:t>
      </w:r>
      <w:r w:rsidRPr="00005EA2">
        <w:rPr>
          <w:rFonts w:ascii="Cambria" w:hAnsi="Cambria" w:cs="Times New Roman"/>
        </w:rPr>
        <w:t xml:space="preserve">has a significant </w:t>
      </w:r>
      <w:r>
        <w:rPr>
          <w:rFonts w:ascii="Cambria" w:hAnsi="Cambria" w:cs="Times New Roman"/>
        </w:rPr>
        <w:t xml:space="preserve">negative </w:t>
      </w:r>
      <w:r w:rsidRPr="00005EA2">
        <w:rPr>
          <w:rFonts w:ascii="Cambria" w:hAnsi="Cambria" w:cs="Times New Roman"/>
        </w:rPr>
        <w:t xml:space="preserve">effect on profit sharing financing. </w:t>
      </w:r>
    </w:p>
    <w:p w14:paraId="4628D993" w14:textId="77777777" w:rsidR="00A65244" w:rsidRDefault="00A65244" w:rsidP="00657386">
      <w:pPr>
        <w:spacing w:after="0" w:line="240" w:lineRule="auto"/>
        <w:ind w:firstLine="426"/>
        <w:jc w:val="both"/>
        <w:rPr>
          <w:rFonts w:ascii="Cambria" w:hAnsi="Cambria" w:cs="Times New Roman"/>
          <w:color w:val="0070C0"/>
          <w:lang w:val="en-US"/>
        </w:rPr>
      </w:pPr>
    </w:p>
    <w:p w14:paraId="01C1E60D" w14:textId="06B4FFDB" w:rsidR="00657386" w:rsidRPr="00132D9C" w:rsidRDefault="00132D9C" w:rsidP="00657386">
      <w:pPr>
        <w:spacing w:after="0" w:line="240" w:lineRule="auto"/>
        <w:ind w:firstLine="426"/>
        <w:jc w:val="both"/>
        <w:rPr>
          <w:rFonts w:ascii="Cambria" w:hAnsi="Cambria" w:cs="Times New Roman"/>
          <w:lang w:val="en-US"/>
        </w:rPr>
      </w:pPr>
      <w:r w:rsidRPr="00132D9C">
        <w:rPr>
          <w:rFonts w:ascii="Cambria" w:hAnsi="Cambria" w:cs="Times New Roman"/>
          <w:lang w:val="en-US"/>
        </w:rPr>
        <w:t>High economic growth in a country indicates that production activity in that country has increased. Economic growth has provided optimism for business development. High business activity indirectly requires additional business capital, one of wh</w:t>
      </w:r>
      <w:r>
        <w:rPr>
          <w:rFonts w:ascii="Cambria" w:hAnsi="Cambria" w:cs="Times New Roman"/>
          <w:lang w:val="en-US"/>
        </w:rPr>
        <w:t>ich can be obtained from profit-</w:t>
      </w:r>
      <w:r w:rsidRPr="00132D9C">
        <w:rPr>
          <w:rFonts w:ascii="Cambria" w:hAnsi="Cambria" w:cs="Times New Roman"/>
          <w:lang w:val="en-US"/>
        </w:rPr>
        <w:t>sharing financing. This indicates that an increase in a country's economic growth will be followed by an increase in profit-sharing financing in that country. As stated by Ayubi et al. (2017), Hafizh (2020) and Anwar et al. (2020) that economic growth has a positive impact on the growth of profit sharing financing. From the above thinking, the fifth hypothesis of this study is proposed.</w:t>
      </w:r>
    </w:p>
    <w:p w14:paraId="633A20EA" w14:textId="367DBA50" w:rsidR="00657386" w:rsidRDefault="00657386" w:rsidP="00657386">
      <w:pPr>
        <w:spacing w:after="0" w:line="240" w:lineRule="auto"/>
        <w:ind w:firstLine="426"/>
        <w:jc w:val="both"/>
        <w:rPr>
          <w:rFonts w:ascii="Cambria" w:hAnsi="Cambria" w:cs="Times New Roman"/>
        </w:rPr>
      </w:pPr>
      <w:r w:rsidRPr="00005EA2">
        <w:rPr>
          <w:rFonts w:ascii="Cambria" w:hAnsi="Cambria" w:cs="Times New Roman"/>
        </w:rPr>
        <w:t>H</w:t>
      </w:r>
      <w:r>
        <w:rPr>
          <w:rFonts w:ascii="Cambria" w:hAnsi="Cambria" w:cs="Times New Roman"/>
          <w:vertAlign w:val="subscript"/>
        </w:rPr>
        <w:t>5</w:t>
      </w:r>
      <w:r w:rsidRPr="00005EA2">
        <w:rPr>
          <w:rFonts w:ascii="Cambria" w:hAnsi="Cambria" w:cs="Times New Roman"/>
        </w:rPr>
        <w:t xml:space="preserve"> : </w:t>
      </w:r>
      <w:r>
        <w:rPr>
          <w:rFonts w:ascii="Cambria" w:hAnsi="Cambria" w:cs="Times New Roman"/>
          <w:lang w:val="en-US"/>
        </w:rPr>
        <w:t xml:space="preserve">Economic growth </w:t>
      </w:r>
      <w:r w:rsidRPr="00005EA2">
        <w:rPr>
          <w:rFonts w:ascii="Cambria" w:hAnsi="Cambria" w:cs="Times New Roman"/>
        </w:rPr>
        <w:t xml:space="preserve">has a significant </w:t>
      </w:r>
      <w:r>
        <w:rPr>
          <w:rFonts w:ascii="Cambria" w:hAnsi="Cambria" w:cs="Times New Roman"/>
          <w:lang w:val="en-US"/>
        </w:rPr>
        <w:t xml:space="preserve">positive </w:t>
      </w:r>
      <w:r w:rsidRPr="00005EA2">
        <w:rPr>
          <w:rFonts w:ascii="Cambria" w:hAnsi="Cambria" w:cs="Times New Roman"/>
        </w:rPr>
        <w:t xml:space="preserve">effect on profit sharing financing. </w:t>
      </w:r>
    </w:p>
    <w:p w14:paraId="62E5653B" w14:textId="77777777" w:rsidR="00132D9C" w:rsidRDefault="00132D9C" w:rsidP="00657386">
      <w:pPr>
        <w:spacing w:after="0" w:line="240" w:lineRule="auto"/>
        <w:ind w:firstLine="426"/>
        <w:jc w:val="both"/>
        <w:rPr>
          <w:rFonts w:ascii="Cambria" w:hAnsi="Cambria" w:cs="Times New Roman"/>
          <w:color w:val="0070C0"/>
          <w:lang w:val="en-US"/>
        </w:rPr>
      </w:pPr>
    </w:p>
    <w:p w14:paraId="371D4DA5" w14:textId="19BA485D" w:rsidR="00DE604C" w:rsidRDefault="00DE604C" w:rsidP="00657386">
      <w:pPr>
        <w:spacing w:after="0" w:line="240" w:lineRule="auto"/>
        <w:ind w:firstLine="426"/>
        <w:jc w:val="both"/>
        <w:rPr>
          <w:rFonts w:ascii="Cambria" w:hAnsi="Cambria" w:cs="Times New Roman"/>
          <w:lang w:val="en-US"/>
        </w:rPr>
      </w:pPr>
      <w:r w:rsidRPr="00DE604C">
        <w:rPr>
          <w:rFonts w:ascii="Cambria" w:hAnsi="Cambria" w:cs="Times New Roman"/>
          <w:lang w:val="en-US"/>
        </w:rPr>
        <w:t>Inflation is one of the government's indicators in making monetary policy. The increase in inflation will be responded to by an increase in interest rates, which means increasing the price of financing in the banking sector (including Islamic banks)</w:t>
      </w:r>
      <w:r>
        <w:rPr>
          <w:rFonts w:ascii="Cambria" w:hAnsi="Cambria" w:cs="Times New Roman"/>
          <w:lang w:val="en-US"/>
        </w:rPr>
        <w:t xml:space="preserve"> </w:t>
      </w:r>
      <w:r>
        <w:rPr>
          <w:rFonts w:ascii="Cambria" w:hAnsi="Cambria" w:cs="Times New Roman"/>
          <w:lang w:val="en-US"/>
        </w:rPr>
        <w:fldChar w:fldCharType="begin"/>
      </w:r>
      <w:r>
        <w:rPr>
          <w:rFonts w:ascii="Cambria" w:hAnsi="Cambria" w:cs="Times New Roman"/>
          <w:lang w:val="en-US"/>
        </w:rPr>
        <w:instrText xml:space="preserve"> ADDIN ZOTERO_ITEM CSL_CITATION {"citationID":"6WerVxLG","properties":{"formattedCitation":"(Mubarok et al., 2020)","plainCitation":"(Mubarok et al., 2020)","noteIndex":0},"citationItems":[{"id":3135,"uris":["http://zotero.org/groups/2238283/items/V7BYDMIG"],"uri":["http://zotero.org/groups/2238283/items/V7BYDMIG"],"itemData":{"id":3135,"type":"article-journal","abstract":"This study aims to analyze the effect of the movement of macroeconomic variables on financing using the musharaka contract on Islamic banks. This study consists of sharia commercial banks and sharia business units using monthly data from January 2004 to December 2019. This study uses Vector Error Correction Model (VECM) to answer the research objectives. All variables tested have an influence on financing using the musharaka contract. Financing using the musharaka contract responds negatively to movements in the exchange rate and interest rates while inflation responds positively and negatively. Islamic banking needs to prepare more reserve funds in the face of such movements before achieving stability. The musharaka contract financing itself dominates the forecasting then followed by interest rates, inflation, and exchange rates. Therefore, Islamic banking needs to prepare a reserve fund in the face of these shocks before achieving stability. JEL Classification: E31, E43, E52, G32 How to Cite:Mubarok, F., Hamid, A., &amp; Al Arif, M. N. R. (2020). Macroeconomics fluctuations and its impact on musharaka financing. Jurnal Keuangan dan Perbankan, 24(2), 164-174.DOI: https://doi.org/10.26905/jkdp.v24i2.4061","container-title":"Jurnal Keuangan dan Perbankan","DOI":"10.26905/jkdp.v24i2.4061","ISSN":"2443-2687","issue":"2","language":"en","note":"number: 2","page":"164-174","source":"jurnal.unmer.ac.id","title":"Macroeconomics fluctuations and its impact on musharaka financing","volume":"24","author":[{"family":"Mubarok","given":"Faizul"},{"family":"Hamid","given":"Abdul"},{"family":"Arif","given":"Mohammad Nur Rianto Al"}],"issued":{"date-parts":[["2020",4,27]]}}}],"schema":"https://github.com/citation-style-language/schema/raw/master/csl-citation.json"} </w:instrText>
      </w:r>
      <w:r>
        <w:rPr>
          <w:rFonts w:ascii="Cambria" w:hAnsi="Cambria" w:cs="Times New Roman"/>
          <w:lang w:val="en-US"/>
        </w:rPr>
        <w:fldChar w:fldCharType="separate"/>
      </w:r>
      <w:r w:rsidRPr="00DE604C">
        <w:rPr>
          <w:rFonts w:ascii="Cambria" w:hAnsi="Cambria"/>
        </w:rPr>
        <w:t>(Mubarok et al., 2020)</w:t>
      </w:r>
      <w:r>
        <w:rPr>
          <w:rFonts w:ascii="Cambria" w:hAnsi="Cambria" w:cs="Times New Roman"/>
          <w:lang w:val="en-US"/>
        </w:rPr>
        <w:fldChar w:fldCharType="end"/>
      </w:r>
      <w:r w:rsidRPr="00DE604C">
        <w:rPr>
          <w:rFonts w:ascii="Cambria" w:hAnsi="Cambria" w:cs="Times New Roman"/>
          <w:lang w:val="en-US"/>
        </w:rPr>
        <w:t xml:space="preserve">. The high inflation will eventually cause a decline in the distribution of financing, including </w:t>
      </w:r>
      <w:r>
        <w:rPr>
          <w:rFonts w:ascii="Cambria" w:hAnsi="Cambria" w:cs="Times New Roman"/>
          <w:lang w:val="en-US"/>
        </w:rPr>
        <w:t>profit-</w:t>
      </w:r>
      <w:r w:rsidRPr="00DE604C">
        <w:rPr>
          <w:rFonts w:ascii="Cambria" w:hAnsi="Cambria" w:cs="Times New Roman"/>
          <w:lang w:val="en-US"/>
        </w:rPr>
        <w:t xml:space="preserve">sharing financing. The same thing was conveyed by </w:t>
      </w:r>
      <w:r>
        <w:rPr>
          <w:rFonts w:ascii="Cambria" w:hAnsi="Cambria" w:cs="Times New Roman"/>
          <w:lang w:val="en-US"/>
        </w:rPr>
        <w:fldChar w:fldCharType="begin"/>
      </w:r>
      <w:r w:rsidR="00BE7318">
        <w:rPr>
          <w:rFonts w:ascii="Cambria" w:hAnsi="Cambria" w:cs="Times New Roman"/>
          <w:lang w:val="en-US"/>
        </w:rPr>
        <w:instrText xml:space="preserve"> ADDIN ZOTERO_ITEM CSL_CITATION {"citationID":"EaE6y7pG","properties":{"formattedCitation":"(Nastiti &amp; Kasri, 2019; Priyanto et al., 2016)","plainCitation":"(Nastiti &amp; Kasri, 2019; Priyanto et al., 2016)","noteIndex":0},"citationItems":[{"id":1743,"uris":["http://zotero.org/groups/2238283/items/CD48I2UN"],"uri":["http://zotero.org/groups/2238283/items/CD48I2UN"],"itemData":{"id":1743,"type":"article-journal","abstract":"Purpose The 2015 global economic crisis has triggered the issuance of several banking regulations in Indonesia, including those related to temporary stimulus for Islamic banks and branchless banking (fintech). However, few studies attempt to evaluate the effectiveness of such regulations. Thus, this study aims to determine the role and assess the effectiveness of such banking regulations. Design/methodology/approach The data used cover all 12 Islamic commercial banks in Indonesia during the stimulus period of Q3.2015 to Q2.2017. The variables included were banks’ fundamental factors (Islamic financing, capital adequacy ratio, investment, non-performing financing, return on asset, efficiency, financing deposit ratio and fintech) and macroeconomic variables (inflation, exchange rate and money supply). The model was analyzed by using multiple linear regressions with generalized least square estimation technique. Findings The main finding suggests that the stimulus regulation indeed played a positive role in the acceleration of Islamic bank financing. However, the fintech-related regulation was not yet effective to achieve the goal, at least in the short term. Furthermore, the study found that return of assets, operational efficiency, financing deposit ratio and money supply also influenced Islamic financing. Practical implications For policymakers, the effectiveness of the temporary stimulus in accelerating Islamic banking financing and preventing the possible negative impacts of the external crisis provides indications that the regulator could conduct similar policy in the future. More generally, the findings are also expected to enrich Islamic banking literature. Originality/value This is possibly one of the few studies to investigate the role and effectiveness of banking regulations on Islamic banking financing in Indonesia.","container-title":"International Journal of Islamic and Middle Eastern Finance and Management","DOI":"10.1108/IMEFM-10-2018-0365","ISSN":"1753-8394","issue":"5","note":"publisher: Emerald Publishing Limited","page":"643-662","source":"Emerald Insight","title":"The role of banking regulation in the development of Islamic banking financing in Indonesia","volume":"12","author":[{"family":"Nastiti","given":"Nur Dyah"},{"family":"Kasri","given":"Rahmatina Awaliah"}],"issued":{"date-parts":[["2019",1,1]]}}},{"id":1745,"uris":["http://zotero.org/groups/2238283/items/72T7KMRV"],"uri":["http://zotero.org/groups/2238283/items/72T7KMRV"],"itemData":{"id":1745,"type":"article-journal","abstract":"This study aims to determine the factors that affect the equity financing at the Islamic Banking which covers quantitative financing profit and loss sharing and to formulate policies to be performed by the management in maintaining the financing growth. The study was conducted by utilizing Autoregressive Distributed Lag (ARDL) model with variables including BI rate and inflation as the external factor. The test results of both external factors indicated a negative impact on both financing. BI rate as an indicator of the government's policy becomes the fastest variable affecting the equity financing i.e. at lag 1. Inflation comes as the macroeconomic indicator at lags 2, 9 and 10. All internal factors have a negative impact on both financing types except for the cost of education and training, and autoregressive variables. The fund of the third party influences the sharing of profit and loss (mudharabah) at lag 1 and at 9, meanwhile the capital adequacy ratio affects the profit sharing (mudharabah) at lag 8, and it affects the loss sharing (musyarakah) at lag 6. The cost of education and training has an effect on loss sharing at lag 5, and Islamic banking basic education affects profit financing at lag 2 whereas the trend of financing profit sharing is at lag 8 and loss sharing at lags 1 and 2 and since it autoregressive, it affects each financing of the current period.Keywords: autoregressive, dynamic, mudaraba, musharaka, profit and loss sharing financingABSTRAKPenelitian ini bertujuan mengetahui faktor-faktor yang memengaruhi pembiayaan berbasis bagi hasil pada Bank Syariah yang meliputi pembiayaan mudharabah dan musyarakah secara kuantitatif dan merumuskan kebijakan-kebijakan yang dapat dilakukan manajemen dalam menjaga pertumbuhan pembiayaannya. Penelitian dilakukan menggunakan Autoregressive Distributed Lag (ARDL) Model dengan variabel yang digunakan meliputi BI Rate dan inflasi sebagai faktor eksternal. Hasil pengujian kedua faktor eksternal memberikan pengaruh negatif terhadap kedua pembiayaan tersebut. BI Rate sebagai indikator kebijakan pemerintah menjadi variabel yang paling cepat memengaruhi pembiayaan berbasis bagi hasil yaitu pada lag 1. Berikutnya diikuti oleh inflasi sebagai indikator makroekonomi pada lag 2, 9 dan 10. Seluruh faktor internal memberikan pengaruh negatif terhadap kedua jenis pembiayaan kecuali biaya pendidikan dan pelatihan dan variabel autoregressive. Dana pihak ketiga memengaruhi pembiayaan mudharabah pada lag 1 dan 9. Sementara rasio kecukupan modal pada lag 8 memengaruhi pembiayaan mudharabah dan pada lag 6 memengaruhi pembiayaan musyarakah. Biaya pendidikan dan pelatihan memengaruhi pembiayaan musyarakah pada lag 5, pendidikan dasar perbankan syariah memengaruhi pembiayaan mudharabah pada lag 2. Sementara tren pembiayaan mudharabah pada lag 8 dan pembiayaan musyarakah pada lag 1 dan 2 sebagai autoregressive memengaruhi masing-masing pembiayaan pada periode kini.Kata kunci:    autoregressive, dynamic, mudaraba, musharaka, profit and loss sharing financing","container-title":"Jurnal Aplikasi Bisnis dan Manajemen (JABM)","DOI":"10.17358/jabm.2.3.281","ISSN":"2460-7819","issue":"3","language":"en","page":"281-290","source":"journal.ipb.ac.id","title":"Faktor-Faktor Yang Mempengaruhi Pembiayaan Berbasis Bagi Hasil (Equity Financing) Pada Bank Syariah X","volume":"2","author":[{"family":"Priyanto","given":"Toni"},{"family":"Fahmi","given":"Idqan"},{"family":"Ismal","given":"Rifki"}],"issued":{"date-parts":[["2016",9,1]]}}}],"schema":"https://github.com/citation-style-language/schema/raw/master/csl-citation.json"} </w:instrText>
      </w:r>
      <w:r>
        <w:rPr>
          <w:rFonts w:ascii="Cambria" w:hAnsi="Cambria" w:cs="Times New Roman"/>
          <w:lang w:val="en-US"/>
        </w:rPr>
        <w:fldChar w:fldCharType="separate"/>
      </w:r>
      <w:r w:rsidR="00BE7318">
        <w:rPr>
          <w:rFonts w:ascii="Cambria" w:hAnsi="Cambria"/>
        </w:rPr>
        <w:t>Priyanto et al.</w:t>
      </w:r>
      <w:r w:rsidR="00BE7318" w:rsidRPr="00BE7318">
        <w:rPr>
          <w:rFonts w:ascii="Cambria" w:hAnsi="Cambria"/>
        </w:rPr>
        <w:t xml:space="preserve"> </w:t>
      </w:r>
      <w:r w:rsidR="00BE7318">
        <w:rPr>
          <w:rFonts w:ascii="Cambria" w:hAnsi="Cambria"/>
          <w:lang w:val="en-US"/>
        </w:rPr>
        <w:t>(</w:t>
      </w:r>
      <w:r w:rsidR="00BE7318" w:rsidRPr="00BE7318">
        <w:rPr>
          <w:rFonts w:ascii="Cambria" w:hAnsi="Cambria"/>
        </w:rPr>
        <w:t>2016</w:t>
      </w:r>
      <w:r w:rsidR="00BE7318">
        <w:rPr>
          <w:rFonts w:ascii="Cambria" w:hAnsi="Cambria"/>
          <w:lang w:val="en-US"/>
        </w:rPr>
        <w:t xml:space="preserve">) and </w:t>
      </w:r>
      <w:r w:rsidR="00BE7318">
        <w:rPr>
          <w:rFonts w:ascii="Cambria" w:hAnsi="Cambria"/>
        </w:rPr>
        <w:t xml:space="preserve">Nastiti &amp; Kasri </w:t>
      </w:r>
      <w:r w:rsidR="00BE7318">
        <w:rPr>
          <w:rFonts w:ascii="Cambria" w:hAnsi="Cambria"/>
          <w:lang w:val="en-US"/>
        </w:rPr>
        <w:t>(</w:t>
      </w:r>
      <w:r w:rsidR="00BE7318">
        <w:rPr>
          <w:rFonts w:ascii="Cambria" w:hAnsi="Cambria"/>
        </w:rPr>
        <w:t>2019</w:t>
      </w:r>
      <w:r w:rsidR="00BE7318" w:rsidRPr="00BE7318">
        <w:rPr>
          <w:rFonts w:ascii="Cambria" w:hAnsi="Cambria"/>
        </w:rPr>
        <w:t>)</w:t>
      </w:r>
      <w:r>
        <w:rPr>
          <w:rFonts w:ascii="Cambria" w:hAnsi="Cambria" w:cs="Times New Roman"/>
          <w:lang w:val="en-US"/>
        </w:rPr>
        <w:fldChar w:fldCharType="end"/>
      </w:r>
      <w:r w:rsidRPr="00DE604C">
        <w:rPr>
          <w:rFonts w:ascii="Cambria" w:hAnsi="Cambria" w:cs="Times New Roman"/>
          <w:lang w:val="en-US"/>
        </w:rPr>
        <w:t xml:space="preserve"> stated that inflation has a significant negative effect on profit</w:t>
      </w:r>
      <w:r>
        <w:rPr>
          <w:rFonts w:ascii="Cambria" w:hAnsi="Cambria" w:cs="Times New Roman"/>
          <w:lang w:val="en-US"/>
        </w:rPr>
        <w:t>-</w:t>
      </w:r>
      <w:r w:rsidRPr="00DE604C">
        <w:rPr>
          <w:rFonts w:ascii="Cambria" w:hAnsi="Cambria" w:cs="Times New Roman"/>
          <w:lang w:val="en-US"/>
        </w:rPr>
        <w:t>sharing financing.</w:t>
      </w:r>
    </w:p>
    <w:p w14:paraId="480D9FC0" w14:textId="2FC86D7E" w:rsidR="00657386" w:rsidRPr="00DE604C" w:rsidRDefault="00657386" w:rsidP="00657386">
      <w:pPr>
        <w:spacing w:after="0" w:line="240" w:lineRule="auto"/>
        <w:ind w:firstLine="426"/>
        <w:jc w:val="both"/>
        <w:rPr>
          <w:rFonts w:ascii="Cambria" w:hAnsi="Cambria" w:cs="Times New Roman"/>
        </w:rPr>
      </w:pPr>
      <w:r w:rsidRPr="00DE604C">
        <w:rPr>
          <w:rFonts w:ascii="Cambria" w:hAnsi="Cambria" w:cs="Times New Roman"/>
        </w:rPr>
        <w:t>H</w:t>
      </w:r>
      <w:r w:rsidRPr="00DE604C">
        <w:rPr>
          <w:rFonts w:ascii="Cambria" w:hAnsi="Cambria" w:cs="Times New Roman"/>
          <w:vertAlign w:val="subscript"/>
        </w:rPr>
        <w:t>6</w:t>
      </w:r>
      <w:r w:rsidRPr="00DE604C">
        <w:rPr>
          <w:rFonts w:ascii="Cambria" w:hAnsi="Cambria" w:cs="Times New Roman"/>
        </w:rPr>
        <w:t xml:space="preserve"> : </w:t>
      </w:r>
      <w:r w:rsidRPr="00DE604C">
        <w:rPr>
          <w:rFonts w:ascii="Cambria" w:hAnsi="Cambria" w:cs="Times New Roman"/>
          <w:lang w:val="en-US"/>
        </w:rPr>
        <w:t xml:space="preserve">Inflation </w:t>
      </w:r>
      <w:r w:rsidRPr="00DE604C">
        <w:rPr>
          <w:rFonts w:ascii="Cambria" w:hAnsi="Cambria" w:cs="Times New Roman"/>
        </w:rPr>
        <w:t xml:space="preserve">has a significant negative effect on profit sharing financing. </w:t>
      </w:r>
    </w:p>
    <w:p w14:paraId="2146032D" w14:textId="77777777" w:rsidR="00657386" w:rsidRPr="00657386" w:rsidRDefault="00657386" w:rsidP="00657386">
      <w:pPr>
        <w:spacing w:after="0" w:line="240" w:lineRule="auto"/>
        <w:ind w:firstLine="426"/>
        <w:jc w:val="both"/>
        <w:rPr>
          <w:rFonts w:ascii="Cambria" w:hAnsi="Cambria" w:cs="Times New Roman"/>
          <w:color w:val="0070C0"/>
          <w:lang w:val="en-US"/>
        </w:rPr>
      </w:pPr>
    </w:p>
    <w:p w14:paraId="7281ECF2" w14:textId="77777777" w:rsidR="00657386" w:rsidRPr="00005EA2" w:rsidRDefault="00657386" w:rsidP="00FB0B5B">
      <w:pPr>
        <w:spacing w:after="0" w:line="240" w:lineRule="auto"/>
        <w:jc w:val="both"/>
        <w:rPr>
          <w:rFonts w:ascii="Cambria" w:hAnsi="Cambria" w:cs="Times New Roman"/>
          <w:b/>
        </w:rPr>
      </w:pPr>
    </w:p>
    <w:p w14:paraId="46A45686" w14:textId="293B4205" w:rsidR="0030164D" w:rsidRPr="001029A9" w:rsidRDefault="00D16CD7" w:rsidP="001029A9">
      <w:pPr>
        <w:spacing w:after="120" w:line="240" w:lineRule="auto"/>
        <w:jc w:val="both"/>
        <w:rPr>
          <w:rFonts w:cstheme="minorHAnsi"/>
          <w:b/>
          <w:sz w:val="24"/>
          <w:szCs w:val="24"/>
          <w:lang w:val="en-US"/>
        </w:rPr>
      </w:pPr>
      <w:r w:rsidRPr="001029A9">
        <w:rPr>
          <w:rFonts w:cstheme="minorHAnsi"/>
          <w:b/>
          <w:sz w:val="24"/>
          <w:szCs w:val="24"/>
          <w:lang w:val="en-US"/>
        </w:rPr>
        <w:t xml:space="preserve">3. Method, Data, and Analysis </w:t>
      </w:r>
    </w:p>
    <w:p w14:paraId="1C29AB3E" w14:textId="16BF7901" w:rsidR="001E0A5D" w:rsidRDefault="00BF69CA" w:rsidP="001E0A5D">
      <w:pPr>
        <w:spacing w:after="0" w:line="240" w:lineRule="auto"/>
        <w:ind w:firstLine="426"/>
        <w:jc w:val="both"/>
        <w:rPr>
          <w:rFonts w:ascii="Cambria" w:hAnsi="Cambria" w:cs="Times New Roman"/>
        </w:rPr>
      </w:pPr>
      <w:r w:rsidRPr="00BF69CA">
        <w:rPr>
          <w:rFonts w:ascii="Cambria" w:hAnsi="Cambria" w:cs="Times New Roman"/>
          <w:lang w:val="en-US"/>
        </w:rPr>
        <w:t>This study identifies the factors that influence the growth of profit-sharing financing in the Islamic banking industry in Indonesia.</w:t>
      </w:r>
      <w:r w:rsidR="001E0A5D">
        <w:rPr>
          <w:rFonts w:ascii="Cambria" w:hAnsi="Cambria" w:cs="Times New Roman"/>
          <w:lang w:val="en-US"/>
        </w:rPr>
        <w:t xml:space="preserve"> </w:t>
      </w:r>
      <w:r w:rsidRPr="00BF69CA">
        <w:rPr>
          <w:rFonts w:ascii="Cambria" w:hAnsi="Cambria" w:cs="Times New Roman"/>
        </w:rPr>
        <w:t>The sampling technique used in this study refers to the purposive sampling technique, which is to select sample members based on certain considerations and criteria. The sample criteria used include current data which is considered more specific than previous data, and the adequacy of relevant data from the first quarter of 2015 to the third quarter of 2020.</w:t>
      </w:r>
      <w:r w:rsidRPr="00BF69CA">
        <w:rPr>
          <w:rFonts w:ascii="Cambria" w:hAnsi="Cambria" w:cs="Times New Roman"/>
          <w:lang w:val="en-US"/>
        </w:rPr>
        <w:t xml:space="preserve"> </w:t>
      </w:r>
      <w:r w:rsidRPr="00BF69CA">
        <w:rPr>
          <w:rFonts w:ascii="Cambria" w:hAnsi="Cambria" w:cs="Times New Roman"/>
        </w:rPr>
        <w:t>The data collection method is obtained from published Islamic banking statistics, and the documentary data collection method is taken from the Fin</w:t>
      </w:r>
      <w:r w:rsidR="00995165">
        <w:rPr>
          <w:rFonts w:ascii="Cambria" w:hAnsi="Cambria" w:cs="Times New Roman"/>
        </w:rPr>
        <w:t xml:space="preserve">ancial Services Authority (OJK), </w:t>
      </w:r>
      <w:r w:rsidRPr="00BF69CA">
        <w:rPr>
          <w:rFonts w:ascii="Cambria" w:hAnsi="Cambria" w:cs="Times New Roman"/>
        </w:rPr>
        <w:t>Bank Indonesia</w:t>
      </w:r>
      <w:r w:rsidR="00995165">
        <w:rPr>
          <w:rFonts w:ascii="Cambria" w:hAnsi="Cambria" w:cs="Times New Roman"/>
          <w:lang w:val="en-US"/>
        </w:rPr>
        <w:t xml:space="preserve"> (BI) and </w:t>
      </w:r>
      <w:r w:rsidR="00995165" w:rsidRPr="00995165">
        <w:rPr>
          <w:rFonts w:ascii="Cambria" w:hAnsi="Cambria" w:cs="Times New Roman"/>
          <w:lang w:val="en-US"/>
        </w:rPr>
        <w:t>Central Bureau of Statistics</w:t>
      </w:r>
      <w:r w:rsidR="00995165">
        <w:rPr>
          <w:rFonts w:ascii="Cambria" w:hAnsi="Cambria" w:cs="Times New Roman"/>
          <w:lang w:val="en-US"/>
        </w:rPr>
        <w:t xml:space="preserve"> (BPS)</w:t>
      </w:r>
      <w:r w:rsidRPr="00BF69CA">
        <w:rPr>
          <w:rFonts w:ascii="Cambria" w:hAnsi="Cambria" w:cs="Times New Roman"/>
        </w:rPr>
        <w:t>.</w:t>
      </w:r>
    </w:p>
    <w:p w14:paraId="23AFAF9F" w14:textId="66F843D6" w:rsidR="00B223D0" w:rsidRDefault="001E0A5D" w:rsidP="00484666">
      <w:pPr>
        <w:spacing w:after="0" w:line="240" w:lineRule="auto"/>
        <w:ind w:firstLine="426"/>
        <w:jc w:val="both"/>
        <w:rPr>
          <w:rFonts w:ascii="Cambria" w:hAnsi="Cambria" w:cs="Times New Roman"/>
          <w:lang w:val="en-US"/>
        </w:rPr>
      </w:pPr>
      <w:r w:rsidRPr="00005EA2">
        <w:rPr>
          <w:rFonts w:ascii="Cambria" w:hAnsi="Cambria" w:cs="Times New Roman"/>
        </w:rPr>
        <w:t xml:space="preserve">The variables used in this study are profit-sharing financing </w:t>
      </w:r>
      <w:r w:rsidR="00484666">
        <w:rPr>
          <w:rFonts w:ascii="Cambria" w:hAnsi="Cambria" w:cs="Times New Roman"/>
          <w:lang w:val="en-US"/>
        </w:rPr>
        <w:t xml:space="preserve">(PSF) </w:t>
      </w:r>
      <w:r w:rsidRPr="00005EA2">
        <w:rPr>
          <w:rFonts w:ascii="Cambria" w:hAnsi="Cambria" w:cs="Times New Roman"/>
        </w:rPr>
        <w:t xml:space="preserve">at Islamic Commercial Banks (BUS) and Sharia Business Units (UUS) in Indonesia as the dependent variable, while mudharabah deposits, NPF, </w:t>
      </w:r>
      <w:r>
        <w:rPr>
          <w:rFonts w:ascii="Cambria" w:hAnsi="Cambria" w:cs="Times New Roman"/>
          <w:lang w:val="en-US"/>
        </w:rPr>
        <w:t xml:space="preserve">equivalent </w:t>
      </w:r>
      <w:r>
        <w:rPr>
          <w:rFonts w:ascii="Cambria" w:hAnsi="Cambria" w:cs="Times New Roman"/>
        </w:rPr>
        <w:t>rate</w:t>
      </w:r>
      <w:r w:rsidRPr="00005EA2">
        <w:rPr>
          <w:rFonts w:ascii="Cambria" w:hAnsi="Cambria" w:cs="Times New Roman"/>
        </w:rPr>
        <w:t xml:space="preserve">, </w:t>
      </w:r>
      <w:r>
        <w:rPr>
          <w:rFonts w:ascii="Cambria" w:hAnsi="Cambria" w:cs="Times New Roman"/>
          <w:lang w:val="en-US"/>
        </w:rPr>
        <w:t xml:space="preserve">efficiency, economic growth </w:t>
      </w:r>
      <w:r w:rsidRPr="00005EA2">
        <w:rPr>
          <w:rFonts w:ascii="Cambria" w:hAnsi="Cambria" w:cs="Times New Roman"/>
        </w:rPr>
        <w:t xml:space="preserve">and </w:t>
      </w:r>
      <w:r>
        <w:rPr>
          <w:rFonts w:ascii="Cambria" w:hAnsi="Cambria" w:cs="Times New Roman"/>
          <w:lang w:val="en-US"/>
        </w:rPr>
        <w:t xml:space="preserve">inflation </w:t>
      </w:r>
      <w:r w:rsidRPr="00005EA2">
        <w:rPr>
          <w:rFonts w:ascii="Cambria" w:hAnsi="Cambria" w:cs="Times New Roman"/>
        </w:rPr>
        <w:t xml:space="preserve">are independent variables. </w:t>
      </w:r>
      <w:r w:rsidR="00F676A5">
        <w:rPr>
          <w:rFonts w:ascii="Cambria" w:hAnsi="Cambria" w:cs="Times New Roman"/>
        </w:rPr>
        <w:t>Profit-</w:t>
      </w:r>
      <w:r w:rsidRPr="001E0A5D">
        <w:rPr>
          <w:rFonts w:ascii="Cambria" w:hAnsi="Cambria" w:cs="Times New Roman"/>
        </w:rPr>
        <w:t xml:space="preserve">sharing financing </w:t>
      </w:r>
      <w:r w:rsidR="00484666">
        <w:rPr>
          <w:rFonts w:ascii="Cambria" w:hAnsi="Cambria" w:cs="Times New Roman"/>
          <w:lang w:val="en-US"/>
        </w:rPr>
        <w:t xml:space="preserve">(PSF) </w:t>
      </w:r>
      <w:r w:rsidRPr="001E0A5D">
        <w:rPr>
          <w:rFonts w:ascii="Cambria" w:hAnsi="Cambria" w:cs="Times New Roman"/>
        </w:rPr>
        <w:t>is financing under a production sharing contract, which includes mudharabah, musyarakah, and others.</w:t>
      </w:r>
      <w:r w:rsidR="00484666">
        <w:rPr>
          <w:rFonts w:ascii="Cambria" w:hAnsi="Cambria" w:cs="Times New Roman"/>
          <w:lang w:val="en-US"/>
        </w:rPr>
        <w:t xml:space="preserve"> </w:t>
      </w:r>
      <w:r w:rsidRPr="00005EA2">
        <w:rPr>
          <w:rFonts w:ascii="Cambria" w:hAnsi="Cambria" w:cs="Times New Roman"/>
        </w:rPr>
        <w:t xml:space="preserve">Mudharabah deposits </w:t>
      </w:r>
      <w:r w:rsidR="00484666">
        <w:rPr>
          <w:rFonts w:ascii="Cambria" w:hAnsi="Cambria" w:cs="Times New Roman"/>
          <w:lang w:val="en-US"/>
        </w:rPr>
        <w:t xml:space="preserve">(MD) </w:t>
      </w:r>
      <w:r w:rsidRPr="00005EA2">
        <w:rPr>
          <w:rFonts w:ascii="Cambria" w:hAnsi="Cambria" w:cs="Times New Roman"/>
        </w:rPr>
        <w:t xml:space="preserve">are deposits whose withdrawals can only be made at a certain time in accordance with the customer's agreement with the depositor with the mudharabah agreement </w:t>
      </w:r>
      <w:r w:rsidRPr="00005EA2">
        <w:rPr>
          <w:rFonts w:ascii="Cambria" w:hAnsi="Cambria" w:cs="Times New Roman"/>
        </w:rPr>
        <w:fldChar w:fldCharType="begin"/>
      </w:r>
      <w:r w:rsidRPr="00005EA2">
        <w:rPr>
          <w:rFonts w:ascii="Cambria" w:hAnsi="Cambria" w:cs="Times New Roman"/>
        </w:rPr>
        <w:instrText xml:space="preserve"> ADDIN ZOTERO_ITEM CSL_CITATION {"citationID":"lpj2gVH0","properties":{"formattedCitation":"(Kiswanto, 2013)","plainCitation":"(Kiswanto, 2013)","noteIndex":0},"citationItems":[{"id":1748,"uris":["http://zotero.org/groups/2238283/items/HM9EYXIF"],"uri":["http://zotero.org/groups/2238283/items/HM9EYXIF"],"itemData":{"id":1748,"type":"article-journal","abstract":"The purpose of this study was to examine the effect mudharaba deposits, return, profit-sharing rate and the average interest rate loans to profit and loss sharing of Islamic banks either simultaneously or partially. The population is Islamic bank in Indonesia, which consisted of 11 banks with a sample consisting of 7 Islamic banks. Criteria for selection of the sample is using purposive sampling. The unit of analysis is a semi-annual publication of the financial statements of Islamic banks in 2010-2012. The method of data analysis used in this study is multiple linear regression. Variables mudharaba deposits, return, profit sharing rate and the average interest rate are significant effect simultaneously to the profit sharing. While partially only variable mudaraba deposits, profit -sharing and profit sharing rate is significant positive effect on the profit and loss sharing. Meanwhile, the average interest rate credit does not significantly influence the profit and loss sharing. Keywords: Mudharaba Deposits, Return, Profit Sharing Rate, Average Interest Rate, Profit and Loss Sharing.","container-title":"Jurnal Reviu Akuntansi dan Keuangan","ISSN":"2615-2223","issue":"2","language":"en","page":"437-446","source":"ejournal.umm.ac.id","title":"Faktor-Faktor yang Mempengaruhi Pembiayaan Berbasis Bagi Hasil (Profit And Loss Sharing)","volume":"3","author":[{"family":"Kiswanto","given":"Wahyuli Ambarwati Wulandari"}],"issued":{"date-parts":[["2013"]]}}}],"schema":"https://github.com/citation-style-language/schema/raw/master/csl-citation.json"} </w:instrText>
      </w:r>
      <w:r w:rsidRPr="00005EA2">
        <w:rPr>
          <w:rFonts w:ascii="Cambria" w:hAnsi="Cambria" w:cs="Times New Roman"/>
        </w:rPr>
        <w:fldChar w:fldCharType="separate"/>
      </w:r>
      <w:r w:rsidRPr="00005EA2">
        <w:rPr>
          <w:rFonts w:ascii="Cambria" w:hAnsi="Cambria" w:cs="Times New Roman"/>
        </w:rPr>
        <w:t>(Kiswanto, 2013)</w:t>
      </w:r>
      <w:r w:rsidRPr="00005EA2">
        <w:rPr>
          <w:rFonts w:ascii="Cambria" w:hAnsi="Cambria" w:cs="Times New Roman"/>
        </w:rPr>
        <w:fldChar w:fldCharType="end"/>
      </w:r>
      <w:r w:rsidRPr="00005EA2">
        <w:rPr>
          <w:rFonts w:ascii="Cambria" w:hAnsi="Cambria" w:cs="Times New Roman"/>
        </w:rPr>
        <w:t>. In this study, the deposits used are deposits with a mudharabah contract.</w:t>
      </w:r>
      <w:r w:rsidR="00484666">
        <w:rPr>
          <w:rFonts w:ascii="Cambria" w:hAnsi="Cambria" w:cs="Times New Roman"/>
          <w:lang w:val="en-US"/>
        </w:rPr>
        <w:t xml:space="preserve"> </w:t>
      </w:r>
    </w:p>
    <w:p w14:paraId="6A424610" w14:textId="6D34F534" w:rsidR="001E0A5D" w:rsidRPr="00484666" w:rsidRDefault="00484666" w:rsidP="00484666">
      <w:pPr>
        <w:spacing w:after="0" w:line="240" w:lineRule="auto"/>
        <w:ind w:firstLine="426"/>
        <w:jc w:val="both"/>
        <w:rPr>
          <w:rFonts w:ascii="Cambria" w:hAnsi="Cambria" w:cs="Times New Roman"/>
        </w:rPr>
      </w:pPr>
      <w:r>
        <w:rPr>
          <w:rFonts w:ascii="Cambria" w:hAnsi="Cambria" w:cs="Times New Roman"/>
        </w:rPr>
        <w:lastRenderedPageBreak/>
        <w:t>Non-performing f</w:t>
      </w:r>
      <w:r w:rsidR="001E0A5D" w:rsidRPr="00484666">
        <w:rPr>
          <w:rFonts w:ascii="Cambria" w:hAnsi="Cambria" w:cs="Times New Roman"/>
        </w:rPr>
        <w:t>inancing (NPF) is problematic financing made by customers. NPF is categorized as substandard, doubtful, non-performing financing. In this study, the data used is only NPF from profit-sharing based financing only. NPF is obtained by the formula below:</w:t>
      </w:r>
    </w:p>
    <w:p w14:paraId="0B86BB71" w14:textId="77777777" w:rsidR="001E0A5D" w:rsidRPr="00005EA2" w:rsidRDefault="001E0A5D" w:rsidP="001E0A5D">
      <w:pPr>
        <w:pStyle w:val="ListParagraph"/>
        <w:spacing w:after="0" w:line="240" w:lineRule="auto"/>
        <w:ind w:left="426"/>
        <w:contextualSpacing w:val="0"/>
        <w:jc w:val="both"/>
        <w:rPr>
          <w:rFonts w:ascii="Cambria" w:eastAsiaTheme="minorEastAsia" w:hAnsi="Cambria" w:cs="Times New Roman"/>
        </w:rPr>
      </w:pPr>
      <m:oMathPara>
        <m:oMath>
          <m:r>
            <m:rPr>
              <m:sty m:val="p"/>
            </m:rPr>
            <w:rPr>
              <w:rFonts w:ascii="Cambria Math" w:hAnsi="Cambria Math" w:cs="Times New Roman"/>
            </w:rPr>
            <m:t>NPF=</m:t>
          </m:r>
          <m:f>
            <m:fPr>
              <m:ctrlPr>
                <w:rPr>
                  <w:rFonts w:ascii="Cambria Math" w:hAnsi="Cambria Math" w:cs="Times New Roman"/>
                  <w:iCs/>
                </w:rPr>
              </m:ctrlPr>
            </m:fPr>
            <m:num>
              <m:r>
                <m:rPr>
                  <m:sty m:val="p"/>
                </m:rPr>
                <w:rPr>
                  <w:rFonts w:ascii="Cambria Math" w:hAnsi="Cambria Math" w:cs="Times New Roman"/>
                </w:rPr>
                <m:t>Problematic Financing</m:t>
              </m:r>
            </m:num>
            <m:den>
              <m:r>
                <m:rPr>
                  <m:sty m:val="p"/>
                </m:rPr>
                <w:rPr>
                  <w:rFonts w:ascii="Cambria Math" w:hAnsi="Cambria Math" w:cs="Times New Roman"/>
                </w:rPr>
                <m:t>Total Financing</m:t>
              </m:r>
            </m:den>
          </m:f>
          <m:r>
            <m:rPr>
              <m:sty m:val="p"/>
            </m:rPr>
            <w:rPr>
              <w:rFonts w:ascii="Cambria Math" w:hAnsi="Cambria Math" w:cs="Times New Roman"/>
            </w:rPr>
            <m:t>×100%</m:t>
          </m:r>
        </m:oMath>
      </m:oMathPara>
    </w:p>
    <w:p w14:paraId="4AD1998B" w14:textId="6B10590B" w:rsidR="001E0A5D" w:rsidRPr="00B223D0" w:rsidRDefault="001E0A5D" w:rsidP="00B223D0">
      <w:pPr>
        <w:spacing w:after="0" w:line="240" w:lineRule="auto"/>
        <w:ind w:firstLine="426"/>
        <w:jc w:val="both"/>
        <w:rPr>
          <w:rFonts w:ascii="Cambria" w:hAnsi="Cambria" w:cs="Times New Roman"/>
        </w:rPr>
      </w:pPr>
      <w:r w:rsidRPr="00B223D0">
        <w:rPr>
          <w:rFonts w:ascii="Cambria" w:hAnsi="Cambria" w:cs="Times New Roman"/>
        </w:rPr>
        <w:t xml:space="preserve">The </w:t>
      </w:r>
      <w:r w:rsidR="00B223D0">
        <w:rPr>
          <w:rFonts w:ascii="Cambria" w:hAnsi="Cambria" w:cs="Times New Roman"/>
          <w:lang w:val="en-US"/>
        </w:rPr>
        <w:t xml:space="preserve">equivalent </w:t>
      </w:r>
      <w:r w:rsidRPr="00B223D0">
        <w:rPr>
          <w:rFonts w:ascii="Cambria" w:hAnsi="Cambria" w:cs="Times New Roman"/>
        </w:rPr>
        <w:t xml:space="preserve">rate </w:t>
      </w:r>
      <w:r w:rsidR="00B223D0">
        <w:rPr>
          <w:rFonts w:ascii="Cambria" w:hAnsi="Cambria" w:cs="Times New Roman"/>
          <w:lang w:val="en-US"/>
        </w:rPr>
        <w:t xml:space="preserve">(ER) </w:t>
      </w:r>
      <w:r w:rsidRPr="00B223D0">
        <w:rPr>
          <w:rFonts w:ascii="Cambria" w:hAnsi="Cambria" w:cs="Times New Roman"/>
        </w:rPr>
        <w:t xml:space="preserve">is the proportion of profit sharing that will be received by fund owners and fund managers who have made a qabul consent / agreement (Rahmawati, 2017). </w:t>
      </w:r>
      <w:r w:rsidR="00B223D0">
        <w:rPr>
          <w:rFonts w:ascii="Cambria" w:hAnsi="Cambria" w:cs="Times New Roman"/>
          <w:lang w:val="en-US"/>
        </w:rPr>
        <w:t>I</w:t>
      </w:r>
      <w:r w:rsidRPr="00B223D0">
        <w:rPr>
          <w:rFonts w:ascii="Cambria" w:hAnsi="Cambria" w:cs="Times New Roman"/>
        </w:rPr>
        <w:t>n this study, the data used is only the level of profit sharing on profit-sharing based financing only. The profit sharing rate can be obtained by the formula below:</w:t>
      </w:r>
    </w:p>
    <w:p w14:paraId="65FC4BE0" w14:textId="281B9A89" w:rsidR="001E0A5D" w:rsidRPr="00005EA2" w:rsidRDefault="00B223D0" w:rsidP="001E0A5D">
      <w:pPr>
        <w:pStyle w:val="ListParagraph"/>
        <w:spacing w:after="0" w:line="240" w:lineRule="auto"/>
        <w:ind w:left="426"/>
        <w:contextualSpacing w:val="0"/>
        <w:jc w:val="both"/>
        <w:rPr>
          <w:rFonts w:ascii="Cambria" w:eastAsiaTheme="minorEastAsia" w:hAnsi="Cambria" w:cs="Times New Roman"/>
          <w:iCs/>
        </w:rPr>
      </w:pPr>
      <m:oMathPara>
        <m:oMath>
          <m:r>
            <m:rPr>
              <m:sty m:val="p"/>
            </m:rPr>
            <w:rPr>
              <w:rFonts w:ascii="Cambria Math" w:hAnsi="Cambria Math" w:cs="Times New Roman"/>
            </w:rPr>
            <m:t>ER=</m:t>
          </m:r>
          <m:f>
            <m:fPr>
              <m:ctrlPr>
                <w:rPr>
                  <w:rFonts w:ascii="Cambria Math" w:hAnsi="Cambria Math" w:cs="Times New Roman"/>
                  <w:iCs/>
                </w:rPr>
              </m:ctrlPr>
            </m:fPr>
            <m:num>
              <m:r>
                <m:rPr>
                  <m:sty m:val="p"/>
                </m:rPr>
                <w:rPr>
                  <w:rFonts w:ascii="Cambria Math" w:hAnsi="Cambria Math" w:cs="Times New Roman"/>
                </w:rPr>
                <m:t>Profit Sharing Received</m:t>
              </m:r>
            </m:num>
            <m:den>
              <m:r>
                <m:rPr>
                  <m:sty m:val="p"/>
                </m:rPr>
                <w:rPr>
                  <w:rFonts w:ascii="Cambria Math" w:hAnsi="Cambria Math" w:cs="Times New Roman"/>
                </w:rPr>
                <m:t>Total Profit Sharing Financing</m:t>
              </m:r>
            </m:den>
          </m:f>
          <m:r>
            <m:rPr>
              <m:sty m:val="p"/>
            </m:rPr>
            <w:rPr>
              <w:rFonts w:ascii="Cambria Math" w:hAnsi="Cambria Math" w:cs="Times New Roman"/>
            </w:rPr>
            <m:t>×100%</m:t>
          </m:r>
        </m:oMath>
      </m:oMathPara>
    </w:p>
    <w:p w14:paraId="01347792" w14:textId="43344444" w:rsidR="00904861" w:rsidRPr="00904861" w:rsidRDefault="00904861" w:rsidP="003A4D32">
      <w:pPr>
        <w:spacing w:after="0" w:line="240" w:lineRule="auto"/>
        <w:ind w:firstLine="426"/>
        <w:jc w:val="both"/>
        <w:rPr>
          <w:rFonts w:ascii="Cambria" w:hAnsi="Cambria" w:cs="Times New Roman"/>
          <w:lang w:val="en-US"/>
        </w:rPr>
      </w:pPr>
      <w:r w:rsidRPr="00904861">
        <w:rPr>
          <w:rFonts w:ascii="Cambria" w:hAnsi="Cambria" w:cs="Times New Roman"/>
          <w:lang w:val="en-US"/>
        </w:rPr>
        <w:t>The efficiency referred to in this research is the operational efficiency of Islamic banking. Operational efficiency is measured by the ratio between operating costs to operating income (BOPO). This ratio is used to measure the level of efficiency and the ability of a bank to carry out its operational activities. The lower the BOPO means the more efficient the bank is in using existing resources in the company</w:t>
      </w:r>
      <w:r>
        <w:rPr>
          <w:rFonts w:ascii="Cambria" w:hAnsi="Cambria" w:cs="Times New Roman"/>
          <w:lang w:val="en-US"/>
        </w:rPr>
        <w:t xml:space="preserve"> </w:t>
      </w:r>
      <w:r>
        <w:rPr>
          <w:rFonts w:ascii="Cambria" w:hAnsi="Cambria" w:cs="Times New Roman"/>
          <w:lang w:val="en-US"/>
        </w:rPr>
        <w:fldChar w:fldCharType="begin"/>
      </w:r>
      <w:r>
        <w:rPr>
          <w:rFonts w:ascii="Cambria" w:hAnsi="Cambria" w:cs="Times New Roman"/>
          <w:lang w:val="en-US"/>
        </w:rPr>
        <w:instrText xml:space="preserve"> ADDIN ZOTERO_ITEM CSL_CITATION {"citationID":"HwnzfvOS","properties":{"formattedCitation":"(Riyadi, 2017)","plainCitation":"(Riyadi, 2017)","noteIndex":0},"citationItems":[{"id":1818,"uris":["http://zotero.org/groups/2238283/items/ALNVHDUJ"],"uri":["http://zotero.org/groups/2238283/items/ALNVHDUJ"],"itemData":{"id":1818,"type":"book","event-place":"Jakarta","publisher":"Raja Grafindo","publisher-place":"Jakarta","title":"Manajemen Perbankan Indonesia","author":[{"family":"Riyadi","given":"Selamet"}],"issued":{"date-parts":[["2017"]]}}}],"schema":"https://github.com/citation-style-language/schema/raw/master/csl-citation.json"} </w:instrText>
      </w:r>
      <w:r>
        <w:rPr>
          <w:rFonts w:ascii="Cambria" w:hAnsi="Cambria" w:cs="Times New Roman"/>
          <w:lang w:val="en-US"/>
        </w:rPr>
        <w:fldChar w:fldCharType="separate"/>
      </w:r>
      <w:r w:rsidRPr="00904861">
        <w:rPr>
          <w:rFonts w:ascii="Cambria" w:hAnsi="Cambria"/>
        </w:rPr>
        <w:t>(Riyadi, 2017)</w:t>
      </w:r>
      <w:r>
        <w:rPr>
          <w:rFonts w:ascii="Cambria" w:hAnsi="Cambria" w:cs="Times New Roman"/>
          <w:lang w:val="en-US"/>
        </w:rPr>
        <w:fldChar w:fldCharType="end"/>
      </w:r>
      <w:r w:rsidRPr="00904861">
        <w:rPr>
          <w:rFonts w:ascii="Cambria" w:hAnsi="Cambria" w:cs="Times New Roman"/>
          <w:lang w:val="en-US"/>
        </w:rPr>
        <w:t>. The BOPO formula is as follows:</w:t>
      </w:r>
    </w:p>
    <w:p w14:paraId="62C53EDB" w14:textId="26878492" w:rsidR="003A4D32" w:rsidRPr="00005EA2" w:rsidRDefault="003A4D32" w:rsidP="003A4D32">
      <w:pPr>
        <w:pStyle w:val="ListParagraph"/>
        <w:spacing w:after="0" w:line="240" w:lineRule="auto"/>
        <w:ind w:left="426"/>
        <w:contextualSpacing w:val="0"/>
        <w:jc w:val="both"/>
        <w:rPr>
          <w:rFonts w:ascii="Cambria" w:eastAsiaTheme="minorEastAsia" w:hAnsi="Cambria" w:cs="Times New Roman"/>
          <w:iCs/>
        </w:rPr>
      </w:pPr>
      <m:oMathPara>
        <m:oMath>
          <m:r>
            <m:rPr>
              <m:sty m:val="p"/>
            </m:rPr>
            <w:rPr>
              <w:rFonts w:ascii="Cambria Math" w:hAnsi="Cambria Math" w:cs="Times New Roman"/>
            </w:rPr>
            <m:t>BOPO=</m:t>
          </m:r>
          <m:f>
            <m:fPr>
              <m:ctrlPr>
                <w:rPr>
                  <w:rFonts w:ascii="Cambria Math" w:hAnsi="Cambria Math" w:cs="Times New Roman"/>
                  <w:iCs/>
                </w:rPr>
              </m:ctrlPr>
            </m:fPr>
            <m:num>
              <m:r>
                <m:rPr>
                  <m:sty m:val="p"/>
                </m:rPr>
                <w:rPr>
                  <w:rFonts w:ascii="Cambria Math" w:hAnsi="Cambria Math" w:cs="Times New Roman"/>
                </w:rPr>
                <m:t>Operating Cost</m:t>
              </m:r>
            </m:num>
            <m:den>
              <m:r>
                <m:rPr>
                  <m:sty m:val="p"/>
                </m:rPr>
                <w:rPr>
                  <w:rFonts w:ascii="Cambria Math" w:hAnsi="Cambria Math" w:cs="Times New Roman"/>
                </w:rPr>
                <m:t>Operating Income</m:t>
              </m:r>
            </m:den>
          </m:f>
          <m:r>
            <m:rPr>
              <m:sty m:val="p"/>
            </m:rPr>
            <w:rPr>
              <w:rFonts w:ascii="Cambria Math" w:hAnsi="Cambria Math" w:cs="Times New Roman"/>
            </w:rPr>
            <m:t>×100%</m:t>
          </m:r>
        </m:oMath>
      </m:oMathPara>
    </w:p>
    <w:p w14:paraId="44525A3C" w14:textId="0E0CB13A" w:rsidR="00E37048" w:rsidRPr="00E37048" w:rsidRDefault="00E37048" w:rsidP="00995165">
      <w:pPr>
        <w:spacing w:after="0" w:line="240" w:lineRule="auto"/>
        <w:ind w:firstLine="426"/>
        <w:jc w:val="both"/>
        <w:rPr>
          <w:rFonts w:ascii="Cambria" w:hAnsi="Cambria" w:cs="Times New Roman"/>
          <w:lang w:val="en-US"/>
        </w:rPr>
      </w:pPr>
      <w:r w:rsidRPr="00E37048">
        <w:rPr>
          <w:rFonts w:ascii="Cambria" w:hAnsi="Cambria" w:cs="Times New Roman"/>
          <w:lang w:val="en-US"/>
        </w:rPr>
        <w:t xml:space="preserve">Economic growth and inflation are a small part of a country's macroeconomic indicators. Economic growth reflects the growth in output per capita in the long run. The economic growth referred to in this study is the development of Indonesia's real Gross Domestic Product (GDP) during the observation period compared to the previous year. Meanwhile, inflation reflects the increase in the prices of goods and services that take place continuously. </w:t>
      </w:r>
      <w:r w:rsidR="00132D9C" w:rsidRPr="00132D9C">
        <w:rPr>
          <w:rFonts w:ascii="Cambria" w:hAnsi="Cambria" w:cs="Times New Roman"/>
          <w:lang w:val="en-US"/>
        </w:rPr>
        <w:t>Inflation is commonly used as a monetary policy tool in maintaining financial stability.</w:t>
      </w:r>
      <w:r w:rsidR="00132D9C">
        <w:rPr>
          <w:rFonts w:ascii="Cambria" w:hAnsi="Cambria" w:cs="Times New Roman"/>
          <w:lang w:val="en-US"/>
        </w:rPr>
        <w:t xml:space="preserve"> </w:t>
      </w:r>
      <w:r w:rsidRPr="00E37048">
        <w:rPr>
          <w:rFonts w:ascii="Cambria" w:hAnsi="Cambria" w:cs="Times New Roman"/>
          <w:lang w:val="en-US"/>
        </w:rPr>
        <w:t>The inflation measure used in this study is year to year inflation which is obtained from the percentage change in the Consumer Price Index (CPI) during the observation period compared to the previous year.</w:t>
      </w:r>
    </w:p>
    <w:p w14:paraId="1B2BFD0A" w14:textId="1FC197DB" w:rsidR="00671245" w:rsidRPr="00671245" w:rsidRDefault="0030164D" w:rsidP="00671245">
      <w:pPr>
        <w:spacing w:after="0" w:line="240" w:lineRule="auto"/>
        <w:ind w:firstLine="426"/>
        <w:jc w:val="both"/>
        <w:rPr>
          <w:rFonts w:ascii="Cambria" w:hAnsi="Cambria" w:cs="Times New Roman"/>
          <w:lang w:val="en-US"/>
        </w:rPr>
      </w:pPr>
      <w:r w:rsidRPr="00005EA2">
        <w:rPr>
          <w:rFonts w:ascii="Cambria" w:hAnsi="Cambria" w:cs="Times New Roman"/>
        </w:rPr>
        <w:t xml:space="preserve">The analysis technique used in this research is </w:t>
      </w:r>
      <w:r w:rsidR="001B6003">
        <w:rPr>
          <w:rFonts w:ascii="Cambria" w:hAnsi="Cambria" w:cs="Times New Roman"/>
          <w:lang w:val="en-US"/>
        </w:rPr>
        <w:t xml:space="preserve">Co-Integration and </w:t>
      </w:r>
      <w:r w:rsidR="00BF69CA">
        <w:rPr>
          <w:rFonts w:ascii="Cambria" w:hAnsi="Cambria" w:cs="Times New Roman"/>
          <w:lang w:val="en-US"/>
        </w:rPr>
        <w:t>Error Correction Model (ECM)</w:t>
      </w:r>
      <w:r w:rsidRPr="00005EA2">
        <w:rPr>
          <w:rFonts w:ascii="Cambria" w:hAnsi="Cambria" w:cs="Times New Roman"/>
        </w:rPr>
        <w:t>.</w:t>
      </w:r>
      <w:r w:rsidR="00EA56B0">
        <w:rPr>
          <w:rFonts w:ascii="Cambria" w:hAnsi="Cambria" w:cs="Times New Roman"/>
          <w:lang w:val="en-US"/>
        </w:rPr>
        <w:t xml:space="preserve"> </w:t>
      </w:r>
      <w:r w:rsidR="00671245" w:rsidRPr="00671245">
        <w:rPr>
          <w:rFonts w:ascii="Cambria" w:hAnsi="Cambria" w:cs="Times New Roman"/>
          <w:lang w:val="en-US"/>
        </w:rPr>
        <w:t xml:space="preserve">The Co-Integration and ECM methods are commonly used for time series data that have the potential for </w:t>
      </w:r>
      <w:r w:rsidR="00671245">
        <w:rPr>
          <w:rFonts w:ascii="Cambria" w:hAnsi="Cambria" w:cs="Times New Roman"/>
          <w:lang w:val="en-US"/>
        </w:rPr>
        <w:t>spurious</w:t>
      </w:r>
      <w:r w:rsidR="00671245" w:rsidRPr="00671245">
        <w:rPr>
          <w:rFonts w:ascii="Cambria" w:hAnsi="Cambria" w:cs="Times New Roman"/>
          <w:lang w:val="en-US"/>
        </w:rPr>
        <w:t xml:space="preserve"> regression. This method has the advantage of identifying the long-term and short-term effects of the independent variables on the dependent variable simultaneously. This method also has the ability to analyze the consistency of the model proposed in a study. Specifically, co-integration is used to see whether there is consistency in the effect of the independent variable on the dependent variable in the long run, while the ECM itself is used to identify the short-term behavior. The results of the analysis of both will be obtained which variables can be used as indicators in encouraging the growth of responsive revenue sharing in the short term and consistent in the long term.</w:t>
      </w:r>
    </w:p>
    <w:p w14:paraId="61B272C2" w14:textId="2CB1D9A9" w:rsidR="00671245" w:rsidRDefault="00671245" w:rsidP="00671245">
      <w:pPr>
        <w:spacing w:after="0" w:line="240" w:lineRule="auto"/>
        <w:ind w:firstLine="426"/>
        <w:jc w:val="both"/>
        <w:rPr>
          <w:rFonts w:ascii="Cambria" w:hAnsi="Cambria" w:cs="Times New Roman"/>
          <w:color w:val="0070C0"/>
          <w:lang w:val="en-US"/>
        </w:rPr>
      </w:pPr>
      <w:r w:rsidRPr="00671245">
        <w:rPr>
          <w:rFonts w:ascii="Cambria" w:hAnsi="Cambria" w:cs="Times New Roman"/>
          <w:lang w:val="en-US"/>
        </w:rPr>
        <w:t>The short-term and long-term equation models used in this study use the Engel-</w:t>
      </w:r>
      <w:r>
        <w:rPr>
          <w:rFonts w:ascii="Cambria" w:hAnsi="Cambria" w:cs="Times New Roman"/>
          <w:lang w:val="en-US"/>
        </w:rPr>
        <w:t>Granger (EG) two-step ECM model</w:t>
      </w:r>
      <w:r w:rsidR="00165C81">
        <w:rPr>
          <w:rFonts w:ascii="Cambria" w:hAnsi="Cambria" w:cs="Times New Roman"/>
          <w:color w:val="0070C0"/>
          <w:lang w:val="en-US"/>
        </w:rPr>
        <w:t xml:space="preserve"> </w:t>
      </w:r>
      <w:r w:rsidR="00165C81">
        <w:rPr>
          <w:rFonts w:ascii="Cambria" w:hAnsi="Cambria" w:cs="Times New Roman"/>
          <w:color w:val="0070C0"/>
          <w:lang w:val="en-US"/>
        </w:rPr>
        <w:fldChar w:fldCharType="begin"/>
      </w:r>
      <w:r w:rsidR="00165C81">
        <w:rPr>
          <w:rFonts w:ascii="Cambria" w:hAnsi="Cambria" w:cs="Times New Roman"/>
          <w:color w:val="0070C0"/>
          <w:lang w:val="en-US"/>
        </w:rPr>
        <w:instrText xml:space="preserve"> ADDIN ZOTERO_ITEM CSL_CITATION {"citationID":"GVpwG4L9","properties":{"formattedCitation":"(Engle &amp; Granger, 1987)","plainCitation":"(Engle &amp; Granger, 1987)","noteIndex":0},"citationItems":[{"id":3143,"uris":["http://zotero.org/groups/2238283/items/2MRHMB9X"],"uri":["http://zotero.org/groups/2238283/items/2MRHMB9X"],"itemData":{"id":3143,"type":"article-journal","abstract":"The relationship between co-integration and error correction models, first suggested in Granger (1981), is here extended and used to develop estimation procedures, tests, and empirical examples. If each element of a vector of time series x&lt;sub&gt;t&lt;/sub&gt; first achieves stationarity after differencing, but a linear combination &lt;tex-math&gt;$\\alpha ^{\\prime }x_{t}$&lt;/tex-math&gt; is already stationary, the time series x&lt;sub&gt;t&lt;/sub&gt; are said to be co-integrated with co-integrating vector α. There may be several such co-integrating vectors so that α becomes a matrix. Interpreting &lt;tex-math&gt;$\\alpha ^{\\prime }x_{t}=0$&lt;/tex-math&gt; as a long run equilibrium, co-integration implies that deviations from equilibrium are stationary, with finite variance, even though the series themselves are nonstationary and have infinite variance. The paper presents a representation theorem based on Granger (1983), which connects the moving average, autoregressive, and error correction representations for co-integrated systems. A vector autoregression in differenced variables is incompatible with these representations. Estimation of these models is discussed and a simple but asymptotically efficient two-step estimator is proposed. Testing for co-integration combines the problems of unit root tests and tests with parameters unidentified under the null. Seven statistics are formulated and analyzed. The critical values of these statistics are calculated based on a Monte Carlo simulation. Using these critical values, the power properties of the tests are examined and one test procedure is recommended for application. In a series of examples it is found that consumption and income are co-integrated, wages and prices are not, short and long interest rates are, and nominal GNP is co-integrated with M2, but not M1, M3, or aggregate liquid assets.","container-title":"Econometrica","DOI":"10.2307/1913236","ISSN":"0012-9682","issue":"2","note":"publisher: [Wiley, Econometric Society]","page":"251-276","source":"JSTOR","title":"Co-Integration and Error Correction: Representation, Estimation, and Testing","title-short":"Co-Integration and Error Correction","volume":"55","author":[{"family":"Engle","given":"Robert F."},{"family":"Granger","given":"C. W. J."}],"issued":{"date-parts":[["1987"]]}}}],"schema":"https://github.com/citation-style-language/schema/raw/master/csl-citation.json"} </w:instrText>
      </w:r>
      <w:r w:rsidR="00165C81">
        <w:rPr>
          <w:rFonts w:ascii="Cambria" w:hAnsi="Cambria" w:cs="Times New Roman"/>
          <w:color w:val="0070C0"/>
          <w:lang w:val="en-US"/>
        </w:rPr>
        <w:fldChar w:fldCharType="separate"/>
      </w:r>
      <w:r w:rsidR="00165C81" w:rsidRPr="00165C81">
        <w:rPr>
          <w:rFonts w:ascii="Cambria" w:hAnsi="Cambria"/>
        </w:rPr>
        <w:t>(Engle &amp; Granger, 1987)</w:t>
      </w:r>
      <w:r w:rsidR="00165C81">
        <w:rPr>
          <w:rFonts w:ascii="Cambria" w:hAnsi="Cambria" w:cs="Times New Roman"/>
          <w:color w:val="0070C0"/>
          <w:lang w:val="en-US"/>
        </w:rPr>
        <w:fldChar w:fldCharType="end"/>
      </w:r>
      <w:r w:rsidRPr="00671245">
        <w:rPr>
          <w:rFonts w:ascii="Cambria" w:hAnsi="Cambria" w:cs="Times New Roman"/>
          <w:lang w:val="en-US"/>
        </w:rPr>
        <w:t>. The estimation of the short-term regression model is written in equation (1) as follows:</w:t>
      </w:r>
    </w:p>
    <w:p w14:paraId="34B2AEF4" w14:textId="77777777" w:rsidR="00B63000" w:rsidRDefault="00B63000" w:rsidP="002B13E7">
      <w:pPr>
        <w:spacing w:after="0" w:line="240" w:lineRule="auto"/>
        <w:ind w:firstLine="426"/>
        <w:jc w:val="both"/>
        <w:rPr>
          <w:rFonts w:ascii="Cambria" w:hAnsi="Cambria" w:cs="Times New Roman"/>
          <w:color w:val="0070C0"/>
          <w:lang w:val="en-US"/>
        </w:rPr>
      </w:pPr>
    </w:p>
    <w:p w14:paraId="298C1AED" w14:textId="72C49EDC" w:rsidR="00B63000" w:rsidRDefault="00AF7F0F" w:rsidP="00484666">
      <w:pPr>
        <w:tabs>
          <w:tab w:val="left" w:pos="1560"/>
        </w:tabs>
        <w:ind w:left="1560" w:hanging="1560"/>
        <w:rPr>
          <w:rFonts w:ascii="Book Antiqua" w:hAnsi="Book Antiqua"/>
        </w:rPr>
      </w:pPr>
      <w:r w:rsidRPr="008356EC">
        <w:rPr>
          <w:rFonts w:ascii="Book Antiqua" w:hAnsi="Book Antiqua"/>
          <w:position w:val="-12"/>
        </w:rPr>
        <w:object w:dxaOrig="1560" w:dyaOrig="360" w14:anchorId="2EA44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7.25pt" o:ole="">
            <v:imagedata r:id="rId9" o:title=""/>
          </v:shape>
          <o:OLEObject Type="Embed" ProgID="Equation.3" ShapeID="_x0000_i1025" DrawAspect="Content" ObjectID="_1675064532" r:id="rId10"/>
        </w:object>
      </w:r>
      <w:r w:rsidR="00484666">
        <w:rPr>
          <w:rFonts w:ascii="Book Antiqua" w:hAnsi="Book Antiqua"/>
        </w:rPr>
        <w:tab/>
      </w:r>
      <w:r w:rsidRPr="00B63000">
        <w:rPr>
          <w:rFonts w:ascii="Book Antiqua" w:hAnsi="Book Antiqua"/>
          <w:position w:val="-12"/>
        </w:rPr>
        <w:object w:dxaOrig="7260" w:dyaOrig="360" w14:anchorId="7050301B">
          <v:shape id="_x0000_i1026" type="#_x0000_t75" style="width:348.75pt;height:17.25pt" o:ole="">
            <v:imagedata r:id="rId11" o:title=""/>
          </v:shape>
          <o:OLEObject Type="Embed" ProgID="Equation.3" ShapeID="_x0000_i1026" DrawAspect="Content" ObjectID="_1675064533" r:id="rId12"/>
        </w:object>
      </w:r>
    </w:p>
    <w:p w14:paraId="1D23F164" w14:textId="08610526" w:rsidR="00B63000" w:rsidRPr="00F31EA9" w:rsidRDefault="001E0A5D" w:rsidP="00856D2F">
      <w:pPr>
        <w:tabs>
          <w:tab w:val="left" w:pos="1560"/>
          <w:tab w:val="right" w:pos="9498"/>
        </w:tabs>
        <w:ind w:left="1560" w:hanging="1560"/>
        <w:rPr>
          <w:rFonts w:ascii="Cambria" w:hAnsi="Cambria"/>
          <w:lang w:val="en-US"/>
        </w:rPr>
      </w:pPr>
      <w:r>
        <w:rPr>
          <w:rFonts w:ascii="Book Antiqua" w:hAnsi="Book Antiqua"/>
        </w:rPr>
        <w:tab/>
      </w:r>
      <w:r w:rsidRPr="001E0A5D">
        <w:rPr>
          <w:position w:val="-12"/>
        </w:rPr>
        <w:object w:dxaOrig="2560" w:dyaOrig="360" w14:anchorId="33E6C096">
          <v:shape id="_x0000_i1027" type="#_x0000_t75" style="width:128.25pt;height:18pt" o:ole="">
            <v:imagedata r:id="rId13" o:title=""/>
          </v:shape>
          <o:OLEObject Type="Embed" ProgID="Equation.3" ShapeID="_x0000_i1027" DrawAspect="Content" ObjectID="_1675064534" r:id="rId14"/>
        </w:object>
      </w:r>
      <w:r w:rsidR="00F31EA9">
        <w:tab/>
      </w:r>
      <w:r w:rsidR="00856D2F" w:rsidRPr="00F31EA9">
        <w:rPr>
          <w:rFonts w:ascii="Cambria" w:hAnsi="Cambria"/>
          <w:lang w:val="en-US"/>
        </w:rPr>
        <w:t>(1)</w:t>
      </w:r>
    </w:p>
    <w:p w14:paraId="692ACAF0" w14:textId="2C344338" w:rsidR="00B63000" w:rsidRPr="00671245" w:rsidRDefault="00671245" w:rsidP="00B63000">
      <w:pPr>
        <w:spacing w:after="0" w:line="240" w:lineRule="auto"/>
        <w:jc w:val="both"/>
        <w:rPr>
          <w:rFonts w:ascii="Cambria" w:hAnsi="Cambria" w:cs="Times New Roman"/>
          <w:lang w:val="en-US"/>
        </w:rPr>
      </w:pPr>
      <w:r w:rsidRPr="00671245">
        <w:rPr>
          <w:rFonts w:ascii="Cambria" w:hAnsi="Cambria" w:cs="Times New Roman"/>
          <w:lang w:val="en-US"/>
        </w:rPr>
        <w:t>While the estimation of the long-term regression model is written in equation (2) as follows:</w:t>
      </w:r>
    </w:p>
    <w:p w14:paraId="5A717174" w14:textId="17695A0A" w:rsidR="00B63000" w:rsidRDefault="00B63000" w:rsidP="00B63000">
      <w:pPr>
        <w:spacing w:after="0" w:line="240" w:lineRule="auto"/>
        <w:jc w:val="both"/>
        <w:rPr>
          <w:rFonts w:ascii="Cambria" w:hAnsi="Cambria" w:cs="Times New Roman"/>
          <w:color w:val="0070C0"/>
          <w:lang w:val="en-US"/>
        </w:rPr>
      </w:pPr>
    </w:p>
    <w:p w14:paraId="6F676874" w14:textId="4AB5EDD5" w:rsidR="00165C81" w:rsidRPr="00F31EA9" w:rsidRDefault="00AF7F0F" w:rsidP="00F31EA9">
      <w:pPr>
        <w:tabs>
          <w:tab w:val="left" w:pos="1276"/>
          <w:tab w:val="right" w:pos="9498"/>
        </w:tabs>
        <w:ind w:left="1276" w:hanging="1276"/>
        <w:rPr>
          <w:rFonts w:ascii="Cambria" w:hAnsi="Cambria"/>
          <w:lang w:val="en-US"/>
        </w:rPr>
      </w:pPr>
      <w:r w:rsidRPr="008356EC">
        <w:rPr>
          <w:rFonts w:ascii="Book Antiqua" w:hAnsi="Book Antiqua"/>
          <w:position w:val="-12"/>
        </w:rPr>
        <w:object w:dxaOrig="1219" w:dyaOrig="360" w14:anchorId="5B0C084C">
          <v:shape id="_x0000_i1028" type="#_x0000_t75" style="width:61.5pt;height:17.25pt" o:ole="">
            <v:imagedata r:id="rId15" o:title=""/>
          </v:shape>
          <o:OLEObject Type="Embed" ProgID="Equation.3" ShapeID="_x0000_i1028" DrawAspect="Content" ObjectID="_1675064535" r:id="rId16"/>
        </w:object>
      </w:r>
      <w:r w:rsidRPr="00B63000">
        <w:rPr>
          <w:rFonts w:ascii="Book Antiqua" w:hAnsi="Book Antiqua"/>
          <w:position w:val="-12"/>
        </w:rPr>
        <w:object w:dxaOrig="6780" w:dyaOrig="360" w14:anchorId="77A73B40">
          <v:shape id="_x0000_i1029" type="#_x0000_t75" style="width:332.25pt;height:17.25pt" o:ole="">
            <v:imagedata r:id="rId17" o:title=""/>
          </v:shape>
          <o:OLEObject Type="Embed" ProgID="Equation.3" ShapeID="_x0000_i1029" DrawAspect="Content" ObjectID="_1675064536" r:id="rId18"/>
        </w:object>
      </w:r>
      <w:r w:rsidR="00F31EA9" w:rsidRPr="00F31EA9">
        <w:rPr>
          <w:rFonts w:ascii="Cambria" w:hAnsi="Cambria"/>
        </w:rPr>
        <w:tab/>
      </w:r>
      <w:r w:rsidR="00F31EA9" w:rsidRPr="00F31EA9">
        <w:rPr>
          <w:rFonts w:ascii="Cambria" w:hAnsi="Cambria"/>
          <w:lang w:val="en-US"/>
        </w:rPr>
        <w:t>(2)</w:t>
      </w:r>
    </w:p>
    <w:p w14:paraId="236D75AA" w14:textId="77777777" w:rsidR="004F4A4F" w:rsidRDefault="004F4A4F" w:rsidP="00856D2F">
      <w:pPr>
        <w:spacing w:after="0" w:line="240" w:lineRule="auto"/>
        <w:ind w:firstLine="426"/>
        <w:jc w:val="both"/>
        <w:rPr>
          <w:rFonts w:ascii="Cambria" w:hAnsi="Cambria" w:cs="Times New Roman"/>
          <w:lang w:val="en-US"/>
        </w:rPr>
      </w:pPr>
      <w:r w:rsidRPr="004F4A4F">
        <w:rPr>
          <w:rFonts w:ascii="Cambria" w:hAnsi="Cambria" w:cs="Times New Roman"/>
          <w:lang w:val="en-US"/>
        </w:rPr>
        <w:t xml:space="preserve">According to </w:t>
      </w:r>
      <w:r>
        <w:rPr>
          <w:rFonts w:ascii="Cambria" w:hAnsi="Cambria" w:cs="Times New Roman"/>
          <w:color w:val="0070C0"/>
          <w:lang w:val="en-US"/>
        </w:rPr>
        <w:fldChar w:fldCharType="begin"/>
      </w:r>
      <w:r>
        <w:rPr>
          <w:rFonts w:ascii="Cambria" w:hAnsi="Cambria" w:cs="Times New Roman"/>
          <w:color w:val="0070C0"/>
          <w:lang w:val="en-US"/>
        </w:rPr>
        <w:instrText xml:space="preserve"> ADDIN ZOTERO_ITEM CSL_CITATION {"citationID":"qojZpYy6","properties":{"formattedCitation":"(Widarjono, 2017)","plainCitation":"(Widarjono, 2017)","dontUpdate":true,"noteIndex":0},"citationItems":[{"id":3177,"uris":["http://zotero.org/groups/2238283/items/26WD7Y8Y"],"uri":["http://zotero.org/groups/2238283/items/26WD7Y8Y"],"itemData":{"id":3177,"type":"book","edition":"5","event-place":"Yogyakarta","publisher":"UPP STIM YKPN","publisher-place":"Yogyakarta","title":"Ekonometrika: Pengantar dan Aplikasinya disertai Panduan EViews","author":[{"family":"Widarjono","given":"Agus"}],"issued":{"date-parts":[["2017"]]}}}],"schema":"https://github.com/citation-style-language/schema/raw/master/csl-citation.json"} </w:instrText>
      </w:r>
      <w:r>
        <w:rPr>
          <w:rFonts w:ascii="Cambria" w:hAnsi="Cambria" w:cs="Times New Roman"/>
          <w:color w:val="0070C0"/>
          <w:lang w:val="en-US"/>
        </w:rPr>
        <w:fldChar w:fldCharType="separate"/>
      </w:r>
      <w:r>
        <w:rPr>
          <w:rFonts w:ascii="Cambria" w:hAnsi="Cambria"/>
        </w:rPr>
        <w:t>Widarjono</w:t>
      </w:r>
      <w:r w:rsidRPr="00AB3372">
        <w:rPr>
          <w:rFonts w:ascii="Cambria" w:hAnsi="Cambria"/>
        </w:rPr>
        <w:t xml:space="preserve"> </w:t>
      </w:r>
      <w:r>
        <w:rPr>
          <w:rFonts w:ascii="Cambria" w:hAnsi="Cambria"/>
          <w:lang w:val="en-US"/>
        </w:rPr>
        <w:t>(</w:t>
      </w:r>
      <w:r w:rsidRPr="00AB3372">
        <w:rPr>
          <w:rFonts w:ascii="Cambria" w:hAnsi="Cambria"/>
        </w:rPr>
        <w:t>2017)</w:t>
      </w:r>
      <w:r>
        <w:rPr>
          <w:rFonts w:ascii="Cambria" w:hAnsi="Cambria" w:cs="Times New Roman"/>
          <w:color w:val="0070C0"/>
          <w:lang w:val="en-US"/>
        </w:rPr>
        <w:fldChar w:fldCharType="end"/>
      </w:r>
      <w:r w:rsidRPr="004F4A4F">
        <w:rPr>
          <w:rFonts w:ascii="Cambria" w:hAnsi="Cambria" w:cs="Times New Roman"/>
          <w:lang w:val="en-US"/>
        </w:rPr>
        <w:t xml:space="preserve">, there are three steps that must be done in using the Co-Integration and ECM method, namely: (1) stationarity test, (2) co-integration test and (3) estimation of the ECM model. The stationarity test is aimed at seeing the similarity in the stationarity level of all research variables, which in this study uses the unit root test with the Augmented Dickey-Fuller (ADF) and Phillips-Perron (PP) methods. While the co-integration test is intended to determine whether there is a long-term balance relationship between research variables, which in this study uses the Engel-Granger (EG) Cointegration Test method. Finally, the ECM model estimation is used to see the short-term effect </w:t>
      </w:r>
      <w:r w:rsidRPr="004F4A4F">
        <w:rPr>
          <w:rFonts w:ascii="Cambria" w:hAnsi="Cambria" w:cs="Times New Roman"/>
          <w:lang w:val="en-US"/>
        </w:rPr>
        <w:lastRenderedPageBreak/>
        <w:t>of the independent variable on the dependent variable and to identify how fast it takes to get the equilibrium value.</w:t>
      </w:r>
      <w:r>
        <w:rPr>
          <w:rFonts w:ascii="Cambria" w:hAnsi="Cambria" w:cs="Times New Roman"/>
          <w:lang w:val="en-US"/>
        </w:rPr>
        <w:t xml:space="preserve"> </w:t>
      </w:r>
    </w:p>
    <w:p w14:paraId="5AAEB803" w14:textId="3D45FA0B" w:rsidR="002B13E7" w:rsidRPr="004F4A4F" w:rsidRDefault="004F4A4F" w:rsidP="00D80380">
      <w:pPr>
        <w:spacing w:after="120" w:line="240" w:lineRule="auto"/>
        <w:ind w:firstLine="425"/>
        <w:jc w:val="both"/>
        <w:rPr>
          <w:rFonts w:ascii="Cambria" w:hAnsi="Cambria" w:cs="Times New Roman"/>
          <w:lang w:val="en-US"/>
        </w:rPr>
      </w:pPr>
      <w:r w:rsidRPr="004F4A4F">
        <w:rPr>
          <w:rFonts w:ascii="Cambria" w:hAnsi="Cambria" w:cs="Times New Roman"/>
          <w:lang w:val="en-US"/>
        </w:rPr>
        <w:t xml:space="preserve">Estimation of equations (1) and (2) in the two-step ECM model EG is estimated using </w:t>
      </w:r>
      <w:r>
        <w:rPr>
          <w:rFonts w:ascii="Cambria" w:hAnsi="Cambria" w:cs="Times New Roman"/>
          <w:lang w:val="en-US"/>
        </w:rPr>
        <w:t>O</w:t>
      </w:r>
      <w:r w:rsidRPr="004F4A4F">
        <w:rPr>
          <w:rFonts w:ascii="Cambria" w:hAnsi="Cambria" w:cs="Times New Roman"/>
          <w:lang w:val="en-US"/>
        </w:rPr>
        <w:t xml:space="preserve">rdinary </w:t>
      </w:r>
      <w:r>
        <w:rPr>
          <w:rFonts w:ascii="Cambria" w:hAnsi="Cambria" w:cs="Times New Roman"/>
          <w:lang w:val="en-US"/>
        </w:rPr>
        <w:t>L</w:t>
      </w:r>
      <w:r w:rsidRPr="004F4A4F">
        <w:rPr>
          <w:rFonts w:ascii="Cambria" w:hAnsi="Cambria" w:cs="Times New Roman"/>
          <w:lang w:val="en-US"/>
        </w:rPr>
        <w:t xml:space="preserve">east </w:t>
      </w:r>
      <w:r>
        <w:rPr>
          <w:rFonts w:ascii="Cambria" w:hAnsi="Cambria" w:cs="Times New Roman"/>
          <w:lang w:val="en-US"/>
        </w:rPr>
        <w:t>S</w:t>
      </w:r>
      <w:r w:rsidRPr="004F4A4F">
        <w:rPr>
          <w:rFonts w:ascii="Cambria" w:hAnsi="Cambria" w:cs="Times New Roman"/>
          <w:lang w:val="en-US"/>
        </w:rPr>
        <w:t xml:space="preserve">quares (OLS) method. According to </w:t>
      </w:r>
      <w:r>
        <w:rPr>
          <w:rFonts w:ascii="Cambria" w:hAnsi="Cambria" w:cs="Times New Roman"/>
          <w:color w:val="0070C0"/>
          <w:lang w:val="en-US"/>
        </w:rPr>
        <w:fldChar w:fldCharType="begin"/>
      </w:r>
      <w:r w:rsidR="002F703F">
        <w:rPr>
          <w:rFonts w:ascii="Cambria" w:hAnsi="Cambria" w:cs="Times New Roman"/>
          <w:color w:val="0070C0"/>
          <w:lang w:val="en-US"/>
        </w:rPr>
        <w:instrText xml:space="preserve"> ADDIN ZOTERO_ITEM CSL_CITATION {"citationID":"gRvluI8V","properties":{"formattedCitation":"(Gujarati et al., 2017)","plainCitation":"(Gujarati et al., 2017)","dontUpdate":true,"noteIndex":0},"citationItems":[{"id":3180,"uris":["http://zotero.org/groups/2238283/items/78FB8P9M"],"uri":["http://zotero.org/groups/2238283/items/78FB8P9M"],"itemData":{"id":3180,"type":"book","abstract":"Please Read Notes: Brand New, International Softcover Edition, Printed in black and white pages, minor self wear on the cover or pages, Sale restriction may be printed on the book, but Book name, contents, and author are exactly same as Hardcover Edition. Fast delivery through DHL/FedEx express.","edition":"5th edition","ISBN":"978-0-07-133345-0","language":"English","number-of-pages":"886","publisher":"Mcgraw","source":"Amazon","title":"Basic Econometrics","author":[{"family":"Gujarati","given":"Damodar"},{"family":"Porter","given":"Dawn"},{"family":"Gunasekar","given":"Sangeetha"}],"issued":{"date-parts":[["2017",7,1]]}}}],"schema":"https://github.com/citation-style-language/schema/raw/master/csl-citation.json"} </w:instrText>
      </w:r>
      <w:r>
        <w:rPr>
          <w:rFonts w:ascii="Cambria" w:hAnsi="Cambria" w:cs="Times New Roman"/>
          <w:color w:val="0070C0"/>
          <w:lang w:val="en-US"/>
        </w:rPr>
        <w:fldChar w:fldCharType="separate"/>
      </w:r>
      <w:r>
        <w:rPr>
          <w:rFonts w:ascii="Cambria" w:hAnsi="Cambria"/>
        </w:rPr>
        <w:t>Gujarati et al.</w:t>
      </w:r>
      <w:r w:rsidRPr="00226345">
        <w:rPr>
          <w:rFonts w:ascii="Cambria" w:hAnsi="Cambria"/>
        </w:rPr>
        <w:t xml:space="preserve"> </w:t>
      </w:r>
      <w:r>
        <w:rPr>
          <w:rFonts w:ascii="Cambria" w:hAnsi="Cambria"/>
          <w:lang w:val="en-US"/>
        </w:rPr>
        <w:t>(</w:t>
      </w:r>
      <w:r w:rsidRPr="00226345">
        <w:rPr>
          <w:rFonts w:ascii="Cambria" w:hAnsi="Cambria"/>
        </w:rPr>
        <w:t>2017)</w:t>
      </w:r>
      <w:r>
        <w:rPr>
          <w:rFonts w:ascii="Cambria" w:hAnsi="Cambria" w:cs="Times New Roman"/>
          <w:color w:val="0070C0"/>
          <w:lang w:val="en-US"/>
        </w:rPr>
        <w:fldChar w:fldCharType="end"/>
      </w:r>
      <w:r>
        <w:rPr>
          <w:rFonts w:ascii="Cambria" w:hAnsi="Cambria" w:cs="Times New Roman"/>
          <w:color w:val="0070C0"/>
          <w:lang w:val="en-US"/>
        </w:rPr>
        <w:t xml:space="preserve"> </w:t>
      </w:r>
      <w:r w:rsidRPr="004F4A4F">
        <w:rPr>
          <w:rFonts w:ascii="Cambria" w:hAnsi="Cambria" w:cs="Times New Roman"/>
          <w:lang w:val="en-US"/>
        </w:rPr>
        <w:t xml:space="preserve">the model estimated by the least squares method is said to be </w:t>
      </w:r>
      <w:r>
        <w:rPr>
          <w:rFonts w:ascii="Cambria" w:hAnsi="Cambria" w:cs="Times New Roman"/>
          <w:lang w:val="en-US"/>
        </w:rPr>
        <w:t>B</w:t>
      </w:r>
      <w:r w:rsidRPr="004F4A4F">
        <w:rPr>
          <w:rFonts w:ascii="Cambria" w:hAnsi="Cambria" w:cs="Times New Roman"/>
          <w:lang w:val="en-US"/>
        </w:rPr>
        <w:t xml:space="preserve">est </w:t>
      </w:r>
      <w:r>
        <w:rPr>
          <w:rFonts w:ascii="Cambria" w:hAnsi="Cambria" w:cs="Times New Roman"/>
          <w:lang w:val="en-US"/>
        </w:rPr>
        <w:t>Linear U</w:t>
      </w:r>
      <w:r w:rsidRPr="004F4A4F">
        <w:rPr>
          <w:rFonts w:ascii="Cambria" w:hAnsi="Cambria" w:cs="Times New Roman"/>
          <w:lang w:val="en-US"/>
        </w:rPr>
        <w:t xml:space="preserve">nbiased </w:t>
      </w:r>
      <w:r>
        <w:rPr>
          <w:rFonts w:ascii="Cambria" w:hAnsi="Cambria" w:cs="Times New Roman"/>
          <w:lang w:val="en-US"/>
        </w:rPr>
        <w:t>E</w:t>
      </w:r>
      <w:r w:rsidRPr="004F4A4F">
        <w:rPr>
          <w:rFonts w:ascii="Cambria" w:hAnsi="Cambria" w:cs="Times New Roman"/>
          <w:lang w:val="en-US"/>
        </w:rPr>
        <w:t>stimate (BLUE) if it fulfills several classical assumptions such as being free from multicollinearity, heteroscedasticity and autocorrelation as well as normally distributed residuals. The multicollinearity test uses the Variance Inflation Factor (VIF), the heteroscedasticity test uses the Breusch-Pagan-Godfrey test, and the autocorrelation test uses the Breusch-Godfrey Lagrange Multiplier (LM) test. Meanwhile, the residual data normality test used the Jarque-Bera test.</w:t>
      </w:r>
      <w:r w:rsidR="00AB3372" w:rsidRPr="004F4A4F">
        <w:rPr>
          <w:rFonts w:ascii="Cambria" w:hAnsi="Cambria" w:cs="Times New Roman"/>
          <w:lang w:val="en-US"/>
        </w:rPr>
        <w:t xml:space="preserve"> </w:t>
      </w:r>
    </w:p>
    <w:p w14:paraId="10141388" w14:textId="77777777" w:rsidR="00627E0C" w:rsidRPr="00005EA2" w:rsidRDefault="00627E0C" w:rsidP="00FB0B5B">
      <w:pPr>
        <w:spacing w:after="0" w:line="240" w:lineRule="auto"/>
        <w:ind w:left="360"/>
        <w:jc w:val="both"/>
        <w:rPr>
          <w:rFonts w:ascii="Cambria" w:hAnsi="Cambria" w:cs="Times New Roman"/>
        </w:rPr>
      </w:pPr>
    </w:p>
    <w:p w14:paraId="65FB5547" w14:textId="48E6063E" w:rsidR="0064271E" w:rsidRPr="001029A9" w:rsidRDefault="00D16CD7" w:rsidP="001029A9">
      <w:pPr>
        <w:spacing w:after="120" w:line="240" w:lineRule="auto"/>
        <w:jc w:val="both"/>
        <w:rPr>
          <w:rFonts w:cstheme="minorHAnsi"/>
          <w:b/>
          <w:sz w:val="24"/>
          <w:szCs w:val="24"/>
          <w:lang w:val="en-US"/>
        </w:rPr>
      </w:pPr>
      <w:r w:rsidRPr="001029A9">
        <w:rPr>
          <w:rFonts w:cstheme="minorHAnsi"/>
          <w:b/>
          <w:sz w:val="24"/>
          <w:szCs w:val="24"/>
          <w:lang w:val="en-US"/>
        </w:rPr>
        <w:t>4. Results</w:t>
      </w:r>
    </w:p>
    <w:p w14:paraId="1BAF0C17" w14:textId="3234D996" w:rsidR="00D74262" w:rsidRDefault="00D74262" w:rsidP="00B24D5E">
      <w:pPr>
        <w:pStyle w:val="ListParagraph"/>
        <w:spacing w:after="0" w:line="240" w:lineRule="auto"/>
        <w:ind w:left="0" w:firstLine="426"/>
        <w:contextualSpacing w:val="0"/>
        <w:jc w:val="both"/>
        <w:rPr>
          <w:rFonts w:ascii="Cambria" w:hAnsi="Cambria" w:cs="Times New Roman"/>
          <w:lang w:val="en-US"/>
        </w:rPr>
      </w:pPr>
      <w:r w:rsidRPr="00D74262">
        <w:rPr>
          <w:rFonts w:ascii="Cambria" w:hAnsi="Cambria" w:cs="Times New Roman"/>
          <w:lang w:val="en-US"/>
        </w:rPr>
        <w:t>Based on the results of the data calculations performed, Table 1 presents descriptive statistics of each research</w:t>
      </w:r>
      <w:r>
        <w:rPr>
          <w:rFonts w:ascii="Cambria" w:hAnsi="Cambria" w:cs="Times New Roman"/>
          <w:lang w:val="en-US"/>
        </w:rPr>
        <w:t xml:space="preserve"> variable. The amount of profit-</w:t>
      </w:r>
      <w:r w:rsidRPr="00D74262">
        <w:rPr>
          <w:rFonts w:ascii="Cambria" w:hAnsi="Cambria" w:cs="Times New Roman"/>
          <w:lang w:val="en-US"/>
        </w:rPr>
        <w:t>sharing financing (PSF) in the Islamic banking industry during the observation period (quarter I 2015 to quarter III 2020) has always experienced significant growth, even though its value has always experienced volatility. Fig</w:t>
      </w:r>
      <w:r w:rsidR="00776B09">
        <w:rPr>
          <w:rFonts w:ascii="Cambria" w:hAnsi="Cambria" w:cs="Times New Roman"/>
          <w:lang w:val="en-US"/>
        </w:rPr>
        <w:t>ure 1 shows the value of profit-</w:t>
      </w:r>
      <w:r w:rsidRPr="00D74262">
        <w:rPr>
          <w:rFonts w:ascii="Cambria" w:hAnsi="Cambria" w:cs="Times New Roman"/>
          <w:lang w:val="en-US"/>
        </w:rPr>
        <w:t>sharing financing which always increases from period to period with an average growth of 4.81%. The highest growth occurred in the fourth quarter of 2016 amounting to 11.66%, while the lowest growth occurred in the first quarter of 2018 at 0.34%. When viewed from the growth trend, in general the trends that are formed follow seasonal variations. There was an increase at the beginning of the year, fluctuated in the middle of the year and decreased at the end of the year. At the end of the observation peri</w:t>
      </w:r>
      <w:r w:rsidR="00776B09">
        <w:rPr>
          <w:rFonts w:ascii="Cambria" w:hAnsi="Cambria" w:cs="Times New Roman"/>
          <w:lang w:val="en-US"/>
        </w:rPr>
        <w:t>od (2020), the growth in profit-</w:t>
      </w:r>
      <w:r w:rsidRPr="00D74262">
        <w:rPr>
          <w:rFonts w:ascii="Cambria" w:hAnsi="Cambria" w:cs="Times New Roman"/>
          <w:lang w:val="en-US"/>
        </w:rPr>
        <w:t>sharing financing experienced a slowdown in line with the COVID-19 pandemic. In 2020, the highest growth occurred in May 2020 (amounting to 4.39%), the rest continues to slow down to 0.58% in September 2020 (third quarter 2020). This shows the impact of the COVID-19 pandemic which hit the banking sector due to weakening economic growth (EG) in Indonesia. As shown in Table 1. Indonesia's economic growth reached its lowest point of -5.32% in the second quarter of 2020. In previous periods, Indonesia's economic growth has never experienced a slowdown like during the pandemic. Even if a pandemic does not occur, Indonesia's average economic growth can be above 5%.</w:t>
      </w:r>
    </w:p>
    <w:p w14:paraId="308C0E95" w14:textId="7BAA11F5" w:rsidR="00776B09" w:rsidRPr="00D74262" w:rsidRDefault="00776B09" w:rsidP="00B24D5E">
      <w:pPr>
        <w:pStyle w:val="ListParagraph"/>
        <w:spacing w:after="0" w:line="240" w:lineRule="auto"/>
        <w:ind w:left="0" w:firstLine="426"/>
        <w:contextualSpacing w:val="0"/>
        <w:jc w:val="both"/>
        <w:rPr>
          <w:rFonts w:ascii="Cambria" w:hAnsi="Cambria" w:cs="Times New Roman"/>
          <w:lang w:val="en-US"/>
        </w:rPr>
      </w:pPr>
      <w:r w:rsidRPr="00776B09">
        <w:rPr>
          <w:rFonts w:ascii="Cambria" w:hAnsi="Cambria" w:cs="Times New Roman"/>
          <w:lang w:val="en-US"/>
        </w:rPr>
        <w:t>Apart from the economic growth (EG)</w:t>
      </w:r>
      <w:r>
        <w:rPr>
          <w:rFonts w:ascii="Cambria" w:hAnsi="Cambria" w:cs="Times New Roman"/>
          <w:lang w:val="en-US"/>
        </w:rPr>
        <w:t xml:space="preserve"> </w:t>
      </w:r>
      <w:r w:rsidRPr="00776B09">
        <w:rPr>
          <w:rFonts w:ascii="Cambria" w:hAnsi="Cambria" w:cs="Times New Roman"/>
          <w:lang w:val="en-US"/>
        </w:rPr>
        <w:t>indicator, inflation (INF) in Indonesia during the observation period was also relatively normal. This is indicated by the controlled inflation rate at 3.64% with the highest value being 7.26% and the lowest being 1.42%. As for the internal indicators of Islamic banking shown by the collection of third party funds from mudharabah deposits (MD), non-performing financing (NPF), equivalent rate (ER) and efficiency (BOPO), it shows relatively good performance although it is still far from ideal. The average NPF of profit-sharing financing was below the specified limit (5%), the equivalent rate of profit-sharing financing was also above the Bank Indonesia interest rate during the observation period (6%) and the efficiency value of Islamic banking as reflected by BOPO was able to reach 83.04% with an average of 91.03%.</w:t>
      </w:r>
    </w:p>
    <w:p w14:paraId="72739198" w14:textId="3CC87990" w:rsidR="00B24D5E" w:rsidRPr="0066682B" w:rsidRDefault="00B24D5E" w:rsidP="00FB0B5B">
      <w:pPr>
        <w:pStyle w:val="ListParagraph"/>
        <w:spacing w:after="0" w:line="240" w:lineRule="auto"/>
        <w:ind w:left="0"/>
        <w:contextualSpacing w:val="0"/>
        <w:jc w:val="both"/>
        <w:rPr>
          <w:rFonts w:ascii="Cambria" w:hAnsi="Cambria" w:cs="Times New Roman"/>
        </w:rPr>
      </w:pPr>
    </w:p>
    <w:p w14:paraId="29C10F9B" w14:textId="4B07928C" w:rsidR="00F31EA9" w:rsidRPr="0066682B" w:rsidRDefault="00F31EA9" w:rsidP="00F31EA9">
      <w:pPr>
        <w:pStyle w:val="ListParagraph"/>
        <w:spacing w:after="0" w:line="360" w:lineRule="auto"/>
        <w:ind w:left="0"/>
        <w:jc w:val="both"/>
        <w:rPr>
          <w:rFonts w:ascii="Cambria" w:hAnsi="Cambria" w:cs="Times New Roman"/>
          <w:sz w:val="20"/>
          <w:szCs w:val="20"/>
          <w:lang w:val="en-US"/>
        </w:rPr>
      </w:pPr>
      <w:r w:rsidRPr="0066682B">
        <w:rPr>
          <w:rFonts w:ascii="Cambria" w:hAnsi="Cambria" w:cs="Times New Roman"/>
          <w:b/>
          <w:sz w:val="20"/>
          <w:szCs w:val="20"/>
          <w:lang w:val="en-US"/>
        </w:rPr>
        <w:t>Table 1.</w:t>
      </w:r>
      <w:r w:rsidR="00B83016">
        <w:rPr>
          <w:rFonts w:ascii="Cambria" w:hAnsi="Cambria" w:cs="Times New Roman"/>
          <w:sz w:val="20"/>
          <w:szCs w:val="20"/>
          <w:lang w:val="en-US"/>
        </w:rPr>
        <w:t xml:space="preserve"> Descriptive s</w:t>
      </w:r>
      <w:r w:rsidRPr="0066682B">
        <w:rPr>
          <w:rFonts w:ascii="Cambria" w:hAnsi="Cambria" w:cs="Times New Roman"/>
          <w:sz w:val="20"/>
          <w:szCs w:val="20"/>
          <w:lang w:val="en-US"/>
        </w:rPr>
        <w:t>tatistics</w:t>
      </w:r>
    </w:p>
    <w:tbl>
      <w:tblPr>
        <w:tblW w:w="9639" w:type="dxa"/>
        <w:tblInd w:w="108" w:type="dxa"/>
        <w:tblLayout w:type="fixed"/>
        <w:tblLook w:val="04A0" w:firstRow="1" w:lastRow="0" w:firstColumn="1" w:lastColumn="0" w:noHBand="0" w:noVBand="1"/>
      </w:tblPr>
      <w:tblGrid>
        <w:gridCol w:w="1927"/>
        <w:gridCol w:w="1928"/>
        <w:gridCol w:w="1928"/>
        <w:gridCol w:w="1928"/>
        <w:gridCol w:w="1928"/>
      </w:tblGrid>
      <w:tr w:rsidR="0066682B" w:rsidRPr="0066682B" w14:paraId="701C9AD9" w14:textId="77777777" w:rsidTr="00F31EA9">
        <w:trPr>
          <w:trHeight w:val="300"/>
        </w:trPr>
        <w:tc>
          <w:tcPr>
            <w:tcW w:w="1927" w:type="dxa"/>
            <w:tcBorders>
              <w:top w:val="single" w:sz="12" w:space="0" w:color="auto"/>
              <w:left w:val="nil"/>
              <w:bottom w:val="single" w:sz="8" w:space="0" w:color="auto"/>
              <w:right w:val="nil"/>
            </w:tcBorders>
            <w:shd w:val="clear" w:color="auto" w:fill="auto"/>
            <w:noWrap/>
            <w:vAlign w:val="center"/>
            <w:hideMark/>
          </w:tcPr>
          <w:p w14:paraId="6E806D25" w14:textId="77777777" w:rsidR="00F31EA9" w:rsidRPr="0066682B" w:rsidRDefault="00F31EA9" w:rsidP="00F31EA9">
            <w:pPr>
              <w:spacing w:after="0" w:line="240" w:lineRule="auto"/>
              <w:ind w:left="179"/>
              <w:rPr>
                <w:rFonts w:ascii="Cambria" w:eastAsia="Times New Roman" w:hAnsi="Cambria" w:cs="Times New Roman"/>
                <w:b/>
                <w:sz w:val="20"/>
                <w:szCs w:val="20"/>
                <w:lang w:val="en-US"/>
              </w:rPr>
            </w:pPr>
            <w:r w:rsidRPr="0066682B">
              <w:rPr>
                <w:rFonts w:ascii="Cambria" w:eastAsia="Times New Roman" w:hAnsi="Cambria" w:cs="Times New Roman"/>
                <w:b/>
                <w:sz w:val="20"/>
                <w:szCs w:val="20"/>
                <w:lang w:val="en-US"/>
              </w:rPr>
              <w:t>Variable</w:t>
            </w:r>
          </w:p>
        </w:tc>
        <w:tc>
          <w:tcPr>
            <w:tcW w:w="1928" w:type="dxa"/>
            <w:tcBorders>
              <w:top w:val="single" w:sz="12" w:space="0" w:color="auto"/>
              <w:left w:val="nil"/>
              <w:bottom w:val="single" w:sz="8" w:space="0" w:color="auto"/>
              <w:right w:val="nil"/>
            </w:tcBorders>
            <w:shd w:val="clear" w:color="auto" w:fill="auto"/>
            <w:noWrap/>
            <w:vAlign w:val="center"/>
            <w:hideMark/>
          </w:tcPr>
          <w:p w14:paraId="4FE81B5A"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Mean</w:t>
            </w:r>
          </w:p>
        </w:tc>
        <w:tc>
          <w:tcPr>
            <w:tcW w:w="1928" w:type="dxa"/>
            <w:tcBorders>
              <w:top w:val="single" w:sz="12" w:space="0" w:color="auto"/>
              <w:left w:val="nil"/>
              <w:bottom w:val="single" w:sz="8" w:space="0" w:color="auto"/>
              <w:right w:val="nil"/>
            </w:tcBorders>
            <w:shd w:val="clear" w:color="auto" w:fill="auto"/>
            <w:noWrap/>
            <w:vAlign w:val="center"/>
            <w:hideMark/>
          </w:tcPr>
          <w:p w14:paraId="166E2FBA"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Std. Dev.</w:t>
            </w:r>
          </w:p>
        </w:tc>
        <w:tc>
          <w:tcPr>
            <w:tcW w:w="1928" w:type="dxa"/>
            <w:tcBorders>
              <w:top w:val="single" w:sz="12" w:space="0" w:color="auto"/>
              <w:left w:val="nil"/>
              <w:bottom w:val="single" w:sz="8" w:space="0" w:color="auto"/>
              <w:right w:val="nil"/>
            </w:tcBorders>
            <w:shd w:val="clear" w:color="auto" w:fill="auto"/>
            <w:noWrap/>
            <w:vAlign w:val="center"/>
            <w:hideMark/>
          </w:tcPr>
          <w:p w14:paraId="1C29B8DB"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Maximum</w:t>
            </w:r>
          </w:p>
        </w:tc>
        <w:tc>
          <w:tcPr>
            <w:tcW w:w="1928" w:type="dxa"/>
            <w:tcBorders>
              <w:top w:val="single" w:sz="12" w:space="0" w:color="auto"/>
              <w:left w:val="nil"/>
              <w:bottom w:val="single" w:sz="8" w:space="0" w:color="auto"/>
              <w:right w:val="nil"/>
            </w:tcBorders>
            <w:shd w:val="clear" w:color="auto" w:fill="auto"/>
            <w:noWrap/>
            <w:vAlign w:val="center"/>
            <w:hideMark/>
          </w:tcPr>
          <w:p w14:paraId="07A56B93"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Minimum</w:t>
            </w:r>
          </w:p>
        </w:tc>
      </w:tr>
      <w:tr w:rsidR="0066682B" w:rsidRPr="0066682B" w14:paraId="60387898" w14:textId="77777777" w:rsidTr="00F31EA9">
        <w:trPr>
          <w:trHeight w:val="300"/>
        </w:trPr>
        <w:tc>
          <w:tcPr>
            <w:tcW w:w="1927" w:type="dxa"/>
            <w:tcBorders>
              <w:top w:val="single" w:sz="8" w:space="0" w:color="auto"/>
              <w:left w:val="nil"/>
              <w:bottom w:val="nil"/>
              <w:right w:val="nil"/>
            </w:tcBorders>
            <w:shd w:val="clear" w:color="auto" w:fill="auto"/>
            <w:noWrap/>
            <w:vAlign w:val="center"/>
            <w:hideMark/>
          </w:tcPr>
          <w:p w14:paraId="146D7CBB" w14:textId="77777777" w:rsidR="00F31EA9" w:rsidRPr="0066682B" w:rsidRDefault="00F31EA9" w:rsidP="00F31EA9">
            <w:pPr>
              <w:spacing w:after="0" w:line="240" w:lineRule="auto"/>
              <w:ind w:left="179"/>
              <w:rPr>
                <w:rFonts w:ascii="Cambria" w:eastAsia="Times New Roman" w:hAnsi="Cambria" w:cs="Calibri"/>
                <w:sz w:val="20"/>
                <w:szCs w:val="20"/>
                <w:lang w:val="en-US"/>
              </w:rPr>
            </w:pPr>
            <w:r w:rsidRPr="0066682B">
              <w:rPr>
                <w:rFonts w:ascii="Cambria" w:eastAsia="Times New Roman" w:hAnsi="Cambria" w:cs="Calibri"/>
                <w:sz w:val="20"/>
                <w:szCs w:val="20"/>
                <w:lang w:val="en-US"/>
              </w:rPr>
              <w:t>PSF</w:t>
            </w:r>
          </w:p>
        </w:tc>
        <w:tc>
          <w:tcPr>
            <w:tcW w:w="1928" w:type="dxa"/>
            <w:tcBorders>
              <w:top w:val="single" w:sz="8" w:space="0" w:color="auto"/>
              <w:left w:val="nil"/>
              <w:bottom w:val="nil"/>
              <w:right w:val="nil"/>
            </w:tcBorders>
            <w:shd w:val="clear" w:color="auto" w:fill="auto"/>
            <w:noWrap/>
            <w:vAlign w:val="center"/>
            <w:hideMark/>
          </w:tcPr>
          <w:p w14:paraId="4756DC30" w14:textId="77777777" w:rsidR="00F31EA9" w:rsidRPr="0066682B" w:rsidRDefault="00F31EA9" w:rsidP="00F31EA9">
            <w:pPr>
              <w:spacing w:after="0" w:line="240" w:lineRule="auto"/>
              <w:ind w:right="489"/>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119.7943</w:t>
            </w:r>
          </w:p>
        </w:tc>
        <w:tc>
          <w:tcPr>
            <w:tcW w:w="1928" w:type="dxa"/>
            <w:tcBorders>
              <w:top w:val="single" w:sz="8" w:space="0" w:color="auto"/>
              <w:left w:val="nil"/>
              <w:bottom w:val="nil"/>
              <w:right w:val="nil"/>
            </w:tcBorders>
            <w:shd w:val="clear" w:color="auto" w:fill="auto"/>
            <w:noWrap/>
            <w:vAlign w:val="center"/>
            <w:hideMark/>
          </w:tcPr>
          <w:p w14:paraId="6A49F780" w14:textId="77777777" w:rsidR="00F31EA9" w:rsidRPr="0066682B" w:rsidRDefault="00F31EA9" w:rsidP="00F31EA9">
            <w:pPr>
              <w:spacing w:after="0" w:line="240" w:lineRule="auto"/>
              <w:ind w:right="56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39.35048</w:t>
            </w:r>
          </w:p>
        </w:tc>
        <w:tc>
          <w:tcPr>
            <w:tcW w:w="1928" w:type="dxa"/>
            <w:tcBorders>
              <w:top w:val="single" w:sz="8" w:space="0" w:color="auto"/>
              <w:left w:val="nil"/>
              <w:bottom w:val="nil"/>
              <w:right w:val="nil"/>
            </w:tcBorders>
            <w:shd w:val="clear" w:color="auto" w:fill="auto"/>
            <w:noWrap/>
            <w:vAlign w:val="center"/>
            <w:hideMark/>
          </w:tcPr>
          <w:p w14:paraId="32A8D014"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181.7205</w:t>
            </w:r>
          </w:p>
        </w:tc>
        <w:tc>
          <w:tcPr>
            <w:tcW w:w="1928" w:type="dxa"/>
            <w:tcBorders>
              <w:top w:val="single" w:sz="8" w:space="0" w:color="auto"/>
              <w:left w:val="nil"/>
              <w:bottom w:val="nil"/>
              <w:right w:val="nil"/>
            </w:tcBorders>
            <w:shd w:val="clear" w:color="auto" w:fill="auto"/>
            <w:noWrap/>
            <w:vAlign w:val="center"/>
            <w:hideMark/>
          </w:tcPr>
          <w:p w14:paraId="11435C4C" w14:textId="57610AE0" w:rsidR="00F31EA9" w:rsidRPr="0066682B" w:rsidRDefault="00237D26" w:rsidP="00237D26">
            <w:pPr>
              <w:spacing w:after="0" w:line="240" w:lineRule="auto"/>
              <w:ind w:right="453"/>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65.8578</w:t>
            </w:r>
          </w:p>
        </w:tc>
      </w:tr>
      <w:tr w:rsidR="0066682B" w:rsidRPr="0066682B" w14:paraId="523AEFF9" w14:textId="77777777" w:rsidTr="00F31EA9">
        <w:trPr>
          <w:trHeight w:val="300"/>
        </w:trPr>
        <w:tc>
          <w:tcPr>
            <w:tcW w:w="1927" w:type="dxa"/>
            <w:tcBorders>
              <w:top w:val="nil"/>
              <w:left w:val="nil"/>
              <w:bottom w:val="nil"/>
              <w:right w:val="nil"/>
            </w:tcBorders>
            <w:shd w:val="clear" w:color="auto" w:fill="auto"/>
            <w:noWrap/>
            <w:vAlign w:val="center"/>
            <w:hideMark/>
          </w:tcPr>
          <w:p w14:paraId="717746C4" w14:textId="77777777" w:rsidR="00F31EA9" w:rsidRPr="0066682B" w:rsidRDefault="00F31EA9" w:rsidP="00F31EA9">
            <w:pPr>
              <w:spacing w:after="0" w:line="240" w:lineRule="auto"/>
              <w:ind w:left="179"/>
              <w:rPr>
                <w:rFonts w:ascii="Cambria" w:eastAsia="Times New Roman" w:hAnsi="Cambria" w:cs="Calibri"/>
                <w:sz w:val="20"/>
                <w:szCs w:val="20"/>
                <w:lang w:val="en-US"/>
              </w:rPr>
            </w:pPr>
            <w:r w:rsidRPr="0066682B">
              <w:rPr>
                <w:rFonts w:ascii="Cambria" w:eastAsia="Times New Roman" w:hAnsi="Cambria" w:cs="Calibri"/>
                <w:sz w:val="20"/>
                <w:szCs w:val="20"/>
                <w:lang w:val="en-US"/>
              </w:rPr>
              <w:t>MD</w:t>
            </w:r>
          </w:p>
        </w:tc>
        <w:tc>
          <w:tcPr>
            <w:tcW w:w="1928" w:type="dxa"/>
            <w:tcBorders>
              <w:top w:val="nil"/>
              <w:left w:val="nil"/>
              <w:bottom w:val="nil"/>
              <w:right w:val="nil"/>
            </w:tcBorders>
            <w:shd w:val="clear" w:color="auto" w:fill="auto"/>
            <w:noWrap/>
            <w:vAlign w:val="center"/>
            <w:hideMark/>
          </w:tcPr>
          <w:p w14:paraId="07E2CE75" w14:textId="77777777" w:rsidR="00F31EA9" w:rsidRPr="0066682B" w:rsidRDefault="00F31EA9" w:rsidP="00F31EA9">
            <w:pPr>
              <w:spacing w:after="0" w:line="240" w:lineRule="auto"/>
              <w:ind w:right="489"/>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184.8117</w:t>
            </w:r>
          </w:p>
        </w:tc>
        <w:tc>
          <w:tcPr>
            <w:tcW w:w="1928" w:type="dxa"/>
            <w:tcBorders>
              <w:top w:val="nil"/>
              <w:left w:val="nil"/>
              <w:bottom w:val="nil"/>
              <w:right w:val="nil"/>
            </w:tcBorders>
            <w:shd w:val="clear" w:color="auto" w:fill="auto"/>
            <w:noWrap/>
            <w:vAlign w:val="center"/>
            <w:hideMark/>
          </w:tcPr>
          <w:p w14:paraId="23171EB8" w14:textId="77777777" w:rsidR="00F31EA9" w:rsidRPr="0066682B" w:rsidRDefault="00F31EA9" w:rsidP="00F31EA9">
            <w:pPr>
              <w:spacing w:after="0" w:line="240" w:lineRule="auto"/>
              <w:ind w:right="56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34.59474</w:t>
            </w:r>
          </w:p>
        </w:tc>
        <w:tc>
          <w:tcPr>
            <w:tcW w:w="1928" w:type="dxa"/>
            <w:tcBorders>
              <w:top w:val="nil"/>
              <w:left w:val="nil"/>
              <w:bottom w:val="nil"/>
              <w:right w:val="nil"/>
            </w:tcBorders>
            <w:shd w:val="clear" w:color="auto" w:fill="auto"/>
            <w:noWrap/>
            <w:vAlign w:val="center"/>
            <w:hideMark/>
          </w:tcPr>
          <w:p w14:paraId="490245DF" w14:textId="40EB208C" w:rsidR="00F31EA9" w:rsidRPr="0066682B" w:rsidRDefault="00237D26" w:rsidP="00F31EA9">
            <w:pPr>
              <w:spacing w:after="0" w:line="240" w:lineRule="auto"/>
              <w:ind w:right="51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232.6396</w:t>
            </w:r>
          </w:p>
        </w:tc>
        <w:tc>
          <w:tcPr>
            <w:tcW w:w="1928" w:type="dxa"/>
            <w:tcBorders>
              <w:top w:val="nil"/>
              <w:left w:val="nil"/>
              <w:bottom w:val="nil"/>
              <w:right w:val="nil"/>
            </w:tcBorders>
            <w:shd w:val="clear" w:color="auto" w:fill="auto"/>
            <w:noWrap/>
            <w:vAlign w:val="center"/>
            <w:hideMark/>
          </w:tcPr>
          <w:p w14:paraId="773F4B5C" w14:textId="77777777" w:rsidR="00F31EA9" w:rsidRPr="0066682B" w:rsidRDefault="00F31EA9" w:rsidP="00F31EA9">
            <w:pPr>
              <w:spacing w:after="0" w:line="240" w:lineRule="auto"/>
              <w:ind w:right="453"/>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129.8895</w:t>
            </w:r>
          </w:p>
        </w:tc>
      </w:tr>
      <w:tr w:rsidR="0066682B" w:rsidRPr="0066682B" w14:paraId="58322827" w14:textId="77777777" w:rsidTr="00F31EA9">
        <w:trPr>
          <w:trHeight w:val="300"/>
        </w:trPr>
        <w:tc>
          <w:tcPr>
            <w:tcW w:w="1927" w:type="dxa"/>
            <w:tcBorders>
              <w:top w:val="nil"/>
              <w:left w:val="nil"/>
              <w:bottom w:val="nil"/>
              <w:right w:val="nil"/>
            </w:tcBorders>
            <w:shd w:val="clear" w:color="auto" w:fill="auto"/>
            <w:noWrap/>
            <w:vAlign w:val="center"/>
            <w:hideMark/>
          </w:tcPr>
          <w:p w14:paraId="3F758724" w14:textId="77777777" w:rsidR="00F31EA9" w:rsidRPr="0066682B" w:rsidRDefault="00F31EA9" w:rsidP="00F31EA9">
            <w:pPr>
              <w:spacing w:after="0" w:line="240" w:lineRule="auto"/>
              <w:ind w:left="179"/>
              <w:rPr>
                <w:rFonts w:ascii="Cambria" w:eastAsia="Times New Roman" w:hAnsi="Cambria" w:cs="Calibri"/>
                <w:sz w:val="20"/>
                <w:szCs w:val="20"/>
                <w:lang w:val="en-US"/>
              </w:rPr>
            </w:pPr>
            <w:r w:rsidRPr="0066682B">
              <w:rPr>
                <w:rFonts w:ascii="Cambria" w:eastAsia="Times New Roman" w:hAnsi="Cambria" w:cs="Calibri"/>
                <w:sz w:val="20"/>
                <w:szCs w:val="20"/>
                <w:lang w:val="en-US"/>
              </w:rPr>
              <w:t>NPF</w:t>
            </w:r>
          </w:p>
        </w:tc>
        <w:tc>
          <w:tcPr>
            <w:tcW w:w="1928" w:type="dxa"/>
            <w:tcBorders>
              <w:top w:val="nil"/>
              <w:left w:val="nil"/>
              <w:bottom w:val="nil"/>
              <w:right w:val="nil"/>
            </w:tcBorders>
            <w:shd w:val="clear" w:color="auto" w:fill="auto"/>
            <w:noWrap/>
            <w:vAlign w:val="center"/>
            <w:hideMark/>
          </w:tcPr>
          <w:p w14:paraId="1ACE376A" w14:textId="77777777" w:rsidR="00F31EA9" w:rsidRPr="0066682B" w:rsidRDefault="00F31EA9" w:rsidP="00F31EA9">
            <w:pPr>
              <w:spacing w:after="0" w:line="240" w:lineRule="auto"/>
              <w:ind w:right="489"/>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3.7567</w:t>
            </w:r>
          </w:p>
        </w:tc>
        <w:tc>
          <w:tcPr>
            <w:tcW w:w="1928" w:type="dxa"/>
            <w:tcBorders>
              <w:top w:val="nil"/>
              <w:left w:val="nil"/>
              <w:bottom w:val="nil"/>
              <w:right w:val="nil"/>
            </w:tcBorders>
            <w:shd w:val="clear" w:color="auto" w:fill="auto"/>
            <w:noWrap/>
            <w:vAlign w:val="center"/>
            <w:hideMark/>
          </w:tcPr>
          <w:p w14:paraId="74308DFC" w14:textId="77777777" w:rsidR="00F31EA9" w:rsidRPr="0066682B" w:rsidRDefault="00F31EA9" w:rsidP="00F31EA9">
            <w:pPr>
              <w:spacing w:after="0" w:line="240" w:lineRule="auto"/>
              <w:ind w:right="56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0.6991</w:t>
            </w:r>
          </w:p>
        </w:tc>
        <w:tc>
          <w:tcPr>
            <w:tcW w:w="1928" w:type="dxa"/>
            <w:tcBorders>
              <w:top w:val="nil"/>
              <w:left w:val="nil"/>
              <w:bottom w:val="nil"/>
              <w:right w:val="nil"/>
            </w:tcBorders>
            <w:shd w:val="clear" w:color="auto" w:fill="auto"/>
            <w:noWrap/>
            <w:vAlign w:val="center"/>
            <w:hideMark/>
          </w:tcPr>
          <w:p w14:paraId="05C3EA65"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5.3095</w:t>
            </w:r>
          </w:p>
        </w:tc>
        <w:tc>
          <w:tcPr>
            <w:tcW w:w="1928" w:type="dxa"/>
            <w:tcBorders>
              <w:top w:val="nil"/>
              <w:left w:val="nil"/>
              <w:bottom w:val="nil"/>
              <w:right w:val="nil"/>
            </w:tcBorders>
            <w:shd w:val="clear" w:color="auto" w:fill="auto"/>
            <w:noWrap/>
            <w:vAlign w:val="center"/>
            <w:hideMark/>
          </w:tcPr>
          <w:p w14:paraId="4803E342" w14:textId="77777777" w:rsidR="00F31EA9" w:rsidRPr="0066682B" w:rsidRDefault="00F31EA9" w:rsidP="00F31EA9">
            <w:pPr>
              <w:spacing w:after="0" w:line="240" w:lineRule="auto"/>
              <w:ind w:right="453"/>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2.8898</w:t>
            </w:r>
          </w:p>
        </w:tc>
      </w:tr>
      <w:tr w:rsidR="0066682B" w:rsidRPr="0066682B" w14:paraId="248BB493" w14:textId="77777777" w:rsidTr="00F31EA9">
        <w:trPr>
          <w:trHeight w:val="300"/>
        </w:trPr>
        <w:tc>
          <w:tcPr>
            <w:tcW w:w="1927" w:type="dxa"/>
            <w:tcBorders>
              <w:top w:val="nil"/>
              <w:left w:val="nil"/>
              <w:bottom w:val="nil"/>
              <w:right w:val="nil"/>
            </w:tcBorders>
            <w:shd w:val="clear" w:color="auto" w:fill="auto"/>
            <w:noWrap/>
            <w:vAlign w:val="center"/>
          </w:tcPr>
          <w:p w14:paraId="4B30CA2E" w14:textId="0F14B869" w:rsidR="00D03B61" w:rsidRPr="0066682B" w:rsidRDefault="00D03B61" w:rsidP="00D03B61">
            <w:pPr>
              <w:spacing w:after="0" w:line="240" w:lineRule="auto"/>
              <w:ind w:left="179"/>
              <w:rPr>
                <w:rFonts w:ascii="Cambria" w:eastAsia="Times New Roman" w:hAnsi="Cambria" w:cs="Calibri"/>
                <w:sz w:val="20"/>
                <w:szCs w:val="20"/>
                <w:lang w:val="en-US"/>
              </w:rPr>
            </w:pPr>
            <w:r w:rsidRPr="0066682B">
              <w:rPr>
                <w:rFonts w:ascii="Cambria" w:eastAsia="Times New Roman" w:hAnsi="Cambria" w:cs="Calibri"/>
                <w:sz w:val="20"/>
                <w:szCs w:val="20"/>
                <w:lang w:val="en-US"/>
              </w:rPr>
              <w:t>E</w:t>
            </w:r>
            <w:r w:rsidR="000F396A" w:rsidRPr="0066682B">
              <w:rPr>
                <w:rFonts w:ascii="Cambria" w:eastAsia="Times New Roman" w:hAnsi="Cambria" w:cs="Calibri"/>
                <w:sz w:val="20"/>
                <w:szCs w:val="20"/>
                <w:lang w:val="en-US"/>
              </w:rPr>
              <w:t>R</w:t>
            </w:r>
          </w:p>
        </w:tc>
        <w:tc>
          <w:tcPr>
            <w:tcW w:w="1928" w:type="dxa"/>
            <w:tcBorders>
              <w:top w:val="nil"/>
              <w:left w:val="nil"/>
              <w:bottom w:val="nil"/>
              <w:right w:val="nil"/>
            </w:tcBorders>
            <w:shd w:val="clear" w:color="auto" w:fill="auto"/>
            <w:noWrap/>
            <w:vAlign w:val="center"/>
          </w:tcPr>
          <w:p w14:paraId="29C9134A" w14:textId="31B9F4B8" w:rsidR="00D03B61" w:rsidRPr="0066682B" w:rsidRDefault="00D03B61" w:rsidP="00D03B61">
            <w:pPr>
              <w:spacing w:after="0" w:line="240" w:lineRule="auto"/>
              <w:ind w:right="489"/>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10.3912</w:t>
            </w:r>
          </w:p>
        </w:tc>
        <w:tc>
          <w:tcPr>
            <w:tcW w:w="1928" w:type="dxa"/>
            <w:tcBorders>
              <w:top w:val="nil"/>
              <w:left w:val="nil"/>
              <w:bottom w:val="nil"/>
              <w:right w:val="nil"/>
            </w:tcBorders>
            <w:shd w:val="clear" w:color="auto" w:fill="auto"/>
            <w:noWrap/>
            <w:vAlign w:val="center"/>
          </w:tcPr>
          <w:p w14:paraId="21F5C9CA" w14:textId="45EE0285" w:rsidR="00D03B61" w:rsidRPr="0066682B" w:rsidRDefault="00D03B61" w:rsidP="00D03B61">
            <w:pPr>
              <w:spacing w:after="0" w:line="240" w:lineRule="auto"/>
              <w:ind w:right="56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1.1607</w:t>
            </w:r>
          </w:p>
        </w:tc>
        <w:tc>
          <w:tcPr>
            <w:tcW w:w="1928" w:type="dxa"/>
            <w:tcBorders>
              <w:top w:val="nil"/>
              <w:left w:val="nil"/>
              <w:bottom w:val="nil"/>
              <w:right w:val="nil"/>
            </w:tcBorders>
            <w:shd w:val="clear" w:color="auto" w:fill="auto"/>
            <w:noWrap/>
            <w:vAlign w:val="center"/>
          </w:tcPr>
          <w:p w14:paraId="6D4AFDEE" w14:textId="56E393B0" w:rsidR="00D03B61" w:rsidRPr="0066682B" w:rsidRDefault="00D03B61" w:rsidP="00D03B61">
            <w:pPr>
              <w:spacing w:after="0" w:line="240" w:lineRule="auto"/>
              <w:ind w:right="51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12.0923</w:t>
            </w:r>
          </w:p>
        </w:tc>
        <w:tc>
          <w:tcPr>
            <w:tcW w:w="1928" w:type="dxa"/>
            <w:tcBorders>
              <w:top w:val="nil"/>
              <w:left w:val="nil"/>
              <w:bottom w:val="nil"/>
              <w:right w:val="nil"/>
            </w:tcBorders>
            <w:shd w:val="clear" w:color="auto" w:fill="auto"/>
            <w:noWrap/>
            <w:vAlign w:val="center"/>
          </w:tcPr>
          <w:p w14:paraId="70FC9276" w14:textId="73A5ABF0" w:rsidR="00D03B61" w:rsidRPr="0066682B" w:rsidRDefault="00D03B61" w:rsidP="00D03B61">
            <w:pPr>
              <w:spacing w:after="0" w:line="240" w:lineRule="auto"/>
              <w:ind w:right="453"/>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8.5652</w:t>
            </w:r>
          </w:p>
        </w:tc>
      </w:tr>
      <w:tr w:rsidR="0066682B" w:rsidRPr="0066682B" w14:paraId="4F8BE64B" w14:textId="77777777" w:rsidTr="00F31EA9">
        <w:trPr>
          <w:trHeight w:val="300"/>
        </w:trPr>
        <w:tc>
          <w:tcPr>
            <w:tcW w:w="1927" w:type="dxa"/>
            <w:tcBorders>
              <w:top w:val="nil"/>
              <w:left w:val="nil"/>
              <w:bottom w:val="nil"/>
              <w:right w:val="nil"/>
            </w:tcBorders>
            <w:shd w:val="clear" w:color="auto" w:fill="auto"/>
            <w:noWrap/>
            <w:vAlign w:val="center"/>
            <w:hideMark/>
          </w:tcPr>
          <w:p w14:paraId="173B3D75" w14:textId="77777777" w:rsidR="00F31EA9" w:rsidRPr="0066682B" w:rsidRDefault="00F31EA9" w:rsidP="00F31EA9">
            <w:pPr>
              <w:spacing w:after="0" w:line="240" w:lineRule="auto"/>
              <w:ind w:left="179"/>
              <w:rPr>
                <w:rFonts w:ascii="Cambria" w:eastAsia="Times New Roman" w:hAnsi="Cambria" w:cs="Calibri"/>
                <w:sz w:val="20"/>
                <w:szCs w:val="20"/>
                <w:lang w:val="en-US"/>
              </w:rPr>
            </w:pPr>
            <w:r w:rsidRPr="0066682B">
              <w:rPr>
                <w:rFonts w:ascii="Cambria" w:eastAsia="Times New Roman" w:hAnsi="Cambria" w:cs="Calibri"/>
                <w:sz w:val="20"/>
                <w:szCs w:val="20"/>
                <w:lang w:val="en-US"/>
              </w:rPr>
              <w:t>BOPO</w:t>
            </w:r>
          </w:p>
        </w:tc>
        <w:tc>
          <w:tcPr>
            <w:tcW w:w="1928" w:type="dxa"/>
            <w:tcBorders>
              <w:top w:val="nil"/>
              <w:left w:val="nil"/>
              <w:bottom w:val="nil"/>
              <w:right w:val="nil"/>
            </w:tcBorders>
            <w:shd w:val="clear" w:color="auto" w:fill="auto"/>
            <w:noWrap/>
            <w:vAlign w:val="center"/>
            <w:hideMark/>
          </w:tcPr>
          <w:p w14:paraId="56B16A73" w14:textId="77777777" w:rsidR="00F31EA9" w:rsidRPr="0066682B" w:rsidRDefault="00F31EA9" w:rsidP="00F31EA9">
            <w:pPr>
              <w:spacing w:after="0" w:line="240" w:lineRule="auto"/>
              <w:ind w:right="489"/>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91.0275</w:t>
            </w:r>
          </w:p>
        </w:tc>
        <w:tc>
          <w:tcPr>
            <w:tcW w:w="1928" w:type="dxa"/>
            <w:tcBorders>
              <w:top w:val="nil"/>
              <w:left w:val="nil"/>
              <w:bottom w:val="nil"/>
              <w:right w:val="nil"/>
            </w:tcBorders>
            <w:shd w:val="clear" w:color="auto" w:fill="auto"/>
            <w:noWrap/>
            <w:vAlign w:val="center"/>
            <w:hideMark/>
          </w:tcPr>
          <w:p w14:paraId="6F4D9969" w14:textId="77777777" w:rsidR="00F31EA9" w:rsidRPr="0066682B" w:rsidRDefault="00F31EA9" w:rsidP="00F31EA9">
            <w:pPr>
              <w:spacing w:after="0" w:line="240" w:lineRule="auto"/>
              <w:ind w:right="56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4.6793</w:t>
            </w:r>
          </w:p>
        </w:tc>
        <w:tc>
          <w:tcPr>
            <w:tcW w:w="1928" w:type="dxa"/>
            <w:tcBorders>
              <w:top w:val="nil"/>
              <w:left w:val="nil"/>
              <w:bottom w:val="nil"/>
              <w:right w:val="nil"/>
            </w:tcBorders>
            <w:shd w:val="clear" w:color="auto" w:fill="auto"/>
            <w:noWrap/>
            <w:vAlign w:val="center"/>
            <w:hideMark/>
          </w:tcPr>
          <w:p w14:paraId="0F0356F8"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97.0050</w:t>
            </w:r>
          </w:p>
        </w:tc>
        <w:tc>
          <w:tcPr>
            <w:tcW w:w="1928" w:type="dxa"/>
            <w:tcBorders>
              <w:top w:val="nil"/>
              <w:left w:val="nil"/>
              <w:bottom w:val="nil"/>
              <w:right w:val="nil"/>
            </w:tcBorders>
            <w:shd w:val="clear" w:color="auto" w:fill="auto"/>
            <w:noWrap/>
            <w:vAlign w:val="center"/>
            <w:hideMark/>
          </w:tcPr>
          <w:p w14:paraId="0E2C2B75" w14:textId="77777777" w:rsidR="00F31EA9" w:rsidRPr="0066682B" w:rsidRDefault="00F31EA9" w:rsidP="00F31EA9">
            <w:pPr>
              <w:spacing w:after="0" w:line="240" w:lineRule="auto"/>
              <w:ind w:right="453"/>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83.0443</w:t>
            </w:r>
          </w:p>
        </w:tc>
      </w:tr>
      <w:tr w:rsidR="0066682B" w:rsidRPr="0066682B" w14:paraId="740BB214" w14:textId="77777777" w:rsidTr="00F31EA9">
        <w:trPr>
          <w:trHeight w:val="300"/>
        </w:trPr>
        <w:tc>
          <w:tcPr>
            <w:tcW w:w="1927" w:type="dxa"/>
            <w:tcBorders>
              <w:top w:val="nil"/>
              <w:left w:val="nil"/>
              <w:right w:val="nil"/>
            </w:tcBorders>
            <w:shd w:val="clear" w:color="auto" w:fill="auto"/>
            <w:noWrap/>
            <w:vAlign w:val="center"/>
            <w:hideMark/>
          </w:tcPr>
          <w:p w14:paraId="450EAD54" w14:textId="3F63FA3D" w:rsidR="00F31EA9" w:rsidRPr="0066682B" w:rsidRDefault="000F396A" w:rsidP="00F31EA9">
            <w:pPr>
              <w:spacing w:after="0" w:line="240" w:lineRule="auto"/>
              <w:ind w:left="179"/>
              <w:rPr>
                <w:rFonts w:ascii="Cambria" w:eastAsia="Times New Roman" w:hAnsi="Cambria" w:cs="Calibri"/>
                <w:sz w:val="20"/>
                <w:szCs w:val="20"/>
                <w:lang w:val="en-US"/>
              </w:rPr>
            </w:pPr>
            <w:r w:rsidRPr="0066682B">
              <w:rPr>
                <w:rFonts w:ascii="Cambria" w:eastAsia="Times New Roman" w:hAnsi="Cambria" w:cs="Calibri"/>
                <w:sz w:val="20"/>
                <w:szCs w:val="20"/>
                <w:lang w:val="en-US"/>
              </w:rPr>
              <w:t>EG</w:t>
            </w:r>
          </w:p>
        </w:tc>
        <w:tc>
          <w:tcPr>
            <w:tcW w:w="1928" w:type="dxa"/>
            <w:tcBorders>
              <w:top w:val="nil"/>
              <w:left w:val="nil"/>
              <w:right w:val="nil"/>
            </w:tcBorders>
            <w:shd w:val="clear" w:color="auto" w:fill="auto"/>
            <w:noWrap/>
            <w:vAlign w:val="center"/>
            <w:hideMark/>
          </w:tcPr>
          <w:p w14:paraId="5F1C4070" w14:textId="77777777" w:rsidR="00F31EA9" w:rsidRPr="0066682B" w:rsidRDefault="00F31EA9" w:rsidP="00F31EA9">
            <w:pPr>
              <w:spacing w:after="0" w:line="240" w:lineRule="auto"/>
              <w:ind w:right="489"/>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4.1235</w:t>
            </w:r>
          </w:p>
        </w:tc>
        <w:tc>
          <w:tcPr>
            <w:tcW w:w="1928" w:type="dxa"/>
            <w:tcBorders>
              <w:top w:val="nil"/>
              <w:left w:val="nil"/>
              <w:right w:val="nil"/>
            </w:tcBorders>
            <w:shd w:val="clear" w:color="auto" w:fill="auto"/>
            <w:noWrap/>
            <w:vAlign w:val="center"/>
            <w:hideMark/>
          </w:tcPr>
          <w:p w14:paraId="59E0E91E" w14:textId="77777777" w:rsidR="00F31EA9" w:rsidRPr="0066682B" w:rsidRDefault="00F31EA9" w:rsidP="00F31EA9">
            <w:pPr>
              <w:spacing w:after="0" w:line="240" w:lineRule="auto"/>
              <w:ind w:right="56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2.7427</w:t>
            </w:r>
          </w:p>
        </w:tc>
        <w:tc>
          <w:tcPr>
            <w:tcW w:w="1928" w:type="dxa"/>
            <w:tcBorders>
              <w:top w:val="nil"/>
              <w:left w:val="nil"/>
              <w:right w:val="nil"/>
            </w:tcBorders>
            <w:shd w:val="clear" w:color="auto" w:fill="auto"/>
            <w:noWrap/>
            <w:vAlign w:val="center"/>
            <w:hideMark/>
          </w:tcPr>
          <w:p w14:paraId="245C1B56"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5.2659</w:t>
            </w:r>
          </w:p>
        </w:tc>
        <w:tc>
          <w:tcPr>
            <w:tcW w:w="1928" w:type="dxa"/>
            <w:tcBorders>
              <w:top w:val="nil"/>
              <w:left w:val="nil"/>
              <w:right w:val="nil"/>
            </w:tcBorders>
            <w:shd w:val="clear" w:color="auto" w:fill="auto"/>
            <w:noWrap/>
            <w:vAlign w:val="center"/>
            <w:hideMark/>
          </w:tcPr>
          <w:p w14:paraId="7C917A3F" w14:textId="77777777" w:rsidR="00F31EA9" w:rsidRPr="0066682B" w:rsidRDefault="00F31EA9" w:rsidP="00F31EA9">
            <w:pPr>
              <w:spacing w:after="0" w:line="240" w:lineRule="auto"/>
              <w:ind w:right="453"/>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-5.3229</w:t>
            </w:r>
          </w:p>
        </w:tc>
      </w:tr>
      <w:tr w:rsidR="00F31EA9" w:rsidRPr="0066682B" w14:paraId="24F58A01" w14:textId="77777777" w:rsidTr="00F31EA9">
        <w:trPr>
          <w:trHeight w:val="300"/>
        </w:trPr>
        <w:tc>
          <w:tcPr>
            <w:tcW w:w="1927" w:type="dxa"/>
            <w:tcBorders>
              <w:top w:val="nil"/>
              <w:left w:val="nil"/>
              <w:bottom w:val="single" w:sz="12" w:space="0" w:color="auto"/>
              <w:right w:val="nil"/>
            </w:tcBorders>
            <w:shd w:val="clear" w:color="auto" w:fill="auto"/>
            <w:noWrap/>
            <w:vAlign w:val="center"/>
            <w:hideMark/>
          </w:tcPr>
          <w:p w14:paraId="7FBB9861" w14:textId="77777777" w:rsidR="00F31EA9" w:rsidRPr="0066682B" w:rsidRDefault="00F31EA9" w:rsidP="00F31EA9">
            <w:pPr>
              <w:spacing w:after="0" w:line="240" w:lineRule="auto"/>
              <w:ind w:left="179"/>
              <w:rPr>
                <w:rFonts w:ascii="Cambria" w:eastAsia="Times New Roman" w:hAnsi="Cambria" w:cs="Calibri"/>
                <w:sz w:val="20"/>
                <w:szCs w:val="20"/>
                <w:lang w:val="en-US"/>
              </w:rPr>
            </w:pPr>
            <w:r w:rsidRPr="0066682B">
              <w:rPr>
                <w:rFonts w:ascii="Cambria" w:eastAsia="Times New Roman" w:hAnsi="Cambria" w:cs="Calibri"/>
                <w:sz w:val="20"/>
                <w:szCs w:val="20"/>
                <w:lang w:val="en-US"/>
              </w:rPr>
              <w:t>INF</w:t>
            </w:r>
          </w:p>
        </w:tc>
        <w:tc>
          <w:tcPr>
            <w:tcW w:w="1928" w:type="dxa"/>
            <w:tcBorders>
              <w:top w:val="nil"/>
              <w:left w:val="nil"/>
              <w:bottom w:val="single" w:sz="12" w:space="0" w:color="auto"/>
              <w:right w:val="nil"/>
            </w:tcBorders>
            <w:shd w:val="clear" w:color="auto" w:fill="auto"/>
            <w:noWrap/>
            <w:vAlign w:val="center"/>
            <w:hideMark/>
          </w:tcPr>
          <w:p w14:paraId="5AD1CFD3" w14:textId="77777777" w:rsidR="00F31EA9" w:rsidRPr="0066682B" w:rsidRDefault="00F31EA9" w:rsidP="00F31EA9">
            <w:pPr>
              <w:spacing w:after="0" w:line="240" w:lineRule="auto"/>
              <w:ind w:right="489"/>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3.6461</w:t>
            </w:r>
          </w:p>
        </w:tc>
        <w:tc>
          <w:tcPr>
            <w:tcW w:w="1928" w:type="dxa"/>
            <w:tcBorders>
              <w:top w:val="nil"/>
              <w:left w:val="nil"/>
              <w:bottom w:val="single" w:sz="12" w:space="0" w:color="auto"/>
              <w:right w:val="nil"/>
            </w:tcBorders>
            <w:shd w:val="clear" w:color="auto" w:fill="auto"/>
            <w:noWrap/>
            <w:vAlign w:val="center"/>
            <w:hideMark/>
          </w:tcPr>
          <w:p w14:paraId="3E1EC4F8" w14:textId="77777777" w:rsidR="00F31EA9" w:rsidRPr="0066682B" w:rsidRDefault="00F31EA9" w:rsidP="00F31EA9">
            <w:pPr>
              <w:spacing w:after="0" w:line="240" w:lineRule="auto"/>
              <w:ind w:right="56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1.4235</w:t>
            </w:r>
          </w:p>
        </w:tc>
        <w:tc>
          <w:tcPr>
            <w:tcW w:w="1928" w:type="dxa"/>
            <w:tcBorders>
              <w:top w:val="nil"/>
              <w:left w:val="nil"/>
              <w:bottom w:val="single" w:sz="12" w:space="0" w:color="auto"/>
              <w:right w:val="nil"/>
            </w:tcBorders>
            <w:shd w:val="clear" w:color="auto" w:fill="auto"/>
            <w:noWrap/>
            <w:vAlign w:val="center"/>
            <w:hideMark/>
          </w:tcPr>
          <w:p w14:paraId="3D77267A"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7.2600</w:t>
            </w:r>
          </w:p>
        </w:tc>
        <w:tc>
          <w:tcPr>
            <w:tcW w:w="1928" w:type="dxa"/>
            <w:tcBorders>
              <w:top w:val="nil"/>
              <w:left w:val="nil"/>
              <w:bottom w:val="single" w:sz="12" w:space="0" w:color="auto"/>
              <w:right w:val="nil"/>
            </w:tcBorders>
            <w:shd w:val="clear" w:color="auto" w:fill="auto"/>
            <w:noWrap/>
            <w:vAlign w:val="center"/>
            <w:hideMark/>
          </w:tcPr>
          <w:p w14:paraId="1F0BDBA2" w14:textId="77777777" w:rsidR="00F31EA9" w:rsidRPr="0066682B" w:rsidRDefault="00F31EA9" w:rsidP="00F31EA9">
            <w:pPr>
              <w:spacing w:after="0" w:line="240" w:lineRule="auto"/>
              <w:ind w:right="453"/>
              <w:jc w:val="right"/>
              <w:rPr>
                <w:rFonts w:ascii="Cambria" w:eastAsia="Times New Roman" w:hAnsi="Cambria" w:cs="Calibri"/>
                <w:sz w:val="20"/>
                <w:szCs w:val="20"/>
                <w:lang w:val="en-US"/>
              </w:rPr>
            </w:pPr>
            <w:r w:rsidRPr="0066682B">
              <w:rPr>
                <w:rFonts w:ascii="Cambria" w:eastAsia="Times New Roman" w:hAnsi="Cambria" w:cs="Calibri"/>
                <w:sz w:val="20"/>
                <w:szCs w:val="20"/>
                <w:lang w:val="en-US"/>
              </w:rPr>
              <w:t>1.4200</w:t>
            </w:r>
          </w:p>
        </w:tc>
      </w:tr>
    </w:tbl>
    <w:p w14:paraId="7ABC0C05" w14:textId="77777777" w:rsidR="00F31EA9" w:rsidRPr="0066682B" w:rsidRDefault="00F31EA9" w:rsidP="00F31EA9">
      <w:pPr>
        <w:autoSpaceDE w:val="0"/>
        <w:autoSpaceDN w:val="0"/>
        <w:adjustRightInd w:val="0"/>
        <w:spacing w:after="0" w:line="240" w:lineRule="auto"/>
        <w:rPr>
          <w:rFonts w:ascii="Cambria" w:hAnsi="Cambria" w:cs="Arial"/>
          <w:sz w:val="18"/>
          <w:szCs w:val="18"/>
          <w:lang w:val="en-US"/>
        </w:rPr>
      </w:pPr>
    </w:p>
    <w:p w14:paraId="1B261CD8" w14:textId="4876F4B9" w:rsidR="00F31EA9" w:rsidRPr="0066682B" w:rsidRDefault="00F31EA9" w:rsidP="00F31EA9">
      <w:pPr>
        <w:pStyle w:val="ListParagraph"/>
        <w:spacing w:after="0" w:line="360" w:lineRule="auto"/>
        <w:ind w:left="0"/>
        <w:jc w:val="both"/>
        <w:rPr>
          <w:rFonts w:ascii="Cambria" w:hAnsi="Cambria" w:cs="Times New Roman"/>
          <w:sz w:val="24"/>
          <w:szCs w:val="24"/>
          <w:lang w:val="en-US"/>
        </w:rPr>
      </w:pPr>
    </w:p>
    <w:p w14:paraId="1697334D" w14:textId="4197DF7F" w:rsidR="005D110D" w:rsidRPr="0066682B" w:rsidRDefault="005D110D" w:rsidP="00F31EA9">
      <w:pPr>
        <w:pStyle w:val="ListParagraph"/>
        <w:spacing w:after="0" w:line="360" w:lineRule="auto"/>
        <w:ind w:left="0"/>
        <w:jc w:val="both"/>
        <w:rPr>
          <w:rFonts w:ascii="Cambria" w:hAnsi="Cambria" w:cs="Times New Roman"/>
          <w:sz w:val="24"/>
          <w:szCs w:val="24"/>
          <w:lang w:val="en-US"/>
        </w:rPr>
      </w:pPr>
    </w:p>
    <w:p w14:paraId="7A65F2C2" w14:textId="2D3997B3" w:rsidR="005D110D" w:rsidRPr="0066682B" w:rsidRDefault="00D74262" w:rsidP="004A2DD5">
      <w:pPr>
        <w:pStyle w:val="ListParagraph"/>
        <w:spacing w:after="0" w:line="360" w:lineRule="auto"/>
        <w:ind w:left="0"/>
        <w:jc w:val="center"/>
        <w:rPr>
          <w:rFonts w:ascii="Cambria" w:hAnsi="Cambria" w:cs="Times New Roman"/>
          <w:sz w:val="24"/>
          <w:szCs w:val="24"/>
          <w:lang w:val="en-US"/>
        </w:rPr>
      </w:pPr>
      <w:r w:rsidRPr="0066682B">
        <w:rPr>
          <w:noProof/>
          <w:lang w:eastAsia="id-ID"/>
        </w:rPr>
        <w:lastRenderedPageBreak/>
        <w:drawing>
          <wp:inline distT="0" distB="0" distL="0" distR="0" wp14:anchorId="157D676D" wp14:editId="5B2AF342">
            <wp:extent cx="3800724" cy="21943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0134" t="22876" r="23991" b="13342"/>
                    <a:stretch/>
                  </pic:blipFill>
                  <pic:spPr bwMode="auto">
                    <a:xfrm>
                      <a:off x="0" y="0"/>
                      <a:ext cx="3804501" cy="2196559"/>
                    </a:xfrm>
                    <a:prstGeom prst="rect">
                      <a:avLst/>
                    </a:prstGeom>
                    <a:ln>
                      <a:noFill/>
                    </a:ln>
                    <a:extLst>
                      <a:ext uri="{53640926-AAD7-44D8-BBD7-CCE9431645EC}">
                        <a14:shadowObscured xmlns:a14="http://schemas.microsoft.com/office/drawing/2010/main"/>
                      </a:ext>
                    </a:extLst>
                  </pic:spPr>
                </pic:pic>
              </a:graphicData>
            </a:graphic>
          </wp:inline>
        </w:drawing>
      </w:r>
    </w:p>
    <w:p w14:paraId="5DE1857B" w14:textId="25EA536F" w:rsidR="004A2DD5" w:rsidRPr="0066682B" w:rsidRDefault="004A2DD5" w:rsidP="0019484D">
      <w:pPr>
        <w:pStyle w:val="ListParagraph"/>
        <w:spacing w:after="0" w:line="240" w:lineRule="auto"/>
        <w:ind w:left="0"/>
        <w:jc w:val="center"/>
        <w:rPr>
          <w:rFonts w:ascii="Cambria" w:hAnsi="Cambria" w:cs="Times New Roman"/>
          <w:sz w:val="20"/>
          <w:szCs w:val="20"/>
          <w:lang w:val="en-US"/>
        </w:rPr>
      </w:pPr>
      <w:r w:rsidRPr="0066682B">
        <w:rPr>
          <w:rFonts w:ascii="Cambria" w:hAnsi="Cambria" w:cs="Times New Roman"/>
          <w:b/>
          <w:sz w:val="20"/>
          <w:szCs w:val="20"/>
          <w:lang w:val="en-US"/>
        </w:rPr>
        <w:t>Figure 1.</w:t>
      </w:r>
      <w:r w:rsidRPr="0066682B">
        <w:rPr>
          <w:rFonts w:ascii="Cambria" w:hAnsi="Cambria" w:cs="Times New Roman"/>
          <w:sz w:val="20"/>
          <w:szCs w:val="20"/>
          <w:lang w:val="en-US"/>
        </w:rPr>
        <w:t xml:space="preserve"> Profit-Sharing Financial of Islamic Bank</w:t>
      </w:r>
    </w:p>
    <w:p w14:paraId="298F9202" w14:textId="2001A2D2" w:rsidR="004A2DD5" w:rsidRPr="0066682B" w:rsidRDefault="004A2DD5" w:rsidP="004A2DD5">
      <w:pPr>
        <w:pStyle w:val="ListParagraph"/>
        <w:spacing w:after="0" w:line="360" w:lineRule="auto"/>
        <w:ind w:left="0"/>
        <w:jc w:val="center"/>
        <w:rPr>
          <w:rFonts w:ascii="Cambria" w:hAnsi="Cambria" w:cs="Times New Roman"/>
          <w:sz w:val="20"/>
          <w:szCs w:val="20"/>
          <w:lang w:val="en-US"/>
        </w:rPr>
      </w:pPr>
      <w:r w:rsidRPr="0066682B">
        <w:rPr>
          <w:rFonts w:ascii="Cambria" w:hAnsi="Cambria" w:cs="Times New Roman"/>
          <w:sz w:val="20"/>
          <w:szCs w:val="20"/>
          <w:lang w:val="en-US"/>
        </w:rPr>
        <w:t>2015:Q1-2020:Q3</w:t>
      </w:r>
    </w:p>
    <w:p w14:paraId="6B7FA0A4" w14:textId="4F5150F6" w:rsidR="000A73D2" w:rsidRPr="0066682B" w:rsidRDefault="000A73D2" w:rsidP="000A73D2">
      <w:pPr>
        <w:spacing w:after="0" w:line="240" w:lineRule="auto"/>
        <w:jc w:val="both"/>
        <w:rPr>
          <w:rFonts w:ascii="Cambria" w:hAnsi="Cambria" w:cs="Times New Roman"/>
          <w:lang w:val="en-US"/>
        </w:rPr>
      </w:pPr>
    </w:p>
    <w:p w14:paraId="7D9BD5AA" w14:textId="1A9DD076" w:rsidR="000A73D2" w:rsidRPr="0066682B" w:rsidRDefault="00576C66" w:rsidP="000A73D2">
      <w:pPr>
        <w:spacing w:after="0" w:line="240" w:lineRule="auto"/>
        <w:jc w:val="both"/>
        <w:rPr>
          <w:rFonts w:ascii="Cambria" w:hAnsi="Cambria" w:cs="Times New Roman"/>
          <w:b/>
          <w:lang w:val="en-US"/>
        </w:rPr>
      </w:pPr>
      <w:r>
        <w:rPr>
          <w:rFonts w:ascii="Cambria" w:hAnsi="Cambria" w:cs="Times New Roman"/>
          <w:b/>
          <w:lang w:val="en-US"/>
        </w:rPr>
        <w:t>Stationarity t</w:t>
      </w:r>
      <w:r w:rsidR="006336D0" w:rsidRPr="006336D0">
        <w:rPr>
          <w:rFonts w:ascii="Cambria" w:hAnsi="Cambria" w:cs="Times New Roman"/>
          <w:b/>
          <w:lang w:val="en-US"/>
        </w:rPr>
        <w:t>est</w:t>
      </w:r>
    </w:p>
    <w:p w14:paraId="66098400" w14:textId="7175B469" w:rsidR="00F65785" w:rsidRDefault="00F65785" w:rsidP="0066682B">
      <w:pPr>
        <w:pStyle w:val="ListParagraph"/>
        <w:spacing w:after="0" w:line="240" w:lineRule="auto"/>
        <w:ind w:left="0" w:firstLine="426"/>
        <w:contextualSpacing w:val="0"/>
        <w:jc w:val="both"/>
        <w:rPr>
          <w:rFonts w:ascii="Cambria" w:hAnsi="Cambria" w:cs="Times New Roman"/>
          <w:lang w:val="en-US"/>
        </w:rPr>
      </w:pPr>
      <w:r w:rsidRPr="00F65785">
        <w:rPr>
          <w:rFonts w:ascii="Cambria" w:hAnsi="Cambria" w:cs="Times New Roman"/>
          <w:lang w:val="en-US"/>
        </w:rPr>
        <w:t xml:space="preserve">The results of the stationarity test with the unit root test are presented in Table 2. </w:t>
      </w:r>
      <w:r>
        <w:rPr>
          <w:rFonts w:ascii="Cambria" w:hAnsi="Cambria" w:cs="Times New Roman"/>
          <w:lang w:val="en-US"/>
        </w:rPr>
        <w:t xml:space="preserve">At </w:t>
      </w:r>
      <w:r w:rsidRPr="00F65785">
        <w:rPr>
          <w:rFonts w:ascii="Cambria" w:hAnsi="Cambria" w:cs="Times New Roman"/>
          <w:lang w:val="en-US"/>
        </w:rPr>
        <w:t>the level</w:t>
      </w:r>
      <w:r>
        <w:rPr>
          <w:rFonts w:ascii="Cambria" w:hAnsi="Cambria" w:cs="Times New Roman"/>
          <w:lang w:val="en-US"/>
        </w:rPr>
        <w:t xml:space="preserve"> data</w:t>
      </w:r>
      <w:r w:rsidRPr="00F65785">
        <w:rPr>
          <w:rFonts w:ascii="Cambria" w:hAnsi="Cambria" w:cs="Times New Roman"/>
          <w:lang w:val="en-US"/>
        </w:rPr>
        <w:t xml:space="preserve">, probability t-statistical of the Augmented Dickey-Fuller (ADF) and Phillips-Perron (PP) methods for all variables, the value is not less than 0.05. This shows that at the level of all data, research variables are not stationary. The test was continued when all data variables were performed with first differencing and the results of </w:t>
      </w:r>
      <w:r>
        <w:rPr>
          <w:rFonts w:ascii="Cambria" w:hAnsi="Cambria" w:cs="Times New Roman"/>
          <w:lang w:val="en-US"/>
        </w:rPr>
        <w:t>prob.</w:t>
      </w:r>
      <w:r w:rsidRPr="00F65785">
        <w:rPr>
          <w:rFonts w:ascii="Cambria" w:hAnsi="Cambria" w:cs="Times New Roman"/>
          <w:lang w:val="en-US"/>
        </w:rPr>
        <w:t xml:space="preserve"> t-statistical with the ADF and PP methods were almost the same. The probability of t-statistic is less than 0.05 (α = 5%) even less than 0.01 (α = 1%), only one variabl</w:t>
      </w:r>
      <w:r>
        <w:rPr>
          <w:rFonts w:ascii="Cambria" w:hAnsi="Cambria" w:cs="Times New Roman"/>
          <w:lang w:val="en-US"/>
        </w:rPr>
        <w:t>e on the ADF unit root test is p</w:t>
      </w:r>
      <w:r w:rsidRPr="00F65785">
        <w:rPr>
          <w:rFonts w:ascii="Cambria" w:hAnsi="Cambria" w:cs="Times New Roman"/>
          <w:lang w:val="en-US"/>
        </w:rPr>
        <w:t>rob. t-stat is more than 0.05, which is economic growth. Even so, the economic growth variable in the unit root test of the PP method, the prob</w:t>
      </w:r>
      <w:r w:rsidR="00B1169B">
        <w:rPr>
          <w:rFonts w:ascii="Cambria" w:hAnsi="Cambria" w:cs="Times New Roman"/>
          <w:lang w:val="en-US"/>
        </w:rPr>
        <w:t>.</w:t>
      </w:r>
      <w:r w:rsidRPr="00F65785">
        <w:rPr>
          <w:rFonts w:ascii="Cambria" w:hAnsi="Cambria" w:cs="Times New Roman"/>
          <w:lang w:val="en-US"/>
        </w:rPr>
        <w:t xml:space="preserve"> t-stat is smaller than 0.05, thus the results can be used as a conclusion from the stationarity test for first differencing data.</w:t>
      </w:r>
      <w:r>
        <w:rPr>
          <w:rFonts w:ascii="Cambria" w:hAnsi="Cambria" w:cs="Times New Roman"/>
          <w:lang w:val="en-US"/>
        </w:rPr>
        <w:t xml:space="preserve"> </w:t>
      </w:r>
    </w:p>
    <w:p w14:paraId="23E6C1C4" w14:textId="53B7FBC6" w:rsidR="00F65785" w:rsidRPr="00F65785" w:rsidRDefault="00F65785" w:rsidP="0066682B">
      <w:pPr>
        <w:pStyle w:val="ListParagraph"/>
        <w:spacing w:after="0" w:line="240" w:lineRule="auto"/>
        <w:ind w:left="0" w:firstLine="426"/>
        <w:contextualSpacing w:val="0"/>
        <w:jc w:val="both"/>
        <w:rPr>
          <w:rFonts w:ascii="Cambria" w:hAnsi="Cambria" w:cs="Times New Roman"/>
          <w:lang w:val="en-US"/>
        </w:rPr>
      </w:pPr>
      <w:r w:rsidRPr="00F65785">
        <w:rPr>
          <w:rFonts w:ascii="Cambria" w:hAnsi="Cambria" w:cs="Times New Roman"/>
          <w:lang w:val="en-US"/>
        </w:rPr>
        <w:t>Referring to the results above, it can be seen that the data for all research variables have been stationary at the same degree, namely at the first difference level. Thus there is no need to do differencing to a higher level. This means that the ECM model to be estimated later uses the degree of integration at the first level (first difference).</w:t>
      </w:r>
    </w:p>
    <w:p w14:paraId="26A688F9" w14:textId="77777777" w:rsidR="004A2DD5" w:rsidRPr="0066682B" w:rsidRDefault="004A2DD5" w:rsidP="00F31EA9">
      <w:pPr>
        <w:pStyle w:val="ListParagraph"/>
        <w:spacing w:after="0" w:line="360" w:lineRule="auto"/>
        <w:ind w:left="0"/>
        <w:jc w:val="both"/>
        <w:rPr>
          <w:rFonts w:ascii="Cambria" w:hAnsi="Cambria" w:cs="Times New Roman"/>
          <w:sz w:val="24"/>
          <w:szCs w:val="24"/>
          <w:lang w:val="en-US"/>
        </w:rPr>
      </w:pPr>
    </w:p>
    <w:p w14:paraId="202D5C38" w14:textId="3DF35A35" w:rsidR="00F31EA9" w:rsidRPr="0066682B" w:rsidRDefault="00F31EA9" w:rsidP="00F31EA9">
      <w:pPr>
        <w:pStyle w:val="ListParagraph"/>
        <w:spacing w:after="0" w:line="360" w:lineRule="auto"/>
        <w:ind w:left="0"/>
        <w:jc w:val="both"/>
        <w:rPr>
          <w:rFonts w:ascii="Cambria" w:hAnsi="Cambria" w:cs="Times New Roman"/>
          <w:sz w:val="20"/>
          <w:szCs w:val="20"/>
          <w:lang w:val="en-US"/>
        </w:rPr>
      </w:pPr>
      <w:r w:rsidRPr="0066682B">
        <w:rPr>
          <w:rFonts w:ascii="Cambria" w:hAnsi="Cambria" w:cs="Times New Roman"/>
          <w:b/>
          <w:sz w:val="20"/>
          <w:szCs w:val="20"/>
          <w:lang w:val="en-US"/>
        </w:rPr>
        <w:t>Table 2.</w:t>
      </w:r>
      <w:r w:rsidR="00B83016">
        <w:rPr>
          <w:rFonts w:ascii="Cambria" w:hAnsi="Cambria" w:cs="Times New Roman"/>
          <w:sz w:val="20"/>
          <w:szCs w:val="20"/>
          <w:lang w:val="en-US"/>
        </w:rPr>
        <w:t xml:space="preserve"> Stationer test r</w:t>
      </w:r>
      <w:r w:rsidRPr="0066682B">
        <w:rPr>
          <w:rFonts w:ascii="Cambria" w:hAnsi="Cambria" w:cs="Times New Roman"/>
          <w:sz w:val="20"/>
          <w:szCs w:val="20"/>
          <w:lang w:val="en-US"/>
        </w:rPr>
        <w:t>esult with ADF and PP</w:t>
      </w:r>
    </w:p>
    <w:tbl>
      <w:tblPr>
        <w:tblW w:w="9567" w:type="dxa"/>
        <w:jc w:val="center"/>
        <w:tblLayout w:type="fixed"/>
        <w:tblLook w:val="04A0" w:firstRow="1" w:lastRow="0" w:firstColumn="1" w:lastColumn="0" w:noHBand="0" w:noVBand="1"/>
      </w:tblPr>
      <w:tblGrid>
        <w:gridCol w:w="1205"/>
        <w:gridCol w:w="1134"/>
        <w:gridCol w:w="850"/>
        <w:gridCol w:w="142"/>
        <w:gridCol w:w="992"/>
        <w:gridCol w:w="992"/>
        <w:gridCol w:w="284"/>
        <w:gridCol w:w="992"/>
        <w:gridCol w:w="992"/>
        <w:gridCol w:w="992"/>
        <w:gridCol w:w="992"/>
      </w:tblGrid>
      <w:tr w:rsidR="0066682B" w:rsidRPr="0066682B" w14:paraId="2E999C3F" w14:textId="77777777" w:rsidTr="00F31EA9">
        <w:trPr>
          <w:trHeight w:val="293"/>
          <w:jc w:val="center"/>
        </w:trPr>
        <w:tc>
          <w:tcPr>
            <w:tcW w:w="1205" w:type="dxa"/>
            <w:vMerge w:val="restart"/>
            <w:tcBorders>
              <w:top w:val="single" w:sz="12" w:space="0" w:color="auto"/>
              <w:left w:val="nil"/>
              <w:right w:val="nil"/>
            </w:tcBorders>
            <w:shd w:val="clear" w:color="auto" w:fill="auto"/>
            <w:noWrap/>
            <w:vAlign w:val="center"/>
          </w:tcPr>
          <w:p w14:paraId="07378A58" w14:textId="77777777" w:rsidR="00F31EA9" w:rsidRPr="0066682B" w:rsidRDefault="00F31EA9" w:rsidP="00F31EA9">
            <w:pPr>
              <w:spacing w:after="0" w:line="240" w:lineRule="auto"/>
              <w:rPr>
                <w:rFonts w:ascii="Cambria" w:eastAsia="Times New Roman" w:hAnsi="Cambria" w:cs="Times New Roman"/>
                <w:b/>
                <w:sz w:val="20"/>
                <w:szCs w:val="20"/>
                <w:lang w:val="en-US"/>
              </w:rPr>
            </w:pPr>
            <w:r w:rsidRPr="0066682B">
              <w:rPr>
                <w:rFonts w:ascii="Cambria" w:eastAsia="Times New Roman" w:hAnsi="Cambria" w:cs="Times New Roman"/>
                <w:b/>
                <w:sz w:val="20"/>
                <w:szCs w:val="20"/>
                <w:lang w:val="en-US"/>
              </w:rPr>
              <w:t>Variable</w:t>
            </w:r>
          </w:p>
        </w:tc>
        <w:tc>
          <w:tcPr>
            <w:tcW w:w="4110" w:type="dxa"/>
            <w:gridSpan w:val="5"/>
            <w:tcBorders>
              <w:top w:val="single" w:sz="12" w:space="0" w:color="auto"/>
              <w:left w:val="nil"/>
              <w:bottom w:val="single" w:sz="8" w:space="0" w:color="auto"/>
              <w:right w:val="nil"/>
            </w:tcBorders>
            <w:vAlign w:val="center"/>
          </w:tcPr>
          <w:p w14:paraId="78C2F5B5"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Level</w:t>
            </w:r>
          </w:p>
        </w:tc>
        <w:tc>
          <w:tcPr>
            <w:tcW w:w="284" w:type="dxa"/>
            <w:tcBorders>
              <w:top w:val="single" w:sz="12" w:space="0" w:color="auto"/>
              <w:left w:val="nil"/>
              <w:right w:val="nil"/>
            </w:tcBorders>
            <w:vAlign w:val="center"/>
          </w:tcPr>
          <w:p w14:paraId="6A59133E" w14:textId="77777777" w:rsidR="00F31EA9" w:rsidRPr="0066682B" w:rsidRDefault="00F31EA9" w:rsidP="00F31EA9">
            <w:pPr>
              <w:spacing w:after="0" w:line="240" w:lineRule="auto"/>
              <w:jc w:val="center"/>
              <w:rPr>
                <w:rFonts w:ascii="Cambria" w:eastAsia="Times New Roman" w:hAnsi="Cambria" w:cs="Calibri"/>
                <w:b/>
                <w:sz w:val="20"/>
                <w:szCs w:val="20"/>
                <w:lang w:val="en-US"/>
              </w:rPr>
            </w:pPr>
          </w:p>
        </w:tc>
        <w:tc>
          <w:tcPr>
            <w:tcW w:w="3968" w:type="dxa"/>
            <w:gridSpan w:val="4"/>
            <w:tcBorders>
              <w:top w:val="single" w:sz="12" w:space="0" w:color="auto"/>
              <w:left w:val="nil"/>
              <w:bottom w:val="single" w:sz="8" w:space="0" w:color="auto"/>
              <w:right w:val="nil"/>
            </w:tcBorders>
            <w:vAlign w:val="center"/>
          </w:tcPr>
          <w:p w14:paraId="76442057"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First Difference</w:t>
            </w:r>
          </w:p>
        </w:tc>
      </w:tr>
      <w:tr w:rsidR="0066682B" w:rsidRPr="0066682B" w14:paraId="0A86399E" w14:textId="77777777" w:rsidTr="00F31EA9">
        <w:trPr>
          <w:trHeight w:val="293"/>
          <w:jc w:val="center"/>
        </w:trPr>
        <w:tc>
          <w:tcPr>
            <w:tcW w:w="1205" w:type="dxa"/>
            <w:vMerge/>
            <w:tcBorders>
              <w:left w:val="nil"/>
              <w:right w:val="nil"/>
            </w:tcBorders>
            <w:shd w:val="clear" w:color="auto" w:fill="auto"/>
            <w:noWrap/>
            <w:vAlign w:val="center"/>
          </w:tcPr>
          <w:p w14:paraId="560BF36E" w14:textId="77777777" w:rsidR="00F31EA9" w:rsidRPr="0066682B" w:rsidRDefault="00F31EA9" w:rsidP="00F31EA9">
            <w:pPr>
              <w:spacing w:after="0" w:line="240" w:lineRule="auto"/>
              <w:rPr>
                <w:rFonts w:ascii="Cambria" w:eastAsia="Times New Roman" w:hAnsi="Cambria" w:cs="Times New Roman"/>
                <w:b/>
                <w:sz w:val="20"/>
                <w:szCs w:val="20"/>
                <w:lang w:val="en-US"/>
              </w:rPr>
            </w:pPr>
          </w:p>
        </w:tc>
        <w:tc>
          <w:tcPr>
            <w:tcW w:w="1984" w:type="dxa"/>
            <w:gridSpan w:val="2"/>
            <w:tcBorders>
              <w:top w:val="single" w:sz="8" w:space="0" w:color="auto"/>
              <w:left w:val="nil"/>
              <w:right w:val="nil"/>
            </w:tcBorders>
            <w:vAlign w:val="center"/>
          </w:tcPr>
          <w:p w14:paraId="238694EF"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ADF</w:t>
            </w:r>
          </w:p>
        </w:tc>
        <w:tc>
          <w:tcPr>
            <w:tcW w:w="2126" w:type="dxa"/>
            <w:gridSpan w:val="3"/>
            <w:tcBorders>
              <w:top w:val="single" w:sz="8" w:space="0" w:color="auto"/>
              <w:left w:val="nil"/>
              <w:bottom w:val="single" w:sz="8" w:space="0" w:color="auto"/>
              <w:right w:val="nil"/>
            </w:tcBorders>
            <w:shd w:val="clear" w:color="auto" w:fill="auto"/>
            <w:noWrap/>
            <w:vAlign w:val="center"/>
          </w:tcPr>
          <w:p w14:paraId="7D0C63B8"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PP</w:t>
            </w:r>
          </w:p>
        </w:tc>
        <w:tc>
          <w:tcPr>
            <w:tcW w:w="284" w:type="dxa"/>
            <w:tcBorders>
              <w:left w:val="nil"/>
              <w:right w:val="nil"/>
            </w:tcBorders>
            <w:vAlign w:val="center"/>
          </w:tcPr>
          <w:p w14:paraId="5F5A944F" w14:textId="77777777" w:rsidR="00F31EA9" w:rsidRPr="0066682B" w:rsidRDefault="00F31EA9" w:rsidP="00F31EA9">
            <w:pPr>
              <w:spacing w:after="0" w:line="240" w:lineRule="auto"/>
              <w:jc w:val="center"/>
              <w:rPr>
                <w:rFonts w:ascii="Cambria" w:eastAsia="Times New Roman" w:hAnsi="Cambria" w:cs="Calibri"/>
                <w:b/>
                <w:sz w:val="20"/>
                <w:szCs w:val="20"/>
                <w:lang w:val="en-US"/>
              </w:rPr>
            </w:pPr>
          </w:p>
        </w:tc>
        <w:tc>
          <w:tcPr>
            <w:tcW w:w="1984" w:type="dxa"/>
            <w:gridSpan w:val="2"/>
            <w:tcBorders>
              <w:top w:val="single" w:sz="8" w:space="0" w:color="auto"/>
              <w:left w:val="nil"/>
              <w:right w:val="nil"/>
            </w:tcBorders>
            <w:vAlign w:val="center"/>
          </w:tcPr>
          <w:p w14:paraId="30F88E51"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ADF</w:t>
            </w:r>
          </w:p>
        </w:tc>
        <w:tc>
          <w:tcPr>
            <w:tcW w:w="1984" w:type="dxa"/>
            <w:gridSpan w:val="2"/>
            <w:tcBorders>
              <w:top w:val="single" w:sz="8" w:space="0" w:color="auto"/>
              <w:left w:val="nil"/>
              <w:bottom w:val="single" w:sz="8" w:space="0" w:color="auto"/>
              <w:right w:val="nil"/>
            </w:tcBorders>
            <w:shd w:val="clear" w:color="auto" w:fill="auto"/>
            <w:vAlign w:val="center"/>
          </w:tcPr>
          <w:p w14:paraId="4A787751"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PP</w:t>
            </w:r>
          </w:p>
        </w:tc>
      </w:tr>
      <w:tr w:rsidR="0066682B" w:rsidRPr="0066682B" w14:paraId="44AC62C8" w14:textId="77777777" w:rsidTr="00F31EA9">
        <w:trPr>
          <w:trHeight w:val="293"/>
          <w:jc w:val="center"/>
        </w:trPr>
        <w:tc>
          <w:tcPr>
            <w:tcW w:w="1205" w:type="dxa"/>
            <w:vMerge/>
            <w:tcBorders>
              <w:left w:val="nil"/>
              <w:bottom w:val="single" w:sz="8" w:space="0" w:color="auto"/>
              <w:right w:val="nil"/>
            </w:tcBorders>
            <w:shd w:val="clear" w:color="auto" w:fill="auto"/>
            <w:noWrap/>
            <w:vAlign w:val="center"/>
            <w:hideMark/>
          </w:tcPr>
          <w:p w14:paraId="5A5D180C" w14:textId="77777777" w:rsidR="00F31EA9" w:rsidRPr="0066682B" w:rsidRDefault="00F31EA9" w:rsidP="00F31EA9">
            <w:pPr>
              <w:spacing w:after="0" w:line="240" w:lineRule="auto"/>
              <w:jc w:val="center"/>
              <w:rPr>
                <w:rFonts w:ascii="Cambria" w:eastAsia="Times New Roman" w:hAnsi="Cambria" w:cs="Times New Roman"/>
                <w:b/>
                <w:sz w:val="20"/>
                <w:szCs w:val="20"/>
                <w:lang w:val="en-US"/>
              </w:rPr>
            </w:pPr>
          </w:p>
        </w:tc>
        <w:tc>
          <w:tcPr>
            <w:tcW w:w="1134" w:type="dxa"/>
            <w:tcBorders>
              <w:top w:val="single" w:sz="8" w:space="0" w:color="auto"/>
              <w:left w:val="nil"/>
              <w:bottom w:val="single" w:sz="8" w:space="0" w:color="auto"/>
              <w:right w:val="nil"/>
            </w:tcBorders>
            <w:shd w:val="clear" w:color="auto" w:fill="auto"/>
            <w:noWrap/>
            <w:vAlign w:val="center"/>
            <w:hideMark/>
          </w:tcPr>
          <w:p w14:paraId="4070604C"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t-Stat</w:t>
            </w:r>
          </w:p>
        </w:tc>
        <w:tc>
          <w:tcPr>
            <w:tcW w:w="992" w:type="dxa"/>
            <w:gridSpan w:val="2"/>
            <w:tcBorders>
              <w:top w:val="single" w:sz="8" w:space="0" w:color="auto"/>
              <w:left w:val="nil"/>
              <w:bottom w:val="single" w:sz="8" w:space="0" w:color="auto"/>
              <w:right w:val="nil"/>
            </w:tcBorders>
            <w:vAlign w:val="center"/>
          </w:tcPr>
          <w:p w14:paraId="322B1894"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Prob.</w:t>
            </w:r>
          </w:p>
        </w:tc>
        <w:tc>
          <w:tcPr>
            <w:tcW w:w="992" w:type="dxa"/>
            <w:tcBorders>
              <w:top w:val="single" w:sz="8" w:space="0" w:color="auto"/>
              <w:left w:val="nil"/>
              <w:bottom w:val="single" w:sz="8" w:space="0" w:color="auto"/>
              <w:right w:val="nil"/>
            </w:tcBorders>
            <w:vAlign w:val="center"/>
          </w:tcPr>
          <w:p w14:paraId="3A5ABEDB"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t-Stat</w:t>
            </w:r>
          </w:p>
        </w:tc>
        <w:tc>
          <w:tcPr>
            <w:tcW w:w="992" w:type="dxa"/>
            <w:tcBorders>
              <w:top w:val="single" w:sz="8" w:space="0" w:color="auto"/>
              <w:left w:val="nil"/>
              <w:bottom w:val="single" w:sz="8" w:space="0" w:color="auto"/>
              <w:right w:val="nil"/>
            </w:tcBorders>
            <w:shd w:val="clear" w:color="auto" w:fill="auto"/>
            <w:noWrap/>
            <w:vAlign w:val="center"/>
          </w:tcPr>
          <w:p w14:paraId="4658B046"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Prob.</w:t>
            </w:r>
          </w:p>
        </w:tc>
        <w:tc>
          <w:tcPr>
            <w:tcW w:w="284" w:type="dxa"/>
            <w:tcBorders>
              <w:left w:val="nil"/>
              <w:bottom w:val="single" w:sz="8" w:space="0" w:color="auto"/>
              <w:right w:val="nil"/>
            </w:tcBorders>
            <w:vAlign w:val="center"/>
          </w:tcPr>
          <w:p w14:paraId="536F49AA" w14:textId="77777777" w:rsidR="00F31EA9" w:rsidRPr="0066682B" w:rsidRDefault="00F31EA9" w:rsidP="00F31EA9">
            <w:pPr>
              <w:spacing w:after="0" w:line="240" w:lineRule="auto"/>
              <w:jc w:val="center"/>
              <w:rPr>
                <w:rFonts w:ascii="Cambria" w:eastAsia="Times New Roman" w:hAnsi="Cambria" w:cs="Calibri"/>
                <w:b/>
                <w:sz w:val="20"/>
                <w:szCs w:val="20"/>
                <w:lang w:val="en-US"/>
              </w:rPr>
            </w:pPr>
          </w:p>
        </w:tc>
        <w:tc>
          <w:tcPr>
            <w:tcW w:w="992" w:type="dxa"/>
            <w:tcBorders>
              <w:top w:val="single" w:sz="8" w:space="0" w:color="auto"/>
              <w:left w:val="nil"/>
              <w:bottom w:val="single" w:sz="8" w:space="0" w:color="auto"/>
              <w:right w:val="nil"/>
            </w:tcBorders>
            <w:shd w:val="clear" w:color="auto" w:fill="auto"/>
            <w:noWrap/>
            <w:vAlign w:val="center"/>
            <w:hideMark/>
          </w:tcPr>
          <w:p w14:paraId="6F69EF99"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t-Stat</w:t>
            </w:r>
          </w:p>
        </w:tc>
        <w:tc>
          <w:tcPr>
            <w:tcW w:w="992" w:type="dxa"/>
            <w:tcBorders>
              <w:top w:val="single" w:sz="8" w:space="0" w:color="auto"/>
              <w:left w:val="nil"/>
              <w:bottom w:val="single" w:sz="8" w:space="0" w:color="auto"/>
              <w:right w:val="nil"/>
            </w:tcBorders>
            <w:vAlign w:val="center"/>
          </w:tcPr>
          <w:p w14:paraId="4E19AF8D"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Prob.</w:t>
            </w:r>
          </w:p>
        </w:tc>
        <w:tc>
          <w:tcPr>
            <w:tcW w:w="992" w:type="dxa"/>
            <w:tcBorders>
              <w:top w:val="single" w:sz="8" w:space="0" w:color="auto"/>
              <w:left w:val="nil"/>
              <w:bottom w:val="single" w:sz="8" w:space="0" w:color="auto"/>
              <w:right w:val="nil"/>
            </w:tcBorders>
            <w:shd w:val="clear" w:color="auto" w:fill="auto"/>
            <w:noWrap/>
            <w:vAlign w:val="center"/>
            <w:hideMark/>
          </w:tcPr>
          <w:p w14:paraId="4A708E83"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t-Stat</w:t>
            </w:r>
          </w:p>
        </w:tc>
        <w:tc>
          <w:tcPr>
            <w:tcW w:w="992" w:type="dxa"/>
            <w:tcBorders>
              <w:top w:val="single" w:sz="8" w:space="0" w:color="auto"/>
              <w:left w:val="nil"/>
              <w:bottom w:val="single" w:sz="8" w:space="0" w:color="auto"/>
              <w:right w:val="nil"/>
            </w:tcBorders>
            <w:vAlign w:val="center"/>
          </w:tcPr>
          <w:p w14:paraId="5B180CB5"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Prob.</w:t>
            </w:r>
          </w:p>
        </w:tc>
      </w:tr>
      <w:tr w:rsidR="0066682B" w:rsidRPr="0066682B" w14:paraId="5D6DA1E6" w14:textId="77777777" w:rsidTr="00F31EA9">
        <w:trPr>
          <w:trHeight w:val="293"/>
          <w:jc w:val="center"/>
        </w:trPr>
        <w:tc>
          <w:tcPr>
            <w:tcW w:w="1205" w:type="dxa"/>
            <w:tcBorders>
              <w:top w:val="single" w:sz="8" w:space="0" w:color="auto"/>
              <w:left w:val="nil"/>
              <w:bottom w:val="nil"/>
              <w:right w:val="nil"/>
            </w:tcBorders>
            <w:shd w:val="clear" w:color="auto" w:fill="auto"/>
            <w:noWrap/>
            <w:vAlign w:val="center"/>
            <w:hideMark/>
          </w:tcPr>
          <w:p w14:paraId="24566322" w14:textId="77777777" w:rsidR="00F31EA9" w:rsidRPr="0066682B" w:rsidRDefault="00F31EA9" w:rsidP="00F31EA9">
            <w:pPr>
              <w:spacing w:after="0" w:line="240" w:lineRule="auto"/>
              <w:rPr>
                <w:rFonts w:ascii="Cambria" w:eastAsia="Times New Roman" w:hAnsi="Cambria" w:cs="Calibri"/>
                <w:sz w:val="20"/>
                <w:szCs w:val="20"/>
                <w:lang w:val="en-US"/>
              </w:rPr>
            </w:pPr>
            <w:r w:rsidRPr="0066682B">
              <w:rPr>
                <w:rFonts w:ascii="Cambria" w:eastAsia="Times New Roman" w:hAnsi="Cambria" w:cs="Calibri"/>
                <w:sz w:val="20"/>
                <w:szCs w:val="20"/>
                <w:lang w:val="en-US"/>
              </w:rPr>
              <w:t>Ln_PSF</w:t>
            </w:r>
          </w:p>
        </w:tc>
        <w:tc>
          <w:tcPr>
            <w:tcW w:w="1134" w:type="dxa"/>
            <w:tcBorders>
              <w:top w:val="single" w:sz="8" w:space="0" w:color="auto"/>
              <w:left w:val="nil"/>
              <w:bottom w:val="nil"/>
              <w:right w:val="nil"/>
            </w:tcBorders>
            <w:shd w:val="clear" w:color="auto" w:fill="auto"/>
            <w:noWrap/>
            <w:vAlign w:val="center"/>
            <w:hideMark/>
          </w:tcPr>
          <w:p w14:paraId="2125C5FA" w14:textId="77777777" w:rsidR="00F31EA9" w:rsidRPr="0066682B" w:rsidRDefault="00F31EA9" w:rsidP="00F31EA9">
            <w:pPr>
              <w:spacing w:after="0" w:line="240" w:lineRule="auto"/>
              <w:ind w:right="34"/>
              <w:jc w:val="right"/>
              <w:rPr>
                <w:rFonts w:ascii="Cambria" w:eastAsia="Times New Roman" w:hAnsi="Cambria" w:cs="Calibri"/>
                <w:sz w:val="20"/>
                <w:szCs w:val="20"/>
                <w:lang w:val="en-US"/>
              </w:rPr>
            </w:pPr>
            <w:r w:rsidRPr="0066682B">
              <w:rPr>
                <w:rFonts w:ascii="Cambria" w:hAnsi="Cambria" w:cs="Calibri"/>
                <w:sz w:val="20"/>
                <w:szCs w:val="20"/>
              </w:rPr>
              <w:t>-1.0239</w:t>
            </w:r>
          </w:p>
        </w:tc>
        <w:tc>
          <w:tcPr>
            <w:tcW w:w="992" w:type="dxa"/>
            <w:gridSpan w:val="2"/>
            <w:tcBorders>
              <w:top w:val="single" w:sz="8" w:space="0" w:color="auto"/>
              <w:left w:val="nil"/>
              <w:bottom w:val="nil"/>
              <w:right w:val="nil"/>
            </w:tcBorders>
            <w:vAlign w:val="center"/>
          </w:tcPr>
          <w:p w14:paraId="4128CB42" w14:textId="77777777" w:rsidR="00F31EA9" w:rsidRPr="0066682B" w:rsidRDefault="00F31EA9" w:rsidP="00F31EA9">
            <w:pPr>
              <w:spacing w:after="0" w:line="240" w:lineRule="auto"/>
              <w:ind w:right="27"/>
              <w:jc w:val="right"/>
              <w:rPr>
                <w:rFonts w:ascii="Cambria" w:hAnsi="Cambria" w:cs="Calibri"/>
                <w:sz w:val="20"/>
                <w:szCs w:val="20"/>
              </w:rPr>
            </w:pPr>
            <w:r w:rsidRPr="0066682B">
              <w:rPr>
                <w:rFonts w:ascii="Cambria" w:hAnsi="Cambria" w:cs="Arial"/>
                <w:sz w:val="20"/>
                <w:szCs w:val="20"/>
                <w:lang w:val="en-US"/>
              </w:rPr>
              <w:t> 0.7249</w:t>
            </w:r>
          </w:p>
        </w:tc>
        <w:tc>
          <w:tcPr>
            <w:tcW w:w="992" w:type="dxa"/>
            <w:tcBorders>
              <w:top w:val="single" w:sz="8" w:space="0" w:color="auto"/>
              <w:left w:val="nil"/>
              <w:bottom w:val="nil"/>
              <w:right w:val="nil"/>
            </w:tcBorders>
            <w:vAlign w:val="center"/>
          </w:tcPr>
          <w:p w14:paraId="550A68BC" w14:textId="77777777" w:rsidR="00F31EA9" w:rsidRPr="0066682B" w:rsidRDefault="00F31EA9" w:rsidP="00F31EA9">
            <w:pPr>
              <w:spacing w:after="0" w:line="240" w:lineRule="auto"/>
              <w:ind w:right="27"/>
              <w:jc w:val="right"/>
              <w:rPr>
                <w:rFonts w:ascii="Cambria" w:hAnsi="Cambria" w:cs="Calibri"/>
                <w:sz w:val="20"/>
                <w:szCs w:val="20"/>
              </w:rPr>
            </w:pPr>
            <w:r w:rsidRPr="0066682B">
              <w:rPr>
                <w:rFonts w:ascii="Cambria" w:hAnsi="Cambria" w:cs="Calibri"/>
                <w:sz w:val="20"/>
                <w:szCs w:val="20"/>
              </w:rPr>
              <w:t>-1.1791</w:t>
            </w:r>
          </w:p>
        </w:tc>
        <w:tc>
          <w:tcPr>
            <w:tcW w:w="992" w:type="dxa"/>
            <w:tcBorders>
              <w:top w:val="single" w:sz="8" w:space="0" w:color="auto"/>
              <w:left w:val="nil"/>
              <w:bottom w:val="nil"/>
              <w:right w:val="nil"/>
            </w:tcBorders>
            <w:shd w:val="clear" w:color="auto" w:fill="auto"/>
            <w:noWrap/>
            <w:vAlign w:val="center"/>
          </w:tcPr>
          <w:p w14:paraId="0B60D243" w14:textId="77777777" w:rsidR="00F31EA9" w:rsidRPr="0066682B" w:rsidRDefault="00F31EA9" w:rsidP="00F31EA9">
            <w:pPr>
              <w:spacing w:after="0" w:line="240" w:lineRule="auto"/>
              <w:ind w:right="27"/>
              <w:jc w:val="right"/>
              <w:rPr>
                <w:rFonts w:ascii="Cambria" w:eastAsia="Times New Roman" w:hAnsi="Cambria" w:cs="Calibri"/>
                <w:sz w:val="20"/>
                <w:szCs w:val="20"/>
                <w:lang w:val="en-US"/>
              </w:rPr>
            </w:pPr>
            <w:r w:rsidRPr="0066682B">
              <w:rPr>
                <w:rFonts w:ascii="Cambria" w:hAnsi="Cambria" w:cs="Arial"/>
                <w:sz w:val="20"/>
                <w:szCs w:val="20"/>
                <w:lang w:val="en-US"/>
              </w:rPr>
              <w:t> 0.6643</w:t>
            </w:r>
          </w:p>
        </w:tc>
        <w:tc>
          <w:tcPr>
            <w:tcW w:w="284" w:type="dxa"/>
            <w:tcBorders>
              <w:top w:val="single" w:sz="8" w:space="0" w:color="auto"/>
              <w:left w:val="nil"/>
              <w:bottom w:val="nil"/>
              <w:right w:val="nil"/>
            </w:tcBorders>
            <w:vAlign w:val="center"/>
          </w:tcPr>
          <w:p w14:paraId="1C6EFF47"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p>
        </w:tc>
        <w:tc>
          <w:tcPr>
            <w:tcW w:w="992" w:type="dxa"/>
            <w:tcBorders>
              <w:top w:val="single" w:sz="8" w:space="0" w:color="auto"/>
              <w:left w:val="nil"/>
              <w:bottom w:val="nil"/>
              <w:right w:val="nil"/>
            </w:tcBorders>
            <w:shd w:val="clear" w:color="auto" w:fill="auto"/>
            <w:noWrap/>
            <w:vAlign w:val="center"/>
            <w:hideMark/>
          </w:tcPr>
          <w:p w14:paraId="6943FD57" w14:textId="77777777" w:rsidR="00F31EA9" w:rsidRPr="0066682B" w:rsidRDefault="00F31EA9" w:rsidP="00F31EA9">
            <w:pPr>
              <w:spacing w:after="0" w:line="240" w:lineRule="auto"/>
              <w:ind w:right="36"/>
              <w:jc w:val="right"/>
              <w:rPr>
                <w:rFonts w:ascii="Cambria" w:eastAsia="Times New Roman" w:hAnsi="Cambria" w:cs="Calibri"/>
                <w:sz w:val="20"/>
                <w:szCs w:val="20"/>
                <w:lang w:val="en-US"/>
              </w:rPr>
            </w:pPr>
            <w:r w:rsidRPr="0066682B">
              <w:rPr>
                <w:rFonts w:ascii="Cambria" w:hAnsi="Cambria" w:cs="Calibri"/>
                <w:sz w:val="20"/>
                <w:szCs w:val="20"/>
              </w:rPr>
              <w:t>-6.3131</w:t>
            </w:r>
          </w:p>
        </w:tc>
        <w:tc>
          <w:tcPr>
            <w:tcW w:w="992" w:type="dxa"/>
            <w:tcBorders>
              <w:top w:val="single" w:sz="8" w:space="0" w:color="auto"/>
              <w:left w:val="nil"/>
              <w:bottom w:val="nil"/>
              <w:right w:val="nil"/>
            </w:tcBorders>
            <w:vAlign w:val="center"/>
          </w:tcPr>
          <w:p w14:paraId="705AD56F" w14:textId="77777777" w:rsidR="00F31EA9" w:rsidRPr="0066682B" w:rsidRDefault="00F31EA9" w:rsidP="00F31EA9">
            <w:pPr>
              <w:spacing w:after="0" w:line="240" w:lineRule="auto"/>
              <w:ind w:right="27"/>
              <w:jc w:val="right"/>
              <w:rPr>
                <w:rFonts w:ascii="Cambria" w:hAnsi="Cambria" w:cs="Calibri"/>
                <w:sz w:val="20"/>
                <w:szCs w:val="20"/>
              </w:rPr>
            </w:pPr>
            <w:r w:rsidRPr="0066682B">
              <w:rPr>
                <w:rFonts w:ascii="Cambria" w:hAnsi="Cambria" w:cs="Arial"/>
                <w:sz w:val="20"/>
                <w:szCs w:val="20"/>
                <w:lang w:val="en-US"/>
              </w:rPr>
              <w:t> 0.0000</w:t>
            </w:r>
          </w:p>
        </w:tc>
        <w:tc>
          <w:tcPr>
            <w:tcW w:w="992" w:type="dxa"/>
            <w:tcBorders>
              <w:top w:val="single" w:sz="8" w:space="0" w:color="auto"/>
              <w:left w:val="nil"/>
              <w:bottom w:val="nil"/>
              <w:right w:val="nil"/>
            </w:tcBorders>
            <w:shd w:val="clear" w:color="auto" w:fill="auto"/>
            <w:noWrap/>
            <w:vAlign w:val="center"/>
            <w:hideMark/>
          </w:tcPr>
          <w:p w14:paraId="67BAF391" w14:textId="77777777" w:rsidR="00F31EA9" w:rsidRPr="0066682B" w:rsidRDefault="00F31EA9" w:rsidP="00F31EA9">
            <w:pPr>
              <w:spacing w:after="0" w:line="240" w:lineRule="auto"/>
              <w:ind w:right="27"/>
              <w:jc w:val="right"/>
              <w:rPr>
                <w:rFonts w:ascii="Cambria" w:eastAsia="Times New Roman" w:hAnsi="Cambria" w:cs="Calibri"/>
                <w:sz w:val="20"/>
                <w:szCs w:val="20"/>
                <w:lang w:val="en-US"/>
              </w:rPr>
            </w:pPr>
            <w:r w:rsidRPr="0066682B">
              <w:rPr>
                <w:rFonts w:ascii="Cambria" w:hAnsi="Cambria" w:cs="Calibri"/>
                <w:sz w:val="20"/>
                <w:szCs w:val="20"/>
              </w:rPr>
              <w:t>-6.1276</w:t>
            </w:r>
          </w:p>
        </w:tc>
        <w:tc>
          <w:tcPr>
            <w:tcW w:w="992" w:type="dxa"/>
            <w:tcBorders>
              <w:top w:val="single" w:sz="8" w:space="0" w:color="auto"/>
              <w:left w:val="nil"/>
              <w:bottom w:val="nil"/>
              <w:right w:val="nil"/>
            </w:tcBorders>
            <w:vAlign w:val="center"/>
          </w:tcPr>
          <w:p w14:paraId="0A1EDF6A" w14:textId="77777777" w:rsidR="00F31EA9" w:rsidRPr="0066682B" w:rsidRDefault="00F31EA9" w:rsidP="00F31EA9">
            <w:pPr>
              <w:spacing w:after="0" w:line="240" w:lineRule="auto"/>
              <w:ind w:right="27"/>
              <w:jc w:val="right"/>
              <w:rPr>
                <w:rFonts w:ascii="Cambria" w:hAnsi="Cambria" w:cs="Calibri"/>
                <w:sz w:val="20"/>
                <w:szCs w:val="20"/>
              </w:rPr>
            </w:pPr>
            <w:r w:rsidRPr="0066682B">
              <w:rPr>
                <w:rFonts w:ascii="Cambria" w:hAnsi="Cambria" w:cs="Arial"/>
                <w:sz w:val="20"/>
                <w:szCs w:val="20"/>
                <w:lang w:val="en-US"/>
              </w:rPr>
              <w:t> 0.0001</w:t>
            </w:r>
          </w:p>
        </w:tc>
      </w:tr>
      <w:tr w:rsidR="0066682B" w:rsidRPr="0066682B" w14:paraId="0D03F4D3" w14:textId="77777777" w:rsidTr="00F31EA9">
        <w:trPr>
          <w:trHeight w:val="293"/>
          <w:jc w:val="center"/>
        </w:trPr>
        <w:tc>
          <w:tcPr>
            <w:tcW w:w="1205" w:type="dxa"/>
            <w:tcBorders>
              <w:top w:val="nil"/>
              <w:left w:val="nil"/>
              <w:bottom w:val="nil"/>
              <w:right w:val="nil"/>
            </w:tcBorders>
            <w:shd w:val="clear" w:color="auto" w:fill="auto"/>
            <w:noWrap/>
            <w:vAlign w:val="center"/>
            <w:hideMark/>
          </w:tcPr>
          <w:p w14:paraId="51E8DDD4" w14:textId="77777777" w:rsidR="00F31EA9" w:rsidRPr="0066682B" w:rsidRDefault="00F31EA9" w:rsidP="00F31EA9">
            <w:pPr>
              <w:spacing w:after="0" w:line="240" w:lineRule="auto"/>
              <w:rPr>
                <w:rFonts w:ascii="Cambria" w:eastAsia="Times New Roman" w:hAnsi="Cambria" w:cs="Calibri"/>
                <w:sz w:val="20"/>
                <w:szCs w:val="20"/>
                <w:lang w:val="en-US"/>
              </w:rPr>
            </w:pPr>
            <w:r w:rsidRPr="0066682B">
              <w:rPr>
                <w:rFonts w:ascii="Cambria" w:eastAsia="Times New Roman" w:hAnsi="Cambria" w:cs="Calibri"/>
                <w:sz w:val="20"/>
                <w:szCs w:val="20"/>
                <w:lang w:val="en-US"/>
              </w:rPr>
              <w:t>Ln_MD</w:t>
            </w:r>
          </w:p>
        </w:tc>
        <w:tc>
          <w:tcPr>
            <w:tcW w:w="1134" w:type="dxa"/>
            <w:tcBorders>
              <w:top w:val="nil"/>
              <w:left w:val="nil"/>
              <w:bottom w:val="nil"/>
              <w:right w:val="nil"/>
            </w:tcBorders>
            <w:shd w:val="clear" w:color="auto" w:fill="auto"/>
            <w:noWrap/>
            <w:vAlign w:val="center"/>
            <w:hideMark/>
          </w:tcPr>
          <w:p w14:paraId="6D92EFB8" w14:textId="77777777" w:rsidR="00F31EA9" w:rsidRPr="0066682B" w:rsidRDefault="00F31EA9" w:rsidP="00F31EA9">
            <w:pPr>
              <w:spacing w:after="0" w:line="240" w:lineRule="auto"/>
              <w:ind w:right="34"/>
              <w:jc w:val="right"/>
              <w:rPr>
                <w:rFonts w:ascii="Cambria" w:eastAsia="Times New Roman" w:hAnsi="Cambria" w:cs="Calibri"/>
                <w:sz w:val="20"/>
                <w:szCs w:val="20"/>
                <w:lang w:val="en-US"/>
              </w:rPr>
            </w:pPr>
            <w:r w:rsidRPr="0066682B">
              <w:rPr>
                <w:rFonts w:ascii="Cambria" w:hAnsi="Cambria" w:cs="Calibri"/>
                <w:sz w:val="20"/>
                <w:szCs w:val="20"/>
              </w:rPr>
              <w:t>-1.1809</w:t>
            </w:r>
          </w:p>
        </w:tc>
        <w:tc>
          <w:tcPr>
            <w:tcW w:w="992" w:type="dxa"/>
            <w:gridSpan w:val="2"/>
            <w:tcBorders>
              <w:top w:val="nil"/>
              <w:left w:val="nil"/>
              <w:bottom w:val="nil"/>
              <w:right w:val="nil"/>
            </w:tcBorders>
            <w:vAlign w:val="center"/>
          </w:tcPr>
          <w:p w14:paraId="390360A7" w14:textId="77777777" w:rsidR="00F31EA9" w:rsidRPr="0066682B" w:rsidRDefault="00F31EA9" w:rsidP="00F31EA9">
            <w:pPr>
              <w:spacing w:after="0" w:line="240" w:lineRule="auto"/>
              <w:ind w:right="27"/>
              <w:jc w:val="right"/>
              <w:rPr>
                <w:rFonts w:ascii="Cambria" w:hAnsi="Cambria" w:cs="Calibri"/>
                <w:sz w:val="20"/>
                <w:szCs w:val="20"/>
              </w:rPr>
            </w:pPr>
            <w:r w:rsidRPr="0066682B">
              <w:rPr>
                <w:rFonts w:ascii="Cambria" w:hAnsi="Cambria" w:cs="Arial"/>
                <w:sz w:val="20"/>
                <w:szCs w:val="20"/>
                <w:lang w:val="en-US"/>
              </w:rPr>
              <w:t> 0.6635</w:t>
            </w:r>
          </w:p>
        </w:tc>
        <w:tc>
          <w:tcPr>
            <w:tcW w:w="992" w:type="dxa"/>
            <w:tcBorders>
              <w:top w:val="nil"/>
              <w:left w:val="nil"/>
              <w:bottom w:val="nil"/>
              <w:right w:val="nil"/>
            </w:tcBorders>
            <w:vAlign w:val="center"/>
          </w:tcPr>
          <w:p w14:paraId="519FB56B" w14:textId="77777777" w:rsidR="00F31EA9" w:rsidRPr="0066682B" w:rsidRDefault="00F31EA9" w:rsidP="00F31EA9">
            <w:pPr>
              <w:spacing w:after="0" w:line="240" w:lineRule="auto"/>
              <w:ind w:right="27"/>
              <w:jc w:val="right"/>
              <w:rPr>
                <w:rFonts w:ascii="Cambria" w:hAnsi="Cambria" w:cs="Calibri"/>
                <w:sz w:val="20"/>
                <w:szCs w:val="20"/>
              </w:rPr>
            </w:pPr>
            <w:r w:rsidRPr="0066682B">
              <w:rPr>
                <w:rFonts w:ascii="Cambria" w:hAnsi="Cambria" w:cs="Calibri"/>
                <w:sz w:val="20"/>
                <w:szCs w:val="20"/>
              </w:rPr>
              <w:t>-1.3562</w:t>
            </w:r>
          </w:p>
        </w:tc>
        <w:tc>
          <w:tcPr>
            <w:tcW w:w="992" w:type="dxa"/>
            <w:tcBorders>
              <w:top w:val="nil"/>
              <w:left w:val="nil"/>
              <w:bottom w:val="nil"/>
              <w:right w:val="nil"/>
            </w:tcBorders>
            <w:shd w:val="clear" w:color="auto" w:fill="auto"/>
            <w:noWrap/>
            <w:vAlign w:val="center"/>
          </w:tcPr>
          <w:p w14:paraId="76FFA009" w14:textId="77777777" w:rsidR="00F31EA9" w:rsidRPr="0066682B" w:rsidRDefault="00F31EA9" w:rsidP="00F31EA9">
            <w:pPr>
              <w:spacing w:after="0" w:line="240" w:lineRule="auto"/>
              <w:ind w:right="27"/>
              <w:jc w:val="right"/>
              <w:rPr>
                <w:rFonts w:ascii="Cambria" w:eastAsia="Times New Roman" w:hAnsi="Cambria" w:cs="Calibri"/>
                <w:sz w:val="20"/>
                <w:szCs w:val="20"/>
                <w:lang w:val="en-US"/>
              </w:rPr>
            </w:pPr>
            <w:r w:rsidRPr="0066682B">
              <w:rPr>
                <w:rFonts w:ascii="Cambria" w:hAnsi="Cambria" w:cs="Arial"/>
                <w:sz w:val="20"/>
                <w:szCs w:val="20"/>
                <w:lang w:val="en-US"/>
              </w:rPr>
              <w:t> 0.5844</w:t>
            </w:r>
          </w:p>
        </w:tc>
        <w:tc>
          <w:tcPr>
            <w:tcW w:w="284" w:type="dxa"/>
            <w:tcBorders>
              <w:top w:val="nil"/>
              <w:left w:val="nil"/>
              <w:bottom w:val="nil"/>
              <w:right w:val="nil"/>
            </w:tcBorders>
            <w:vAlign w:val="center"/>
          </w:tcPr>
          <w:p w14:paraId="47AB7520"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p>
        </w:tc>
        <w:tc>
          <w:tcPr>
            <w:tcW w:w="992" w:type="dxa"/>
            <w:tcBorders>
              <w:top w:val="nil"/>
              <w:left w:val="nil"/>
              <w:bottom w:val="nil"/>
              <w:right w:val="nil"/>
            </w:tcBorders>
            <w:shd w:val="clear" w:color="auto" w:fill="auto"/>
            <w:noWrap/>
            <w:vAlign w:val="center"/>
            <w:hideMark/>
          </w:tcPr>
          <w:p w14:paraId="17B93035" w14:textId="77777777" w:rsidR="00F31EA9" w:rsidRPr="0066682B" w:rsidRDefault="00F31EA9" w:rsidP="00F31EA9">
            <w:pPr>
              <w:spacing w:after="0" w:line="240" w:lineRule="auto"/>
              <w:ind w:right="36"/>
              <w:jc w:val="right"/>
              <w:rPr>
                <w:rFonts w:ascii="Cambria" w:eastAsia="Times New Roman" w:hAnsi="Cambria" w:cs="Calibri"/>
                <w:sz w:val="20"/>
                <w:szCs w:val="20"/>
                <w:lang w:val="en-US"/>
              </w:rPr>
            </w:pPr>
            <w:r w:rsidRPr="0066682B">
              <w:rPr>
                <w:rFonts w:ascii="Cambria" w:hAnsi="Cambria" w:cs="Calibri"/>
                <w:sz w:val="20"/>
                <w:szCs w:val="20"/>
              </w:rPr>
              <w:t>-4.0047</w:t>
            </w:r>
          </w:p>
        </w:tc>
        <w:tc>
          <w:tcPr>
            <w:tcW w:w="992" w:type="dxa"/>
            <w:tcBorders>
              <w:top w:val="nil"/>
              <w:left w:val="nil"/>
              <w:bottom w:val="nil"/>
              <w:right w:val="nil"/>
            </w:tcBorders>
            <w:vAlign w:val="center"/>
          </w:tcPr>
          <w:p w14:paraId="367B2417" w14:textId="77777777" w:rsidR="00F31EA9" w:rsidRPr="0066682B" w:rsidRDefault="00F31EA9" w:rsidP="00F31EA9">
            <w:pPr>
              <w:spacing w:after="0" w:line="240" w:lineRule="auto"/>
              <w:ind w:right="27"/>
              <w:jc w:val="right"/>
              <w:rPr>
                <w:rFonts w:ascii="Cambria" w:hAnsi="Cambria" w:cs="Calibri"/>
                <w:sz w:val="20"/>
                <w:szCs w:val="20"/>
              </w:rPr>
            </w:pPr>
            <w:r w:rsidRPr="0066682B">
              <w:rPr>
                <w:rFonts w:ascii="Cambria" w:hAnsi="Cambria" w:cs="Arial"/>
                <w:sz w:val="20"/>
                <w:szCs w:val="20"/>
                <w:lang w:val="en-US"/>
              </w:rPr>
              <w:t> 0.0062</w:t>
            </w:r>
          </w:p>
        </w:tc>
        <w:tc>
          <w:tcPr>
            <w:tcW w:w="992" w:type="dxa"/>
            <w:tcBorders>
              <w:top w:val="nil"/>
              <w:left w:val="nil"/>
              <w:bottom w:val="nil"/>
              <w:right w:val="nil"/>
            </w:tcBorders>
            <w:shd w:val="clear" w:color="auto" w:fill="auto"/>
            <w:noWrap/>
            <w:vAlign w:val="center"/>
            <w:hideMark/>
          </w:tcPr>
          <w:p w14:paraId="2D246118" w14:textId="77777777" w:rsidR="00F31EA9" w:rsidRPr="0066682B" w:rsidRDefault="00F31EA9" w:rsidP="00F31EA9">
            <w:pPr>
              <w:spacing w:after="0" w:line="240" w:lineRule="auto"/>
              <w:ind w:right="27"/>
              <w:jc w:val="right"/>
              <w:rPr>
                <w:rFonts w:ascii="Cambria" w:eastAsia="Times New Roman" w:hAnsi="Cambria" w:cs="Calibri"/>
                <w:sz w:val="20"/>
                <w:szCs w:val="20"/>
                <w:lang w:val="en-US"/>
              </w:rPr>
            </w:pPr>
            <w:r w:rsidRPr="0066682B">
              <w:rPr>
                <w:rFonts w:ascii="Cambria" w:hAnsi="Cambria" w:cs="Calibri"/>
                <w:sz w:val="20"/>
                <w:szCs w:val="20"/>
              </w:rPr>
              <w:t>-3.9665</w:t>
            </w:r>
          </w:p>
        </w:tc>
        <w:tc>
          <w:tcPr>
            <w:tcW w:w="992" w:type="dxa"/>
            <w:tcBorders>
              <w:top w:val="nil"/>
              <w:left w:val="nil"/>
              <w:bottom w:val="nil"/>
              <w:right w:val="nil"/>
            </w:tcBorders>
            <w:vAlign w:val="center"/>
          </w:tcPr>
          <w:p w14:paraId="67ADAE48" w14:textId="77777777" w:rsidR="00F31EA9" w:rsidRPr="0066682B" w:rsidRDefault="00F31EA9" w:rsidP="00F31EA9">
            <w:pPr>
              <w:spacing w:after="0" w:line="240" w:lineRule="auto"/>
              <w:ind w:right="27"/>
              <w:jc w:val="right"/>
              <w:rPr>
                <w:rFonts w:ascii="Cambria" w:hAnsi="Cambria" w:cs="Calibri"/>
                <w:sz w:val="20"/>
                <w:szCs w:val="20"/>
              </w:rPr>
            </w:pPr>
            <w:r w:rsidRPr="0066682B">
              <w:rPr>
                <w:rFonts w:ascii="Cambria" w:hAnsi="Cambria" w:cs="Arial"/>
                <w:sz w:val="20"/>
                <w:szCs w:val="20"/>
                <w:lang w:val="en-US"/>
              </w:rPr>
              <w:t> 0.0068</w:t>
            </w:r>
          </w:p>
        </w:tc>
      </w:tr>
      <w:tr w:rsidR="0066682B" w:rsidRPr="0066682B" w14:paraId="7AADFE4B" w14:textId="77777777" w:rsidTr="00F31EA9">
        <w:trPr>
          <w:trHeight w:val="293"/>
          <w:jc w:val="center"/>
        </w:trPr>
        <w:tc>
          <w:tcPr>
            <w:tcW w:w="1205" w:type="dxa"/>
            <w:tcBorders>
              <w:top w:val="nil"/>
              <w:left w:val="nil"/>
              <w:bottom w:val="nil"/>
              <w:right w:val="nil"/>
            </w:tcBorders>
            <w:shd w:val="clear" w:color="auto" w:fill="auto"/>
            <w:noWrap/>
            <w:vAlign w:val="center"/>
          </w:tcPr>
          <w:p w14:paraId="5FCAB6FD" w14:textId="67830265" w:rsidR="000F396A" w:rsidRPr="0066682B" w:rsidRDefault="000F396A" w:rsidP="000F396A">
            <w:pPr>
              <w:spacing w:after="0" w:line="240" w:lineRule="auto"/>
              <w:rPr>
                <w:rFonts w:ascii="Cambria" w:eastAsia="Times New Roman" w:hAnsi="Cambria" w:cs="Calibri"/>
                <w:sz w:val="20"/>
                <w:szCs w:val="20"/>
                <w:lang w:val="en-US"/>
              </w:rPr>
            </w:pPr>
            <w:r w:rsidRPr="0066682B">
              <w:rPr>
                <w:rFonts w:ascii="Cambria" w:eastAsia="Times New Roman" w:hAnsi="Cambria" w:cs="Calibri"/>
                <w:sz w:val="20"/>
                <w:szCs w:val="20"/>
                <w:lang w:val="en-US"/>
              </w:rPr>
              <w:t>NPF</w:t>
            </w:r>
          </w:p>
        </w:tc>
        <w:tc>
          <w:tcPr>
            <w:tcW w:w="1134" w:type="dxa"/>
            <w:tcBorders>
              <w:top w:val="nil"/>
              <w:left w:val="nil"/>
              <w:bottom w:val="nil"/>
              <w:right w:val="nil"/>
            </w:tcBorders>
            <w:shd w:val="clear" w:color="auto" w:fill="auto"/>
            <w:noWrap/>
            <w:vAlign w:val="center"/>
          </w:tcPr>
          <w:p w14:paraId="7EDAE425" w14:textId="27FFC6DE" w:rsidR="000F396A" w:rsidRPr="0066682B" w:rsidRDefault="000F396A" w:rsidP="000F396A">
            <w:pPr>
              <w:spacing w:after="0" w:line="240" w:lineRule="auto"/>
              <w:ind w:right="34"/>
              <w:jc w:val="right"/>
              <w:rPr>
                <w:rFonts w:ascii="Cambria" w:hAnsi="Cambria" w:cs="Calibri"/>
                <w:sz w:val="20"/>
                <w:szCs w:val="20"/>
              </w:rPr>
            </w:pPr>
            <w:r w:rsidRPr="0066682B">
              <w:rPr>
                <w:rFonts w:ascii="Cambria" w:hAnsi="Cambria" w:cs="Calibri"/>
                <w:sz w:val="20"/>
                <w:szCs w:val="20"/>
              </w:rPr>
              <w:t>-2.4371</w:t>
            </w:r>
          </w:p>
        </w:tc>
        <w:tc>
          <w:tcPr>
            <w:tcW w:w="992" w:type="dxa"/>
            <w:gridSpan w:val="2"/>
            <w:tcBorders>
              <w:top w:val="nil"/>
              <w:left w:val="nil"/>
              <w:bottom w:val="nil"/>
              <w:right w:val="nil"/>
            </w:tcBorders>
            <w:vAlign w:val="center"/>
          </w:tcPr>
          <w:p w14:paraId="2E6F5049" w14:textId="1A7CF4E3" w:rsidR="000F396A" w:rsidRPr="0066682B" w:rsidRDefault="000F396A" w:rsidP="000F396A">
            <w:pPr>
              <w:spacing w:after="0" w:line="240" w:lineRule="auto"/>
              <w:ind w:right="27"/>
              <w:jc w:val="right"/>
              <w:rPr>
                <w:rFonts w:ascii="Cambria" w:hAnsi="Cambria" w:cs="Arial"/>
                <w:sz w:val="20"/>
                <w:szCs w:val="20"/>
                <w:lang w:val="en-US"/>
              </w:rPr>
            </w:pPr>
            <w:r w:rsidRPr="0066682B">
              <w:rPr>
                <w:rFonts w:ascii="Cambria" w:hAnsi="Cambria" w:cs="Arial"/>
                <w:sz w:val="20"/>
                <w:szCs w:val="20"/>
                <w:lang w:val="en-US"/>
              </w:rPr>
              <w:t> 0.1437</w:t>
            </w:r>
          </w:p>
        </w:tc>
        <w:tc>
          <w:tcPr>
            <w:tcW w:w="992" w:type="dxa"/>
            <w:tcBorders>
              <w:top w:val="nil"/>
              <w:left w:val="nil"/>
              <w:bottom w:val="nil"/>
              <w:right w:val="nil"/>
            </w:tcBorders>
            <w:vAlign w:val="center"/>
          </w:tcPr>
          <w:p w14:paraId="7F67C945" w14:textId="46CB71D2"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Calibri"/>
                <w:sz w:val="20"/>
                <w:szCs w:val="20"/>
              </w:rPr>
              <w:t>-2.4288</w:t>
            </w:r>
          </w:p>
        </w:tc>
        <w:tc>
          <w:tcPr>
            <w:tcW w:w="992" w:type="dxa"/>
            <w:tcBorders>
              <w:top w:val="nil"/>
              <w:left w:val="nil"/>
              <w:bottom w:val="nil"/>
              <w:right w:val="nil"/>
            </w:tcBorders>
            <w:shd w:val="clear" w:color="auto" w:fill="auto"/>
            <w:noWrap/>
            <w:vAlign w:val="center"/>
          </w:tcPr>
          <w:p w14:paraId="4BA16A94" w14:textId="05DA5877" w:rsidR="000F396A" w:rsidRPr="0066682B" w:rsidRDefault="000F396A" w:rsidP="000F396A">
            <w:pPr>
              <w:spacing w:after="0" w:line="240" w:lineRule="auto"/>
              <w:ind w:right="27"/>
              <w:jc w:val="right"/>
              <w:rPr>
                <w:rFonts w:ascii="Cambria" w:hAnsi="Cambria" w:cs="Arial"/>
                <w:sz w:val="20"/>
                <w:szCs w:val="20"/>
                <w:lang w:val="en-US"/>
              </w:rPr>
            </w:pPr>
            <w:r w:rsidRPr="0066682B">
              <w:rPr>
                <w:rFonts w:ascii="Cambria" w:hAnsi="Cambria" w:cs="Arial"/>
                <w:sz w:val="20"/>
                <w:szCs w:val="20"/>
                <w:lang w:val="en-US"/>
              </w:rPr>
              <w:t> 0.1458</w:t>
            </w:r>
          </w:p>
        </w:tc>
        <w:tc>
          <w:tcPr>
            <w:tcW w:w="284" w:type="dxa"/>
            <w:tcBorders>
              <w:top w:val="nil"/>
              <w:left w:val="nil"/>
              <w:bottom w:val="nil"/>
              <w:right w:val="nil"/>
            </w:tcBorders>
            <w:vAlign w:val="center"/>
          </w:tcPr>
          <w:p w14:paraId="0A829C31" w14:textId="77777777" w:rsidR="000F396A" w:rsidRPr="0066682B" w:rsidRDefault="000F396A" w:rsidP="000F396A">
            <w:pPr>
              <w:spacing w:after="0" w:line="240" w:lineRule="auto"/>
              <w:ind w:right="517"/>
              <w:jc w:val="right"/>
              <w:rPr>
                <w:rFonts w:ascii="Cambria" w:eastAsia="Times New Roman" w:hAnsi="Cambria" w:cs="Calibri"/>
                <w:sz w:val="20"/>
                <w:szCs w:val="20"/>
                <w:lang w:val="en-US"/>
              </w:rPr>
            </w:pPr>
          </w:p>
        </w:tc>
        <w:tc>
          <w:tcPr>
            <w:tcW w:w="992" w:type="dxa"/>
            <w:tcBorders>
              <w:top w:val="nil"/>
              <w:left w:val="nil"/>
              <w:bottom w:val="nil"/>
              <w:right w:val="nil"/>
            </w:tcBorders>
            <w:shd w:val="clear" w:color="auto" w:fill="auto"/>
            <w:noWrap/>
            <w:vAlign w:val="center"/>
          </w:tcPr>
          <w:p w14:paraId="4FAEB0E8" w14:textId="2480722C" w:rsidR="000F396A" w:rsidRPr="0066682B" w:rsidRDefault="000F396A" w:rsidP="000F396A">
            <w:pPr>
              <w:spacing w:after="0" w:line="240" w:lineRule="auto"/>
              <w:ind w:right="36"/>
              <w:jc w:val="right"/>
              <w:rPr>
                <w:rFonts w:ascii="Cambria" w:hAnsi="Cambria" w:cs="Calibri"/>
                <w:sz w:val="20"/>
                <w:szCs w:val="20"/>
              </w:rPr>
            </w:pPr>
            <w:r w:rsidRPr="0066682B">
              <w:rPr>
                <w:rFonts w:ascii="Cambria" w:hAnsi="Cambria" w:cs="Calibri"/>
                <w:sz w:val="20"/>
                <w:szCs w:val="20"/>
              </w:rPr>
              <w:t>-4.4824</w:t>
            </w:r>
          </w:p>
        </w:tc>
        <w:tc>
          <w:tcPr>
            <w:tcW w:w="992" w:type="dxa"/>
            <w:tcBorders>
              <w:top w:val="nil"/>
              <w:left w:val="nil"/>
              <w:bottom w:val="nil"/>
              <w:right w:val="nil"/>
            </w:tcBorders>
            <w:vAlign w:val="center"/>
          </w:tcPr>
          <w:p w14:paraId="7BC59B74" w14:textId="6EA8CA83" w:rsidR="000F396A" w:rsidRPr="0066682B" w:rsidRDefault="000F396A" w:rsidP="000F396A">
            <w:pPr>
              <w:spacing w:after="0" w:line="240" w:lineRule="auto"/>
              <w:ind w:right="27"/>
              <w:jc w:val="right"/>
              <w:rPr>
                <w:rFonts w:ascii="Cambria" w:hAnsi="Cambria" w:cs="Arial"/>
                <w:sz w:val="20"/>
                <w:szCs w:val="20"/>
                <w:lang w:val="en-US"/>
              </w:rPr>
            </w:pPr>
            <w:r w:rsidRPr="0066682B">
              <w:rPr>
                <w:rFonts w:ascii="Cambria" w:hAnsi="Cambria" w:cs="Arial"/>
                <w:sz w:val="20"/>
                <w:szCs w:val="20"/>
                <w:lang w:val="en-US"/>
              </w:rPr>
              <w:t> 0.0022</w:t>
            </w:r>
          </w:p>
        </w:tc>
        <w:tc>
          <w:tcPr>
            <w:tcW w:w="992" w:type="dxa"/>
            <w:tcBorders>
              <w:top w:val="nil"/>
              <w:left w:val="nil"/>
              <w:bottom w:val="nil"/>
              <w:right w:val="nil"/>
            </w:tcBorders>
            <w:shd w:val="clear" w:color="auto" w:fill="auto"/>
            <w:noWrap/>
            <w:vAlign w:val="center"/>
          </w:tcPr>
          <w:p w14:paraId="66E9B5E9" w14:textId="5C6DFD32"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Calibri"/>
                <w:sz w:val="20"/>
                <w:szCs w:val="20"/>
              </w:rPr>
              <w:t>-4.4934</w:t>
            </w:r>
          </w:p>
        </w:tc>
        <w:tc>
          <w:tcPr>
            <w:tcW w:w="992" w:type="dxa"/>
            <w:tcBorders>
              <w:top w:val="nil"/>
              <w:left w:val="nil"/>
              <w:bottom w:val="nil"/>
              <w:right w:val="nil"/>
            </w:tcBorders>
            <w:vAlign w:val="center"/>
          </w:tcPr>
          <w:p w14:paraId="2EF4A6C1" w14:textId="02975FE1" w:rsidR="000F396A" w:rsidRPr="0066682B" w:rsidRDefault="000F396A" w:rsidP="000F396A">
            <w:pPr>
              <w:spacing w:after="0" w:line="240" w:lineRule="auto"/>
              <w:ind w:right="27"/>
              <w:jc w:val="right"/>
              <w:rPr>
                <w:rFonts w:ascii="Cambria" w:hAnsi="Cambria" w:cs="Arial"/>
                <w:sz w:val="20"/>
                <w:szCs w:val="20"/>
                <w:lang w:val="en-US"/>
              </w:rPr>
            </w:pPr>
            <w:r w:rsidRPr="0066682B">
              <w:rPr>
                <w:rFonts w:ascii="Cambria" w:hAnsi="Cambria" w:cs="Arial"/>
                <w:sz w:val="20"/>
                <w:szCs w:val="20"/>
                <w:lang w:val="en-US"/>
              </w:rPr>
              <w:t> 0.0021</w:t>
            </w:r>
          </w:p>
        </w:tc>
      </w:tr>
      <w:tr w:rsidR="0066682B" w:rsidRPr="0066682B" w14:paraId="6CA8435D" w14:textId="77777777" w:rsidTr="00F31EA9">
        <w:trPr>
          <w:trHeight w:val="293"/>
          <w:jc w:val="center"/>
        </w:trPr>
        <w:tc>
          <w:tcPr>
            <w:tcW w:w="1205" w:type="dxa"/>
            <w:tcBorders>
              <w:top w:val="nil"/>
              <w:left w:val="nil"/>
              <w:bottom w:val="nil"/>
              <w:right w:val="nil"/>
            </w:tcBorders>
            <w:shd w:val="clear" w:color="auto" w:fill="auto"/>
            <w:noWrap/>
            <w:vAlign w:val="center"/>
            <w:hideMark/>
          </w:tcPr>
          <w:p w14:paraId="6BD3EF02" w14:textId="7C09BBAA" w:rsidR="000F396A" w:rsidRPr="0066682B" w:rsidRDefault="000F396A" w:rsidP="000F396A">
            <w:pPr>
              <w:spacing w:after="0" w:line="240" w:lineRule="auto"/>
              <w:rPr>
                <w:rFonts w:ascii="Cambria" w:eastAsia="Times New Roman" w:hAnsi="Cambria" w:cs="Calibri"/>
                <w:sz w:val="20"/>
                <w:szCs w:val="20"/>
                <w:lang w:val="en-US"/>
              </w:rPr>
            </w:pPr>
            <w:r w:rsidRPr="0066682B">
              <w:rPr>
                <w:rFonts w:ascii="Cambria" w:eastAsia="Times New Roman" w:hAnsi="Cambria" w:cs="Calibri"/>
                <w:sz w:val="20"/>
                <w:szCs w:val="20"/>
                <w:lang w:val="en-US"/>
              </w:rPr>
              <w:t>ER</w:t>
            </w:r>
          </w:p>
        </w:tc>
        <w:tc>
          <w:tcPr>
            <w:tcW w:w="1134" w:type="dxa"/>
            <w:tcBorders>
              <w:top w:val="nil"/>
              <w:left w:val="nil"/>
              <w:bottom w:val="nil"/>
              <w:right w:val="nil"/>
            </w:tcBorders>
            <w:shd w:val="clear" w:color="auto" w:fill="auto"/>
            <w:noWrap/>
            <w:vAlign w:val="center"/>
            <w:hideMark/>
          </w:tcPr>
          <w:p w14:paraId="3C850DF2" w14:textId="77777777" w:rsidR="000F396A" w:rsidRPr="0066682B" w:rsidRDefault="000F396A" w:rsidP="000F396A">
            <w:pPr>
              <w:spacing w:after="0" w:line="240" w:lineRule="auto"/>
              <w:ind w:right="34"/>
              <w:jc w:val="right"/>
              <w:rPr>
                <w:rFonts w:ascii="Cambria" w:eastAsia="Times New Roman" w:hAnsi="Cambria" w:cs="Calibri"/>
                <w:sz w:val="20"/>
                <w:szCs w:val="20"/>
                <w:lang w:val="en-US"/>
              </w:rPr>
            </w:pPr>
            <w:r w:rsidRPr="0066682B">
              <w:rPr>
                <w:rFonts w:ascii="Cambria" w:hAnsi="Cambria" w:cs="Calibri"/>
                <w:sz w:val="20"/>
                <w:szCs w:val="20"/>
              </w:rPr>
              <w:t>-0.2643</w:t>
            </w:r>
          </w:p>
        </w:tc>
        <w:tc>
          <w:tcPr>
            <w:tcW w:w="992" w:type="dxa"/>
            <w:gridSpan w:val="2"/>
            <w:tcBorders>
              <w:top w:val="nil"/>
              <w:left w:val="nil"/>
              <w:bottom w:val="nil"/>
              <w:right w:val="nil"/>
            </w:tcBorders>
            <w:vAlign w:val="center"/>
          </w:tcPr>
          <w:p w14:paraId="5774DE3F"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Arial"/>
                <w:sz w:val="20"/>
                <w:szCs w:val="20"/>
                <w:lang w:val="en-US"/>
              </w:rPr>
              <w:t> 0.9150</w:t>
            </w:r>
          </w:p>
        </w:tc>
        <w:tc>
          <w:tcPr>
            <w:tcW w:w="992" w:type="dxa"/>
            <w:tcBorders>
              <w:top w:val="nil"/>
              <w:left w:val="nil"/>
              <w:bottom w:val="nil"/>
              <w:right w:val="nil"/>
            </w:tcBorders>
            <w:vAlign w:val="center"/>
          </w:tcPr>
          <w:p w14:paraId="397EEEDA"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Calibri"/>
                <w:sz w:val="20"/>
                <w:szCs w:val="20"/>
              </w:rPr>
              <w:t>-0.3044</w:t>
            </w:r>
          </w:p>
        </w:tc>
        <w:tc>
          <w:tcPr>
            <w:tcW w:w="992" w:type="dxa"/>
            <w:tcBorders>
              <w:top w:val="nil"/>
              <w:left w:val="nil"/>
              <w:bottom w:val="nil"/>
              <w:right w:val="nil"/>
            </w:tcBorders>
            <w:shd w:val="clear" w:color="auto" w:fill="auto"/>
            <w:noWrap/>
            <w:vAlign w:val="center"/>
          </w:tcPr>
          <w:p w14:paraId="559E0479" w14:textId="77777777" w:rsidR="000F396A" w:rsidRPr="0066682B" w:rsidRDefault="000F396A" w:rsidP="000F396A">
            <w:pPr>
              <w:spacing w:after="0" w:line="240" w:lineRule="auto"/>
              <w:ind w:right="27"/>
              <w:jc w:val="right"/>
              <w:rPr>
                <w:rFonts w:ascii="Cambria" w:eastAsia="Times New Roman" w:hAnsi="Cambria" w:cs="Calibri"/>
                <w:sz w:val="20"/>
                <w:szCs w:val="20"/>
                <w:lang w:val="en-US"/>
              </w:rPr>
            </w:pPr>
            <w:r w:rsidRPr="0066682B">
              <w:rPr>
                <w:rFonts w:ascii="Cambria" w:hAnsi="Cambria" w:cs="Arial"/>
                <w:sz w:val="20"/>
                <w:szCs w:val="20"/>
                <w:lang w:val="en-US"/>
              </w:rPr>
              <w:t> 0.9094</w:t>
            </w:r>
          </w:p>
        </w:tc>
        <w:tc>
          <w:tcPr>
            <w:tcW w:w="284" w:type="dxa"/>
            <w:tcBorders>
              <w:top w:val="nil"/>
              <w:left w:val="nil"/>
              <w:bottom w:val="nil"/>
              <w:right w:val="nil"/>
            </w:tcBorders>
            <w:vAlign w:val="center"/>
          </w:tcPr>
          <w:p w14:paraId="2A1E89A6" w14:textId="77777777" w:rsidR="000F396A" w:rsidRPr="0066682B" w:rsidRDefault="000F396A" w:rsidP="000F396A">
            <w:pPr>
              <w:spacing w:after="0" w:line="240" w:lineRule="auto"/>
              <w:ind w:right="517"/>
              <w:jc w:val="right"/>
              <w:rPr>
                <w:rFonts w:ascii="Cambria" w:eastAsia="Times New Roman" w:hAnsi="Cambria" w:cs="Calibri"/>
                <w:sz w:val="20"/>
                <w:szCs w:val="20"/>
                <w:lang w:val="en-US"/>
              </w:rPr>
            </w:pPr>
          </w:p>
        </w:tc>
        <w:tc>
          <w:tcPr>
            <w:tcW w:w="992" w:type="dxa"/>
            <w:tcBorders>
              <w:top w:val="nil"/>
              <w:left w:val="nil"/>
              <w:bottom w:val="nil"/>
              <w:right w:val="nil"/>
            </w:tcBorders>
            <w:shd w:val="clear" w:color="auto" w:fill="auto"/>
            <w:noWrap/>
            <w:vAlign w:val="center"/>
            <w:hideMark/>
          </w:tcPr>
          <w:p w14:paraId="70936A29" w14:textId="77777777" w:rsidR="000F396A" w:rsidRPr="0066682B" w:rsidRDefault="000F396A" w:rsidP="000F396A">
            <w:pPr>
              <w:spacing w:after="0" w:line="240" w:lineRule="auto"/>
              <w:ind w:right="36"/>
              <w:jc w:val="right"/>
              <w:rPr>
                <w:rFonts w:ascii="Cambria" w:eastAsia="Times New Roman" w:hAnsi="Cambria" w:cs="Calibri"/>
                <w:sz w:val="20"/>
                <w:szCs w:val="20"/>
                <w:lang w:val="en-US"/>
              </w:rPr>
            </w:pPr>
            <w:r w:rsidRPr="0066682B">
              <w:rPr>
                <w:rFonts w:ascii="Cambria" w:hAnsi="Cambria" w:cs="Calibri"/>
                <w:sz w:val="20"/>
                <w:szCs w:val="20"/>
              </w:rPr>
              <w:t>-6.7766</w:t>
            </w:r>
          </w:p>
        </w:tc>
        <w:tc>
          <w:tcPr>
            <w:tcW w:w="992" w:type="dxa"/>
            <w:tcBorders>
              <w:top w:val="nil"/>
              <w:left w:val="nil"/>
              <w:bottom w:val="nil"/>
              <w:right w:val="nil"/>
            </w:tcBorders>
            <w:vAlign w:val="center"/>
          </w:tcPr>
          <w:p w14:paraId="625CA453"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Arial"/>
                <w:sz w:val="20"/>
                <w:szCs w:val="20"/>
                <w:lang w:val="en-US"/>
              </w:rPr>
              <w:t> 0.0000</w:t>
            </w:r>
          </w:p>
        </w:tc>
        <w:tc>
          <w:tcPr>
            <w:tcW w:w="992" w:type="dxa"/>
            <w:tcBorders>
              <w:top w:val="nil"/>
              <w:left w:val="nil"/>
              <w:bottom w:val="nil"/>
              <w:right w:val="nil"/>
            </w:tcBorders>
            <w:shd w:val="clear" w:color="auto" w:fill="auto"/>
            <w:noWrap/>
            <w:vAlign w:val="center"/>
            <w:hideMark/>
          </w:tcPr>
          <w:p w14:paraId="1718E0B1" w14:textId="77777777" w:rsidR="000F396A" w:rsidRPr="0066682B" w:rsidRDefault="000F396A" w:rsidP="000F396A">
            <w:pPr>
              <w:spacing w:after="0" w:line="240" w:lineRule="auto"/>
              <w:ind w:right="27"/>
              <w:jc w:val="right"/>
              <w:rPr>
                <w:rFonts w:ascii="Cambria" w:eastAsia="Times New Roman" w:hAnsi="Cambria" w:cs="Calibri"/>
                <w:sz w:val="20"/>
                <w:szCs w:val="20"/>
                <w:lang w:val="en-US"/>
              </w:rPr>
            </w:pPr>
            <w:r w:rsidRPr="0066682B">
              <w:rPr>
                <w:rFonts w:ascii="Cambria" w:hAnsi="Cambria" w:cs="Calibri"/>
                <w:sz w:val="20"/>
                <w:szCs w:val="20"/>
              </w:rPr>
              <w:t>-6.7766</w:t>
            </w:r>
          </w:p>
        </w:tc>
        <w:tc>
          <w:tcPr>
            <w:tcW w:w="992" w:type="dxa"/>
            <w:tcBorders>
              <w:top w:val="nil"/>
              <w:left w:val="nil"/>
              <w:bottom w:val="nil"/>
              <w:right w:val="nil"/>
            </w:tcBorders>
            <w:vAlign w:val="center"/>
          </w:tcPr>
          <w:p w14:paraId="3070A64A"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Arial"/>
                <w:sz w:val="20"/>
                <w:szCs w:val="20"/>
                <w:lang w:val="en-US"/>
              </w:rPr>
              <w:t> 0.0000</w:t>
            </w:r>
          </w:p>
        </w:tc>
      </w:tr>
      <w:tr w:rsidR="0066682B" w:rsidRPr="0066682B" w14:paraId="0E6748C3" w14:textId="77777777" w:rsidTr="00F31EA9">
        <w:trPr>
          <w:trHeight w:val="293"/>
          <w:jc w:val="center"/>
        </w:trPr>
        <w:tc>
          <w:tcPr>
            <w:tcW w:w="1205" w:type="dxa"/>
            <w:tcBorders>
              <w:top w:val="nil"/>
              <w:left w:val="nil"/>
              <w:bottom w:val="nil"/>
              <w:right w:val="nil"/>
            </w:tcBorders>
            <w:shd w:val="clear" w:color="auto" w:fill="auto"/>
            <w:noWrap/>
            <w:vAlign w:val="center"/>
            <w:hideMark/>
          </w:tcPr>
          <w:p w14:paraId="00220973" w14:textId="77777777" w:rsidR="000F396A" w:rsidRPr="0066682B" w:rsidRDefault="000F396A" w:rsidP="000F396A">
            <w:pPr>
              <w:spacing w:after="0" w:line="240" w:lineRule="auto"/>
              <w:rPr>
                <w:rFonts w:ascii="Cambria" w:eastAsia="Times New Roman" w:hAnsi="Cambria" w:cs="Calibri"/>
                <w:sz w:val="20"/>
                <w:szCs w:val="20"/>
                <w:lang w:val="en-US"/>
              </w:rPr>
            </w:pPr>
            <w:r w:rsidRPr="0066682B">
              <w:rPr>
                <w:rFonts w:ascii="Cambria" w:eastAsia="Times New Roman" w:hAnsi="Cambria" w:cs="Calibri"/>
                <w:sz w:val="20"/>
                <w:szCs w:val="20"/>
                <w:lang w:val="en-US"/>
              </w:rPr>
              <w:t>BOPO</w:t>
            </w:r>
          </w:p>
        </w:tc>
        <w:tc>
          <w:tcPr>
            <w:tcW w:w="1134" w:type="dxa"/>
            <w:tcBorders>
              <w:top w:val="nil"/>
              <w:left w:val="nil"/>
              <w:bottom w:val="nil"/>
              <w:right w:val="nil"/>
            </w:tcBorders>
            <w:shd w:val="clear" w:color="auto" w:fill="auto"/>
            <w:noWrap/>
            <w:vAlign w:val="center"/>
            <w:hideMark/>
          </w:tcPr>
          <w:p w14:paraId="34D12BCA" w14:textId="77777777" w:rsidR="000F396A" w:rsidRPr="0066682B" w:rsidRDefault="000F396A" w:rsidP="000F396A">
            <w:pPr>
              <w:spacing w:after="0" w:line="240" w:lineRule="auto"/>
              <w:ind w:right="34"/>
              <w:jc w:val="right"/>
              <w:rPr>
                <w:rFonts w:ascii="Cambria" w:eastAsia="Times New Roman" w:hAnsi="Cambria" w:cs="Calibri"/>
                <w:sz w:val="20"/>
                <w:szCs w:val="20"/>
                <w:lang w:val="en-US"/>
              </w:rPr>
            </w:pPr>
            <w:r w:rsidRPr="0066682B">
              <w:rPr>
                <w:rFonts w:ascii="Cambria" w:hAnsi="Cambria" w:cs="Calibri"/>
                <w:sz w:val="20"/>
                <w:szCs w:val="20"/>
              </w:rPr>
              <w:t>-0.2148</w:t>
            </w:r>
          </w:p>
        </w:tc>
        <w:tc>
          <w:tcPr>
            <w:tcW w:w="992" w:type="dxa"/>
            <w:gridSpan w:val="2"/>
            <w:tcBorders>
              <w:top w:val="nil"/>
              <w:left w:val="nil"/>
              <w:bottom w:val="nil"/>
              <w:right w:val="nil"/>
            </w:tcBorders>
            <w:vAlign w:val="center"/>
          </w:tcPr>
          <w:p w14:paraId="5789A1E6"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Arial"/>
                <w:sz w:val="20"/>
                <w:szCs w:val="20"/>
                <w:lang w:val="en-US"/>
              </w:rPr>
              <w:t> 0.9210</w:t>
            </w:r>
          </w:p>
        </w:tc>
        <w:tc>
          <w:tcPr>
            <w:tcW w:w="992" w:type="dxa"/>
            <w:tcBorders>
              <w:top w:val="nil"/>
              <w:left w:val="nil"/>
              <w:bottom w:val="nil"/>
              <w:right w:val="nil"/>
            </w:tcBorders>
            <w:vAlign w:val="center"/>
          </w:tcPr>
          <w:p w14:paraId="5614E1A6"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Calibri"/>
                <w:sz w:val="20"/>
                <w:szCs w:val="20"/>
              </w:rPr>
              <w:t>-0.7232</w:t>
            </w:r>
          </w:p>
        </w:tc>
        <w:tc>
          <w:tcPr>
            <w:tcW w:w="992" w:type="dxa"/>
            <w:tcBorders>
              <w:top w:val="nil"/>
              <w:left w:val="nil"/>
              <w:bottom w:val="nil"/>
              <w:right w:val="nil"/>
            </w:tcBorders>
            <w:shd w:val="clear" w:color="auto" w:fill="auto"/>
            <w:noWrap/>
            <w:vAlign w:val="center"/>
          </w:tcPr>
          <w:p w14:paraId="7A218920" w14:textId="77777777" w:rsidR="000F396A" w:rsidRPr="0066682B" w:rsidRDefault="000F396A" w:rsidP="000F396A">
            <w:pPr>
              <w:spacing w:after="0" w:line="240" w:lineRule="auto"/>
              <w:ind w:right="27"/>
              <w:jc w:val="right"/>
              <w:rPr>
                <w:rFonts w:ascii="Cambria" w:eastAsia="Times New Roman" w:hAnsi="Cambria" w:cs="Calibri"/>
                <w:sz w:val="20"/>
                <w:szCs w:val="20"/>
                <w:lang w:val="en-US"/>
              </w:rPr>
            </w:pPr>
            <w:r w:rsidRPr="0066682B">
              <w:rPr>
                <w:rFonts w:ascii="Cambria" w:hAnsi="Cambria" w:cs="Arial"/>
                <w:sz w:val="20"/>
                <w:szCs w:val="20"/>
                <w:lang w:val="en-US"/>
              </w:rPr>
              <w:t> 0.8207</w:t>
            </w:r>
          </w:p>
        </w:tc>
        <w:tc>
          <w:tcPr>
            <w:tcW w:w="284" w:type="dxa"/>
            <w:tcBorders>
              <w:top w:val="nil"/>
              <w:left w:val="nil"/>
              <w:bottom w:val="nil"/>
              <w:right w:val="nil"/>
            </w:tcBorders>
            <w:vAlign w:val="center"/>
          </w:tcPr>
          <w:p w14:paraId="73967912" w14:textId="77777777" w:rsidR="000F396A" w:rsidRPr="0066682B" w:rsidRDefault="000F396A" w:rsidP="000F396A">
            <w:pPr>
              <w:spacing w:after="0" w:line="240" w:lineRule="auto"/>
              <w:ind w:right="517"/>
              <w:jc w:val="right"/>
              <w:rPr>
                <w:rFonts w:ascii="Cambria" w:eastAsia="Times New Roman" w:hAnsi="Cambria" w:cs="Calibri"/>
                <w:sz w:val="20"/>
                <w:szCs w:val="20"/>
                <w:lang w:val="en-US"/>
              </w:rPr>
            </w:pPr>
          </w:p>
        </w:tc>
        <w:tc>
          <w:tcPr>
            <w:tcW w:w="992" w:type="dxa"/>
            <w:tcBorders>
              <w:top w:val="nil"/>
              <w:left w:val="nil"/>
              <w:bottom w:val="nil"/>
              <w:right w:val="nil"/>
            </w:tcBorders>
            <w:shd w:val="clear" w:color="auto" w:fill="auto"/>
            <w:noWrap/>
            <w:vAlign w:val="center"/>
            <w:hideMark/>
          </w:tcPr>
          <w:p w14:paraId="6EAFAFD5" w14:textId="77777777" w:rsidR="000F396A" w:rsidRPr="0066682B" w:rsidRDefault="000F396A" w:rsidP="000F396A">
            <w:pPr>
              <w:spacing w:after="0" w:line="240" w:lineRule="auto"/>
              <w:ind w:right="36"/>
              <w:jc w:val="right"/>
              <w:rPr>
                <w:rFonts w:ascii="Cambria" w:eastAsia="Times New Roman" w:hAnsi="Cambria" w:cs="Calibri"/>
                <w:sz w:val="20"/>
                <w:szCs w:val="20"/>
                <w:lang w:val="en-US"/>
              </w:rPr>
            </w:pPr>
            <w:r w:rsidRPr="0066682B">
              <w:rPr>
                <w:rFonts w:ascii="Cambria" w:hAnsi="Cambria" w:cs="Calibri"/>
                <w:sz w:val="20"/>
                <w:szCs w:val="20"/>
              </w:rPr>
              <w:t>-5.7843</w:t>
            </w:r>
          </w:p>
        </w:tc>
        <w:tc>
          <w:tcPr>
            <w:tcW w:w="992" w:type="dxa"/>
            <w:tcBorders>
              <w:top w:val="nil"/>
              <w:left w:val="nil"/>
              <w:bottom w:val="nil"/>
              <w:right w:val="nil"/>
            </w:tcBorders>
            <w:vAlign w:val="center"/>
          </w:tcPr>
          <w:p w14:paraId="64F967CD"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Arial"/>
                <w:sz w:val="20"/>
                <w:szCs w:val="20"/>
                <w:lang w:val="en-US"/>
              </w:rPr>
              <w:t> 0.0002</w:t>
            </w:r>
          </w:p>
        </w:tc>
        <w:tc>
          <w:tcPr>
            <w:tcW w:w="992" w:type="dxa"/>
            <w:tcBorders>
              <w:top w:val="nil"/>
              <w:left w:val="nil"/>
              <w:bottom w:val="nil"/>
              <w:right w:val="nil"/>
            </w:tcBorders>
            <w:shd w:val="clear" w:color="auto" w:fill="auto"/>
            <w:noWrap/>
            <w:vAlign w:val="center"/>
            <w:hideMark/>
          </w:tcPr>
          <w:p w14:paraId="4F101331" w14:textId="77777777" w:rsidR="000F396A" w:rsidRPr="0066682B" w:rsidRDefault="000F396A" w:rsidP="000F396A">
            <w:pPr>
              <w:spacing w:after="0" w:line="240" w:lineRule="auto"/>
              <w:ind w:right="27"/>
              <w:jc w:val="right"/>
              <w:rPr>
                <w:rFonts w:ascii="Cambria" w:eastAsia="Times New Roman" w:hAnsi="Cambria" w:cs="Calibri"/>
                <w:sz w:val="20"/>
                <w:szCs w:val="20"/>
                <w:lang w:val="en-US"/>
              </w:rPr>
            </w:pPr>
            <w:r w:rsidRPr="0066682B">
              <w:rPr>
                <w:rFonts w:ascii="Cambria" w:hAnsi="Cambria" w:cs="Calibri"/>
                <w:sz w:val="20"/>
                <w:szCs w:val="20"/>
              </w:rPr>
              <w:t>-8.9842</w:t>
            </w:r>
          </w:p>
        </w:tc>
        <w:tc>
          <w:tcPr>
            <w:tcW w:w="992" w:type="dxa"/>
            <w:tcBorders>
              <w:top w:val="nil"/>
              <w:left w:val="nil"/>
              <w:bottom w:val="nil"/>
              <w:right w:val="nil"/>
            </w:tcBorders>
            <w:vAlign w:val="center"/>
          </w:tcPr>
          <w:p w14:paraId="36BD11F9"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Arial"/>
                <w:sz w:val="20"/>
                <w:szCs w:val="20"/>
                <w:lang w:val="en-US"/>
              </w:rPr>
              <w:t> 0.0000</w:t>
            </w:r>
          </w:p>
        </w:tc>
      </w:tr>
      <w:tr w:rsidR="0066682B" w:rsidRPr="0066682B" w14:paraId="7B7F8FA1" w14:textId="77777777" w:rsidTr="00F31EA9">
        <w:trPr>
          <w:trHeight w:val="293"/>
          <w:jc w:val="center"/>
        </w:trPr>
        <w:tc>
          <w:tcPr>
            <w:tcW w:w="1205" w:type="dxa"/>
            <w:tcBorders>
              <w:top w:val="nil"/>
              <w:left w:val="nil"/>
              <w:right w:val="nil"/>
            </w:tcBorders>
            <w:shd w:val="clear" w:color="auto" w:fill="auto"/>
            <w:noWrap/>
            <w:vAlign w:val="center"/>
            <w:hideMark/>
          </w:tcPr>
          <w:p w14:paraId="2B5F295F" w14:textId="0384FA01" w:rsidR="000F396A" w:rsidRPr="0066682B" w:rsidRDefault="000F396A" w:rsidP="000F396A">
            <w:pPr>
              <w:spacing w:after="0" w:line="240" w:lineRule="auto"/>
              <w:rPr>
                <w:rFonts w:ascii="Cambria" w:eastAsia="Times New Roman" w:hAnsi="Cambria" w:cs="Calibri"/>
                <w:sz w:val="20"/>
                <w:szCs w:val="20"/>
                <w:lang w:val="en-US"/>
              </w:rPr>
            </w:pPr>
            <w:r w:rsidRPr="0066682B">
              <w:rPr>
                <w:rFonts w:ascii="Cambria" w:eastAsia="Times New Roman" w:hAnsi="Cambria" w:cs="Calibri"/>
                <w:sz w:val="20"/>
                <w:szCs w:val="20"/>
                <w:lang w:val="en-US"/>
              </w:rPr>
              <w:t>EG</w:t>
            </w:r>
          </w:p>
        </w:tc>
        <w:tc>
          <w:tcPr>
            <w:tcW w:w="1134" w:type="dxa"/>
            <w:tcBorders>
              <w:top w:val="nil"/>
              <w:left w:val="nil"/>
              <w:right w:val="nil"/>
            </w:tcBorders>
            <w:shd w:val="clear" w:color="auto" w:fill="auto"/>
            <w:noWrap/>
            <w:vAlign w:val="center"/>
            <w:hideMark/>
          </w:tcPr>
          <w:p w14:paraId="7CC2F4C1" w14:textId="77777777" w:rsidR="000F396A" w:rsidRPr="0066682B" w:rsidRDefault="000F396A" w:rsidP="000F396A">
            <w:pPr>
              <w:spacing w:after="0" w:line="240" w:lineRule="auto"/>
              <w:ind w:right="34"/>
              <w:jc w:val="right"/>
              <w:rPr>
                <w:rFonts w:ascii="Cambria" w:eastAsia="Times New Roman" w:hAnsi="Cambria" w:cs="Calibri"/>
                <w:sz w:val="20"/>
                <w:szCs w:val="20"/>
                <w:lang w:val="en-US"/>
              </w:rPr>
            </w:pPr>
            <w:r w:rsidRPr="0066682B">
              <w:rPr>
                <w:rFonts w:ascii="Cambria" w:hAnsi="Cambria" w:cs="Calibri"/>
                <w:sz w:val="20"/>
                <w:szCs w:val="20"/>
              </w:rPr>
              <w:t>-2.3342</w:t>
            </w:r>
          </w:p>
        </w:tc>
        <w:tc>
          <w:tcPr>
            <w:tcW w:w="992" w:type="dxa"/>
            <w:gridSpan w:val="2"/>
            <w:tcBorders>
              <w:top w:val="nil"/>
              <w:left w:val="nil"/>
              <w:right w:val="nil"/>
            </w:tcBorders>
            <w:vAlign w:val="center"/>
          </w:tcPr>
          <w:p w14:paraId="5E3488BF"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Arial"/>
                <w:sz w:val="20"/>
                <w:szCs w:val="20"/>
                <w:lang w:val="en-US"/>
              </w:rPr>
              <w:t> 0.1712</w:t>
            </w:r>
          </w:p>
        </w:tc>
        <w:tc>
          <w:tcPr>
            <w:tcW w:w="992" w:type="dxa"/>
            <w:tcBorders>
              <w:top w:val="nil"/>
              <w:left w:val="nil"/>
              <w:right w:val="nil"/>
            </w:tcBorders>
            <w:vAlign w:val="center"/>
          </w:tcPr>
          <w:p w14:paraId="206EF250"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Calibri"/>
                <w:sz w:val="20"/>
                <w:szCs w:val="20"/>
              </w:rPr>
              <w:t>-0.3396</w:t>
            </w:r>
          </w:p>
        </w:tc>
        <w:tc>
          <w:tcPr>
            <w:tcW w:w="992" w:type="dxa"/>
            <w:tcBorders>
              <w:top w:val="nil"/>
              <w:left w:val="nil"/>
              <w:right w:val="nil"/>
            </w:tcBorders>
            <w:shd w:val="clear" w:color="auto" w:fill="auto"/>
            <w:noWrap/>
            <w:vAlign w:val="center"/>
          </w:tcPr>
          <w:p w14:paraId="5B52A241" w14:textId="77777777" w:rsidR="000F396A" w:rsidRPr="0066682B" w:rsidRDefault="000F396A" w:rsidP="000F396A">
            <w:pPr>
              <w:spacing w:after="0" w:line="240" w:lineRule="auto"/>
              <w:ind w:right="27"/>
              <w:jc w:val="right"/>
              <w:rPr>
                <w:rFonts w:ascii="Cambria" w:eastAsia="Times New Roman" w:hAnsi="Cambria" w:cs="Calibri"/>
                <w:sz w:val="20"/>
                <w:szCs w:val="20"/>
                <w:lang w:val="en-US"/>
              </w:rPr>
            </w:pPr>
            <w:r w:rsidRPr="0066682B">
              <w:rPr>
                <w:rFonts w:ascii="Cambria" w:hAnsi="Cambria" w:cs="Arial"/>
                <w:sz w:val="20"/>
                <w:szCs w:val="20"/>
                <w:lang w:val="en-US"/>
              </w:rPr>
              <w:t> 0.9036</w:t>
            </w:r>
          </w:p>
        </w:tc>
        <w:tc>
          <w:tcPr>
            <w:tcW w:w="284" w:type="dxa"/>
            <w:tcBorders>
              <w:top w:val="nil"/>
              <w:left w:val="nil"/>
              <w:right w:val="nil"/>
            </w:tcBorders>
            <w:vAlign w:val="center"/>
          </w:tcPr>
          <w:p w14:paraId="0C27847D" w14:textId="77777777" w:rsidR="000F396A" w:rsidRPr="0066682B" w:rsidRDefault="000F396A" w:rsidP="000F396A">
            <w:pPr>
              <w:spacing w:after="0" w:line="240" w:lineRule="auto"/>
              <w:ind w:right="517"/>
              <w:jc w:val="right"/>
              <w:rPr>
                <w:rFonts w:ascii="Cambria" w:eastAsia="Times New Roman" w:hAnsi="Cambria" w:cs="Calibri"/>
                <w:sz w:val="20"/>
                <w:szCs w:val="20"/>
                <w:lang w:val="en-US"/>
              </w:rPr>
            </w:pPr>
          </w:p>
        </w:tc>
        <w:tc>
          <w:tcPr>
            <w:tcW w:w="992" w:type="dxa"/>
            <w:tcBorders>
              <w:top w:val="nil"/>
              <w:left w:val="nil"/>
              <w:right w:val="nil"/>
            </w:tcBorders>
            <w:shd w:val="clear" w:color="auto" w:fill="auto"/>
            <w:noWrap/>
            <w:vAlign w:val="center"/>
            <w:hideMark/>
          </w:tcPr>
          <w:p w14:paraId="63125FF6" w14:textId="77777777" w:rsidR="000F396A" w:rsidRPr="0066682B" w:rsidRDefault="000F396A" w:rsidP="000F396A">
            <w:pPr>
              <w:spacing w:after="0" w:line="240" w:lineRule="auto"/>
              <w:ind w:right="36"/>
              <w:jc w:val="right"/>
              <w:rPr>
                <w:rFonts w:ascii="Cambria" w:eastAsia="Times New Roman" w:hAnsi="Cambria" w:cs="Calibri"/>
                <w:sz w:val="20"/>
                <w:szCs w:val="20"/>
                <w:lang w:val="en-US"/>
              </w:rPr>
            </w:pPr>
            <w:r w:rsidRPr="0066682B">
              <w:rPr>
                <w:rFonts w:ascii="Cambria" w:hAnsi="Cambria" w:cs="Calibri"/>
                <w:sz w:val="20"/>
                <w:szCs w:val="20"/>
              </w:rPr>
              <w:t>-1.6787</w:t>
            </w:r>
          </w:p>
        </w:tc>
        <w:tc>
          <w:tcPr>
            <w:tcW w:w="992" w:type="dxa"/>
            <w:tcBorders>
              <w:top w:val="nil"/>
              <w:left w:val="nil"/>
              <w:right w:val="nil"/>
            </w:tcBorders>
            <w:vAlign w:val="center"/>
          </w:tcPr>
          <w:p w14:paraId="52F8552E"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Arial"/>
                <w:sz w:val="20"/>
                <w:szCs w:val="20"/>
                <w:lang w:val="en-US"/>
              </w:rPr>
              <w:t> 0.4254</w:t>
            </w:r>
          </w:p>
        </w:tc>
        <w:tc>
          <w:tcPr>
            <w:tcW w:w="992" w:type="dxa"/>
            <w:tcBorders>
              <w:top w:val="nil"/>
              <w:left w:val="nil"/>
              <w:right w:val="nil"/>
            </w:tcBorders>
            <w:shd w:val="clear" w:color="auto" w:fill="auto"/>
            <w:noWrap/>
            <w:vAlign w:val="center"/>
            <w:hideMark/>
          </w:tcPr>
          <w:p w14:paraId="1BE8A65F" w14:textId="77777777" w:rsidR="000F396A" w:rsidRPr="0066682B" w:rsidRDefault="000F396A" w:rsidP="000F396A">
            <w:pPr>
              <w:spacing w:after="0" w:line="240" w:lineRule="auto"/>
              <w:ind w:right="27"/>
              <w:jc w:val="right"/>
              <w:rPr>
                <w:rFonts w:ascii="Cambria" w:eastAsia="Times New Roman" w:hAnsi="Cambria" w:cs="Calibri"/>
                <w:sz w:val="20"/>
                <w:szCs w:val="20"/>
                <w:lang w:val="en-US"/>
              </w:rPr>
            </w:pPr>
            <w:r w:rsidRPr="0066682B">
              <w:rPr>
                <w:rFonts w:ascii="Cambria" w:hAnsi="Cambria" w:cs="Calibri"/>
                <w:sz w:val="20"/>
                <w:szCs w:val="20"/>
              </w:rPr>
              <w:t>-4.3766</w:t>
            </w:r>
          </w:p>
        </w:tc>
        <w:tc>
          <w:tcPr>
            <w:tcW w:w="992" w:type="dxa"/>
            <w:tcBorders>
              <w:top w:val="nil"/>
              <w:left w:val="nil"/>
              <w:right w:val="nil"/>
            </w:tcBorders>
            <w:vAlign w:val="center"/>
          </w:tcPr>
          <w:p w14:paraId="47434A20"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Arial"/>
                <w:sz w:val="20"/>
                <w:szCs w:val="20"/>
                <w:lang w:val="en-US"/>
              </w:rPr>
              <w:t> 0.0028</w:t>
            </w:r>
          </w:p>
        </w:tc>
      </w:tr>
      <w:tr w:rsidR="0066682B" w:rsidRPr="0066682B" w14:paraId="2A5DA02E" w14:textId="77777777" w:rsidTr="00F31EA9">
        <w:trPr>
          <w:trHeight w:val="293"/>
          <w:jc w:val="center"/>
        </w:trPr>
        <w:tc>
          <w:tcPr>
            <w:tcW w:w="1205" w:type="dxa"/>
            <w:tcBorders>
              <w:top w:val="nil"/>
              <w:left w:val="nil"/>
              <w:bottom w:val="single" w:sz="12" w:space="0" w:color="auto"/>
              <w:right w:val="nil"/>
            </w:tcBorders>
            <w:shd w:val="clear" w:color="auto" w:fill="auto"/>
            <w:noWrap/>
            <w:vAlign w:val="center"/>
            <w:hideMark/>
          </w:tcPr>
          <w:p w14:paraId="67B603CE" w14:textId="77777777" w:rsidR="000F396A" w:rsidRPr="0066682B" w:rsidRDefault="000F396A" w:rsidP="000F396A">
            <w:pPr>
              <w:spacing w:after="0" w:line="240" w:lineRule="auto"/>
              <w:rPr>
                <w:rFonts w:ascii="Cambria" w:eastAsia="Times New Roman" w:hAnsi="Cambria" w:cs="Calibri"/>
                <w:sz w:val="20"/>
                <w:szCs w:val="20"/>
                <w:lang w:val="en-US"/>
              </w:rPr>
            </w:pPr>
            <w:r w:rsidRPr="0066682B">
              <w:rPr>
                <w:rFonts w:ascii="Cambria" w:eastAsia="Times New Roman" w:hAnsi="Cambria" w:cs="Calibri"/>
                <w:sz w:val="20"/>
                <w:szCs w:val="20"/>
                <w:lang w:val="en-US"/>
              </w:rPr>
              <w:t>INF</w:t>
            </w:r>
          </w:p>
        </w:tc>
        <w:tc>
          <w:tcPr>
            <w:tcW w:w="1134" w:type="dxa"/>
            <w:tcBorders>
              <w:top w:val="nil"/>
              <w:left w:val="nil"/>
              <w:bottom w:val="single" w:sz="12" w:space="0" w:color="auto"/>
              <w:right w:val="nil"/>
            </w:tcBorders>
            <w:shd w:val="clear" w:color="auto" w:fill="auto"/>
            <w:noWrap/>
            <w:vAlign w:val="center"/>
            <w:hideMark/>
          </w:tcPr>
          <w:p w14:paraId="4CBCDA77" w14:textId="77777777" w:rsidR="000F396A" w:rsidRPr="0066682B" w:rsidRDefault="000F396A" w:rsidP="000F396A">
            <w:pPr>
              <w:spacing w:after="0" w:line="240" w:lineRule="auto"/>
              <w:ind w:right="34"/>
              <w:jc w:val="right"/>
              <w:rPr>
                <w:rFonts w:ascii="Cambria" w:eastAsia="Times New Roman" w:hAnsi="Cambria" w:cs="Calibri"/>
                <w:sz w:val="20"/>
                <w:szCs w:val="20"/>
                <w:lang w:val="en-US"/>
              </w:rPr>
            </w:pPr>
            <w:r w:rsidRPr="0066682B">
              <w:rPr>
                <w:rFonts w:ascii="Cambria" w:hAnsi="Cambria" w:cs="Calibri"/>
                <w:sz w:val="20"/>
                <w:szCs w:val="20"/>
              </w:rPr>
              <w:t>-1.9151</w:t>
            </w:r>
          </w:p>
        </w:tc>
        <w:tc>
          <w:tcPr>
            <w:tcW w:w="992" w:type="dxa"/>
            <w:gridSpan w:val="2"/>
            <w:tcBorders>
              <w:top w:val="nil"/>
              <w:left w:val="nil"/>
              <w:bottom w:val="single" w:sz="12" w:space="0" w:color="auto"/>
              <w:right w:val="nil"/>
            </w:tcBorders>
            <w:vAlign w:val="center"/>
          </w:tcPr>
          <w:p w14:paraId="0415DEE7"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Arial"/>
                <w:sz w:val="20"/>
                <w:szCs w:val="20"/>
                <w:lang w:val="en-US"/>
              </w:rPr>
              <w:t> 0.3197</w:t>
            </w:r>
          </w:p>
        </w:tc>
        <w:tc>
          <w:tcPr>
            <w:tcW w:w="992" w:type="dxa"/>
            <w:tcBorders>
              <w:top w:val="nil"/>
              <w:left w:val="nil"/>
              <w:bottom w:val="single" w:sz="12" w:space="0" w:color="auto"/>
              <w:right w:val="nil"/>
            </w:tcBorders>
            <w:vAlign w:val="center"/>
          </w:tcPr>
          <w:p w14:paraId="5614E4F6"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Calibri"/>
                <w:sz w:val="20"/>
                <w:szCs w:val="20"/>
              </w:rPr>
              <w:t>-1.6069</w:t>
            </w:r>
          </w:p>
        </w:tc>
        <w:tc>
          <w:tcPr>
            <w:tcW w:w="992" w:type="dxa"/>
            <w:tcBorders>
              <w:top w:val="nil"/>
              <w:left w:val="nil"/>
              <w:bottom w:val="single" w:sz="12" w:space="0" w:color="auto"/>
              <w:right w:val="nil"/>
            </w:tcBorders>
            <w:shd w:val="clear" w:color="auto" w:fill="auto"/>
            <w:noWrap/>
            <w:vAlign w:val="center"/>
          </w:tcPr>
          <w:p w14:paraId="7AA08F2D" w14:textId="77777777" w:rsidR="000F396A" w:rsidRPr="0066682B" w:rsidRDefault="000F396A" w:rsidP="000F396A">
            <w:pPr>
              <w:spacing w:after="0" w:line="240" w:lineRule="auto"/>
              <w:ind w:right="27"/>
              <w:jc w:val="right"/>
              <w:rPr>
                <w:rFonts w:ascii="Cambria" w:eastAsia="Times New Roman" w:hAnsi="Cambria" w:cs="Calibri"/>
                <w:sz w:val="20"/>
                <w:szCs w:val="20"/>
                <w:lang w:val="en-US"/>
              </w:rPr>
            </w:pPr>
            <w:r w:rsidRPr="0066682B">
              <w:rPr>
                <w:rFonts w:ascii="Cambria" w:hAnsi="Cambria" w:cs="Arial"/>
                <w:sz w:val="20"/>
                <w:szCs w:val="20"/>
                <w:lang w:val="en-US"/>
              </w:rPr>
              <w:t> 0.4625</w:t>
            </w:r>
          </w:p>
        </w:tc>
        <w:tc>
          <w:tcPr>
            <w:tcW w:w="284" w:type="dxa"/>
            <w:tcBorders>
              <w:top w:val="nil"/>
              <w:left w:val="nil"/>
              <w:bottom w:val="single" w:sz="12" w:space="0" w:color="auto"/>
              <w:right w:val="nil"/>
            </w:tcBorders>
            <w:vAlign w:val="center"/>
          </w:tcPr>
          <w:p w14:paraId="7CA19B11" w14:textId="77777777" w:rsidR="000F396A" w:rsidRPr="0066682B" w:rsidRDefault="000F396A" w:rsidP="000F396A">
            <w:pPr>
              <w:spacing w:after="0" w:line="240" w:lineRule="auto"/>
              <w:ind w:right="517"/>
              <w:jc w:val="right"/>
              <w:rPr>
                <w:rFonts w:ascii="Cambria" w:eastAsia="Times New Roman" w:hAnsi="Cambria" w:cs="Calibri"/>
                <w:sz w:val="20"/>
                <w:szCs w:val="20"/>
                <w:lang w:val="en-US"/>
              </w:rPr>
            </w:pPr>
          </w:p>
        </w:tc>
        <w:tc>
          <w:tcPr>
            <w:tcW w:w="992" w:type="dxa"/>
            <w:tcBorders>
              <w:top w:val="nil"/>
              <w:left w:val="nil"/>
              <w:bottom w:val="single" w:sz="12" w:space="0" w:color="auto"/>
              <w:right w:val="nil"/>
            </w:tcBorders>
            <w:shd w:val="clear" w:color="auto" w:fill="auto"/>
            <w:noWrap/>
            <w:vAlign w:val="center"/>
            <w:hideMark/>
          </w:tcPr>
          <w:p w14:paraId="5EC6E6C4" w14:textId="77777777" w:rsidR="000F396A" w:rsidRPr="0066682B" w:rsidRDefault="000F396A" w:rsidP="000F396A">
            <w:pPr>
              <w:spacing w:after="0" w:line="240" w:lineRule="auto"/>
              <w:ind w:right="36"/>
              <w:jc w:val="right"/>
              <w:rPr>
                <w:rFonts w:ascii="Cambria" w:eastAsia="Times New Roman" w:hAnsi="Cambria" w:cs="Calibri"/>
                <w:sz w:val="20"/>
                <w:szCs w:val="20"/>
                <w:lang w:val="en-US"/>
              </w:rPr>
            </w:pPr>
            <w:r w:rsidRPr="0066682B">
              <w:rPr>
                <w:rFonts w:ascii="Cambria" w:hAnsi="Cambria" w:cs="Calibri"/>
                <w:sz w:val="20"/>
                <w:szCs w:val="20"/>
              </w:rPr>
              <w:t>-5.9692</w:t>
            </w:r>
          </w:p>
        </w:tc>
        <w:tc>
          <w:tcPr>
            <w:tcW w:w="992" w:type="dxa"/>
            <w:tcBorders>
              <w:top w:val="nil"/>
              <w:left w:val="nil"/>
              <w:bottom w:val="single" w:sz="12" w:space="0" w:color="auto"/>
              <w:right w:val="nil"/>
            </w:tcBorders>
            <w:vAlign w:val="center"/>
          </w:tcPr>
          <w:p w14:paraId="0F8FD655"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Arial"/>
                <w:sz w:val="20"/>
                <w:szCs w:val="20"/>
                <w:lang w:val="en-US"/>
              </w:rPr>
              <w:t> 0.0001</w:t>
            </w:r>
          </w:p>
        </w:tc>
        <w:tc>
          <w:tcPr>
            <w:tcW w:w="992" w:type="dxa"/>
            <w:tcBorders>
              <w:top w:val="nil"/>
              <w:left w:val="nil"/>
              <w:bottom w:val="single" w:sz="12" w:space="0" w:color="auto"/>
              <w:right w:val="nil"/>
            </w:tcBorders>
            <w:shd w:val="clear" w:color="auto" w:fill="auto"/>
            <w:noWrap/>
            <w:vAlign w:val="center"/>
            <w:hideMark/>
          </w:tcPr>
          <w:p w14:paraId="1C1E284A" w14:textId="77777777" w:rsidR="000F396A" w:rsidRPr="0066682B" w:rsidRDefault="000F396A" w:rsidP="000F396A">
            <w:pPr>
              <w:spacing w:after="0" w:line="240" w:lineRule="auto"/>
              <w:ind w:right="27"/>
              <w:jc w:val="right"/>
              <w:rPr>
                <w:rFonts w:ascii="Cambria" w:eastAsia="Times New Roman" w:hAnsi="Cambria" w:cs="Calibri"/>
                <w:sz w:val="20"/>
                <w:szCs w:val="20"/>
                <w:lang w:val="en-US"/>
              </w:rPr>
            </w:pPr>
            <w:r w:rsidRPr="0066682B">
              <w:rPr>
                <w:rFonts w:ascii="Cambria" w:hAnsi="Cambria" w:cs="Calibri"/>
                <w:sz w:val="20"/>
                <w:szCs w:val="20"/>
              </w:rPr>
              <w:t>-5.9692</w:t>
            </w:r>
          </w:p>
        </w:tc>
        <w:tc>
          <w:tcPr>
            <w:tcW w:w="992" w:type="dxa"/>
            <w:tcBorders>
              <w:top w:val="nil"/>
              <w:left w:val="nil"/>
              <w:bottom w:val="single" w:sz="12" w:space="0" w:color="auto"/>
              <w:right w:val="nil"/>
            </w:tcBorders>
            <w:vAlign w:val="center"/>
          </w:tcPr>
          <w:p w14:paraId="4BFC5535" w14:textId="77777777" w:rsidR="000F396A" w:rsidRPr="0066682B" w:rsidRDefault="000F396A" w:rsidP="000F396A">
            <w:pPr>
              <w:spacing w:after="0" w:line="240" w:lineRule="auto"/>
              <w:ind w:right="27"/>
              <w:jc w:val="right"/>
              <w:rPr>
                <w:rFonts w:ascii="Cambria" w:hAnsi="Cambria" w:cs="Calibri"/>
                <w:sz w:val="20"/>
                <w:szCs w:val="20"/>
              </w:rPr>
            </w:pPr>
            <w:r w:rsidRPr="0066682B">
              <w:rPr>
                <w:rFonts w:ascii="Cambria" w:hAnsi="Cambria" w:cs="Arial"/>
                <w:sz w:val="20"/>
                <w:szCs w:val="20"/>
                <w:lang w:val="en-US"/>
              </w:rPr>
              <w:t> 0.0001</w:t>
            </w:r>
          </w:p>
        </w:tc>
      </w:tr>
    </w:tbl>
    <w:p w14:paraId="64D6DAF4" w14:textId="77777777" w:rsidR="00F31EA9" w:rsidRPr="0066682B" w:rsidRDefault="00F31EA9" w:rsidP="00F31EA9">
      <w:pPr>
        <w:pStyle w:val="ListParagraph"/>
        <w:spacing w:after="0" w:line="360" w:lineRule="auto"/>
        <w:ind w:left="0"/>
        <w:jc w:val="both"/>
        <w:rPr>
          <w:rFonts w:ascii="Cambria" w:hAnsi="Cambria" w:cs="Times New Roman"/>
          <w:sz w:val="20"/>
          <w:szCs w:val="20"/>
          <w:lang w:val="en-US"/>
        </w:rPr>
      </w:pPr>
      <w:r w:rsidRPr="0066682B">
        <w:rPr>
          <w:rFonts w:ascii="Cambria" w:hAnsi="Cambria" w:cs="Times New Roman"/>
          <w:sz w:val="20"/>
          <w:szCs w:val="20"/>
          <w:lang w:val="en-US"/>
        </w:rPr>
        <w:t>Note: Ln = logarithm natural</w:t>
      </w:r>
    </w:p>
    <w:p w14:paraId="219A9F1B" w14:textId="2FF89BBF" w:rsidR="00F31EA9" w:rsidRDefault="00F31EA9" w:rsidP="00F31EA9">
      <w:pPr>
        <w:pStyle w:val="ListParagraph"/>
        <w:spacing w:after="0" w:line="360" w:lineRule="auto"/>
        <w:ind w:left="0"/>
        <w:jc w:val="both"/>
        <w:rPr>
          <w:rFonts w:ascii="Cambria" w:hAnsi="Cambria" w:cs="Times New Roman"/>
          <w:sz w:val="24"/>
          <w:szCs w:val="24"/>
          <w:lang w:val="en-US"/>
        </w:rPr>
      </w:pPr>
    </w:p>
    <w:p w14:paraId="76BDD8C7" w14:textId="1C9E5CBF" w:rsidR="00576C66" w:rsidRDefault="00576C66" w:rsidP="00576C66">
      <w:pPr>
        <w:spacing w:after="0" w:line="240" w:lineRule="auto"/>
        <w:jc w:val="both"/>
        <w:rPr>
          <w:rFonts w:ascii="Cambria" w:hAnsi="Cambria" w:cs="Times New Roman"/>
          <w:b/>
          <w:lang w:val="en-US"/>
        </w:rPr>
      </w:pPr>
      <w:r>
        <w:rPr>
          <w:rFonts w:ascii="Cambria" w:hAnsi="Cambria" w:cs="Times New Roman"/>
          <w:b/>
          <w:lang w:val="en-US"/>
        </w:rPr>
        <w:t>Cointegration t</w:t>
      </w:r>
      <w:r w:rsidRPr="006336D0">
        <w:rPr>
          <w:rFonts w:ascii="Cambria" w:hAnsi="Cambria" w:cs="Times New Roman"/>
          <w:b/>
          <w:lang w:val="en-US"/>
        </w:rPr>
        <w:t>est</w:t>
      </w:r>
    </w:p>
    <w:p w14:paraId="2B8C4627" w14:textId="120227AE" w:rsidR="00FB5EDA" w:rsidRPr="00FB5EDA" w:rsidRDefault="00FB5EDA" w:rsidP="00FB5EDA">
      <w:pPr>
        <w:pStyle w:val="ListParagraph"/>
        <w:spacing w:after="0" w:line="240" w:lineRule="auto"/>
        <w:ind w:left="0" w:firstLine="426"/>
        <w:contextualSpacing w:val="0"/>
        <w:jc w:val="both"/>
        <w:rPr>
          <w:rFonts w:ascii="Cambria" w:hAnsi="Cambria" w:cs="Times New Roman"/>
          <w:lang w:val="en-US"/>
        </w:rPr>
      </w:pPr>
      <w:r w:rsidRPr="00FB5EDA">
        <w:rPr>
          <w:rFonts w:ascii="Cambria" w:hAnsi="Cambria" w:cs="Times New Roman"/>
          <w:lang w:val="en-US"/>
        </w:rPr>
        <w:t xml:space="preserve">After obtaining the results of the data stationarity test on the first difference, the next step is to identify whether there is consistency in the long-term relationship of the independent </w:t>
      </w:r>
      <w:r w:rsidR="00405B8D">
        <w:rPr>
          <w:rFonts w:ascii="Cambria" w:hAnsi="Cambria" w:cs="Times New Roman"/>
          <w:lang w:val="en-US"/>
        </w:rPr>
        <w:t>variables (</w:t>
      </w:r>
      <w:r w:rsidRPr="00FB5EDA">
        <w:rPr>
          <w:rFonts w:ascii="Cambria" w:hAnsi="Cambria" w:cs="Times New Roman"/>
          <w:lang w:val="en-US"/>
        </w:rPr>
        <w:t>MD, NPF, ER, BOPO, EG &amp; INF) to th</w:t>
      </w:r>
      <w:r w:rsidR="00790A16">
        <w:rPr>
          <w:rFonts w:ascii="Cambria" w:hAnsi="Cambria" w:cs="Times New Roman"/>
          <w:lang w:val="en-US"/>
        </w:rPr>
        <w:t>e dependent variable for profit-</w:t>
      </w:r>
      <w:r w:rsidR="00405B8D">
        <w:rPr>
          <w:rFonts w:ascii="Cambria" w:hAnsi="Cambria" w:cs="Times New Roman"/>
          <w:lang w:val="en-US"/>
        </w:rPr>
        <w:t>sharing growth (</w:t>
      </w:r>
      <w:r w:rsidRPr="00FB5EDA">
        <w:rPr>
          <w:rFonts w:ascii="Cambria" w:hAnsi="Cambria" w:cs="Times New Roman"/>
          <w:lang w:val="en-US"/>
        </w:rPr>
        <w:t xml:space="preserve">PSF). The results of the cointegration test were obtained from the unit root test of the regression model residuals estimated by the OLS method specified in equation (2). The estimation results of this regression model will later be used to explain the long-term relationship that occurs, after the cointegration test requirements are met. </w:t>
      </w:r>
      <w:r w:rsidRPr="00FB5EDA">
        <w:rPr>
          <w:rFonts w:ascii="Cambria" w:hAnsi="Cambria" w:cs="Times New Roman"/>
          <w:lang w:val="en-US"/>
        </w:rPr>
        <w:lastRenderedPageBreak/>
        <w:t>The estimation results of the OLS method are presented in Table 3, while the results of the cointegration test are presented in Table 4.</w:t>
      </w:r>
    </w:p>
    <w:p w14:paraId="255CBAC4" w14:textId="65EFA3B3" w:rsidR="00B1169B" w:rsidRDefault="00FB5EDA" w:rsidP="00B1169B">
      <w:pPr>
        <w:pStyle w:val="ListParagraph"/>
        <w:spacing w:after="0" w:line="240" w:lineRule="auto"/>
        <w:ind w:left="0" w:firstLine="426"/>
        <w:contextualSpacing w:val="0"/>
        <w:jc w:val="both"/>
        <w:rPr>
          <w:rFonts w:ascii="Cambria" w:hAnsi="Cambria" w:cs="Times New Roman"/>
          <w:lang w:val="en-US"/>
        </w:rPr>
      </w:pPr>
      <w:r w:rsidRPr="00FB5EDA">
        <w:rPr>
          <w:rFonts w:ascii="Cambria" w:hAnsi="Cambria" w:cs="Times New Roman"/>
          <w:lang w:val="en-US"/>
        </w:rPr>
        <w:t>The results of the cointegration tes</w:t>
      </w:r>
      <w:r w:rsidR="00790A16">
        <w:rPr>
          <w:rFonts w:ascii="Cambria" w:hAnsi="Cambria" w:cs="Times New Roman"/>
          <w:lang w:val="en-US"/>
        </w:rPr>
        <w:t>t using the Engel-Granger (EG) cointegration t</w:t>
      </w:r>
      <w:r w:rsidRPr="00FB5EDA">
        <w:rPr>
          <w:rFonts w:ascii="Cambria" w:hAnsi="Cambria" w:cs="Times New Roman"/>
          <w:lang w:val="en-US"/>
        </w:rPr>
        <w:t>est method with either ADF or PP show that the prob</w:t>
      </w:r>
      <w:r w:rsidR="00B1169B">
        <w:rPr>
          <w:rFonts w:ascii="Cambria" w:hAnsi="Cambria" w:cs="Times New Roman"/>
          <w:lang w:val="en-US"/>
        </w:rPr>
        <w:t>.</w:t>
      </w:r>
      <w:r w:rsidRPr="00FB5EDA">
        <w:rPr>
          <w:rFonts w:ascii="Cambria" w:hAnsi="Cambria" w:cs="Times New Roman"/>
          <w:lang w:val="en-US"/>
        </w:rPr>
        <w:t xml:space="preserve"> t-stat value is less than 0.01, which means that the residual </w:t>
      </w:r>
      <w:r w:rsidR="00790A16">
        <w:rPr>
          <w:rFonts w:ascii="Cambria" w:hAnsi="Cambria" w:cs="Times New Roman"/>
          <w:lang w:val="en-US"/>
        </w:rPr>
        <w:t xml:space="preserve">(EC) </w:t>
      </w:r>
      <w:r w:rsidRPr="00FB5EDA">
        <w:rPr>
          <w:rFonts w:ascii="Cambria" w:hAnsi="Cambria" w:cs="Times New Roman"/>
          <w:lang w:val="en-US"/>
        </w:rPr>
        <w:t xml:space="preserve">has been stationary at the level </w:t>
      </w:r>
      <w:r w:rsidR="00790A16">
        <w:rPr>
          <w:rFonts w:ascii="Cambria" w:hAnsi="Cambria" w:cs="Times New Roman"/>
          <w:lang w:val="en-US"/>
        </w:rPr>
        <w:t xml:space="preserve">data </w:t>
      </w:r>
      <w:r w:rsidRPr="00FB5EDA">
        <w:rPr>
          <w:rFonts w:ascii="Cambria" w:hAnsi="Cambria" w:cs="Times New Roman"/>
          <w:lang w:val="en-US"/>
        </w:rPr>
        <w:t>with α = 1%. This shows that there is cointegration between research variables in the long term or in other words there is a long-term balance between variables. The fluctuation of the relationship between the independent variable and the dependent variable in the short term will tend to adjust to achieve its long-term balance. This means that the OLS model estimation results in Table 3 can be used to explain the long-term balance function of the effect of the</w:t>
      </w:r>
      <w:r w:rsidR="00AF7F0F">
        <w:rPr>
          <w:rFonts w:ascii="Cambria" w:hAnsi="Cambria" w:cs="Times New Roman"/>
          <w:lang w:val="en-US"/>
        </w:rPr>
        <w:t xml:space="preserve"> independent variables (</w:t>
      </w:r>
      <w:r w:rsidRPr="00FB5EDA">
        <w:rPr>
          <w:rFonts w:ascii="Cambria" w:hAnsi="Cambria" w:cs="Times New Roman"/>
          <w:lang w:val="en-US"/>
        </w:rPr>
        <w:t xml:space="preserve">MD, NPF, ER, BOPO, EG &amp; INF) on the dependent variable for the </w:t>
      </w:r>
      <w:r w:rsidR="00AF7F0F">
        <w:rPr>
          <w:rFonts w:ascii="Cambria" w:hAnsi="Cambria" w:cs="Times New Roman"/>
          <w:lang w:val="en-US"/>
        </w:rPr>
        <w:t>profit-sharing financing (</w:t>
      </w:r>
      <w:r w:rsidRPr="00FB5EDA">
        <w:rPr>
          <w:rFonts w:ascii="Cambria" w:hAnsi="Cambria" w:cs="Times New Roman"/>
          <w:lang w:val="en-US"/>
        </w:rPr>
        <w:t>PSF).</w:t>
      </w:r>
    </w:p>
    <w:p w14:paraId="137F9E1C" w14:textId="2269F8BF" w:rsidR="00B1169B" w:rsidRPr="00B1169B" w:rsidRDefault="00B1169B" w:rsidP="00B1169B">
      <w:pPr>
        <w:pStyle w:val="ListParagraph"/>
        <w:spacing w:after="0" w:line="240" w:lineRule="auto"/>
        <w:ind w:left="0" w:firstLine="426"/>
        <w:contextualSpacing w:val="0"/>
        <w:jc w:val="both"/>
        <w:rPr>
          <w:rFonts w:ascii="Cambria" w:hAnsi="Cambria" w:cs="Times New Roman"/>
          <w:lang w:val="en-US"/>
        </w:rPr>
      </w:pPr>
      <w:r w:rsidRPr="00B1169B">
        <w:rPr>
          <w:rFonts w:ascii="Cambria" w:hAnsi="Cambria" w:cs="Times New Roman"/>
          <w:lang w:val="en-US"/>
        </w:rPr>
        <w:t>The long-term equilibrium model that is formed shows that the prob</w:t>
      </w:r>
      <w:r>
        <w:rPr>
          <w:rFonts w:ascii="Cambria" w:hAnsi="Cambria" w:cs="Times New Roman"/>
          <w:lang w:val="en-US"/>
        </w:rPr>
        <w:t>.</w:t>
      </w:r>
      <w:r w:rsidRPr="00B1169B">
        <w:rPr>
          <w:rFonts w:ascii="Cambria" w:hAnsi="Cambria" w:cs="Times New Roman"/>
          <w:lang w:val="en-US"/>
        </w:rPr>
        <w:t xml:space="preserve"> t-stat for the Ln_MD, ER and EG variables is smaller than 0.01, which means that in the long term the mudharabah deposits, equivalent rate and economic growth has a significant</w:t>
      </w:r>
      <w:r>
        <w:rPr>
          <w:rFonts w:ascii="Cambria" w:hAnsi="Cambria" w:cs="Times New Roman"/>
          <w:lang w:val="en-US"/>
        </w:rPr>
        <w:t xml:space="preserve"> effect on the profit-</w:t>
      </w:r>
      <w:r w:rsidRPr="00B1169B">
        <w:rPr>
          <w:rFonts w:ascii="Cambria" w:hAnsi="Cambria" w:cs="Times New Roman"/>
          <w:lang w:val="en-US"/>
        </w:rPr>
        <w:t>sharing financing (Ln_PSF) at α = 1%. The probability value of the BOPO variable t-stat is 0.0226 less than 0.05, meaning that in the long run, efficiency has a significant effect on the profit-sharing financing at α = 5%. Meanwhile, the prob</w:t>
      </w:r>
      <w:r>
        <w:rPr>
          <w:rFonts w:ascii="Cambria" w:hAnsi="Cambria" w:cs="Times New Roman"/>
          <w:lang w:val="en-US"/>
        </w:rPr>
        <w:t>.</w:t>
      </w:r>
      <w:r w:rsidRPr="00B1169B">
        <w:rPr>
          <w:rFonts w:ascii="Cambria" w:hAnsi="Cambria" w:cs="Times New Roman"/>
          <w:lang w:val="en-US"/>
        </w:rPr>
        <w:t xml:space="preserve"> t-stat variable NPF is 0.0502 less than 0.10, meaning that in the long term non-performing financing only has a significant effect on the profit sharing financing at α = 10%. INF is the only variable whose prob</w:t>
      </w:r>
      <w:r>
        <w:rPr>
          <w:rFonts w:ascii="Cambria" w:hAnsi="Cambria" w:cs="Times New Roman"/>
          <w:lang w:val="en-US"/>
        </w:rPr>
        <w:t>.</w:t>
      </w:r>
      <w:r w:rsidRPr="00B1169B">
        <w:rPr>
          <w:rFonts w:ascii="Cambria" w:hAnsi="Cambria" w:cs="Times New Roman"/>
          <w:lang w:val="en-US"/>
        </w:rPr>
        <w:t xml:space="preserve"> t-stat is greater than 0.1. This shows that inflation does not have a significant effect in the long run on the </w:t>
      </w:r>
      <w:r w:rsidR="00AF7F0F">
        <w:rPr>
          <w:rFonts w:ascii="Cambria" w:hAnsi="Cambria" w:cs="Times New Roman"/>
          <w:lang w:val="en-US"/>
        </w:rPr>
        <w:t>profit-</w:t>
      </w:r>
      <w:r w:rsidRPr="00B1169B">
        <w:rPr>
          <w:rFonts w:ascii="Cambria" w:hAnsi="Cambria" w:cs="Times New Roman"/>
          <w:lang w:val="en-US"/>
        </w:rPr>
        <w:t>sharing financing.</w:t>
      </w:r>
    </w:p>
    <w:p w14:paraId="35284924" w14:textId="6A410DC5" w:rsidR="00B1169B" w:rsidRDefault="00B1169B" w:rsidP="00B1169B">
      <w:pPr>
        <w:pStyle w:val="ListParagraph"/>
        <w:spacing w:after="0" w:line="240" w:lineRule="auto"/>
        <w:ind w:left="0" w:firstLine="426"/>
        <w:contextualSpacing w:val="0"/>
        <w:jc w:val="both"/>
        <w:rPr>
          <w:rFonts w:ascii="Cambria" w:hAnsi="Cambria" w:cs="Times New Roman"/>
          <w:lang w:val="en-US"/>
        </w:rPr>
      </w:pPr>
      <w:r w:rsidRPr="00B1169B">
        <w:rPr>
          <w:rFonts w:ascii="Cambria" w:hAnsi="Cambria" w:cs="Times New Roman"/>
          <w:lang w:val="en-US"/>
        </w:rPr>
        <w:t>Still based on Table 3, it can be seen that the value of the determination coefficient (R-Squared) is very high at 0.9946, meaning that the formed model is able to explain the effe</w:t>
      </w:r>
      <w:r w:rsidR="00AF7F0F">
        <w:rPr>
          <w:rFonts w:ascii="Cambria" w:hAnsi="Cambria" w:cs="Times New Roman"/>
          <w:lang w:val="en-US"/>
        </w:rPr>
        <w:t xml:space="preserve">ct of the long term variable </w:t>
      </w:r>
      <w:r w:rsidRPr="00B1169B">
        <w:rPr>
          <w:rFonts w:ascii="Cambria" w:hAnsi="Cambria" w:cs="Times New Roman"/>
          <w:lang w:val="en-US"/>
        </w:rPr>
        <w:t>MD, NPF,</w:t>
      </w:r>
      <w:r w:rsidR="00AF7F0F">
        <w:rPr>
          <w:rFonts w:ascii="Cambria" w:hAnsi="Cambria" w:cs="Times New Roman"/>
          <w:lang w:val="en-US"/>
        </w:rPr>
        <w:t xml:space="preserve"> ER, BOPO, EG and INF on the </w:t>
      </w:r>
      <w:r w:rsidRPr="00B1169B">
        <w:rPr>
          <w:rFonts w:ascii="Cambria" w:hAnsi="Cambria" w:cs="Times New Roman"/>
          <w:lang w:val="en-US"/>
        </w:rPr>
        <w:t>PSF variable up to 99.46% while the rest explained by other variables outside the model. This result is also reinforced by the prob</w:t>
      </w:r>
      <w:r>
        <w:rPr>
          <w:rFonts w:ascii="Cambria" w:hAnsi="Cambria" w:cs="Times New Roman"/>
          <w:lang w:val="en-US"/>
        </w:rPr>
        <w:t>.</w:t>
      </w:r>
      <w:r w:rsidRPr="00B1169B">
        <w:rPr>
          <w:rFonts w:ascii="Cambria" w:hAnsi="Cambria" w:cs="Times New Roman"/>
          <w:lang w:val="en-US"/>
        </w:rPr>
        <w:t xml:space="preserve"> F-stat which is less than 0.01 indicating that the model formed is suitable to be used to explain the effect of the independent variable on the dependent variable up to α = 1%. Meanwhile, the DW stat value is 1.9495 which is close to the value of 2 indicating that the model is free from autocorrelation. To further ensure that the model is free from autocorrelation, a complete classical assumption test will be carried out in the next section.</w:t>
      </w:r>
    </w:p>
    <w:p w14:paraId="020C0E4E" w14:textId="77777777" w:rsidR="002144ED" w:rsidRPr="00FB5EDA" w:rsidRDefault="002144ED" w:rsidP="00F31EA9">
      <w:pPr>
        <w:pStyle w:val="ListParagraph"/>
        <w:spacing w:after="0" w:line="360" w:lineRule="auto"/>
        <w:ind w:left="0"/>
        <w:jc w:val="both"/>
        <w:rPr>
          <w:rFonts w:ascii="Cambria" w:hAnsi="Cambria" w:cs="Times New Roman"/>
          <w:sz w:val="24"/>
          <w:szCs w:val="24"/>
          <w:lang w:val="en-US"/>
        </w:rPr>
      </w:pPr>
    </w:p>
    <w:p w14:paraId="43D687D4" w14:textId="3B2B7407" w:rsidR="00F31EA9" w:rsidRPr="0066682B" w:rsidRDefault="00F31EA9" w:rsidP="00F31EA9">
      <w:pPr>
        <w:pStyle w:val="ListParagraph"/>
        <w:spacing w:after="0" w:line="360" w:lineRule="auto"/>
        <w:ind w:left="0"/>
        <w:jc w:val="both"/>
        <w:rPr>
          <w:rFonts w:ascii="Cambria" w:hAnsi="Cambria" w:cs="Times New Roman"/>
          <w:sz w:val="20"/>
          <w:szCs w:val="20"/>
          <w:lang w:val="en-US"/>
        </w:rPr>
      </w:pPr>
      <w:r w:rsidRPr="0066682B">
        <w:rPr>
          <w:rFonts w:ascii="Cambria" w:hAnsi="Cambria" w:cs="Times New Roman"/>
          <w:b/>
          <w:sz w:val="20"/>
          <w:szCs w:val="20"/>
          <w:lang w:val="en-US"/>
        </w:rPr>
        <w:t>Table 3.</w:t>
      </w:r>
      <w:r w:rsidR="00B83016">
        <w:rPr>
          <w:rFonts w:ascii="Cambria" w:hAnsi="Cambria" w:cs="Times New Roman"/>
          <w:sz w:val="20"/>
          <w:szCs w:val="20"/>
          <w:lang w:val="en-US"/>
        </w:rPr>
        <w:t xml:space="preserve"> OLS e</w:t>
      </w:r>
      <w:r w:rsidRPr="0066682B">
        <w:rPr>
          <w:rFonts w:ascii="Cambria" w:hAnsi="Cambria" w:cs="Times New Roman"/>
          <w:sz w:val="20"/>
          <w:szCs w:val="20"/>
          <w:lang w:val="en-US"/>
        </w:rPr>
        <w:t xml:space="preserve">stimation </w:t>
      </w:r>
      <w:r w:rsidR="00B83016">
        <w:rPr>
          <w:rFonts w:ascii="Cambria" w:hAnsi="Cambria" w:cs="Times New Roman"/>
          <w:sz w:val="20"/>
          <w:szCs w:val="20"/>
          <w:lang w:val="en-US"/>
        </w:rPr>
        <w:t>r</w:t>
      </w:r>
      <w:r w:rsidRPr="0066682B">
        <w:rPr>
          <w:rFonts w:ascii="Cambria" w:hAnsi="Cambria" w:cs="Times New Roman"/>
          <w:sz w:val="20"/>
          <w:szCs w:val="20"/>
          <w:lang w:val="en-US"/>
        </w:rPr>
        <w:t>esult</w:t>
      </w:r>
    </w:p>
    <w:tbl>
      <w:tblPr>
        <w:tblW w:w="0" w:type="auto"/>
        <w:jc w:val="center"/>
        <w:tblLayout w:type="fixed"/>
        <w:tblCellMar>
          <w:left w:w="0" w:type="dxa"/>
          <w:right w:w="0" w:type="dxa"/>
        </w:tblCellMar>
        <w:tblLook w:val="0000" w:firstRow="0" w:lastRow="0" w:firstColumn="0" w:lastColumn="0" w:noHBand="0" w:noVBand="0"/>
      </w:tblPr>
      <w:tblGrid>
        <w:gridCol w:w="1945"/>
        <w:gridCol w:w="1984"/>
        <w:gridCol w:w="1985"/>
        <w:gridCol w:w="1778"/>
        <w:gridCol w:w="1866"/>
      </w:tblGrid>
      <w:tr w:rsidR="0066682B" w:rsidRPr="0066682B" w14:paraId="621A7C15" w14:textId="77777777" w:rsidTr="00F31EA9">
        <w:trPr>
          <w:trHeight w:val="350"/>
          <w:jc w:val="center"/>
        </w:trPr>
        <w:tc>
          <w:tcPr>
            <w:tcW w:w="1945" w:type="dxa"/>
            <w:tcBorders>
              <w:top w:val="single" w:sz="12" w:space="0" w:color="auto"/>
              <w:bottom w:val="single" w:sz="8" w:space="0" w:color="auto"/>
            </w:tcBorders>
            <w:vAlign w:val="center"/>
          </w:tcPr>
          <w:p w14:paraId="1825B2A0" w14:textId="77777777" w:rsidR="00F31EA9" w:rsidRPr="0066682B" w:rsidRDefault="00F31EA9" w:rsidP="00F31EA9">
            <w:pPr>
              <w:autoSpaceDE w:val="0"/>
              <w:autoSpaceDN w:val="0"/>
              <w:adjustRightInd w:val="0"/>
              <w:spacing w:after="0" w:line="240" w:lineRule="auto"/>
              <w:jc w:val="center"/>
              <w:rPr>
                <w:rFonts w:ascii="Cambria" w:hAnsi="Cambria" w:cs="Arial"/>
                <w:b/>
                <w:sz w:val="20"/>
                <w:szCs w:val="20"/>
                <w:lang w:val="en-US"/>
              </w:rPr>
            </w:pPr>
            <w:r w:rsidRPr="0066682B">
              <w:rPr>
                <w:rFonts w:ascii="Cambria" w:hAnsi="Cambria" w:cs="Arial"/>
                <w:b/>
                <w:sz w:val="20"/>
                <w:szCs w:val="20"/>
                <w:lang w:val="en-US"/>
              </w:rPr>
              <w:t>Variable</w:t>
            </w:r>
          </w:p>
        </w:tc>
        <w:tc>
          <w:tcPr>
            <w:tcW w:w="1984" w:type="dxa"/>
            <w:tcBorders>
              <w:top w:val="single" w:sz="12" w:space="0" w:color="auto"/>
              <w:bottom w:val="single" w:sz="8" w:space="0" w:color="auto"/>
            </w:tcBorders>
            <w:vAlign w:val="center"/>
          </w:tcPr>
          <w:p w14:paraId="79425919"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Coefficient</w:t>
            </w:r>
          </w:p>
        </w:tc>
        <w:tc>
          <w:tcPr>
            <w:tcW w:w="1985" w:type="dxa"/>
            <w:tcBorders>
              <w:top w:val="single" w:sz="12" w:space="0" w:color="auto"/>
              <w:bottom w:val="single" w:sz="8" w:space="0" w:color="auto"/>
            </w:tcBorders>
            <w:vAlign w:val="center"/>
          </w:tcPr>
          <w:p w14:paraId="0160FE09"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t-Statistic</w:t>
            </w:r>
          </w:p>
        </w:tc>
        <w:tc>
          <w:tcPr>
            <w:tcW w:w="1778" w:type="dxa"/>
            <w:tcBorders>
              <w:top w:val="single" w:sz="12" w:space="0" w:color="auto"/>
              <w:bottom w:val="single" w:sz="8" w:space="0" w:color="auto"/>
            </w:tcBorders>
            <w:vAlign w:val="center"/>
          </w:tcPr>
          <w:p w14:paraId="00FE4CC1"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Prob.</w:t>
            </w:r>
          </w:p>
        </w:tc>
        <w:tc>
          <w:tcPr>
            <w:tcW w:w="1866" w:type="dxa"/>
            <w:tcBorders>
              <w:top w:val="single" w:sz="12" w:space="0" w:color="auto"/>
              <w:bottom w:val="single" w:sz="8" w:space="0" w:color="auto"/>
            </w:tcBorders>
            <w:vAlign w:val="center"/>
          </w:tcPr>
          <w:p w14:paraId="36D34568"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Information</w:t>
            </w:r>
          </w:p>
        </w:tc>
      </w:tr>
      <w:tr w:rsidR="0066682B" w:rsidRPr="0066682B" w14:paraId="78F5AD7E" w14:textId="77777777" w:rsidTr="00F31EA9">
        <w:trPr>
          <w:trHeight w:val="245"/>
          <w:jc w:val="center"/>
        </w:trPr>
        <w:tc>
          <w:tcPr>
            <w:tcW w:w="1945" w:type="dxa"/>
            <w:tcBorders>
              <w:top w:val="single" w:sz="8" w:space="0" w:color="auto"/>
            </w:tcBorders>
            <w:vAlign w:val="center"/>
          </w:tcPr>
          <w:p w14:paraId="2D17264B" w14:textId="77777777" w:rsidR="00F31EA9" w:rsidRPr="0066682B" w:rsidRDefault="00F31EA9"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C</w:t>
            </w:r>
          </w:p>
        </w:tc>
        <w:tc>
          <w:tcPr>
            <w:tcW w:w="1984" w:type="dxa"/>
            <w:tcBorders>
              <w:top w:val="single" w:sz="8" w:space="0" w:color="auto"/>
            </w:tcBorders>
            <w:vAlign w:val="center"/>
          </w:tcPr>
          <w:p w14:paraId="6C24DDF7"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3.70671</w:t>
            </w:r>
          </w:p>
        </w:tc>
        <w:tc>
          <w:tcPr>
            <w:tcW w:w="1985" w:type="dxa"/>
            <w:tcBorders>
              <w:top w:val="single" w:sz="8" w:space="0" w:color="auto"/>
            </w:tcBorders>
            <w:vAlign w:val="center"/>
          </w:tcPr>
          <w:p w14:paraId="5D643AF3"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1.75770</w:t>
            </w:r>
          </w:p>
        </w:tc>
        <w:tc>
          <w:tcPr>
            <w:tcW w:w="1778" w:type="dxa"/>
            <w:tcBorders>
              <w:top w:val="single" w:sz="8" w:space="0" w:color="auto"/>
            </w:tcBorders>
            <w:vAlign w:val="center"/>
          </w:tcPr>
          <w:p w14:paraId="69365D9B"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0.0979</w:t>
            </w:r>
          </w:p>
        </w:tc>
        <w:tc>
          <w:tcPr>
            <w:tcW w:w="1866" w:type="dxa"/>
            <w:tcBorders>
              <w:top w:val="single" w:sz="8" w:space="0" w:color="auto"/>
            </w:tcBorders>
            <w:vAlign w:val="center"/>
          </w:tcPr>
          <w:p w14:paraId="65B201A3" w14:textId="77777777" w:rsidR="00F31EA9" w:rsidRPr="0066682B" w:rsidRDefault="00F31EA9" w:rsidP="00F31EA9">
            <w:pPr>
              <w:autoSpaceDE w:val="0"/>
              <w:autoSpaceDN w:val="0"/>
              <w:adjustRightInd w:val="0"/>
              <w:spacing w:after="0" w:line="240" w:lineRule="auto"/>
              <w:ind w:right="10"/>
              <w:rPr>
                <w:rFonts w:ascii="Cambria" w:hAnsi="Cambria" w:cs="Arial"/>
                <w:sz w:val="20"/>
                <w:szCs w:val="20"/>
                <w:lang w:val="en-US"/>
              </w:rPr>
            </w:pPr>
          </w:p>
        </w:tc>
      </w:tr>
      <w:tr w:rsidR="0066682B" w:rsidRPr="0066682B" w14:paraId="08980114" w14:textId="77777777" w:rsidTr="00F31EA9">
        <w:trPr>
          <w:trHeight w:val="245"/>
          <w:jc w:val="center"/>
        </w:trPr>
        <w:tc>
          <w:tcPr>
            <w:tcW w:w="1945" w:type="dxa"/>
            <w:vAlign w:val="center"/>
          </w:tcPr>
          <w:p w14:paraId="040DAE77" w14:textId="77777777" w:rsidR="00F31EA9" w:rsidRPr="0066682B" w:rsidRDefault="00F31EA9"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Ln_MD</w:t>
            </w:r>
          </w:p>
        </w:tc>
        <w:tc>
          <w:tcPr>
            <w:tcW w:w="1984" w:type="dxa"/>
            <w:vAlign w:val="center"/>
          </w:tcPr>
          <w:p w14:paraId="1BEAD018"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0.82724</w:t>
            </w:r>
          </w:p>
        </w:tc>
        <w:tc>
          <w:tcPr>
            <w:tcW w:w="1985" w:type="dxa"/>
            <w:vAlign w:val="center"/>
          </w:tcPr>
          <w:p w14:paraId="1A3DD96D"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5.57130</w:t>
            </w:r>
          </w:p>
        </w:tc>
        <w:tc>
          <w:tcPr>
            <w:tcW w:w="1778" w:type="dxa"/>
            <w:vAlign w:val="center"/>
          </w:tcPr>
          <w:p w14:paraId="51CAE09F"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0.0000</w:t>
            </w:r>
          </w:p>
        </w:tc>
        <w:tc>
          <w:tcPr>
            <w:tcW w:w="1866" w:type="dxa"/>
            <w:vAlign w:val="center"/>
          </w:tcPr>
          <w:p w14:paraId="6F180C2D" w14:textId="77777777" w:rsidR="00F31EA9" w:rsidRPr="0066682B" w:rsidRDefault="00F31EA9" w:rsidP="00F31EA9">
            <w:pPr>
              <w:autoSpaceDE w:val="0"/>
              <w:autoSpaceDN w:val="0"/>
              <w:adjustRightInd w:val="0"/>
              <w:spacing w:after="0" w:line="240" w:lineRule="auto"/>
              <w:ind w:left="213" w:right="10"/>
              <w:rPr>
                <w:rFonts w:ascii="Cambria" w:hAnsi="Cambria" w:cs="Arial"/>
                <w:sz w:val="20"/>
                <w:szCs w:val="20"/>
                <w:lang w:val="en-US"/>
              </w:rPr>
            </w:pPr>
            <w:r w:rsidRPr="0066682B">
              <w:rPr>
                <w:rFonts w:ascii="Cambria" w:hAnsi="Cambria" w:cs="Arial"/>
                <w:sz w:val="20"/>
                <w:szCs w:val="20"/>
                <w:lang w:val="en-US"/>
              </w:rPr>
              <w:t>Significant</w:t>
            </w:r>
          </w:p>
        </w:tc>
      </w:tr>
      <w:tr w:rsidR="0066682B" w:rsidRPr="0066682B" w14:paraId="01B2D136" w14:textId="77777777" w:rsidTr="00F31EA9">
        <w:trPr>
          <w:trHeight w:val="245"/>
          <w:jc w:val="center"/>
        </w:trPr>
        <w:tc>
          <w:tcPr>
            <w:tcW w:w="1945" w:type="dxa"/>
            <w:vAlign w:val="center"/>
          </w:tcPr>
          <w:p w14:paraId="27AB447A" w14:textId="77777777" w:rsidR="00F31EA9" w:rsidRPr="0066682B" w:rsidRDefault="00F31EA9"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NPF</w:t>
            </w:r>
          </w:p>
        </w:tc>
        <w:tc>
          <w:tcPr>
            <w:tcW w:w="1984" w:type="dxa"/>
            <w:vAlign w:val="center"/>
          </w:tcPr>
          <w:p w14:paraId="706EC047"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-0.04170</w:t>
            </w:r>
          </w:p>
        </w:tc>
        <w:tc>
          <w:tcPr>
            <w:tcW w:w="1985" w:type="dxa"/>
            <w:vAlign w:val="center"/>
          </w:tcPr>
          <w:p w14:paraId="63D35A54"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-2.11766</w:t>
            </w:r>
          </w:p>
        </w:tc>
        <w:tc>
          <w:tcPr>
            <w:tcW w:w="1778" w:type="dxa"/>
            <w:vAlign w:val="center"/>
          </w:tcPr>
          <w:p w14:paraId="3E3D3024"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0.0502</w:t>
            </w:r>
          </w:p>
        </w:tc>
        <w:tc>
          <w:tcPr>
            <w:tcW w:w="1866" w:type="dxa"/>
            <w:vAlign w:val="center"/>
          </w:tcPr>
          <w:p w14:paraId="4C6CB6EF" w14:textId="77777777" w:rsidR="00F31EA9" w:rsidRPr="0066682B" w:rsidRDefault="00F31EA9" w:rsidP="00F31EA9">
            <w:pPr>
              <w:autoSpaceDE w:val="0"/>
              <w:autoSpaceDN w:val="0"/>
              <w:adjustRightInd w:val="0"/>
              <w:spacing w:after="0" w:line="240" w:lineRule="auto"/>
              <w:ind w:left="213" w:right="10"/>
              <w:rPr>
                <w:rFonts w:ascii="Cambria" w:hAnsi="Cambria" w:cs="Arial"/>
                <w:sz w:val="20"/>
                <w:szCs w:val="20"/>
                <w:lang w:val="en-US"/>
              </w:rPr>
            </w:pPr>
            <w:r w:rsidRPr="0066682B">
              <w:rPr>
                <w:rFonts w:ascii="Cambria" w:hAnsi="Cambria" w:cs="Arial"/>
                <w:sz w:val="20"/>
                <w:szCs w:val="20"/>
                <w:lang w:val="en-US"/>
              </w:rPr>
              <w:t>Significant</w:t>
            </w:r>
          </w:p>
        </w:tc>
      </w:tr>
      <w:tr w:rsidR="0066682B" w:rsidRPr="0066682B" w14:paraId="1600CD99" w14:textId="77777777" w:rsidTr="00F31EA9">
        <w:trPr>
          <w:trHeight w:val="245"/>
          <w:jc w:val="center"/>
        </w:trPr>
        <w:tc>
          <w:tcPr>
            <w:tcW w:w="1945" w:type="dxa"/>
            <w:vAlign w:val="center"/>
          </w:tcPr>
          <w:p w14:paraId="1283093E" w14:textId="77F00326" w:rsidR="000F396A" w:rsidRPr="0066682B" w:rsidRDefault="000F396A" w:rsidP="000F396A">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ER</w:t>
            </w:r>
          </w:p>
        </w:tc>
        <w:tc>
          <w:tcPr>
            <w:tcW w:w="1984" w:type="dxa"/>
            <w:vAlign w:val="center"/>
          </w:tcPr>
          <w:p w14:paraId="480650C9" w14:textId="4DB5BEF7" w:rsidR="000F396A" w:rsidRPr="0066682B" w:rsidRDefault="000F396A" w:rsidP="000F396A">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-0.09696</w:t>
            </w:r>
          </w:p>
        </w:tc>
        <w:tc>
          <w:tcPr>
            <w:tcW w:w="1985" w:type="dxa"/>
            <w:vAlign w:val="center"/>
          </w:tcPr>
          <w:p w14:paraId="355610E0" w14:textId="506BF4CD" w:rsidR="000F396A" w:rsidRPr="0066682B" w:rsidRDefault="000F396A" w:rsidP="000F396A">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-4.90669</w:t>
            </w:r>
          </w:p>
        </w:tc>
        <w:tc>
          <w:tcPr>
            <w:tcW w:w="1778" w:type="dxa"/>
            <w:vAlign w:val="center"/>
          </w:tcPr>
          <w:p w14:paraId="41D243C2" w14:textId="589B4BF7" w:rsidR="000F396A" w:rsidRPr="0066682B" w:rsidRDefault="000F396A" w:rsidP="000F396A">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0.0002</w:t>
            </w:r>
          </w:p>
        </w:tc>
        <w:tc>
          <w:tcPr>
            <w:tcW w:w="1866" w:type="dxa"/>
            <w:vAlign w:val="center"/>
          </w:tcPr>
          <w:p w14:paraId="3A7E2FE9" w14:textId="58BE275C" w:rsidR="000F396A" w:rsidRPr="0066682B" w:rsidRDefault="000F396A" w:rsidP="000F396A">
            <w:pPr>
              <w:autoSpaceDE w:val="0"/>
              <w:autoSpaceDN w:val="0"/>
              <w:adjustRightInd w:val="0"/>
              <w:spacing w:after="0" w:line="240" w:lineRule="auto"/>
              <w:ind w:left="213" w:right="10"/>
              <w:rPr>
                <w:rFonts w:ascii="Cambria" w:hAnsi="Cambria" w:cs="Arial"/>
                <w:sz w:val="20"/>
                <w:szCs w:val="20"/>
                <w:lang w:val="en-US"/>
              </w:rPr>
            </w:pPr>
            <w:r w:rsidRPr="0066682B">
              <w:rPr>
                <w:rFonts w:ascii="Cambria" w:hAnsi="Cambria" w:cs="Arial"/>
                <w:sz w:val="20"/>
                <w:szCs w:val="20"/>
                <w:lang w:val="en-US"/>
              </w:rPr>
              <w:t>Significant</w:t>
            </w:r>
          </w:p>
        </w:tc>
      </w:tr>
      <w:tr w:rsidR="0066682B" w:rsidRPr="0066682B" w14:paraId="156680B5" w14:textId="77777777" w:rsidTr="00F31EA9">
        <w:trPr>
          <w:trHeight w:val="245"/>
          <w:jc w:val="center"/>
        </w:trPr>
        <w:tc>
          <w:tcPr>
            <w:tcW w:w="1945" w:type="dxa"/>
            <w:vAlign w:val="center"/>
          </w:tcPr>
          <w:p w14:paraId="4410A4B0" w14:textId="77777777" w:rsidR="00F31EA9" w:rsidRPr="0066682B" w:rsidRDefault="00F31EA9"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BOPO</w:t>
            </w:r>
          </w:p>
        </w:tc>
        <w:tc>
          <w:tcPr>
            <w:tcW w:w="1984" w:type="dxa"/>
            <w:vAlign w:val="center"/>
          </w:tcPr>
          <w:p w14:paraId="4D8AC3E3"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-0.01004</w:t>
            </w:r>
          </w:p>
        </w:tc>
        <w:tc>
          <w:tcPr>
            <w:tcW w:w="1985" w:type="dxa"/>
            <w:vAlign w:val="center"/>
          </w:tcPr>
          <w:p w14:paraId="5F89C50A"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-2.52412</w:t>
            </w:r>
          </w:p>
        </w:tc>
        <w:tc>
          <w:tcPr>
            <w:tcW w:w="1778" w:type="dxa"/>
            <w:vAlign w:val="center"/>
          </w:tcPr>
          <w:p w14:paraId="4358E7D9"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0.0226</w:t>
            </w:r>
          </w:p>
        </w:tc>
        <w:tc>
          <w:tcPr>
            <w:tcW w:w="1866" w:type="dxa"/>
            <w:vAlign w:val="center"/>
          </w:tcPr>
          <w:p w14:paraId="44C35A28" w14:textId="77777777" w:rsidR="00F31EA9" w:rsidRPr="0066682B" w:rsidRDefault="00F31EA9" w:rsidP="00F31EA9">
            <w:pPr>
              <w:autoSpaceDE w:val="0"/>
              <w:autoSpaceDN w:val="0"/>
              <w:adjustRightInd w:val="0"/>
              <w:spacing w:after="0" w:line="240" w:lineRule="auto"/>
              <w:ind w:left="213" w:right="10"/>
              <w:rPr>
                <w:rFonts w:ascii="Cambria" w:hAnsi="Cambria" w:cs="Arial"/>
                <w:sz w:val="20"/>
                <w:szCs w:val="20"/>
                <w:lang w:val="en-US"/>
              </w:rPr>
            </w:pPr>
            <w:r w:rsidRPr="0066682B">
              <w:rPr>
                <w:rFonts w:ascii="Cambria" w:hAnsi="Cambria" w:cs="Arial"/>
                <w:sz w:val="20"/>
                <w:szCs w:val="20"/>
                <w:lang w:val="en-US"/>
              </w:rPr>
              <w:t>Significant</w:t>
            </w:r>
          </w:p>
        </w:tc>
      </w:tr>
      <w:tr w:rsidR="0066682B" w:rsidRPr="0066682B" w14:paraId="2529E79A" w14:textId="77777777" w:rsidTr="00F31EA9">
        <w:trPr>
          <w:trHeight w:val="245"/>
          <w:jc w:val="center"/>
        </w:trPr>
        <w:tc>
          <w:tcPr>
            <w:tcW w:w="1945" w:type="dxa"/>
            <w:vAlign w:val="center"/>
          </w:tcPr>
          <w:p w14:paraId="186460DF" w14:textId="381F5F4A" w:rsidR="00F31EA9" w:rsidRPr="0066682B" w:rsidRDefault="00F31EA9"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E</w:t>
            </w:r>
            <w:r w:rsidR="000F396A" w:rsidRPr="0066682B">
              <w:rPr>
                <w:rFonts w:ascii="Cambria" w:hAnsi="Cambria" w:cs="Arial"/>
                <w:sz w:val="20"/>
                <w:szCs w:val="20"/>
                <w:lang w:val="en-US"/>
              </w:rPr>
              <w:t>G</w:t>
            </w:r>
          </w:p>
        </w:tc>
        <w:tc>
          <w:tcPr>
            <w:tcW w:w="1984" w:type="dxa"/>
            <w:vAlign w:val="center"/>
          </w:tcPr>
          <w:p w14:paraId="5DE4F891"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-0.01282</w:t>
            </w:r>
          </w:p>
        </w:tc>
        <w:tc>
          <w:tcPr>
            <w:tcW w:w="1985" w:type="dxa"/>
            <w:vAlign w:val="center"/>
          </w:tcPr>
          <w:p w14:paraId="3420BD4D"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-4.75671</w:t>
            </w:r>
          </w:p>
        </w:tc>
        <w:tc>
          <w:tcPr>
            <w:tcW w:w="1778" w:type="dxa"/>
            <w:vAlign w:val="center"/>
          </w:tcPr>
          <w:p w14:paraId="670AF8A7"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0.0002</w:t>
            </w:r>
          </w:p>
        </w:tc>
        <w:tc>
          <w:tcPr>
            <w:tcW w:w="1866" w:type="dxa"/>
            <w:vAlign w:val="center"/>
          </w:tcPr>
          <w:p w14:paraId="2AF21C06" w14:textId="77777777" w:rsidR="00F31EA9" w:rsidRPr="0066682B" w:rsidRDefault="00F31EA9" w:rsidP="00F31EA9">
            <w:pPr>
              <w:autoSpaceDE w:val="0"/>
              <w:autoSpaceDN w:val="0"/>
              <w:adjustRightInd w:val="0"/>
              <w:spacing w:after="0" w:line="240" w:lineRule="auto"/>
              <w:ind w:left="213" w:right="10"/>
              <w:rPr>
                <w:rFonts w:ascii="Cambria" w:hAnsi="Cambria" w:cs="Arial"/>
                <w:sz w:val="20"/>
                <w:szCs w:val="20"/>
                <w:lang w:val="en-US"/>
              </w:rPr>
            </w:pPr>
            <w:r w:rsidRPr="0066682B">
              <w:rPr>
                <w:rFonts w:ascii="Cambria" w:hAnsi="Cambria" w:cs="Arial"/>
                <w:sz w:val="20"/>
                <w:szCs w:val="20"/>
                <w:lang w:val="en-US"/>
              </w:rPr>
              <w:t>Significant</w:t>
            </w:r>
          </w:p>
        </w:tc>
      </w:tr>
      <w:tr w:rsidR="0066682B" w:rsidRPr="0066682B" w14:paraId="197FDBA0" w14:textId="77777777" w:rsidTr="00F31EA9">
        <w:trPr>
          <w:trHeight w:val="245"/>
          <w:jc w:val="center"/>
        </w:trPr>
        <w:tc>
          <w:tcPr>
            <w:tcW w:w="1945" w:type="dxa"/>
            <w:tcBorders>
              <w:bottom w:val="single" w:sz="8" w:space="0" w:color="auto"/>
            </w:tcBorders>
            <w:vAlign w:val="center"/>
          </w:tcPr>
          <w:p w14:paraId="53A6B51E" w14:textId="77777777" w:rsidR="00F31EA9" w:rsidRPr="0066682B" w:rsidRDefault="00F31EA9"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INF</w:t>
            </w:r>
          </w:p>
        </w:tc>
        <w:tc>
          <w:tcPr>
            <w:tcW w:w="1984" w:type="dxa"/>
            <w:tcBorders>
              <w:bottom w:val="single" w:sz="8" w:space="0" w:color="auto"/>
            </w:tcBorders>
            <w:vAlign w:val="center"/>
          </w:tcPr>
          <w:p w14:paraId="3D7F2640"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0.01273</w:t>
            </w:r>
          </w:p>
        </w:tc>
        <w:tc>
          <w:tcPr>
            <w:tcW w:w="1985" w:type="dxa"/>
            <w:tcBorders>
              <w:bottom w:val="single" w:sz="8" w:space="0" w:color="auto"/>
            </w:tcBorders>
            <w:vAlign w:val="center"/>
          </w:tcPr>
          <w:p w14:paraId="51EB43BC"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1.61763</w:t>
            </w:r>
          </w:p>
        </w:tc>
        <w:tc>
          <w:tcPr>
            <w:tcW w:w="1778" w:type="dxa"/>
            <w:tcBorders>
              <w:bottom w:val="single" w:sz="8" w:space="0" w:color="auto"/>
            </w:tcBorders>
            <w:vAlign w:val="center"/>
          </w:tcPr>
          <w:p w14:paraId="49925F02"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0.1253</w:t>
            </w:r>
          </w:p>
        </w:tc>
        <w:tc>
          <w:tcPr>
            <w:tcW w:w="1866" w:type="dxa"/>
            <w:tcBorders>
              <w:bottom w:val="single" w:sz="8" w:space="0" w:color="auto"/>
            </w:tcBorders>
            <w:vAlign w:val="center"/>
          </w:tcPr>
          <w:p w14:paraId="0F53B628" w14:textId="77777777" w:rsidR="00F31EA9" w:rsidRPr="0066682B" w:rsidRDefault="00F31EA9" w:rsidP="00F31EA9">
            <w:pPr>
              <w:autoSpaceDE w:val="0"/>
              <w:autoSpaceDN w:val="0"/>
              <w:adjustRightInd w:val="0"/>
              <w:spacing w:after="0" w:line="240" w:lineRule="auto"/>
              <w:ind w:left="213" w:right="10"/>
              <w:rPr>
                <w:rFonts w:ascii="Cambria" w:hAnsi="Cambria" w:cs="Arial"/>
                <w:sz w:val="20"/>
                <w:szCs w:val="20"/>
                <w:lang w:val="en-US"/>
              </w:rPr>
            </w:pPr>
            <w:r w:rsidRPr="0066682B">
              <w:rPr>
                <w:rFonts w:ascii="Cambria" w:hAnsi="Cambria" w:cs="Arial"/>
                <w:sz w:val="20"/>
                <w:szCs w:val="20"/>
                <w:lang w:val="en-US"/>
              </w:rPr>
              <w:t>Not Significant</w:t>
            </w:r>
          </w:p>
        </w:tc>
      </w:tr>
      <w:tr w:rsidR="0066682B" w:rsidRPr="0066682B" w14:paraId="37E0757F" w14:textId="77777777" w:rsidTr="00F31EA9">
        <w:trPr>
          <w:trHeight w:val="245"/>
          <w:jc w:val="center"/>
        </w:trPr>
        <w:tc>
          <w:tcPr>
            <w:tcW w:w="9558" w:type="dxa"/>
            <w:gridSpan w:val="5"/>
            <w:tcBorders>
              <w:top w:val="single" w:sz="8" w:space="0" w:color="auto"/>
            </w:tcBorders>
            <w:vAlign w:val="center"/>
          </w:tcPr>
          <w:p w14:paraId="59193A5A" w14:textId="77777777" w:rsidR="00F31EA9" w:rsidRPr="0066682B" w:rsidRDefault="00F31EA9" w:rsidP="00F31EA9">
            <w:pPr>
              <w:autoSpaceDE w:val="0"/>
              <w:autoSpaceDN w:val="0"/>
              <w:adjustRightInd w:val="0"/>
              <w:spacing w:after="0" w:line="240" w:lineRule="auto"/>
              <w:ind w:left="239" w:right="10"/>
              <w:rPr>
                <w:rFonts w:ascii="Cambria" w:hAnsi="Cambria" w:cs="Arial"/>
                <w:sz w:val="20"/>
                <w:szCs w:val="20"/>
                <w:lang w:val="en-US"/>
              </w:rPr>
            </w:pPr>
            <w:r w:rsidRPr="0066682B">
              <w:rPr>
                <w:rFonts w:ascii="Cambria" w:hAnsi="Cambria" w:cs="Arial"/>
                <w:sz w:val="20"/>
                <w:szCs w:val="20"/>
                <w:lang w:val="en-US"/>
              </w:rPr>
              <w:t>R-squared = 0.99461</w:t>
            </w:r>
          </w:p>
        </w:tc>
      </w:tr>
      <w:tr w:rsidR="0066682B" w:rsidRPr="0066682B" w14:paraId="13005487" w14:textId="77777777" w:rsidTr="00F31EA9">
        <w:trPr>
          <w:trHeight w:val="245"/>
          <w:jc w:val="center"/>
        </w:trPr>
        <w:tc>
          <w:tcPr>
            <w:tcW w:w="9558" w:type="dxa"/>
            <w:gridSpan w:val="5"/>
            <w:vAlign w:val="center"/>
          </w:tcPr>
          <w:p w14:paraId="39086B12" w14:textId="77777777" w:rsidR="00F31EA9" w:rsidRPr="0066682B" w:rsidRDefault="00F31EA9" w:rsidP="00F31EA9">
            <w:pPr>
              <w:autoSpaceDE w:val="0"/>
              <w:autoSpaceDN w:val="0"/>
              <w:adjustRightInd w:val="0"/>
              <w:spacing w:after="0" w:line="240" w:lineRule="auto"/>
              <w:ind w:left="239" w:right="10"/>
              <w:rPr>
                <w:rFonts w:ascii="Cambria" w:hAnsi="Cambria" w:cs="Arial"/>
                <w:sz w:val="20"/>
                <w:szCs w:val="20"/>
                <w:lang w:val="en-US"/>
              </w:rPr>
            </w:pPr>
            <w:r w:rsidRPr="0066682B">
              <w:rPr>
                <w:rFonts w:ascii="Cambria" w:hAnsi="Cambria" w:cs="Arial"/>
                <w:sz w:val="20"/>
                <w:szCs w:val="20"/>
                <w:lang w:val="en-US"/>
              </w:rPr>
              <w:t>F-statistic = 492.65540</w:t>
            </w:r>
          </w:p>
        </w:tc>
      </w:tr>
      <w:tr w:rsidR="0066682B" w:rsidRPr="0066682B" w14:paraId="30EA5062" w14:textId="77777777" w:rsidTr="00F31EA9">
        <w:trPr>
          <w:trHeight w:val="245"/>
          <w:jc w:val="center"/>
        </w:trPr>
        <w:tc>
          <w:tcPr>
            <w:tcW w:w="9558" w:type="dxa"/>
            <w:gridSpan w:val="5"/>
            <w:vAlign w:val="center"/>
          </w:tcPr>
          <w:p w14:paraId="0EB7815C" w14:textId="77777777" w:rsidR="00F31EA9" w:rsidRPr="0066682B" w:rsidRDefault="00F31EA9" w:rsidP="00F31EA9">
            <w:pPr>
              <w:autoSpaceDE w:val="0"/>
              <w:autoSpaceDN w:val="0"/>
              <w:adjustRightInd w:val="0"/>
              <w:spacing w:after="0" w:line="240" w:lineRule="auto"/>
              <w:ind w:left="239" w:right="10"/>
              <w:rPr>
                <w:rFonts w:ascii="Cambria" w:hAnsi="Cambria" w:cs="Arial"/>
                <w:sz w:val="20"/>
                <w:szCs w:val="20"/>
                <w:lang w:val="en-US"/>
              </w:rPr>
            </w:pPr>
            <w:r w:rsidRPr="0066682B">
              <w:rPr>
                <w:rFonts w:ascii="Cambria" w:hAnsi="Cambria" w:cs="Arial"/>
                <w:sz w:val="20"/>
                <w:szCs w:val="20"/>
                <w:lang w:val="en-US"/>
              </w:rPr>
              <w:t>Prob(F-statistic) = 0.00000</w:t>
            </w:r>
          </w:p>
        </w:tc>
      </w:tr>
      <w:tr w:rsidR="0066682B" w:rsidRPr="0066682B" w14:paraId="1DDF6859" w14:textId="77777777" w:rsidTr="00F31EA9">
        <w:trPr>
          <w:trHeight w:val="245"/>
          <w:jc w:val="center"/>
        </w:trPr>
        <w:tc>
          <w:tcPr>
            <w:tcW w:w="9558" w:type="dxa"/>
            <w:gridSpan w:val="5"/>
            <w:tcBorders>
              <w:bottom w:val="single" w:sz="8" w:space="0" w:color="auto"/>
            </w:tcBorders>
            <w:vAlign w:val="center"/>
          </w:tcPr>
          <w:p w14:paraId="281A8EA7" w14:textId="1BC4DD98" w:rsidR="00F31EA9" w:rsidRPr="0066682B" w:rsidRDefault="00F31EA9" w:rsidP="00F31EA9">
            <w:pPr>
              <w:autoSpaceDE w:val="0"/>
              <w:autoSpaceDN w:val="0"/>
              <w:adjustRightInd w:val="0"/>
              <w:spacing w:after="0" w:line="240" w:lineRule="auto"/>
              <w:ind w:left="239" w:right="10"/>
              <w:rPr>
                <w:rFonts w:ascii="Cambria" w:hAnsi="Cambria" w:cs="Arial"/>
                <w:sz w:val="20"/>
                <w:szCs w:val="20"/>
                <w:lang w:val="en-US"/>
              </w:rPr>
            </w:pPr>
            <w:r w:rsidRPr="0066682B">
              <w:rPr>
                <w:rFonts w:ascii="Cambria" w:hAnsi="Cambria" w:cs="Arial"/>
                <w:sz w:val="20"/>
                <w:szCs w:val="20"/>
                <w:lang w:val="en-US"/>
              </w:rPr>
              <w:t xml:space="preserve">Durbin-Watson </w:t>
            </w:r>
            <w:r w:rsidR="00FD6464">
              <w:rPr>
                <w:rFonts w:ascii="Cambria" w:hAnsi="Cambria" w:cs="Arial"/>
                <w:sz w:val="20"/>
                <w:szCs w:val="20"/>
                <w:lang w:val="en-US"/>
              </w:rPr>
              <w:t xml:space="preserve">(DW) </w:t>
            </w:r>
            <w:r w:rsidRPr="0066682B">
              <w:rPr>
                <w:rFonts w:ascii="Cambria" w:hAnsi="Cambria" w:cs="Arial"/>
                <w:sz w:val="20"/>
                <w:szCs w:val="20"/>
                <w:lang w:val="en-US"/>
              </w:rPr>
              <w:t>stat = 1.94950</w:t>
            </w:r>
          </w:p>
        </w:tc>
      </w:tr>
    </w:tbl>
    <w:p w14:paraId="1EB2E358" w14:textId="4DB9F2BC" w:rsidR="00F31EA9" w:rsidRPr="0066682B" w:rsidRDefault="00F31EA9" w:rsidP="00F31EA9">
      <w:pPr>
        <w:pStyle w:val="ListParagraph"/>
        <w:spacing w:after="0" w:line="360" w:lineRule="auto"/>
        <w:ind w:left="0"/>
        <w:jc w:val="both"/>
        <w:rPr>
          <w:rFonts w:ascii="Cambria" w:hAnsi="Cambria" w:cs="Times New Roman"/>
          <w:b/>
          <w:sz w:val="20"/>
          <w:szCs w:val="20"/>
          <w:lang w:val="en-US"/>
        </w:rPr>
      </w:pPr>
    </w:p>
    <w:p w14:paraId="4FC8659C" w14:textId="1F5B46DB" w:rsidR="00F31EA9" w:rsidRPr="0066682B" w:rsidRDefault="00F31EA9" w:rsidP="00F31EA9">
      <w:pPr>
        <w:pStyle w:val="ListParagraph"/>
        <w:spacing w:after="0" w:line="360" w:lineRule="auto"/>
        <w:ind w:left="0"/>
        <w:jc w:val="both"/>
        <w:rPr>
          <w:rFonts w:ascii="Cambria" w:hAnsi="Cambria" w:cs="Times New Roman"/>
          <w:sz w:val="20"/>
          <w:szCs w:val="20"/>
          <w:lang w:val="en-US"/>
        </w:rPr>
      </w:pPr>
      <w:r w:rsidRPr="0066682B">
        <w:rPr>
          <w:rFonts w:ascii="Cambria" w:hAnsi="Cambria" w:cs="Times New Roman"/>
          <w:b/>
          <w:sz w:val="20"/>
          <w:szCs w:val="20"/>
          <w:lang w:val="en-US"/>
        </w:rPr>
        <w:t>Table 4.</w:t>
      </w:r>
      <w:r w:rsidR="00B83016">
        <w:rPr>
          <w:rFonts w:ascii="Cambria" w:hAnsi="Cambria" w:cs="Times New Roman"/>
          <w:sz w:val="20"/>
          <w:szCs w:val="20"/>
          <w:lang w:val="en-US"/>
        </w:rPr>
        <w:t xml:space="preserve"> Cointegration test result: Unit root test r</w:t>
      </w:r>
      <w:r w:rsidRPr="0066682B">
        <w:rPr>
          <w:rFonts w:ascii="Cambria" w:hAnsi="Cambria" w:cs="Times New Roman"/>
          <w:sz w:val="20"/>
          <w:szCs w:val="20"/>
          <w:lang w:val="en-US"/>
        </w:rPr>
        <w:t>esidual</w:t>
      </w:r>
      <w:r w:rsidR="000F396A" w:rsidRPr="0066682B">
        <w:rPr>
          <w:rFonts w:ascii="Cambria" w:hAnsi="Cambria" w:cs="Times New Roman"/>
          <w:sz w:val="20"/>
          <w:szCs w:val="20"/>
          <w:lang w:val="en-US"/>
        </w:rPr>
        <w:t xml:space="preserve"> (EC)</w:t>
      </w:r>
    </w:p>
    <w:tbl>
      <w:tblPr>
        <w:tblW w:w="9735" w:type="dxa"/>
        <w:jc w:val="center"/>
        <w:tblLayout w:type="fixed"/>
        <w:tblCellMar>
          <w:left w:w="0" w:type="dxa"/>
          <w:right w:w="0" w:type="dxa"/>
        </w:tblCellMar>
        <w:tblLook w:val="0000" w:firstRow="0" w:lastRow="0" w:firstColumn="0" w:lastColumn="0" w:noHBand="0" w:noVBand="0"/>
      </w:tblPr>
      <w:tblGrid>
        <w:gridCol w:w="2176"/>
        <w:gridCol w:w="1701"/>
        <w:gridCol w:w="1701"/>
        <w:gridCol w:w="567"/>
        <w:gridCol w:w="1795"/>
        <w:gridCol w:w="1795"/>
      </w:tblGrid>
      <w:tr w:rsidR="0066682B" w:rsidRPr="0066682B" w14:paraId="6B44599A" w14:textId="77777777" w:rsidTr="00F31EA9">
        <w:trPr>
          <w:trHeight w:val="245"/>
          <w:jc w:val="center"/>
        </w:trPr>
        <w:tc>
          <w:tcPr>
            <w:tcW w:w="2176" w:type="dxa"/>
            <w:vMerge w:val="restart"/>
            <w:tcBorders>
              <w:top w:val="single" w:sz="12" w:space="0" w:color="auto"/>
            </w:tcBorders>
            <w:vAlign w:val="center"/>
          </w:tcPr>
          <w:p w14:paraId="55EEE5D1" w14:textId="77777777" w:rsidR="00F31EA9" w:rsidRPr="0066682B" w:rsidRDefault="00F31EA9" w:rsidP="00F31EA9">
            <w:pPr>
              <w:autoSpaceDE w:val="0"/>
              <w:autoSpaceDN w:val="0"/>
              <w:adjustRightInd w:val="0"/>
              <w:spacing w:after="0" w:line="240" w:lineRule="auto"/>
              <w:jc w:val="center"/>
              <w:rPr>
                <w:rFonts w:ascii="Cambria" w:hAnsi="Cambria" w:cs="Arial"/>
                <w:b/>
                <w:sz w:val="20"/>
                <w:szCs w:val="20"/>
                <w:lang w:val="en-US"/>
              </w:rPr>
            </w:pPr>
            <w:r w:rsidRPr="0066682B">
              <w:rPr>
                <w:rFonts w:ascii="Cambria" w:hAnsi="Cambria" w:cs="Arial"/>
                <w:b/>
                <w:sz w:val="20"/>
                <w:szCs w:val="20"/>
                <w:lang w:val="en-US"/>
              </w:rPr>
              <w:t>Variable</w:t>
            </w:r>
          </w:p>
        </w:tc>
        <w:tc>
          <w:tcPr>
            <w:tcW w:w="3402" w:type="dxa"/>
            <w:gridSpan w:val="2"/>
            <w:tcBorders>
              <w:top w:val="single" w:sz="12" w:space="0" w:color="auto"/>
              <w:bottom w:val="single" w:sz="8" w:space="0" w:color="auto"/>
            </w:tcBorders>
            <w:vAlign w:val="center"/>
          </w:tcPr>
          <w:p w14:paraId="48F35C17"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ADF</w:t>
            </w:r>
          </w:p>
        </w:tc>
        <w:tc>
          <w:tcPr>
            <w:tcW w:w="567" w:type="dxa"/>
            <w:tcBorders>
              <w:top w:val="single" w:sz="12" w:space="0" w:color="auto"/>
            </w:tcBorders>
            <w:vAlign w:val="center"/>
          </w:tcPr>
          <w:p w14:paraId="3B20BE0A"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p>
        </w:tc>
        <w:tc>
          <w:tcPr>
            <w:tcW w:w="3590" w:type="dxa"/>
            <w:gridSpan w:val="2"/>
            <w:tcBorders>
              <w:top w:val="single" w:sz="12" w:space="0" w:color="auto"/>
              <w:bottom w:val="single" w:sz="8" w:space="0" w:color="auto"/>
            </w:tcBorders>
            <w:vAlign w:val="center"/>
          </w:tcPr>
          <w:p w14:paraId="72275DBF"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PP</w:t>
            </w:r>
          </w:p>
        </w:tc>
      </w:tr>
      <w:tr w:rsidR="0066682B" w:rsidRPr="0066682B" w14:paraId="5C8F453B" w14:textId="77777777" w:rsidTr="00F31EA9">
        <w:trPr>
          <w:trHeight w:val="245"/>
          <w:jc w:val="center"/>
        </w:trPr>
        <w:tc>
          <w:tcPr>
            <w:tcW w:w="2176" w:type="dxa"/>
            <w:vMerge/>
            <w:tcBorders>
              <w:bottom w:val="single" w:sz="8" w:space="0" w:color="auto"/>
            </w:tcBorders>
            <w:vAlign w:val="center"/>
          </w:tcPr>
          <w:p w14:paraId="382E5478" w14:textId="77777777" w:rsidR="00F31EA9" w:rsidRPr="0066682B" w:rsidRDefault="00F31EA9" w:rsidP="00F31EA9">
            <w:pPr>
              <w:autoSpaceDE w:val="0"/>
              <w:autoSpaceDN w:val="0"/>
              <w:adjustRightInd w:val="0"/>
              <w:spacing w:after="0" w:line="240" w:lineRule="auto"/>
              <w:jc w:val="center"/>
              <w:rPr>
                <w:rFonts w:ascii="Cambria" w:hAnsi="Cambria" w:cs="Arial"/>
                <w:b/>
                <w:sz w:val="20"/>
                <w:szCs w:val="20"/>
                <w:lang w:val="en-US"/>
              </w:rPr>
            </w:pPr>
          </w:p>
        </w:tc>
        <w:tc>
          <w:tcPr>
            <w:tcW w:w="1701" w:type="dxa"/>
            <w:tcBorders>
              <w:top w:val="single" w:sz="8" w:space="0" w:color="auto"/>
              <w:bottom w:val="single" w:sz="8" w:space="0" w:color="auto"/>
            </w:tcBorders>
            <w:vAlign w:val="center"/>
          </w:tcPr>
          <w:p w14:paraId="646B4C3E"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t-Statistic</w:t>
            </w:r>
          </w:p>
        </w:tc>
        <w:tc>
          <w:tcPr>
            <w:tcW w:w="1701" w:type="dxa"/>
            <w:tcBorders>
              <w:top w:val="single" w:sz="8" w:space="0" w:color="auto"/>
              <w:bottom w:val="single" w:sz="8" w:space="0" w:color="auto"/>
            </w:tcBorders>
            <w:vAlign w:val="center"/>
          </w:tcPr>
          <w:p w14:paraId="0358DFC3"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Prob.</w:t>
            </w:r>
          </w:p>
        </w:tc>
        <w:tc>
          <w:tcPr>
            <w:tcW w:w="567" w:type="dxa"/>
            <w:tcBorders>
              <w:bottom w:val="single" w:sz="8" w:space="0" w:color="auto"/>
            </w:tcBorders>
            <w:vAlign w:val="center"/>
          </w:tcPr>
          <w:p w14:paraId="038CEB46"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p>
        </w:tc>
        <w:tc>
          <w:tcPr>
            <w:tcW w:w="1795" w:type="dxa"/>
            <w:tcBorders>
              <w:top w:val="single" w:sz="8" w:space="0" w:color="auto"/>
              <w:bottom w:val="single" w:sz="8" w:space="0" w:color="auto"/>
            </w:tcBorders>
            <w:vAlign w:val="center"/>
          </w:tcPr>
          <w:p w14:paraId="502A8F15"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t-Statistic</w:t>
            </w:r>
          </w:p>
        </w:tc>
        <w:tc>
          <w:tcPr>
            <w:tcW w:w="1795" w:type="dxa"/>
            <w:tcBorders>
              <w:top w:val="single" w:sz="8" w:space="0" w:color="auto"/>
              <w:bottom w:val="single" w:sz="8" w:space="0" w:color="auto"/>
            </w:tcBorders>
            <w:vAlign w:val="center"/>
          </w:tcPr>
          <w:p w14:paraId="0BBFEA61"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Prob.</w:t>
            </w:r>
          </w:p>
        </w:tc>
      </w:tr>
      <w:tr w:rsidR="0066682B" w:rsidRPr="0066682B" w14:paraId="2F6E4375" w14:textId="77777777" w:rsidTr="00F31EA9">
        <w:trPr>
          <w:trHeight w:val="245"/>
          <w:jc w:val="center"/>
        </w:trPr>
        <w:tc>
          <w:tcPr>
            <w:tcW w:w="2176" w:type="dxa"/>
            <w:tcBorders>
              <w:top w:val="single" w:sz="8" w:space="0" w:color="auto"/>
              <w:bottom w:val="single" w:sz="12" w:space="0" w:color="auto"/>
            </w:tcBorders>
            <w:vAlign w:val="center"/>
          </w:tcPr>
          <w:p w14:paraId="7F5FD8E6" w14:textId="5FB4B3D0" w:rsidR="00F31EA9" w:rsidRPr="0066682B" w:rsidRDefault="000F396A"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EC</w:t>
            </w:r>
            <w:r w:rsidR="00F31EA9" w:rsidRPr="0066682B">
              <w:rPr>
                <w:rFonts w:ascii="Cambria" w:hAnsi="Cambria" w:cs="Arial"/>
                <w:sz w:val="20"/>
                <w:szCs w:val="20"/>
                <w:lang w:val="en-US"/>
              </w:rPr>
              <w:t xml:space="preserve"> OLS</w:t>
            </w:r>
          </w:p>
        </w:tc>
        <w:tc>
          <w:tcPr>
            <w:tcW w:w="1701" w:type="dxa"/>
            <w:tcBorders>
              <w:top w:val="single" w:sz="8" w:space="0" w:color="auto"/>
              <w:bottom w:val="single" w:sz="12" w:space="0" w:color="auto"/>
            </w:tcBorders>
            <w:vAlign w:val="center"/>
          </w:tcPr>
          <w:p w14:paraId="1B10E20C" w14:textId="77777777" w:rsidR="00F31EA9" w:rsidRPr="0066682B" w:rsidRDefault="00F31EA9" w:rsidP="00F31EA9">
            <w:pPr>
              <w:autoSpaceDE w:val="0"/>
              <w:autoSpaceDN w:val="0"/>
              <w:adjustRightInd w:val="0"/>
              <w:spacing w:after="0" w:line="240" w:lineRule="auto"/>
              <w:ind w:right="-3"/>
              <w:jc w:val="center"/>
              <w:rPr>
                <w:rFonts w:ascii="Cambria" w:hAnsi="Cambria" w:cs="Arial"/>
                <w:sz w:val="20"/>
                <w:szCs w:val="20"/>
                <w:lang w:val="en-US"/>
              </w:rPr>
            </w:pPr>
            <w:r w:rsidRPr="0066682B">
              <w:rPr>
                <w:rFonts w:ascii="Cambria" w:hAnsi="Cambria" w:cs="Arial"/>
                <w:sz w:val="20"/>
                <w:szCs w:val="20"/>
                <w:lang w:val="en-US"/>
              </w:rPr>
              <w:t>-4.58498</w:t>
            </w:r>
          </w:p>
        </w:tc>
        <w:tc>
          <w:tcPr>
            <w:tcW w:w="1701" w:type="dxa"/>
            <w:tcBorders>
              <w:top w:val="single" w:sz="8" w:space="0" w:color="auto"/>
              <w:bottom w:val="single" w:sz="12" w:space="0" w:color="auto"/>
            </w:tcBorders>
            <w:vAlign w:val="center"/>
          </w:tcPr>
          <w:p w14:paraId="71BCAED0"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0.0016</w:t>
            </w:r>
          </w:p>
        </w:tc>
        <w:tc>
          <w:tcPr>
            <w:tcW w:w="567" w:type="dxa"/>
            <w:tcBorders>
              <w:top w:val="single" w:sz="8" w:space="0" w:color="auto"/>
              <w:bottom w:val="single" w:sz="12" w:space="0" w:color="auto"/>
            </w:tcBorders>
            <w:vAlign w:val="center"/>
          </w:tcPr>
          <w:p w14:paraId="6E8B5433"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p>
        </w:tc>
        <w:tc>
          <w:tcPr>
            <w:tcW w:w="1795" w:type="dxa"/>
            <w:tcBorders>
              <w:top w:val="single" w:sz="8" w:space="0" w:color="auto"/>
              <w:bottom w:val="single" w:sz="12" w:space="0" w:color="auto"/>
            </w:tcBorders>
            <w:vAlign w:val="center"/>
          </w:tcPr>
          <w:p w14:paraId="722A256E"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-4.58498</w:t>
            </w:r>
          </w:p>
        </w:tc>
        <w:tc>
          <w:tcPr>
            <w:tcW w:w="1795" w:type="dxa"/>
            <w:tcBorders>
              <w:top w:val="single" w:sz="8" w:space="0" w:color="auto"/>
              <w:bottom w:val="single" w:sz="12" w:space="0" w:color="auto"/>
            </w:tcBorders>
            <w:vAlign w:val="center"/>
          </w:tcPr>
          <w:p w14:paraId="55EAE55F"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0.0016</w:t>
            </w:r>
          </w:p>
        </w:tc>
      </w:tr>
    </w:tbl>
    <w:p w14:paraId="341EA018" w14:textId="22B334BF" w:rsidR="00F31EA9" w:rsidRDefault="00F31EA9" w:rsidP="00F31EA9">
      <w:pPr>
        <w:pStyle w:val="ListParagraph"/>
        <w:spacing w:after="0" w:line="360" w:lineRule="auto"/>
        <w:ind w:left="0"/>
        <w:jc w:val="both"/>
        <w:rPr>
          <w:rFonts w:ascii="Cambria" w:hAnsi="Cambria" w:cs="Arial"/>
          <w:sz w:val="18"/>
          <w:szCs w:val="18"/>
          <w:lang w:val="en-US"/>
        </w:rPr>
      </w:pPr>
    </w:p>
    <w:p w14:paraId="075EB689" w14:textId="6ACBE57A" w:rsidR="00576C66" w:rsidRPr="0066682B" w:rsidRDefault="00576C66" w:rsidP="00576C66">
      <w:pPr>
        <w:spacing w:after="0" w:line="240" w:lineRule="auto"/>
        <w:jc w:val="both"/>
        <w:rPr>
          <w:rFonts w:ascii="Cambria" w:hAnsi="Cambria" w:cs="Times New Roman"/>
          <w:b/>
          <w:lang w:val="en-US"/>
        </w:rPr>
      </w:pPr>
      <w:r>
        <w:rPr>
          <w:rFonts w:ascii="Cambria" w:hAnsi="Cambria" w:cs="Times New Roman"/>
          <w:b/>
          <w:lang w:val="en-US"/>
        </w:rPr>
        <w:t>Estimation ECM model</w:t>
      </w:r>
    </w:p>
    <w:p w14:paraId="61507F9B" w14:textId="5C91690B" w:rsidR="00F271E1" w:rsidRPr="00B83016" w:rsidRDefault="00F271E1" w:rsidP="002144ED">
      <w:pPr>
        <w:pStyle w:val="ListParagraph"/>
        <w:spacing w:after="0" w:line="240" w:lineRule="auto"/>
        <w:ind w:left="0" w:firstLine="426"/>
        <w:contextualSpacing w:val="0"/>
        <w:jc w:val="both"/>
        <w:rPr>
          <w:rFonts w:ascii="Cambria" w:hAnsi="Cambria" w:cs="Times New Roman"/>
          <w:lang w:val="en-US"/>
        </w:rPr>
      </w:pPr>
      <w:r w:rsidRPr="00B83016">
        <w:rPr>
          <w:rFonts w:ascii="Cambria" w:hAnsi="Cambria" w:cs="Times New Roman"/>
          <w:lang w:val="en-US"/>
        </w:rPr>
        <w:t>Based on the results of the stationarity test and cointegration test, the ECM is formed using the residual of the OLS model as the error correction (EC) variable. The estimation results of the ECM model as shown in Table 5 show a large coefficient of determination (R-squared = 0.68558), meaning that the ability of the independent variable to explain its effect on the dependent variable is 68.56%. The F-test result indicated by the F-stat probability of 0.009 indicates that the ECM can be used to explain the short-</w:t>
      </w:r>
      <w:r w:rsidRPr="00B83016">
        <w:rPr>
          <w:rFonts w:ascii="Cambria" w:hAnsi="Cambria" w:cs="Times New Roman"/>
          <w:lang w:val="en-US"/>
        </w:rPr>
        <w:lastRenderedPageBreak/>
        <w:t>term effect of the independent variable on the dependent variable. The DW stat value is close to the value of 2, as an early indicator of the freedom of the model from autocorrelation symptoms.</w:t>
      </w:r>
    </w:p>
    <w:p w14:paraId="5177A86E" w14:textId="01047988" w:rsidR="00F271E1" w:rsidRPr="00B83016" w:rsidRDefault="00F271E1" w:rsidP="002144ED">
      <w:pPr>
        <w:pStyle w:val="ListParagraph"/>
        <w:spacing w:after="0" w:line="240" w:lineRule="auto"/>
        <w:ind w:left="0" w:firstLine="426"/>
        <w:contextualSpacing w:val="0"/>
        <w:jc w:val="both"/>
        <w:rPr>
          <w:rFonts w:ascii="Cambria" w:hAnsi="Cambria" w:cs="Times New Roman"/>
          <w:lang w:val="en-US"/>
        </w:rPr>
      </w:pPr>
      <w:r w:rsidRPr="00B83016">
        <w:rPr>
          <w:rFonts w:ascii="Cambria" w:hAnsi="Cambria" w:cs="Times New Roman"/>
          <w:lang w:val="en-US"/>
        </w:rPr>
        <w:t xml:space="preserve">The error correction model used in this study is the Engel-Granger (EG) two-step model. The EG version of the error correction model is said to be valid if coefficient of error correction (EC) is negative and is declared statistically significant </w:t>
      </w:r>
      <w:r w:rsidR="00B83016">
        <w:rPr>
          <w:rFonts w:ascii="Cambria" w:hAnsi="Cambria" w:cs="Times New Roman"/>
          <w:lang w:val="en-US"/>
        </w:rPr>
        <w:fldChar w:fldCharType="begin"/>
      </w:r>
      <w:r w:rsidR="00B83016">
        <w:rPr>
          <w:rFonts w:ascii="Cambria" w:hAnsi="Cambria" w:cs="Times New Roman"/>
          <w:lang w:val="en-US"/>
        </w:rPr>
        <w:instrText xml:space="preserve"> ADDIN ZOTERO_ITEM CSL_CITATION {"citationID":"QbRe1UPl","properties":{"formattedCitation":"(Engle &amp; Granger, 1987)","plainCitation":"(Engle &amp; Granger, 1987)","noteIndex":0},"citationItems":[{"id":3143,"uris":["http://zotero.org/groups/2238283/items/2MRHMB9X"],"uri":["http://zotero.org/groups/2238283/items/2MRHMB9X"],"itemData":{"id":3143,"type":"article-journal","abstract":"The relationship between co-integration and error correction models, first suggested in Granger (1981), is here extended and used to develop estimation procedures, tests, and empirical examples. If each element of a vector of time series x&lt;sub&gt;t&lt;/sub&gt; first achieves stationarity after differencing, but a linear combination &lt;tex-math&gt;$\\alpha ^{\\prime }x_{t}$&lt;/tex-math&gt; is already stationary, the time series x&lt;sub&gt;t&lt;/sub&gt; are said to be co-integrated with co-integrating vector α. There may be several such co-integrating vectors so that α becomes a matrix. Interpreting &lt;tex-math&gt;$\\alpha ^{\\prime }x_{t}=0$&lt;/tex-math&gt; as a long run equilibrium, co-integration implies that deviations from equilibrium are stationary, with finite variance, even though the series themselves are nonstationary and have infinite variance. The paper presents a representation theorem based on Granger (1983), which connects the moving average, autoregressive, and error correction representations for co-integrated systems. A vector autoregression in differenced variables is incompatible with these representations. Estimation of these models is discussed and a simple but asymptotically efficient two-step estimator is proposed. Testing for co-integration combines the problems of unit root tests and tests with parameters unidentified under the null. Seven statistics are formulated and analyzed. The critical values of these statistics are calculated based on a Monte Carlo simulation. Using these critical values, the power properties of the tests are examined and one test procedure is recommended for application. In a series of examples it is found that consumption and income are co-integrated, wages and prices are not, short and long interest rates are, and nominal GNP is co-integrated with M2, but not M1, M3, or aggregate liquid assets.","container-title":"Econometrica","DOI":"10.2307/1913236","ISSN":"0012-9682","issue":"2","note":"publisher: [Wiley, Econometric Society]","page":"251-276","source":"JSTOR","title":"Co-Integration and Error Correction: Representation, Estimation, and Testing","title-short":"Co-Integration and Error Correction","volume":"55","author":[{"family":"Engle","given":"Robert F."},{"family":"Granger","given":"C. W. J."}],"issued":{"date-parts":[["1987"]]}}}],"schema":"https://github.com/citation-style-language/schema/raw/master/csl-citation.json"} </w:instrText>
      </w:r>
      <w:r w:rsidR="00B83016">
        <w:rPr>
          <w:rFonts w:ascii="Cambria" w:hAnsi="Cambria" w:cs="Times New Roman"/>
          <w:lang w:val="en-US"/>
        </w:rPr>
        <w:fldChar w:fldCharType="separate"/>
      </w:r>
      <w:r w:rsidR="00B83016" w:rsidRPr="00B83016">
        <w:rPr>
          <w:rFonts w:ascii="Cambria" w:hAnsi="Cambria"/>
        </w:rPr>
        <w:t>(Engle &amp; Granger, 1987)</w:t>
      </w:r>
      <w:r w:rsidR="00B83016">
        <w:rPr>
          <w:rFonts w:ascii="Cambria" w:hAnsi="Cambria" w:cs="Times New Roman"/>
          <w:lang w:val="en-US"/>
        </w:rPr>
        <w:fldChar w:fldCharType="end"/>
      </w:r>
      <w:r w:rsidRPr="00B83016">
        <w:rPr>
          <w:rFonts w:ascii="Cambria" w:hAnsi="Cambria" w:cs="Times New Roman"/>
          <w:lang w:val="en-US"/>
        </w:rPr>
        <w:t xml:space="preserve">. Based on the ECM estimation results in Table 5, </w:t>
      </w:r>
      <w:r w:rsidR="00B83016" w:rsidRPr="00B83016">
        <w:rPr>
          <w:rFonts w:ascii="Cambria" w:hAnsi="Cambria" w:cs="Times New Roman"/>
          <w:lang w:val="en-US"/>
        </w:rPr>
        <w:t xml:space="preserve">coefficient of </w:t>
      </w:r>
      <w:r w:rsidRPr="00B83016">
        <w:rPr>
          <w:rFonts w:ascii="Cambria" w:hAnsi="Cambria" w:cs="Times New Roman"/>
          <w:lang w:val="en-US"/>
        </w:rPr>
        <w:t>error correction (EC) is -0.8734 with a prob t-stat of 0.0098 (less than 0.01), which means that the EC coefficient is negative and significant at α = 1%. These results validate the use of EG's two-step ECM in explaining the short-term and long-term relationships that occur between the variable mudharabah deposits, non-performing financing, equivalent rate, efficiency, economic growth and inflation with profit sharing financing.</w:t>
      </w:r>
    </w:p>
    <w:p w14:paraId="4FFB54E8" w14:textId="77777777" w:rsidR="002144ED" w:rsidRPr="0066682B" w:rsidRDefault="002144ED" w:rsidP="00F31EA9">
      <w:pPr>
        <w:pStyle w:val="ListParagraph"/>
        <w:spacing w:after="0" w:line="360" w:lineRule="auto"/>
        <w:ind w:left="0"/>
        <w:jc w:val="both"/>
        <w:rPr>
          <w:rFonts w:ascii="Cambria" w:hAnsi="Cambria" w:cs="Times New Roman"/>
          <w:b/>
          <w:sz w:val="20"/>
          <w:szCs w:val="20"/>
          <w:lang w:val="en-US"/>
        </w:rPr>
      </w:pPr>
    </w:p>
    <w:p w14:paraId="15F0823A" w14:textId="78A8D6BA" w:rsidR="00F31EA9" w:rsidRPr="0066682B" w:rsidRDefault="00F31EA9" w:rsidP="00F31EA9">
      <w:pPr>
        <w:pStyle w:val="ListParagraph"/>
        <w:spacing w:after="0" w:line="360" w:lineRule="auto"/>
        <w:ind w:left="0"/>
        <w:jc w:val="both"/>
        <w:rPr>
          <w:rFonts w:ascii="Cambria" w:hAnsi="Cambria" w:cs="Times New Roman"/>
          <w:sz w:val="20"/>
          <w:szCs w:val="20"/>
          <w:lang w:val="en-US"/>
        </w:rPr>
      </w:pPr>
      <w:r w:rsidRPr="0066682B">
        <w:rPr>
          <w:rFonts w:ascii="Cambria" w:hAnsi="Cambria" w:cs="Times New Roman"/>
          <w:b/>
          <w:sz w:val="20"/>
          <w:szCs w:val="20"/>
          <w:lang w:val="en-US"/>
        </w:rPr>
        <w:t>Table 5.</w:t>
      </w:r>
      <w:r w:rsidR="00B83016">
        <w:rPr>
          <w:rFonts w:ascii="Cambria" w:hAnsi="Cambria" w:cs="Times New Roman"/>
          <w:sz w:val="20"/>
          <w:szCs w:val="20"/>
          <w:lang w:val="en-US"/>
        </w:rPr>
        <w:t xml:space="preserve"> ECM e</w:t>
      </w:r>
      <w:r w:rsidRPr="0066682B">
        <w:rPr>
          <w:rFonts w:ascii="Cambria" w:hAnsi="Cambria" w:cs="Times New Roman"/>
          <w:sz w:val="20"/>
          <w:szCs w:val="20"/>
          <w:lang w:val="en-US"/>
        </w:rPr>
        <w:t xml:space="preserve">stimation </w:t>
      </w:r>
      <w:r w:rsidR="00B83016">
        <w:rPr>
          <w:rFonts w:ascii="Cambria" w:hAnsi="Cambria" w:cs="Times New Roman"/>
          <w:sz w:val="20"/>
          <w:szCs w:val="20"/>
          <w:lang w:val="en-US"/>
        </w:rPr>
        <w:t>r</w:t>
      </w:r>
      <w:r w:rsidRPr="0066682B">
        <w:rPr>
          <w:rFonts w:ascii="Cambria" w:hAnsi="Cambria" w:cs="Times New Roman"/>
          <w:sz w:val="20"/>
          <w:szCs w:val="20"/>
          <w:lang w:val="en-US"/>
        </w:rPr>
        <w:t>esult</w:t>
      </w:r>
    </w:p>
    <w:tbl>
      <w:tblPr>
        <w:tblW w:w="0" w:type="auto"/>
        <w:jc w:val="center"/>
        <w:tblLayout w:type="fixed"/>
        <w:tblCellMar>
          <w:left w:w="0" w:type="dxa"/>
          <w:right w:w="0" w:type="dxa"/>
        </w:tblCellMar>
        <w:tblLook w:val="0000" w:firstRow="0" w:lastRow="0" w:firstColumn="0" w:lastColumn="0" w:noHBand="0" w:noVBand="0"/>
      </w:tblPr>
      <w:tblGrid>
        <w:gridCol w:w="1945"/>
        <w:gridCol w:w="1984"/>
        <w:gridCol w:w="1985"/>
        <w:gridCol w:w="1778"/>
        <w:gridCol w:w="1866"/>
      </w:tblGrid>
      <w:tr w:rsidR="0066682B" w:rsidRPr="0066682B" w14:paraId="1004E68B" w14:textId="77777777" w:rsidTr="00F31EA9">
        <w:trPr>
          <w:trHeight w:val="290"/>
          <w:jc w:val="center"/>
        </w:trPr>
        <w:tc>
          <w:tcPr>
            <w:tcW w:w="1945" w:type="dxa"/>
            <w:tcBorders>
              <w:top w:val="single" w:sz="12" w:space="0" w:color="auto"/>
              <w:bottom w:val="single" w:sz="8" w:space="0" w:color="auto"/>
            </w:tcBorders>
            <w:vAlign w:val="center"/>
          </w:tcPr>
          <w:p w14:paraId="46C0A5D0" w14:textId="77777777" w:rsidR="00F31EA9" w:rsidRPr="0066682B" w:rsidRDefault="00F31EA9" w:rsidP="00F31EA9">
            <w:pPr>
              <w:autoSpaceDE w:val="0"/>
              <w:autoSpaceDN w:val="0"/>
              <w:adjustRightInd w:val="0"/>
              <w:spacing w:after="0" w:line="240" w:lineRule="auto"/>
              <w:jc w:val="center"/>
              <w:rPr>
                <w:rFonts w:ascii="Cambria" w:hAnsi="Cambria" w:cs="Arial"/>
                <w:b/>
                <w:sz w:val="20"/>
                <w:szCs w:val="20"/>
                <w:lang w:val="en-US"/>
              </w:rPr>
            </w:pPr>
            <w:r w:rsidRPr="0066682B">
              <w:rPr>
                <w:rFonts w:ascii="Cambria" w:hAnsi="Cambria" w:cs="Arial"/>
                <w:b/>
                <w:sz w:val="20"/>
                <w:szCs w:val="20"/>
                <w:lang w:val="en-US"/>
              </w:rPr>
              <w:t>Variable</w:t>
            </w:r>
          </w:p>
        </w:tc>
        <w:tc>
          <w:tcPr>
            <w:tcW w:w="1984" w:type="dxa"/>
            <w:tcBorders>
              <w:top w:val="single" w:sz="12" w:space="0" w:color="auto"/>
              <w:bottom w:val="single" w:sz="8" w:space="0" w:color="auto"/>
            </w:tcBorders>
            <w:vAlign w:val="center"/>
          </w:tcPr>
          <w:p w14:paraId="67A605FC"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Coefficient</w:t>
            </w:r>
          </w:p>
        </w:tc>
        <w:tc>
          <w:tcPr>
            <w:tcW w:w="1985" w:type="dxa"/>
            <w:tcBorders>
              <w:top w:val="single" w:sz="12" w:space="0" w:color="auto"/>
              <w:bottom w:val="single" w:sz="8" w:space="0" w:color="auto"/>
            </w:tcBorders>
            <w:vAlign w:val="center"/>
          </w:tcPr>
          <w:p w14:paraId="67408430"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t-Statistic</w:t>
            </w:r>
          </w:p>
        </w:tc>
        <w:tc>
          <w:tcPr>
            <w:tcW w:w="1778" w:type="dxa"/>
            <w:tcBorders>
              <w:top w:val="single" w:sz="12" w:space="0" w:color="auto"/>
              <w:bottom w:val="single" w:sz="8" w:space="0" w:color="auto"/>
            </w:tcBorders>
            <w:vAlign w:val="center"/>
          </w:tcPr>
          <w:p w14:paraId="311C1801"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Prob.</w:t>
            </w:r>
          </w:p>
        </w:tc>
        <w:tc>
          <w:tcPr>
            <w:tcW w:w="1866" w:type="dxa"/>
            <w:tcBorders>
              <w:top w:val="single" w:sz="12" w:space="0" w:color="auto"/>
              <w:bottom w:val="single" w:sz="8" w:space="0" w:color="auto"/>
            </w:tcBorders>
            <w:vAlign w:val="center"/>
          </w:tcPr>
          <w:p w14:paraId="1DD1ADCA" w14:textId="77777777" w:rsidR="00F31EA9" w:rsidRPr="0066682B" w:rsidRDefault="00F31EA9" w:rsidP="00F31EA9">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Information</w:t>
            </w:r>
          </w:p>
        </w:tc>
      </w:tr>
      <w:tr w:rsidR="0066682B" w:rsidRPr="0066682B" w14:paraId="3079715D" w14:textId="77777777" w:rsidTr="00F31EA9">
        <w:trPr>
          <w:trHeight w:val="245"/>
          <w:jc w:val="center"/>
        </w:trPr>
        <w:tc>
          <w:tcPr>
            <w:tcW w:w="1945" w:type="dxa"/>
            <w:tcBorders>
              <w:top w:val="single" w:sz="8" w:space="0" w:color="auto"/>
            </w:tcBorders>
            <w:vAlign w:val="center"/>
          </w:tcPr>
          <w:p w14:paraId="270D12E7" w14:textId="77777777" w:rsidR="00F31EA9" w:rsidRPr="0066682B" w:rsidRDefault="00F31EA9"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C</w:t>
            </w:r>
          </w:p>
        </w:tc>
        <w:tc>
          <w:tcPr>
            <w:tcW w:w="1984" w:type="dxa"/>
            <w:tcBorders>
              <w:top w:val="single" w:sz="8" w:space="0" w:color="auto"/>
            </w:tcBorders>
            <w:vAlign w:val="center"/>
          </w:tcPr>
          <w:p w14:paraId="3B9AE86F"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0.025095</w:t>
            </w:r>
          </w:p>
        </w:tc>
        <w:tc>
          <w:tcPr>
            <w:tcW w:w="1985" w:type="dxa"/>
            <w:tcBorders>
              <w:top w:val="single" w:sz="8" w:space="0" w:color="auto"/>
            </w:tcBorders>
            <w:vAlign w:val="center"/>
          </w:tcPr>
          <w:p w14:paraId="40D3ACDC"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2.608363</w:t>
            </w:r>
          </w:p>
        </w:tc>
        <w:tc>
          <w:tcPr>
            <w:tcW w:w="1778" w:type="dxa"/>
            <w:tcBorders>
              <w:top w:val="single" w:sz="8" w:space="0" w:color="auto"/>
            </w:tcBorders>
            <w:vAlign w:val="center"/>
          </w:tcPr>
          <w:p w14:paraId="139B5927"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0.0206</w:t>
            </w:r>
          </w:p>
        </w:tc>
        <w:tc>
          <w:tcPr>
            <w:tcW w:w="1866" w:type="dxa"/>
            <w:tcBorders>
              <w:top w:val="single" w:sz="8" w:space="0" w:color="auto"/>
            </w:tcBorders>
            <w:vAlign w:val="center"/>
          </w:tcPr>
          <w:p w14:paraId="49B7EFDB" w14:textId="77777777" w:rsidR="00F31EA9" w:rsidRPr="0066682B" w:rsidRDefault="00F31EA9" w:rsidP="00F31EA9">
            <w:pPr>
              <w:autoSpaceDE w:val="0"/>
              <w:autoSpaceDN w:val="0"/>
              <w:adjustRightInd w:val="0"/>
              <w:spacing w:after="0" w:line="240" w:lineRule="auto"/>
              <w:ind w:right="10"/>
              <w:rPr>
                <w:rFonts w:ascii="Cambria" w:hAnsi="Cambria" w:cs="Arial"/>
                <w:sz w:val="20"/>
                <w:szCs w:val="20"/>
                <w:lang w:val="en-US"/>
              </w:rPr>
            </w:pPr>
          </w:p>
        </w:tc>
      </w:tr>
      <w:tr w:rsidR="0066682B" w:rsidRPr="0066682B" w14:paraId="45D658FC" w14:textId="77777777" w:rsidTr="00F31EA9">
        <w:trPr>
          <w:trHeight w:val="245"/>
          <w:jc w:val="center"/>
        </w:trPr>
        <w:tc>
          <w:tcPr>
            <w:tcW w:w="1945" w:type="dxa"/>
            <w:vAlign w:val="center"/>
          </w:tcPr>
          <w:p w14:paraId="3DFEB73B" w14:textId="77777777" w:rsidR="00F31EA9" w:rsidRPr="0066682B" w:rsidRDefault="00F31EA9"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D(Ln_MD)</w:t>
            </w:r>
          </w:p>
        </w:tc>
        <w:tc>
          <w:tcPr>
            <w:tcW w:w="1984" w:type="dxa"/>
            <w:vAlign w:val="center"/>
          </w:tcPr>
          <w:p w14:paraId="6FC81FFB"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0.411632</w:t>
            </w:r>
          </w:p>
        </w:tc>
        <w:tc>
          <w:tcPr>
            <w:tcW w:w="1985" w:type="dxa"/>
            <w:vAlign w:val="center"/>
          </w:tcPr>
          <w:p w14:paraId="6B7FE04F"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2.166099</w:t>
            </w:r>
          </w:p>
        </w:tc>
        <w:tc>
          <w:tcPr>
            <w:tcW w:w="1778" w:type="dxa"/>
            <w:vAlign w:val="center"/>
          </w:tcPr>
          <w:p w14:paraId="23CD27EB"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0.0481</w:t>
            </w:r>
          </w:p>
        </w:tc>
        <w:tc>
          <w:tcPr>
            <w:tcW w:w="1866" w:type="dxa"/>
            <w:vAlign w:val="center"/>
          </w:tcPr>
          <w:p w14:paraId="10812788" w14:textId="77777777" w:rsidR="00F31EA9" w:rsidRPr="0066682B" w:rsidRDefault="00F31EA9" w:rsidP="00F31EA9">
            <w:pPr>
              <w:autoSpaceDE w:val="0"/>
              <w:autoSpaceDN w:val="0"/>
              <w:adjustRightInd w:val="0"/>
              <w:spacing w:after="0" w:line="240" w:lineRule="auto"/>
              <w:ind w:left="213" w:right="10"/>
              <w:rPr>
                <w:rFonts w:ascii="Cambria" w:hAnsi="Cambria" w:cs="Arial"/>
                <w:sz w:val="20"/>
                <w:szCs w:val="20"/>
                <w:lang w:val="en-US"/>
              </w:rPr>
            </w:pPr>
            <w:r w:rsidRPr="0066682B">
              <w:rPr>
                <w:rFonts w:ascii="Cambria" w:hAnsi="Cambria" w:cs="Arial"/>
                <w:sz w:val="20"/>
                <w:szCs w:val="20"/>
                <w:lang w:val="en-US"/>
              </w:rPr>
              <w:t>Significant</w:t>
            </w:r>
          </w:p>
        </w:tc>
      </w:tr>
      <w:tr w:rsidR="0066682B" w:rsidRPr="0066682B" w14:paraId="14CAFEA6" w14:textId="77777777" w:rsidTr="00F31EA9">
        <w:trPr>
          <w:trHeight w:val="245"/>
          <w:jc w:val="center"/>
        </w:trPr>
        <w:tc>
          <w:tcPr>
            <w:tcW w:w="1945" w:type="dxa"/>
            <w:vAlign w:val="center"/>
          </w:tcPr>
          <w:p w14:paraId="0EBD7230" w14:textId="77777777" w:rsidR="00F31EA9" w:rsidRPr="0066682B" w:rsidRDefault="00F31EA9"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D(NPF)</w:t>
            </w:r>
          </w:p>
        </w:tc>
        <w:tc>
          <w:tcPr>
            <w:tcW w:w="1984" w:type="dxa"/>
            <w:vAlign w:val="center"/>
          </w:tcPr>
          <w:p w14:paraId="14D257D5"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-0.029231</w:t>
            </w:r>
          </w:p>
        </w:tc>
        <w:tc>
          <w:tcPr>
            <w:tcW w:w="1985" w:type="dxa"/>
            <w:vAlign w:val="center"/>
          </w:tcPr>
          <w:p w14:paraId="6480494A"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-2.107554</w:t>
            </w:r>
          </w:p>
        </w:tc>
        <w:tc>
          <w:tcPr>
            <w:tcW w:w="1778" w:type="dxa"/>
            <w:vAlign w:val="center"/>
          </w:tcPr>
          <w:p w14:paraId="28887D97"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0.0536</w:t>
            </w:r>
          </w:p>
        </w:tc>
        <w:tc>
          <w:tcPr>
            <w:tcW w:w="1866" w:type="dxa"/>
            <w:vAlign w:val="center"/>
          </w:tcPr>
          <w:p w14:paraId="1746DE4D" w14:textId="77777777" w:rsidR="00F31EA9" w:rsidRPr="0066682B" w:rsidRDefault="00F31EA9" w:rsidP="00F31EA9">
            <w:pPr>
              <w:autoSpaceDE w:val="0"/>
              <w:autoSpaceDN w:val="0"/>
              <w:adjustRightInd w:val="0"/>
              <w:spacing w:after="0" w:line="240" w:lineRule="auto"/>
              <w:ind w:left="213" w:right="10"/>
              <w:rPr>
                <w:rFonts w:ascii="Cambria" w:hAnsi="Cambria" w:cs="Arial"/>
                <w:sz w:val="20"/>
                <w:szCs w:val="20"/>
                <w:lang w:val="en-US"/>
              </w:rPr>
            </w:pPr>
            <w:r w:rsidRPr="0066682B">
              <w:rPr>
                <w:rFonts w:ascii="Cambria" w:hAnsi="Cambria" w:cs="Arial"/>
                <w:sz w:val="20"/>
                <w:szCs w:val="20"/>
                <w:lang w:val="en-US"/>
              </w:rPr>
              <w:t>Significant</w:t>
            </w:r>
          </w:p>
        </w:tc>
      </w:tr>
      <w:tr w:rsidR="0066682B" w:rsidRPr="0066682B" w14:paraId="0CC3F349" w14:textId="77777777" w:rsidTr="00F31EA9">
        <w:trPr>
          <w:trHeight w:val="245"/>
          <w:jc w:val="center"/>
        </w:trPr>
        <w:tc>
          <w:tcPr>
            <w:tcW w:w="1945" w:type="dxa"/>
            <w:vAlign w:val="center"/>
          </w:tcPr>
          <w:p w14:paraId="4E5C7680" w14:textId="5225AA4C" w:rsidR="000F396A" w:rsidRPr="0066682B" w:rsidRDefault="000F396A" w:rsidP="000F396A">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D(ER)</w:t>
            </w:r>
          </w:p>
        </w:tc>
        <w:tc>
          <w:tcPr>
            <w:tcW w:w="1984" w:type="dxa"/>
            <w:vAlign w:val="center"/>
          </w:tcPr>
          <w:p w14:paraId="4C3AEA4F" w14:textId="0A03109C" w:rsidR="000F396A" w:rsidRPr="0066682B" w:rsidRDefault="000F396A" w:rsidP="000F396A">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-0.043338</w:t>
            </w:r>
          </w:p>
        </w:tc>
        <w:tc>
          <w:tcPr>
            <w:tcW w:w="1985" w:type="dxa"/>
            <w:vAlign w:val="center"/>
          </w:tcPr>
          <w:p w14:paraId="0B3BC26D" w14:textId="32A0F2D6" w:rsidR="000F396A" w:rsidRPr="0066682B" w:rsidRDefault="000F396A" w:rsidP="000F396A">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-2.272331</w:t>
            </w:r>
          </w:p>
        </w:tc>
        <w:tc>
          <w:tcPr>
            <w:tcW w:w="1778" w:type="dxa"/>
            <w:vAlign w:val="center"/>
          </w:tcPr>
          <w:p w14:paraId="0E9E8E64" w14:textId="6390BE20" w:rsidR="000F396A" w:rsidRPr="0066682B" w:rsidRDefault="000F396A" w:rsidP="000F396A">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0.0394</w:t>
            </w:r>
          </w:p>
        </w:tc>
        <w:tc>
          <w:tcPr>
            <w:tcW w:w="1866" w:type="dxa"/>
            <w:vAlign w:val="center"/>
          </w:tcPr>
          <w:p w14:paraId="73C94E0B" w14:textId="42DACF48" w:rsidR="000F396A" w:rsidRPr="0066682B" w:rsidRDefault="000F396A" w:rsidP="000F396A">
            <w:pPr>
              <w:autoSpaceDE w:val="0"/>
              <w:autoSpaceDN w:val="0"/>
              <w:adjustRightInd w:val="0"/>
              <w:spacing w:after="0" w:line="240" w:lineRule="auto"/>
              <w:ind w:left="213" w:right="10"/>
              <w:rPr>
                <w:rFonts w:ascii="Cambria" w:hAnsi="Cambria" w:cs="Arial"/>
                <w:sz w:val="20"/>
                <w:szCs w:val="20"/>
                <w:lang w:val="en-US"/>
              </w:rPr>
            </w:pPr>
            <w:r w:rsidRPr="0066682B">
              <w:rPr>
                <w:rFonts w:ascii="Cambria" w:hAnsi="Cambria" w:cs="Arial"/>
                <w:sz w:val="20"/>
                <w:szCs w:val="20"/>
                <w:lang w:val="en-US"/>
              </w:rPr>
              <w:t>Significant</w:t>
            </w:r>
          </w:p>
        </w:tc>
      </w:tr>
      <w:tr w:rsidR="0066682B" w:rsidRPr="0066682B" w14:paraId="619C268B" w14:textId="77777777" w:rsidTr="00F31EA9">
        <w:trPr>
          <w:trHeight w:val="245"/>
          <w:jc w:val="center"/>
        </w:trPr>
        <w:tc>
          <w:tcPr>
            <w:tcW w:w="1945" w:type="dxa"/>
            <w:vAlign w:val="center"/>
          </w:tcPr>
          <w:p w14:paraId="4A97F581" w14:textId="77777777" w:rsidR="00F31EA9" w:rsidRPr="0066682B" w:rsidRDefault="00F31EA9"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D(BOPO)</w:t>
            </w:r>
          </w:p>
        </w:tc>
        <w:tc>
          <w:tcPr>
            <w:tcW w:w="1984" w:type="dxa"/>
            <w:vAlign w:val="center"/>
          </w:tcPr>
          <w:p w14:paraId="42B22F7A"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-0.001650</w:t>
            </w:r>
          </w:p>
        </w:tc>
        <w:tc>
          <w:tcPr>
            <w:tcW w:w="1985" w:type="dxa"/>
            <w:vAlign w:val="center"/>
          </w:tcPr>
          <w:p w14:paraId="48D43E73"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-0.484459</w:t>
            </w:r>
          </w:p>
        </w:tc>
        <w:tc>
          <w:tcPr>
            <w:tcW w:w="1778" w:type="dxa"/>
            <w:vAlign w:val="center"/>
          </w:tcPr>
          <w:p w14:paraId="116CA788"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0.6356</w:t>
            </w:r>
          </w:p>
        </w:tc>
        <w:tc>
          <w:tcPr>
            <w:tcW w:w="1866" w:type="dxa"/>
            <w:vAlign w:val="center"/>
          </w:tcPr>
          <w:p w14:paraId="1063D983" w14:textId="77777777" w:rsidR="00F31EA9" w:rsidRPr="0066682B" w:rsidRDefault="00F31EA9" w:rsidP="00F31EA9">
            <w:pPr>
              <w:autoSpaceDE w:val="0"/>
              <w:autoSpaceDN w:val="0"/>
              <w:adjustRightInd w:val="0"/>
              <w:spacing w:after="0" w:line="240" w:lineRule="auto"/>
              <w:ind w:left="213" w:right="10"/>
              <w:rPr>
                <w:rFonts w:ascii="Cambria" w:hAnsi="Cambria" w:cs="Arial"/>
                <w:sz w:val="20"/>
                <w:szCs w:val="20"/>
                <w:lang w:val="en-US"/>
              </w:rPr>
            </w:pPr>
            <w:r w:rsidRPr="0066682B">
              <w:rPr>
                <w:rFonts w:ascii="Cambria" w:hAnsi="Cambria" w:cs="Arial"/>
                <w:sz w:val="20"/>
                <w:szCs w:val="20"/>
                <w:lang w:val="en-US"/>
              </w:rPr>
              <w:t>Not Significant</w:t>
            </w:r>
          </w:p>
        </w:tc>
      </w:tr>
      <w:tr w:rsidR="0066682B" w:rsidRPr="0066682B" w14:paraId="6446ACA5" w14:textId="77777777" w:rsidTr="00F31EA9">
        <w:trPr>
          <w:trHeight w:val="245"/>
          <w:jc w:val="center"/>
        </w:trPr>
        <w:tc>
          <w:tcPr>
            <w:tcW w:w="1945" w:type="dxa"/>
            <w:vAlign w:val="center"/>
          </w:tcPr>
          <w:p w14:paraId="3E7F85ED" w14:textId="76B92F21" w:rsidR="00F31EA9" w:rsidRPr="0066682B" w:rsidRDefault="000F396A"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D(</w:t>
            </w:r>
            <w:r w:rsidR="00F31EA9" w:rsidRPr="0066682B">
              <w:rPr>
                <w:rFonts w:ascii="Cambria" w:hAnsi="Cambria" w:cs="Arial"/>
                <w:sz w:val="20"/>
                <w:szCs w:val="20"/>
                <w:lang w:val="en-US"/>
              </w:rPr>
              <w:t>E</w:t>
            </w:r>
            <w:r w:rsidRPr="0066682B">
              <w:rPr>
                <w:rFonts w:ascii="Cambria" w:hAnsi="Cambria" w:cs="Arial"/>
                <w:sz w:val="20"/>
                <w:szCs w:val="20"/>
                <w:lang w:val="en-US"/>
              </w:rPr>
              <w:t>G</w:t>
            </w:r>
            <w:r w:rsidR="00F31EA9" w:rsidRPr="0066682B">
              <w:rPr>
                <w:rFonts w:ascii="Cambria" w:hAnsi="Cambria" w:cs="Arial"/>
                <w:sz w:val="20"/>
                <w:szCs w:val="20"/>
                <w:lang w:val="en-US"/>
              </w:rPr>
              <w:t>)</w:t>
            </w:r>
          </w:p>
        </w:tc>
        <w:tc>
          <w:tcPr>
            <w:tcW w:w="1984" w:type="dxa"/>
            <w:vAlign w:val="center"/>
          </w:tcPr>
          <w:p w14:paraId="3D41B05C"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-0.008655</w:t>
            </w:r>
          </w:p>
        </w:tc>
        <w:tc>
          <w:tcPr>
            <w:tcW w:w="1985" w:type="dxa"/>
            <w:vAlign w:val="center"/>
          </w:tcPr>
          <w:p w14:paraId="1C179C68"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-1.985582</w:t>
            </w:r>
          </w:p>
        </w:tc>
        <w:tc>
          <w:tcPr>
            <w:tcW w:w="1778" w:type="dxa"/>
            <w:vAlign w:val="center"/>
          </w:tcPr>
          <w:p w14:paraId="50D7F33C"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0.0670</w:t>
            </w:r>
          </w:p>
        </w:tc>
        <w:tc>
          <w:tcPr>
            <w:tcW w:w="1866" w:type="dxa"/>
            <w:vAlign w:val="center"/>
          </w:tcPr>
          <w:p w14:paraId="079B1A25" w14:textId="77777777" w:rsidR="00F31EA9" w:rsidRPr="0066682B" w:rsidRDefault="00F31EA9" w:rsidP="00F31EA9">
            <w:pPr>
              <w:autoSpaceDE w:val="0"/>
              <w:autoSpaceDN w:val="0"/>
              <w:adjustRightInd w:val="0"/>
              <w:spacing w:after="0" w:line="240" w:lineRule="auto"/>
              <w:ind w:left="213" w:right="10"/>
              <w:rPr>
                <w:rFonts w:ascii="Cambria" w:hAnsi="Cambria" w:cs="Arial"/>
                <w:sz w:val="20"/>
                <w:szCs w:val="20"/>
                <w:lang w:val="en-US"/>
              </w:rPr>
            </w:pPr>
            <w:r w:rsidRPr="0066682B">
              <w:rPr>
                <w:rFonts w:ascii="Cambria" w:hAnsi="Cambria" w:cs="Arial"/>
                <w:sz w:val="20"/>
                <w:szCs w:val="20"/>
                <w:lang w:val="en-US"/>
              </w:rPr>
              <w:t>Significant</w:t>
            </w:r>
          </w:p>
        </w:tc>
      </w:tr>
      <w:tr w:rsidR="0066682B" w:rsidRPr="0066682B" w14:paraId="2CF17664" w14:textId="77777777" w:rsidTr="00F31EA9">
        <w:trPr>
          <w:trHeight w:val="245"/>
          <w:jc w:val="center"/>
        </w:trPr>
        <w:tc>
          <w:tcPr>
            <w:tcW w:w="1945" w:type="dxa"/>
            <w:vAlign w:val="center"/>
          </w:tcPr>
          <w:p w14:paraId="065A206B" w14:textId="77777777" w:rsidR="00F31EA9" w:rsidRPr="0066682B" w:rsidRDefault="00F31EA9"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D(INF)</w:t>
            </w:r>
          </w:p>
        </w:tc>
        <w:tc>
          <w:tcPr>
            <w:tcW w:w="1984" w:type="dxa"/>
            <w:vAlign w:val="center"/>
          </w:tcPr>
          <w:p w14:paraId="4A9A609E"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0.006010</w:t>
            </w:r>
          </w:p>
        </w:tc>
        <w:tc>
          <w:tcPr>
            <w:tcW w:w="1985" w:type="dxa"/>
            <w:vAlign w:val="center"/>
          </w:tcPr>
          <w:p w14:paraId="1F796CA2"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1.059878</w:t>
            </w:r>
          </w:p>
        </w:tc>
        <w:tc>
          <w:tcPr>
            <w:tcW w:w="1778" w:type="dxa"/>
            <w:vAlign w:val="center"/>
          </w:tcPr>
          <w:p w14:paraId="10495786"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0.3071</w:t>
            </w:r>
          </w:p>
        </w:tc>
        <w:tc>
          <w:tcPr>
            <w:tcW w:w="1866" w:type="dxa"/>
            <w:vAlign w:val="center"/>
          </w:tcPr>
          <w:p w14:paraId="68AF6CE5" w14:textId="77777777" w:rsidR="00F31EA9" w:rsidRPr="0066682B" w:rsidRDefault="00F31EA9" w:rsidP="00F31EA9">
            <w:pPr>
              <w:autoSpaceDE w:val="0"/>
              <w:autoSpaceDN w:val="0"/>
              <w:adjustRightInd w:val="0"/>
              <w:spacing w:after="0" w:line="240" w:lineRule="auto"/>
              <w:ind w:left="213" w:right="10"/>
              <w:rPr>
                <w:rFonts w:ascii="Cambria" w:hAnsi="Cambria" w:cs="Arial"/>
                <w:sz w:val="20"/>
                <w:szCs w:val="20"/>
                <w:lang w:val="en-US"/>
              </w:rPr>
            </w:pPr>
            <w:r w:rsidRPr="0066682B">
              <w:rPr>
                <w:rFonts w:ascii="Cambria" w:hAnsi="Cambria" w:cs="Arial"/>
                <w:sz w:val="20"/>
                <w:szCs w:val="20"/>
                <w:lang w:val="en-US"/>
              </w:rPr>
              <w:t>Not Significant</w:t>
            </w:r>
          </w:p>
        </w:tc>
      </w:tr>
      <w:tr w:rsidR="0066682B" w:rsidRPr="0066682B" w14:paraId="29E277B1" w14:textId="77777777" w:rsidTr="00F31EA9">
        <w:trPr>
          <w:trHeight w:val="245"/>
          <w:jc w:val="center"/>
        </w:trPr>
        <w:tc>
          <w:tcPr>
            <w:tcW w:w="1945" w:type="dxa"/>
            <w:tcBorders>
              <w:bottom w:val="single" w:sz="8" w:space="0" w:color="auto"/>
            </w:tcBorders>
            <w:vAlign w:val="center"/>
          </w:tcPr>
          <w:p w14:paraId="4657B511" w14:textId="18EDDA0E" w:rsidR="00F31EA9" w:rsidRPr="0066682B" w:rsidRDefault="000F396A" w:rsidP="00F31EA9">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EC</w:t>
            </w:r>
            <w:r w:rsidR="00F31EA9" w:rsidRPr="0066682B">
              <w:rPr>
                <w:rFonts w:ascii="Cambria" w:hAnsi="Cambria" w:cs="Arial"/>
                <w:sz w:val="20"/>
                <w:szCs w:val="20"/>
                <w:lang w:val="en-US"/>
              </w:rPr>
              <w:t>(-1)</w:t>
            </w:r>
          </w:p>
        </w:tc>
        <w:tc>
          <w:tcPr>
            <w:tcW w:w="1984" w:type="dxa"/>
            <w:tcBorders>
              <w:bottom w:val="single" w:sz="8" w:space="0" w:color="auto"/>
            </w:tcBorders>
            <w:vAlign w:val="center"/>
          </w:tcPr>
          <w:p w14:paraId="2DCA25BE"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-0.873434</w:t>
            </w:r>
          </w:p>
        </w:tc>
        <w:tc>
          <w:tcPr>
            <w:tcW w:w="1985" w:type="dxa"/>
            <w:tcBorders>
              <w:bottom w:val="single" w:sz="8" w:space="0" w:color="auto"/>
            </w:tcBorders>
            <w:vAlign w:val="center"/>
          </w:tcPr>
          <w:p w14:paraId="3F16B853" w14:textId="77777777" w:rsidR="00F31EA9" w:rsidRPr="0066682B" w:rsidRDefault="00F31EA9" w:rsidP="00F31EA9">
            <w:pPr>
              <w:autoSpaceDE w:val="0"/>
              <w:autoSpaceDN w:val="0"/>
              <w:adjustRightInd w:val="0"/>
              <w:spacing w:after="0" w:line="240" w:lineRule="auto"/>
              <w:ind w:right="588"/>
              <w:jc w:val="right"/>
              <w:rPr>
                <w:rFonts w:ascii="Cambria" w:hAnsi="Cambria" w:cs="Arial"/>
                <w:sz w:val="20"/>
                <w:szCs w:val="20"/>
                <w:lang w:val="en-US"/>
              </w:rPr>
            </w:pPr>
            <w:r w:rsidRPr="0066682B">
              <w:rPr>
                <w:rFonts w:ascii="Cambria" w:hAnsi="Cambria" w:cs="Arial"/>
                <w:sz w:val="20"/>
                <w:szCs w:val="20"/>
                <w:lang w:val="en-US"/>
              </w:rPr>
              <w:t>-2.988244</w:t>
            </w:r>
          </w:p>
        </w:tc>
        <w:tc>
          <w:tcPr>
            <w:tcW w:w="1778" w:type="dxa"/>
            <w:tcBorders>
              <w:bottom w:val="single" w:sz="8" w:space="0" w:color="auto"/>
            </w:tcBorders>
            <w:vAlign w:val="center"/>
          </w:tcPr>
          <w:p w14:paraId="65AA1ADF" w14:textId="77777777" w:rsidR="00F31EA9" w:rsidRPr="0066682B" w:rsidRDefault="00F31EA9" w:rsidP="00F31EA9">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0.0098</w:t>
            </w:r>
          </w:p>
        </w:tc>
        <w:tc>
          <w:tcPr>
            <w:tcW w:w="1866" w:type="dxa"/>
            <w:tcBorders>
              <w:bottom w:val="single" w:sz="8" w:space="0" w:color="auto"/>
            </w:tcBorders>
            <w:vAlign w:val="center"/>
          </w:tcPr>
          <w:p w14:paraId="49D5CB3B" w14:textId="77777777" w:rsidR="00F31EA9" w:rsidRPr="0066682B" w:rsidRDefault="00F31EA9" w:rsidP="00F31EA9">
            <w:pPr>
              <w:autoSpaceDE w:val="0"/>
              <w:autoSpaceDN w:val="0"/>
              <w:adjustRightInd w:val="0"/>
              <w:spacing w:after="0" w:line="240" w:lineRule="auto"/>
              <w:ind w:left="213" w:right="10"/>
              <w:rPr>
                <w:rFonts w:ascii="Cambria" w:hAnsi="Cambria" w:cs="Arial"/>
                <w:sz w:val="20"/>
                <w:szCs w:val="20"/>
                <w:lang w:val="en-US"/>
              </w:rPr>
            </w:pPr>
            <w:r w:rsidRPr="0066682B">
              <w:rPr>
                <w:rFonts w:ascii="Cambria" w:hAnsi="Cambria" w:cs="Arial"/>
                <w:sz w:val="20"/>
                <w:szCs w:val="20"/>
                <w:lang w:val="en-US"/>
              </w:rPr>
              <w:t>Significant</w:t>
            </w:r>
          </w:p>
        </w:tc>
      </w:tr>
      <w:tr w:rsidR="0066682B" w:rsidRPr="0066682B" w14:paraId="2CF75503" w14:textId="77777777" w:rsidTr="00F31EA9">
        <w:trPr>
          <w:trHeight w:val="245"/>
          <w:jc w:val="center"/>
        </w:trPr>
        <w:tc>
          <w:tcPr>
            <w:tcW w:w="9558" w:type="dxa"/>
            <w:gridSpan w:val="5"/>
            <w:tcBorders>
              <w:top w:val="single" w:sz="8" w:space="0" w:color="auto"/>
            </w:tcBorders>
            <w:vAlign w:val="center"/>
          </w:tcPr>
          <w:p w14:paraId="7016924C" w14:textId="77777777" w:rsidR="00F31EA9" w:rsidRPr="0066682B" w:rsidRDefault="00F31EA9" w:rsidP="00F31EA9">
            <w:pPr>
              <w:autoSpaceDE w:val="0"/>
              <w:autoSpaceDN w:val="0"/>
              <w:adjustRightInd w:val="0"/>
              <w:spacing w:after="0" w:line="240" w:lineRule="auto"/>
              <w:ind w:left="239" w:right="10"/>
              <w:rPr>
                <w:rFonts w:ascii="Cambria" w:hAnsi="Cambria" w:cs="Arial"/>
                <w:sz w:val="20"/>
                <w:szCs w:val="20"/>
                <w:lang w:val="en-US"/>
              </w:rPr>
            </w:pPr>
            <w:r w:rsidRPr="0066682B">
              <w:rPr>
                <w:rFonts w:ascii="Cambria" w:hAnsi="Cambria" w:cs="Arial"/>
                <w:sz w:val="20"/>
                <w:szCs w:val="20"/>
                <w:lang w:val="en-US"/>
              </w:rPr>
              <w:t>R-squared = 0.68558</w:t>
            </w:r>
          </w:p>
        </w:tc>
      </w:tr>
      <w:tr w:rsidR="0066682B" w:rsidRPr="0066682B" w14:paraId="39516B61" w14:textId="77777777" w:rsidTr="00F31EA9">
        <w:trPr>
          <w:trHeight w:val="245"/>
          <w:jc w:val="center"/>
        </w:trPr>
        <w:tc>
          <w:tcPr>
            <w:tcW w:w="9558" w:type="dxa"/>
            <w:gridSpan w:val="5"/>
            <w:vAlign w:val="center"/>
          </w:tcPr>
          <w:p w14:paraId="2785210B" w14:textId="77777777" w:rsidR="00F31EA9" w:rsidRPr="0066682B" w:rsidRDefault="00F31EA9" w:rsidP="00F31EA9">
            <w:pPr>
              <w:autoSpaceDE w:val="0"/>
              <w:autoSpaceDN w:val="0"/>
              <w:adjustRightInd w:val="0"/>
              <w:spacing w:after="0" w:line="240" w:lineRule="auto"/>
              <w:ind w:left="239" w:right="10"/>
              <w:rPr>
                <w:rFonts w:ascii="Cambria" w:hAnsi="Cambria" w:cs="Arial"/>
                <w:sz w:val="20"/>
                <w:szCs w:val="20"/>
                <w:lang w:val="en-US"/>
              </w:rPr>
            </w:pPr>
            <w:r w:rsidRPr="0066682B">
              <w:rPr>
                <w:rFonts w:ascii="Cambria" w:hAnsi="Cambria" w:cs="Arial"/>
                <w:sz w:val="20"/>
                <w:szCs w:val="20"/>
                <w:lang w:val="en-US"/>
              </w:rPr>
              <w:t>F-statistic = 4.36094</w:t>
            </w:r>
          </w:p>
        </w:tc>
      </w:tr>
      <w:tr w:rsidR="0066682B" w:rsidRPr="0066682B" w14:paraId="738D2E5F" w14:textId="77777777" w:rsidTr="00F31EA9">
        <w:trPr>
          <w:trHeight w:val="245"/>
          <w:jc w:val="center"/>
        </w:trPr>
        <w:tc>
          <w:tcPr>
            <w:tcW w:w="9558" w:type="dxa"/>
            <w:gridSpan w:val="5"/>
            <w:vAlign w:val="center"/>
          </w:tcPr>
          <w:p w14:paraId="03912D8D" w14:textId="77777777" w:rsidR="00F31EA9" w:rsidRPr="0066682B" w:rsidRDefault="00F31EA9" w:rsidP="00F31EA9">
            <w:pPr>
              <w:autoSpaceDE w:val="0"/>
              <w:autoSpaceDN w:val="0"/>
              <w:adjustRightInd w:val="0"/>
              <w:spacing w:after="0" w:line="240" w:lineRule="auto"/>
              <w:ind w:left="239" w:right="10"/>
              <w:rPr>
                <w:rFonts w:ascii="Cambria" w:hAnsi="Cambria" w:cs="Arial"/>
                <w:sz w:val="20"/>
                <w:szCs w:val="20"/>
                <w:lang w:val="en-US"/>
              </w:rPr>
            </w:pPr>
            <w:r w:rsidRPr="0066682B">
              <w:rPr>
                <w:rFonts w:ascii="Cambria" w:hAnsi="Cambria" w:cs="Arial"/>
                <w:sz w:val="20"/>
                <w:szCs w:val="20"/>
                <w:lang w:val="en-US"/>
              </w:rPr>
              <w:t>Prob(F-statistic) = 0.00923</w:t>
            </w:r>
          </w:p>
        </w:tc>
      </w:tr>
      <w:tr w:rsidR="0066682B" w:rsidRPr="0066682B" w14:paraId="42714E82" w14:textId="77777777" w:rsidTr="00F31EA9">
        <w:trPr>
          <w:trHeight w:val="245"/>
          <w:jc w:val="center"/>
        </w:trPr>
        <w:tc>
          <w:tcPr>
            <w:tcW w:w="9558" w:type="dxa"/>
            <w:gridSpan w:val="5"/>
            <w:tcBorders>
              <w:bottom w:val="single" w:sz="8" w:space="0" w:color="auto"/>
            </w:tcBorders>
            <w:vAlign w:val="center"/>
          </w:tcPr>
          <w:p w14:paraId="0A38DC8A" w14:textId="77777777" w:rsidR="00F31EA9" w:rsidRPr="0066682B" w:rsidRDefault="00F31EA9" w:rsidP="00F31EA9">
            <w:pPr>
              <w:autoSpaceDE w:val="0"/>
              <w:autoSpaceDN w:val="0"/>
              <w:adjustRightInd w:val="0"/>
              <w:spacing w:after="0" w:line="240" w:lineRule="auto"/>
              <w:ind w:left="239" w:right="10"/>
              <w:rPr>
                <w:rFonts w:ascii="Cambria" w:hAnsi="Cambria" w:cs="Arial"/>
                <w:sz w:val="20"/>
                <w:szCs w:val="20"/>
                <w:lang w:val="en-US"/>
              </w:rPr>
            </w:pPr>
            <w:r w:rsidRPr="0066682B">
              <w:rPr>
                <w:rFonts w:ascii="Cambria" w:hAnsi="Cambria" w:cs="Arial"/>
                <w:sz w:val="20"/>
                <w:szCs w:val="20"/>
                <w:lang w:val="en-US"/>
              </w:rPr>
              <w:t>Durbin-Watson stat = 2.27496</w:t>
            </w:r>
          </w:p>
        </w:tc>
      </w:tr>
    </w:tbl>
    <w:p w14:paraId="0FDDA9CC" w14:textId="41783828" w:rsidR="00F31EA9" w:rsidRDefault="00F31EA9" w:rsidP="00F31EA9">
      <w:pPr>
        <w:pStyle w:val="ListParagraph"/>
        <w:spacing w:after="0" w:line="360" w:lineRule="auto"/>
        <w:ind w:left="0"/>
        <w:jc w:val="both"/>
        <w:rPr>
          <w:rFonts w:ascii="Cambria" w:hAnsi="Cambria" w:cs="Arial"/>
          <w:sz w:val="18"/>
          <w:szCs w:val="18"/>
          <w:lang w:val="en-US"/>
        </w:rPr>
      </w:pPr>
    </w:p>
    <w:p w14:paraId="446CE236" w14:textId="0391B975" w:rsidR="00576C66" w:rsidRPr="0066682B" w:rsidRDefault="00576C66" w:rsidP="00576C66">
      <w:pPr>
        <w:spacing w:after="0" w:line="240" w:lineRule="auto"/>
        <w:jc w:val="both"/>
        <w:rPr>
          <w:rFonts w:ascii="Cambria" w:hAnsi="Cambria" w:cs="Times New Roman"/>
          <w:b/>
          <w:lang w:val="en-US"/>
        </w:rPr>
      </w:pPr>
      <w:r w:rsidRPr="00576C66">
        <w:rPr>
          <w:rFonts w:ascii="Cambria" w:hAnsi="Cambria" w:cs="Times New Roman"/>
          <w:b/>
          <w:lang w:val="en-US"/>
        </w:rPr>
        <w:t>Classic assumption test</w:t>
      </w:r>
    </w:p>
    <w:p w14:paraId="6ED64BF2" w14:textId="2E2C7661" w:rsidR="00B83016" w:rsidRDefault="00B83016" w:rsidP="002144ED">
      <w:pPr>
        <w:pStyle w:val="ListParagraph"/>
        <w:spacing w:after="0" w:line="240" w:lineRule="auto"/>
        <w:ind w:left="0" w:firstLine="426"/>
        <w:contextualSpacing w:val="0"/>
        <w:jc w:val="both"/>
        <w:rPr>
          <w:rFonts w:ascii="Cambria" w:hAnsi="Cambria" w:cs="Times New Roman"/>
          <w:lang w:val="en-US"/>
        </w:rPr>
      </w:pPr>
      <w:r w:rsidRPr="00B83016">
        <w:rPr>
          <w:rFonts w:ascii="Cambria" w:hAnsi="Cambria" w:cs="Times New Roman"/>
          <w:lang w:val="en-US"/>
        </w:rPr>
        <w:t>The OLS and ECM regression models used to explain the long-term and short-term effects of the relationship between macroeconomic indicators and the performance of Islamic banking on the growth of profit sharing financing have been validated. As a final condition that the two models are statistically good models, the final step that must be taken is to ensure that both models meet the classical assumptions of the linear regression model. The classic assumptions that must be fulfilled from the two models are the freedom of the model from multicollinearity, autocorrelation and heteroscedasticity, as well as a normally distributed model residual (normality).</w:t>
      </w:r>
    </w:p>
    <w:p w14:paraId="7AC63DA1" w14:textId="00F71B3A" w:rsidR="00B83016" w:rsidRPr="00B83016" w:rsidRDefault="00B83016" w:rsidP="002144ED">
      <w:pPr>
        <w:pStyle w:val="ListParagraph"/>
        <w:spacing w:after="0" w:line="240" w:lineRule="auto"/>
        <w:ind w:left="0" w:firstLine="426"/>
        <w:contextualSpacing w:val="0"/>
        <w:jc w:val="both"/>
        <w:rPr>
          <w:rFonts w:ascii="Cambria" w:hAnsi="Cambria" w:cs="Times New Roman"/>
          <w:lang w:val="en-US"/>
        </w:rPr>
      </w:pPr>
      <w:r w:rsidRPr="00B83016">
        <w:rPr>
          <w:rFonts w:ascii="Cambria" w:hAnsi="Cambria" w:cs="Times New Roman"/>
          <w:lang w:val="en-US"/>
        </w:rPr>
        <w:t>Multicollinearity is a condition of mutual correlation between independent variables. This condition can lead to insignificance of the independent variables which are correlated with each other. In order to see whether there is multicollinearity, Variance Inflation Factor (VIF) is used. The VIF value that is tolerated so that multicollinearity does not occur is 10, more than that it indicates multicollinearity</w:t>
      </w:r>
      <w:r>
        <w:rPr>
          <w:rFonts w:ascii="Cambria" w:hAnsi="Cambria" w:cs="Times New Roman"/>
          <w:lang w:val="en-US"/>
        </w:rPr>
        <w:t xml:space="preserve"> </w:t>
      </w:r>
      <w:r>
        <w:rPr>
          <w:rFonts w:ascii="Cambria" w:hAnsi="Cambria" w:cs="Times New Roman"/>
          <w:lang w:val="en-US"/>
        </w:rPr>
        <w:fldChar w:fldCharType="begin"/>
      </w:r>
      <w:r>
        <w:rPr>
          <w:rFonts w:ascii="Cambria" w:hAnsi="Cambria" w:cs="Times New Roman"/>
          <w:lang w:val="en-US"/>
        </w:rPr>
        <w:instrText xml:space="preserve"> ADDIN ZOTERO_ITEM CSL_CITATION {"citationID":"o6h8ZeV5","properties":{"formattedCitation":"(Hair et al., 2018)","plainCitation":"(Hair et al., 2018)","noteIndex":0},"citationItems":[{"id":3184,"uris":["http://zotero.org/groups/2238283/items/ULFUUX92"],"uri":["http://zotero.org/groups/2238283/items/ULFUUX92"],"itemData":{"id":3184,"type":"book","edition":"8th edition","ISBN":"978-93-5350-135-8","language":"English","publisher":"CENGAGE INDIA","source":"Amazon","title":"Multivariate Data Analysis","author":[{"family":"Hair","given":"Joseph F."},{"family":"Babin","given":"Barry J."},{"family":"Anderson","given":"Rolph E."},{"family":"Black","given":"William C."}],"issued":{"date-parts":[["2018",1,1]]}}}],"schema":"https://github.com/citation-style-language/schema/raw/master/csl-citation.json"} </w:instrText>
      </w:r>
      <w:r>
        <w:rPr>
          <w:rFonts w:ascii="Cambria" w:hAnsi="Cambria" w:cs="Times New Roman"/>
          <w:lang w:val="en-US"/>
        </w:rPr>
        <w:fldChar w:fldCharType="separate"/>
      </w:r>
      <w:r w:rsidRPr="00B83016">
        <w:rPr>
          <w:rFonts w:ascii="Cambria" w:hAnsi="Cambria"/>
        </w:rPr>
        <w:t>(Hair et al., 2018)</w:t>
      </w:r>
      <w:r>
        <w:rPr>
          <w:rFonts w:ascii="Cambria" w:hAnsi="Cambria" w:cs="Times New Roman"/>
          <w:lang w:val="en-US"/>
        </w:rPr>
        <w:fldChar w:fldCharType="end"/>
      </w:r>
      <w:r w:rsidRPr="00B83016">
        <w:rPr>
          <w:rFonts w:ascii="Cambria" w:hAnsi="Cambria" w:cs="Times New Roman"/>
          <w:lang w:val="en-US"/>
        </w:rPr>
        <w:t>. The results of the multicollinearity test for OLS and ECM models are presented in Table 6. The VIF value for the OLS model exceeds 10, while for ECM none exceeds 10. In ECM there is no multicollinearity, while the OLS model the Ln_ MD and ER variables have a VIF value of more than 10, although these two variables still have a significant effect on the dependent variable Ln_PSF. This result is an anomaly on the multicollinearity assumption. Even though there is multicollinearity, if the two variables have a significant effect, it can be said that the assumption of multi-linear</w:t>
      </w:r>
      <w:r>
        <w:rPr>
          <w:rFonts w:ascii="Cambria" w:hAnsi="Cambria" w:cs="Times New Roman"/>
          <w:lang w:val="en-US"/>
        </w:rPr>
        <w:t xml:space="preserve">ity is fulfilled </w:t>
      </w:r>
      <w:r>
        <w:rPr>
          <w:rFonts w:ascii="Cambria" w:hAnsi="Cambria" w:cs="Times New Roman"/>
          <w:lang w:val="en-US"/>
        </w:rPr>
        <w:fldChar w:fldCharType="begin"/>
      </w:r>
      <w:r>
        <w:rPr>
          <w:rFonts w:ascii="Cambria" w:hAnsi="Cambria" w:cs="Times New Roman"/>
          <w:lang w:val="en-US"/>
        </w:rPr>
        <w:instrText xml:space="preserve"> ADDIN ZOTERO_ITEM CSL_CITATION {"citationID":"lCwsde29","properties":{"formattedCitation":"(Allison, 2012)","plainCitation":"(Allison, 2012)","noteIndex":0},"citationItems":[{"id":3186,"uris":["http://zotero.org/groups/2238283/items/ZKZDLLZL"],"uri":["http://zotero.org/groups/2238283/items/ZKZDLLZL"],"itemData":{"id":3186,"type":"post-weblog","container-title":"Statistical Horizons","title":"When Can You Safely Ignore Multicollinearity?","URL":"https://statisticalhorizons.com/multicollinearity","author":[{"family":"Allison","given":"Paul"}],"issued":{"date-parts":[["2012",9,10]]}}}],"schema":"https://github.com/citation-style-language/schema/raw/master/csl-citation.json"} </w:instrText>
      </w:r>
      <w:r>
        <w:rPr>
          <w:rFonts w:ascii="Cambria" w:hAnsi="Cambria" w:cs="Times New Roman"/>
          <w:lang w:val="en-US"/>
        </w:rPr>
        <w:fldChar w:fldCharType="separate"/>
      </w:r>
      <w:r w:rsidRPr="00B83016">
        <w:rPr>
          <w:rFonts w:ascii="Cambria" w:hAnsi="Cambria"/>
        </w:rPr>
        <w:t>(Allison, 2012)</w:t>
      </w:r>
      <w:r>
        <w:rPr>
          <w:rFonts w:ascii="Cambria" w:hAnsi="Cambria" w:cs="Times New Roman"/>
          <w:lang w:val="en-US"/>
        </w:rPr>
        <w:fldChar w:fldCharType="end"/>
      </w:r>
      <w:r w:rsidRPr="00B83016">
        <w:rPr>
          <w:rFonts w:ascii="Cambria" w:hAnsi="Cambria" w:cs="Times New Roman"/>
          <w:lang w:val="en-US"/>
        </w:rPr>
        <w:t>.</w:t>
      </w:r>
    </w:p>
    <w:p w14:paraId="45C79F0C" w14:textId="77777777" w:rsidR="00F31EA9" w:rsidRPr="0066682B" w:rsidRDefault="00F31EA9" w:rsidP="00F31EA9">
      <w:pPr>
        <w:pStyle w:val="ListParagraph"/>
        <w:spacing w:after="0" w:line="360" w:lineRule="auto"/>
        <w:ind w:left="0"/>
        <w:jc w:val="both"/>
        <w:rPr>
          <w:rFonts w:ascii="Cambria" w:hAnsi="Cambria" w:cs="Times New Roman"/>
          <w:b/>
          <w:sz w:val="20"/>
          <w:szCs w:val="20"/>
          <w:lang w:val="en-US"/>
        </w:rPr>
      </w:pPr>
    </w:p>
    <w:p w14:paraId="162D6215" w14:textId="07C73D51" w:rsidR="00F31EA9" w:rsidRPr="0066682B" w:rsidRDefault="00F31EA9" w:rsidP="00F31EA9">
      <w:pPr>
        <w:pStyle w:val="ListParagraph"/>
        <w:spacing w:after="0" w:line="360" w:lineRule="auto"/>
        <w:ind w:left="0"/>
        <w:jc w:val="both"/>
        <w:rPr>
          <w:rFonts w:ascii="Cambria" w:hAnsi="Cambria" w:cs="Times New Roman"/>
          <w:sz w:val="20"/>
          <w:szCs w:val="20"/>
          <w:lang w:val="en-US"/>
        </w:rPr>
      </w:pPr>
      <w:r w:rsidRPr="0066682B">
        <w:rPr>
          <w:rFonts w:ascii="Cambria" w:hAnsi="Cambria" w:cs="Times New Roman"/>
          <w:b/>
          <w:sz w:val="20"/>
          <w:szCs w:val="20"/>
          <w:lang w:val="en-US"/>
        </w:rPr>
        <w:t>Table 6.</w:t>
      </w:r>
      <w:r w:rsidR="00B83016">
        <w:rPr>
          <w:rFonts w:ascii="Cambria" w:hAnsi="Cambria" w:cs="Times New Roman"/>
          <w:sz w:val="20"/>
          <w:szCs w:val="20"/>
          <w:lang w:val="en-US"/>
        </w:rPr>
        <w:t xml:space="preserve"> Multicollinearity t</w:t>
      </w:r>
      <w:r w:rsidRPr="0066682B">
        <w:rPr>
          <w:rFonts w:ascii="Cambria" w:hAnsi="Cambria" w:cs="Times New Roman"/>
          <w:sz w:val="20"/>
          <w:szCs w:val="20"/>
          <w:lang w:val="en-US"/>
        </w:rPr>
        <w:t xml:space="preserve">est </w:t>
      </w:r>
      <w:r w:rsidR="00B83016">
        <w:rPr>
          <w:rFonts w:ascii="Cambria" w:hAnsi="Cambria" w:cs="Times New Roman"/>
          <w:sz w:val="20"/>
          <w:szCs w:val="20"/>
          <w:lang w:val="en-US"/>
        </w:rPr>
        <w:t>r</w:t>
      </w:r>
      <w:r w:rsidRPr="0066682B">
        <w:rPr>
          <w:rFonts w:ascii="Cambria" w:hAnsi="Cambria" w:cs="Times New Roman"/>
          <w:sz w:val="20"/>
          <w:szCs w:val="20"/>
          <w:lang w:val="en-US"/>
        </w:rPr>
        <w:t>esult: Variance Inflation Factors (VIF)</w:t>
      </w:r>
    </w:p>
    <w:tbl>
      <w:tblPr>
        <w:tblW w:w="7867" w:type="dxa"/>
        <w:tblInd w:w="108" w:type="dxa"/>
        <w:tblLayout w:type="fixed"/>
        <w:tblLook w:val="04A0" w:firstRow="1" w:lastRow="0" w:firstColumn="1" w:lastColumn="0" w:noHBand="0" w:noVBand="1"/>
      </w:tblPr>
      <w:tblGrid>
        <w:gridCol w:w="1701"/>
        <w:gridCol w:w="1772"/>
        <w:gridCol w:w="780"/>
        <w:gridCol w:w="1700"/>
        <w:gridCol w:w="1914"/>
      </w:tblGrid>
      <w:tr w:rsidR="0066682B" w:rsidRPr="0066682B" w14:paraId="5A876F8D" w14:textId="77777777" w:rsidTr="00F31EA9">
        <w:trPr>
          <w:trHeight w:val="292"/>
        </w:trPr>
        <w:tc>
          <w:tcPr>
            <w:tcW w:w="1701" w:type="dxa"/>
            <w:tcBorders>
              <w:top w:val="single" w:sz="12" w:space="0" w:color="auto"/>
              <w:left w:val="nil"/>
              <w:bottom w:val="single" w:sz="8" w:space="0" w:color="auto"/>
              <w:right w:val="nil"/>
            </w:tcBorders>
            <w:shd w:val="clear" w:color="auto" w:fill="auto"/>
            <w:noWrap/>
            <w:vAlign w:val="center"/>
            <w:hideMark/>
          </w:tcPr>
          <w:p w14:paraId="6618877C" w14:textId="77777777" w:rsidR="00F31EA9" w:rsidRPr="0066682B" w:rsidRDefault="00F31EA9" w:rsidP="00F31EA9">
            <w:pPr>
              <w:spacing w:after="0" w:line="240" w:lineRule="auto"/>
              <w:jc w:val="center"/>
              <w:rPr>
                <w:rFonts w:ascii="Cambria" w:eastAsia="Times New Roman" w:hAnsi="Cambria" w:cs="Times New Roman"/>
                <w:b/>
                <w:sz w:val="20"/>
                <w:szCs w:val="20"/>
                <w:lang w:val="en-US"/>
              </w:rPr>
            </w:pPr>
            <w:r w:rsidRPr="0066682B">
              <w:rPr>
                <w:rFonts w:ascii="Cambria" w:hAnsi="Cambria" w:cs="Arial"/>
                <w:b/>
                <w:sz w:val="20"/>
                <w:szCs w:val="20"/>
                <w:lang w:val="en-US"/>
              </w:rPr>
              <w:t>Variable</w:t>
            </w:r>
          </w:p>
        </w:tc>
        <w:tc>
          <w:tcPr>
            <w:tcW w:w="1772" w:type="dxa"/>
            <w:tcBorders>
              <w:top w:val="single" w:sz="12" w:space="0" w:color="auto"/>
              <w:left w:val="nil"/>
              <w:bottom w:val="single" w:sz="8" w:space="0" w:color="auto"/>
              <w:right w:val="nil"/>
            </w:tcBorders>
            <w:shd w:val="clear" w:color="auto" w:fill="auto"/>
            <w:noWrap/>
            <w:vAlign w:val="center"/>
            <w:hideMark/>
          </w:tcPr>
          <w:p w14:paraId="5612814E"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VIF OLS</w:t>
            </w:r>
          </w:p>
        </w:tc>
        <w:tc>
          <w:tcPr>
            <w:tcW w:w="780" w:type="dxa"/>
            <w:tcBorders>
              <w:top w:val="single" w:sz="12" w:space="0" w:color="auto"/>
              <w:left w:val="nil"/>
              <w:right w:val="nil"/>
            </w:tcBorders>
            <w:vAlign w:val="center"/>
          </w:tcPr>
          <w:p w14:paraId="1EF75E56" w14:textId="77777777" w:rsidR="00F31EA9" w:rsidRPr="0066682B" w:rsidRDefault="00F31EA9" w:rsidP="00F31EA9">
            <w:pPr>
              <w:spacing w:after="0" w:line="240" w:lineRule="auto"/>
              <w:jc w:val="center"/>
              <w:rPr>
                <w:rFonts w:ascii="Cambria" w:eastAsia="Times New Roman" w:hAnsi="Cambria" w:cs="Calibri"/>
                <w:b/>
                <w:sz w:val="20"/>
                <w:szCs w:val="20"/>
                <w:lang w:val="en-US"/>
              </w:rPr>
            </w:pPr>
          </w:p>
        </w:tc>
        <w:tc>
          <w:tcPr>
            <w:tcW w:w="1700" w:type="dxa"/>
            <w:tcBorders>
              <w:top w:val="single" w:sz="12" w:space="0" w:color="auto"/>
              <w:left w:val="nil"/>
              <w:bottom w:val="single" w:sz="8" w:space="0" w:color="auto"/>
              <w:right w:val="nil"/>
            </w:tcBorders>
            <w:shd w:val="clear" w:color="auto" w:fill="auto"/>
            <w:noWrap/>
            <w:vAlign w:val="center"/>
            <w:hideMark/>
          </w:tcPr>
          <w:p w14:paraId="12EACA48"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hAnsi="Cambria" w:cs="Arial"/>
                <w:b/>
                <w:sz w:val="20"/>
                <w:szCs w:val="20"/>
                <w:lang w:val="en-US"/>
              </w:rPr>
              <w:t>Variable</w:t>
            </w:r>
          </w:p>
        </w:tc>
        <w:tc>
          <w:tcPr>
            <w:tcW w:w="1914" w:type="dxa"/>
            <w:tcBorders>
              <w:top w:val="single" w:sz="12" w:space="0" w:color="auto"/>
              <w:left w:val="nil"/>
              <w:bottom w:val="single" w:sz="8" w:space="0" w:color="auto"/>
              <w:right w:val="nil"/>
            </w:tcBorders>
            <w:shd w:val="clear" w:color="auto" w:fill="auto"/>
            <w:noWrap/>
            <w:vAlign w:val="center"/>
            <w:hideMark/>
          </w:tcPr>
          <w:p w14:paraId="545EF91B"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eastAsia="Times New Roman" w:hAnsi="Cambria" w:cs="Calibri"/>
                <w:b/>
                <w:sz w:val="20"/>
                <w:szCs w:val="20"/>
                <w:lang w:val="en-US"/>
              </w:rPr>
              <w:t>VIF ECM</w:t>
            </w:r>
          </w:p>
        </w:tc>
      </w:tr>
      <w:tr w:rsidR="0066682B" w:rsidRPr="0066682B" w14:paraId="0092ED5F" w14:textId="77777777" w:rsidTr="00F31EA9">
        <w:trPr>
          <w:trHeight w:val="292"/>
        </w:trPr>
        <w:tc>
          <w:tcPr>
            <w:tcW w:w="1701" w:type="dxa"/>
            <w:tcBorders>
              <w:top w:val="nil"/>
              <w:left w:val="nil"/>
              <w:bottom w:val="nil"/>
              <w:right w:val="nil"/>
            </w:tcBorders>
            <w:shd w:val="clear" w:color="auto" w:fill="auto"/>
            <w:noWrap/>
            <w:vAlign w:val="center"/>
            <w:hideMark/>
          </w:tcPr>
          <w:p w14:paraId="18CF5FE6" w14:textId="77777777" w:rsidR="00F31EA9" w:rsidRPr="0066682B" w:rsidRDefault="00F31EA9" w:rsidP="00F31EA9">
            <w:pPr>
              <w:spacing w:after="0" w:line="240" w:lineRule="auto"/>
              <w:ind w:left="321"/>
              <w:rPr>
                <w:rFonts w:ascii="Cambria" w:eastAsia="Times New Roman" w:hAnsi="Cambria" w:cs="Calibri"/>
                <w:sz w:val="20"/>
                <w:szCs w:val="20"/>
                <w:lang w:val="en-US"/>
              </w:rPr>
            </w:pPr>
            <w:r w:rsidRPr="0066682B">
              <w:rPr>
                <w:rFonts w:ascii="Cambria" w:eastAsia="Times New Roman" w:hAnsi="Cambria" w:cs="Calibri"/>
                <w:sz w:val="20"/>
                <w:szCs w:val="20"/>
                <w:lang w:val="en-US"/>
              </w:rPr>
              <w:t>Ln_MD</w:t>
            </w:r>
          </w:p>
        </w:tc>
        <w:tc>
          <w:tcPr>
            <w:tcW w:w="1772" w:type="dxa"/>
            <w:tcBorders>
              <w:top w:val="nil"/>
              <w:left w:val="nil"/>
              <w:bottom w:val="nil"/>
              <w:right w:val="nil"/>
            </w:tcBorders>
            <w:shd w:val="clear" w:color="auto" w:fill="auto"/>
            <w:noWrap/>
            <w:vAlign w:val="center"/>
            <w:hideMark/>
          </w:tcPr>
          <w:p w14:paraId="669EAEB4" w14:textId="77777777" w:rsidR="00F31EA9" w:rsidRPr="0066682B" w:rsidRDefault="00F31EA9" w:rsidP="00F31EA9">
            <w:pPr>
              <w:spacing w:after="0" w:line="240" w:lineRule="auto"/>
              <w:ind w:right="383"/>
              <w:jc w:val="right"/>
              <w:rPr>
                <w:rFonts w:ascii="Cambria" w:eastAsia="Times New Roman" w:hAnsi="Cambria" w:cs="Calibri"/>
                <w:sz w:val="20"/>
                <w:szCs w:val="20"/>
                <w:lang w:val="en-US"/>
              </w:rPr>
            </w:pPr>
            <w:r w:rsidRPr="0066682B">
              <w:rPr>
                <w:rFonts w:ascii="Cambria" w:hAnsi="Cambria" w:cs="Arial"/>
                <w:sz w:val="18"/>
                <w:szCs w:val="18"/>
                <w:lang w:val="en-US"/>
              </w:rPr>
              <w:t> 22.02906</w:t>
            </w:r>
          </w:p>
        </w:tc>
        <w:tc>
          <w:tcPr>
            <w:tcW w:w="780" w:type="dxa"/>
            <w:tcBorders>
              <w:left w:val="nil"/>
              <w:bottom w:val="nil"/>
              <w:right w:val="nil"/>
            </w:tcBorders>
            <w:vAlign w:val="center"/>
          </w:tcPr>
          <w:p w14:paraId="70A11969"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p>
        </w:tc>
        <w:tc>
          <w:tcPr>
            <w:tcW w:w="1700" w:type="dxa"/>
            <w:tcBorders>
              <w:top w:val="nil"/>
              <w:left w:val="nil"/>
              <w:bottom w:val="nil"/>
              <w:right w:val="nil"/>
            </w:tcBorders>
            <w:shd w:val="clear" w:color="auto" w:fill="auto"/>
            <w:noWrap/>
            <w:vAlign w:val="center"/>
            <w:hideMark/>
          </w:tcPr>
          <w:p w14:paraId="6F58D22B" w14:textId="77777777" w:rsidR="00F31EA9" w:rsidRPr="0066682B" w:rsidRDefault="00F31EA9" w:rsidP="00F31EA9">
            <w:pPr>
              <w:spacing w:after="0" w:line="240" w:lineRule="auto"/>
              <w:ind w:left="240" w:right="390"/>
              <w:rPr>
                <w:rFonts w:ascii="Cambria" w:eastAsia="Times New Roman" w:hAnsi="Cambria" w:cs="Calibri"/>
                <w:sz w:val="20"/>
                <w:szCs w:val="20"/>
                <w:lang w:val="en-US"/>
              </w:rPr>
            </w:pPr>
            <w:r w:rsidRPr="0066682B">
              <w:rPr>
                <w:rFonts w:ascii="Cambria" w:hAnsi="Cambria" w:cs="Arial"/>
                <w:sz w:val="18"/>
                <w:szCs w:val="18"/>
                <w:lang w:val="en-US"/>
              </w:rPr>
              <w:t>D(Ln_DM)</w:t>
            </w:r>
          </w:p>
        </w:tc>
        <w:tc>
          <w:tcPr>
            <w:tcW w:w="1914" w:type="dxa"/>
            <w:tcBorders>
              <w:top w:val="nil"/>
              <w:left w:val="nil"/>
              <w:bottom w:val="nil"/>
              <w:right w:val="nil"/>
            </w:tcBorders>
            <w:shd w:val="clear" w:color="auto" w:fill="auto"/>
            <w:noWrap/>
            <w:vAlign w:val="center"/>
            <w:hideMark/>
          </w:tcPr>
          <w:p w14:paraId="3D83B3BB" w14:textId="77777777" w:rsidR="00F31EA9" w:rsidRPr="0066682B" w:rsidRDefault="00F31EA9" w:rsidP="00F31EA9">
            <w:pPr>
              <w:spacing w:after="0" w:line="240" w:lineRule="auto"/>
              <w:ind w:right="525"/>
              <w:jc w:val="right"/>
              <w:rPr>
                <w:rFonts w:ascii="Cambria" w:eastAsia="Times New Roman" w:hAnsi="Cambria" w:cs="Calibri"/>
                <w:sz w:val="20"/>
                <w:szCs w:val="20"/>
                <w:lang w:val="en-US"/>
              </w:rPr>
            </w:pPr>
            <w:r w:rsidRPr="0066682B">
              <w:rPr>
                <w:rFonts w:ascii="Cambria" w:hAnsi="Cambria" w:cs="Arial"/>
                <w:sz w:val="18"/>
                <w:szCs w:val="18"/>
                <w:lang w:val="en-US"/>
              </w:rPr>
              <w:t> 1.760518</w:t>
            </w:r>
          </w:p>
        </w:tc>
      </w:tr>
      <w:tr w:rsidR="0066682B" w:rsidRPr="0066682B" w14:paraId="507D9E62" w14:textId="77777777" w:rsidTr="00F31EA9">
        <w:trPr>
          <w:trHeight w:val="292"/>
        </w:trPr>
        <w:tc>
          <w:tcPr>
            <w:tcW w:w="1701" w:type="dxa"/>
            <w:tcBorders>
              <w:top w:val="nil"/>
              <w:left w:val="nil"/>
              <w:bottom w:val="nil"/>
              <w:right w:val="nil"/>
            </w:tcBorders>
            <w:shd w:val="clear" w:color="auto" w:fill="auto"/>
            <w:noWrap/>
            <w:vAlign w:val="center"/>
            <w:hideMark/>
          </w:tcPr>
          <w:p w14:paraId="522BFEF7" w14:textId="77777777" w:rsidR="00F31EA9" w:rsidRPr="0066682B" w:rsidRDefault="00F31EA9" w:rsidP="00F31EA9">
            <w:pPr>
              <w:spacing w:after="0" w:line="240" w:lineRule="auto"/>
              <w:ind w:left="321"/>
              <w:rPr>
                <w:rFonts w:ascii="Cambria" w:eastAsia="Times New Roman" w:hAnsi="Cambria" w:cs="Calibri"/>
                <w:sz w:val="20"/>
                <w:szCs w:val="20"/>
                <w:lang w:val="en-US"/>
              </w:rPr>
            </w:pPr>
            <w:r w:rsidRPr="0066682B">
              <w:rPr>
                <w:rFonts w:ascii="Cambria" w:eastAsia="Times New Roman" w:hAnsi="Cambria" w:cs="Calibri"/>
                <w:sz w:val="20"/>
                <w:szCs w:val="20"/>
                <w:lang w:val="en-US"/>
              </w:rPr>
              <w:t>NPF</w:t>
            </w:r>
          </w:p>
        </w:tc>
        <w:tc>
          <w:tcPr>
            <w:tcW w:w="1772" w:type="dxa"/>
            <w:tcBorders>
              <w:top w:val="nil"/>
              <w:left w:val="nil"/>
              <w:bottom w:val="nil"/>
              <w:right w:val="nil"/>
            </w:tcBorders>
            <w:shd w:val="clear" w:color="auto" w:fill="auto"/>
            <w:noWrap/>
            <w:vAlign w:val="center"/>
            <w:hideMark/>
          </w:tcPr>
          <w:p w14:paraId="7CE13B65" w14:textId="77777777" w:rsidR="00F31EA9" w:rsidRPr="0066682B" w:rsidRDefault="00F31EA9" w:rsidP="00F31EA9">
            <w:pPr>
              <w:spacing w:after="0" w:line="240" w:lineRule="auto"/>
              <w:ind w:right="383"/>
              <w:jc w:val="right"/>
              <w:rPr>
                <w:rFonts w:ascii="Cambria" w:eastAsia="Times New Roman" w:hAnsi="Cambria" w:cs="Calibri"/>
                <w:sz w:val="20"/>
                <w:szCs w:val="20"/>
                <w:lang w:val="en-US"/>
              </w:rPr>
            </w:pPr>
            <w:r w:rsidRPr="0066682B">
              <w:rPr>
                <w:rFonts w:ascii="Cambria" w:hAnsi="Cambria" w:cs="Arial"/>
                <w:sz w:val="18"/>
                <w:szCs w:val="18"/>
                <w:lang w:val="en-US"/>
              </w:rPr>
              <w:t> 4.886001</w:t>
            </w:r>
          </w:p>
        </w:tc>
        <w:tc>
          <w:tcPr>
            <w:tcW w:w="780" w:type="dxa"/>
            <w:tcBorders>
              <w:top w:val="nil"/>
              <w:left w:val="nil"/>
              <w:bottom w:val="nil"/>
              <w:right w:val="nil"/>
            </w:tcBorders>
            <w:vAlign w:val="center"/>
          </w:tcPr>
          <w:p w14:paraId="67B08095"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p>
        </w:tc>
        <w:tc>
          <w:tcPr>
            <w:tcW w:w="1700" w:type="dxa"/>
            <w:tcBorders>
              <w:top w:val="nil"/>
              <w:left w:val="nil"/>
              <w:bottom w:val="nil"/>
              <w:right w:val="nil"/>
            </w:tcBorders>
            <w:shd w:val="clear" w:color="auto" w:fill="auto"/>
            <w:noWrap/>
            <w:vAlign w:val="center"/>
            <w:hideMark/>
          </w:tcPr>
          <w:p w14:paraId="7941CDBC" w14:textId="77777777" w:rsidR="00F31EA9" w:rsidRPr="0066682B" w:rsidRDefault="00F31EA9" w:rsidP="00F31EA9">
            <w:pPr>
              <w:spacing w:after="0" w:line="240" w:lineRule="auto"/>
              <w:ind w:left="240" w:right="390"/>
              <w:rPr>
                <w:rFonts w:ascii="Cambria" w:eastAsia="Times New Roman" w:hAnsi="Cambria" w:cs="Calibri"/>
                <w:sz w:val="20"/>
                <w:szCs w:val="20"/>
                <w:lang w:val="en-US"/>
              </w:rPr>
            </w:pPr>
            <w:r w:rsidRPr="0066682B">
              <w:rPr>
                <w:rFonts w:ascii="Cambria" w:hAnsi="Cambria" w:cs="Arial"/>
                <w:sz w:val="18"/>
                <w:szCs w:val="18"/>
                <w:lang w:val="en-US"/>
              </w:rPr>
              <w:t>D(NPF)</w:t>
            </w:r>
          </w:p>
        </w:tc>
        <w:tc>
          <w:tcPr>
            <w:tcW w:w="1914" w:type="dxa"/>
            <w:tcBorders>
              <w:top w:val="nil"/>
              <w:left w:val="nil"/>
              <w:bottom w:val="nil"/>
              <w:right w:val="nil"/>
            </w:tcBorders>
            <w:shd w:val="clear" w:color="auto" w:fill="auto"/>
            <w:noWrap/>
            <w:vAlign w:val="center"/>
            <w:hideMark/>
          </w:tcPr>
          <w:p w14:paraId="6C7E9DEE" w14:textId="77777777" w:rsidR="00F31EA9" w:rsidRPr="0066682B" w:rsidRDefault="00F31EA9" w:rsidP="00F31EA9">
            <w:pPr>
              <w:spacing w:after="0" w:line="240" w:lineRule="auto"/>
              <w:ind w:right="525"/>
              <w:jc w:val="right"/>
              <w:rPr>
                <w:rFonts w:ascii="Cambria" w:eastAsia="Times New Roman" w:hAnsi="Cambria" w:cs="Calibri"/>
                <w:sz w:val="20"/>
                <w:szCs w:val="20"/>
                <w:lang w:val="en-US"/>
              </w:rPr>
            </w:pPr>
            <w:r w:rsidRPr="0066682B">
              <w:rPr>
                <w:rFonts w:ascii="Cambria" w:hAnsi="Cambria" w:cs="Arial"/>
                <w:sz w:val="18"/>
                <w:szCs w:val="18"/>
                <w:lang w:val="en-US"/>
              </w:rPr>
              <w:t> 1.331524</w:t>
            </w:r>
          </w:p>
        </w:tc>
      </w:tr>
      <w:tr w:rsidR="0066682B" w:rsidRPr="0066682B" w14:paraId="7CAF3D94" w14:textId="77777777" w:rsidTr="00F31EA9">
        <w:trPr>
          <w:trHeight w:val="292"/>
        </w:trPr>
        <w:tc>
          <w:tcPr>
            <w:tcW w:w="1701" w:type="dxa"/>
            <w:tcBorders>
              <w:top w:val="nil"/>
              <w:left w:val="nil"/>
              <w:bottom w:val="nil"/>
              <w:right w:val="nil"/>
            </w:tcBorders>
            <w:shd w:val="clear" w:color="auto" w:fill="auto"/>
            <w:noWrap/>
            <w:vAlign w:val="center"/>
          </w:tcPr>
          <w:p w14:paraId="5C0EAF2E" w14:textId="123C7413" w:rsidR="000F396A" w:rsidRPr="0066682B" w:rsidRDefault="000F396A" w:rsidP="000F396A">
            <w:pPr>
              <w:spacing w:after="0" w:line="240" w:lineRule="auto"/>
              <w:ind w:left="321"/>
              <w:rPr>
                <w:rFonts w:ascii="Cambria" w:eastAsia="Times New Roman" w:hAnsi="Cambria" w:cs="Calibri"/>
                <w:sz w:val="20"/>
                <w:szCs w:val="20"/>
                <w:lang w:val="en-US"/>
              </w:rPr>
            </w:pPr>
            <w:r w:rsidRPr="0066682B">
              <w:rPr>
                <w:rFonts w:ascii="Cambria" w:eastAsia="Times New Roman" w:hAnsi="Cambria" w:cs="Calibri"/>
                <w:sz w:val="20"/>
                <w:szCs w:val="20"/>
                <w:lang w:val="en-US"/>
              </w:rPr>
              <w:t>ER</w:t>
            </w:r>
          </w:p>
        </w:tc>
        <w:tc>
          <w:tcPr>
            <w:tcW w:w="1772" w:type="dxa"/>
            <w:tcBorders>
              <w:top w:val="nil"/>
              <w:left w:val="nil"/>
              <w:bottom w:val="nil"/>
              <w:right w:val="nil"/>
            </w:tcBorders>
            <w:shd w:val="clear" w:color="auto" w:fill="auto"/>
            <w:noWrap/>
            <w:vAlign w:val="center"/>
          </w:tcPr>
          <w:p w14:paraId="3A636A47" w14:textId="313E247A" w:rsidR="000F396A" w:rsidRPr="0066682B" w:rsidRDefault="000F396A" w:rsidP="000F396A">
            <w:pPr>
              <w:spacing w:after="0" w:line="240" w:lineRule="auto"/>
              <w:ind w:right="383"/>
              <w:jc w:val="right"/>
              <w:rPr>
                <w:rFonts w:ascii="Cambria" w:hAnsi="Cambria" w:cs="Arial"/>
                <w:sz w:val="18"/>
                <w:szCs w:val="18"/>
                <w:lang w:val="en-US"/>
              </w:rPr>
            </w:pPr>
            <w:r w:rsidRPr="0066682B">
              <w:rPr>
                <w:rFonts w:ascii="Cambria" w:hAnsi="Cambria" w:cs="Arial"/>
                <w:sz w:val="18"/>
                <w:szCs w:val="18"/>
                <w:lang w:val="en-US"/>
              </w:rPr>
              <w:t> 13.56431</w:t>
            </w:r>
          </w:p>
        </w:tc>
        <w:tc>
          <w:tcPr>
            <w:tcW w:w="780" w:type="dxa"/>
            <w:tcBorders>
              <w:top w:val="nil"/>
              <w:left w:val="nil"/>
              <w:bottom w:val="nil"/>
              <w:right w:val="nil"/>
            </w:tcBorders>
            <w:vAlign w:val="center"/>
          </w:tcPr>
          <w:p w14:paraId="12F0F538" w14:textId="77777777" w:rsidR="000F396A" w:rsidRPr="0066682B" w:rsidRDefault="000F396A" w:rsidP="000F396A">
            <w:pPr>
              <w:spacing w:after="0" w:line="240" w:lineRule="auto"/>
              <w:ind w:right="517"/>
              <w:jc w:val="right"/>
              <w:rPr>
                <w:rFonts w:ascii="Cambria" w:eastAsia="Times New Roman" w:hAnsi="Cambria" w:cs="Calibri"/>
                <w:sz w:val="20"/>
                <w:szCs w:val="20"/>
                <w:lang w:val="en-US"/>
              </w:rPr>
            </w:pPr>
          </w:p>
        </w:tc>
        <w:tc>
          <w:tcPr>
            <w:tcW w:w="1700" w:type="dxa"/>
            <w:tcBorders>
              <w:top w:val="nil"/>
              <w:left w:val="nil"/>
              <w:bottom w:val="nil"/>
              <w:right w:val="nil"/>
            </w:tcBorders>
            <w:shd w:val="clear" w:color="auto" w:fill="auto"/>
            <w:noWrap/>
            <w:vAlign w:val="center"/>
          </w:tcPr>
          <w:p w14:paraId="40FC2D80" w14:textId="24418B24" w:rsidR="000F396A" w:rsidRPr="0066682B" w:rsidRDefault="000F396A" w:rsidP="000F396A">
            <w:pPr>
              <w:spacing w:after="0" w:line="240" w:lineRule="auto"/>
              <w:ind w:left="240" w:right="390"/>
              <w:rPr>
                <w:rFonts w:ascii="Cambria" w:hAnsi="Cambria" w:cs="Arial"/>
                <w:sz w:val="18"/>
                <w:szCs w:val="18"/>
                <w:lang w:val="en-US"/>
              </w:rPr>
            </w:pPr>
            <w:r w:rsidRPr="0066682B">
              <w:rPr>
                <w:rFonts w:ascii="Cambria" w:hAnsi="Cambria" w:cs="Arial"/>
                <w:sz w:val="18"/>
                <w:szCs w:val="18"/>
                <w:lang w:val="en-US"/>
              </w:rPr>
              <w:t>D(ER)</w:t>
            </w:r>
          </w:p>
        </w:tc>
        <w:tc>
          <w:tcPr>
            <w:tcW w:w="1914" w:type="dxa"/>
            <w:tcBorders>
              <w:top w:val="nil"/>
              <w:left w:val="nil"/>
              <w:bottom w:val="nil"/>
              <w:right w:val="nil"/>
            </w:tcBorders>
            <w:shd w:val="clear" w:color="auto" w:fill="auto"/>
            <w:noWrap/>
            <w:vAlign w:val="center"/>
          </w:tcPr>
          <w:p w14:paraId="256A5E45" w14:textId="7AE95345" w:rsidR="000F396A" w:rsidRPr="0066682B" w:rsidRDefault="000F396A" w:rsidP="000F396A">
            <w:pPr>
              <w:spacing w:after="0" w:line="240" w:lineRule="auto"/>
              <w:ind w:right="525"/>
              <w:jc w:val="right"/>
              <w:rPr>
                <w:rFonts w:ascii="Cambria" w:hAnsi="Cambria" w:cs="Arial"/>
                <w:sz w:val="18"/>
                <w:szCs w:val="18"/>
                <w:lang w:val="en-US"/>
              </w:rPr>
            </w:pPr>
            <w:r w:rsidRPr="0066682B">
              <w:rPr>
                <w:rFonts w:ascii="Cambria" w:hAnsi="Cambria" w:cs="Arial"/>
                <w:sz w:val="18"/>
                <w:szCs w:val="18"/>
                <w:lang w:val="en-US"/>
              </w:rPr>
              <w:t> 1.824891</w:t>
            </w:r>
          </w:p>
        </w:tc>
      </w:tr>
      <w:tr w:rsidR="0066682B" w:rsidRPr="0066682B" w14:paraId="3D652B09" w14:textId="77777777" w:rsidTr="00F31EA9">
        <w:trPr>
          <w:trHeight w:val="292"/>
        </w:trPr>
        <w:tc>
          <w:tcPr>
            <w:tcW w:w="1701" w:type="dxa"/>
            <w:tcBorders>
              <w:top w:val="nil"/>
              <w:left w:val="nil"/>
              <w:bottom w:val="nil"/>
              <w:right w:val="nil"/>
            </w:tcBorders>
            <w:shd w:val="clear" w:color="auto" w:fill="auto"/>
            <w:noWrap/>
            <w:vAlign w:val="center"/>
            <w:hideMark/>
          </w:tcPr>
          <w:p w14:paraId="7E31F73B" w14:textId="77777777" w:rsidR="00F31EA9" w:rsidRPr="0066682B" w:rsidRDefault="00F31EA9" w:rsidP="00F31EA9">
            <w:pPr>
              <w:spacing w:after="0" w:line="240" w:lineRule="auto"/>
              <w:ind w:left="321"/>
              <w:rPr>
                <w:rFonts w:ascii="Cambria" w:eastAsia="Times New Roman" w:hAnsi="Cambria" w:cs="Calibri"/>
                <w:sz w:val="20"/>
                <w:szCs w:val="20"/>
                <w:lang w:val="en-US"/>
              </w:rPr>
            </w:pPr>
            <w:r w:rsidRPr="0066682B">
              <w:rPr>
                <w:rFonts w:ascii="Cambria" w:eastAsia="Times New Roman" w:hAnsi="Cambria" w:cs="Calibri"/>
                <w:sz w:val="20"/>
                <w:szCs w:val="20"/>
                <w:lang w:val="en-US"/>
              </w:rPr>
              <w:t>BOPO</w:t>
            </w:r>
          </w:p>
        </w:tc>
        <w:tc>
          <w:tcPr>
            <w:tcW w:w="1772" w:type="dxa"/>
            <w:tcBorders>
              <w:top w:val="nil"/>
              <w:left w:val="nil"/>
              <w:bottom w:val="nil"/>
              <w:right w:val="nil"/>
            </w:tcBorders>
            <w:shd w:val="clear" w:color="auto" w:fill="auto"/>
            <w:noWrap/>
            <w:vAlign w:val="center"/>
            <w:hideMark/>
          </w:tcPr>
          <w:p w14:paraId="5DE68645" w14:textId="77777777" w:rsidR="00F31EA9" w:rsidRPr="0066682B" w:rsidRDefault="00F31EA9" w:rsidP="00F31EA9">
            <w:pPr>
              <w:spacing w:after="0" w:line="240" w:lineRule="auto"/>
              <w:ind w:right="383"/>
              <w:jc w:val="right"/>
              <w:rPr>
                <w:rFonts w:ascii="Cambria" w:eastAsia="Times New Roman" w:hAnsi="Cambria" w:cs="Calibri"/>
                <w:sz w:val="20"/>
                <w:szCs w:val="20"/>
                <w:lang w:val="en-US"/>
              </w:rPr>
            </w:pPr>
            <w:r w:rsidRPr="0066682B">
              <w:rPr>
                <w:rFonts w:ascii="Cambria" w:hAnsi="Cambria" w:cs="Arial"/>
                <w:sz w:val="18"/>
                <w:szCs w:val="18"/>
                <w:lang w:val="en-US"/>
              </w:rPr>
              <w:t> 8.923807</w:t>
            </w:r>
          </w:p>
        </w:tc>
        <w:tc>
          <w:tcPr>
            <w:tcW w:w="780" w:type="dxa"/>
            <w:tcBorders>
              <w:top w:val="nil"/>
              <w:left w:val="nil"/>
              <w:bottom w:val="nil"/>
              <w:right w:val="nil"/>
            </w:tcBorders>
            <w:vAlign w:val="center"/>
          </w:tcPr>
          <w:p w14:paraId="6FB9FE5F"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p>
        </w:tc>
        <w:tc>
          <w:tcPr>
            <w:tcW w:w="1700" w:type="dxa"/>
            <w:tcBorders>
              <w:top w:val="nil"/>
              <w:left w:val="nil"/>
              <w:bottom w:val="nil"/>
              <w:right w:val="nil"/>
            </w:tcBorders>
            <w:shd w:val="clear" w:color="auto" w:fill="auto"/>
            <w:noWrap/>
            <w:vAlign w:val="center"/>
            <w:hideMark/>
          </w:tcPr>
          <w:p w14:paraId="4D6085A3" w14:textId="77777777" w:rsidR="00F31EA9" w:rsidRPr="0066682B" w:rsidRDefault="00F31EA9" w:rsidP="00F31EA9">
            <w:pPr>
              <w:spacing w:after="0" w:line="240" w:lineRule="auto"/>
              <w:ind w:left="240" w:right="390"/>
              <w:rPr>
                <w:rFonts w:ascii="Cambria" w:eastAsia="Times New Roman" w:hAnsi="Cambria" w:cs="Calibri"/>
                <w:sz w:val="20"/>
                <w:szCs w:val="20"/>
                <w:lang w:val="en-US"/>
              </w:rPr>
            </w:pPr>
            <w:r w:rsidRPr="0066682B">
              <w:rPr>
                <w:rFonts w:ascii="Cambria" w:hAnsi="Cambria" w:cs="Arial"/>
                <w:sz w:val="18"/>
                <w:szCs w:val="18"/>
                <w:lang w:val="en-US"/>
              </w:rPr>
              <w:t>D(BOPO)</w:t>
            </w:r>
          </w:p>
        </w:tc>
        <w:tc>
          <w:tcPr>
            <w:tcW w:w="1914" w:type="dxa"/>
            <w:tcBorders>
              <w:top w:val="nil"/>
              <w:left w:val="nil"/>
              <w:bottom w:val="nil"/>
              <w:right w:val="nil"/>
            </w:tcBorders>
            <w:shd w:val="clear" w:color="auto" w:fill="auto"/>
            <w:noWrap/>
            <w:vAlign w:val="center"/>
            <w:hideMark/>
          </w:tcPr>
          <w:p w14:paraId="0AF39343" w14:textId="77777777" w:rsidR="00F31EA9" w:rsidRPr="0066682B" w:rsidRDefault="00F31EA9" w:rsidP="00F31EA9">
            <w:pPr>
              <w:spacing w:after="0" w:line="240" w:lineRule="auto"/>
              <w:ind w:right="525"/>
              <w:jc w:val="right"/>
              <w:rPr>
                <w:rFonts w:ascii="Cambria" w:eastAsia="Times New Roman" w:hAnsi="Cambria" w:cs="Calibri"/>
                <w:sz w:val="20"/>
                <w:szCs w:val="20"/>
                <w:lang w:val="en-US"/>
              </w:rPr>
            </w:pPr>
            <w:r w:rsidRPr="0066682B">
              <w:rPr>
                <w:rFonts w:ascii="Cambria" w:hAnsi="Cambria" w:cs="Arial"/>
                <w:sz w:val="18"/>
                <w:szCs w:val="18"/>
                <w:lang w:val="en-US"/>
              </w:rPr>
              <w:t> 2.233587</w:t>
            </w:r>
          </w:p>
        </w:tc>
      </w:tr>
      <w:tr w:rsidR="0066682B" w:rsidRPr="0066682B" w14:paraId="6CECBD79" w14:textId="77777777" w:rsidTr="00F31EA9">
        <w:trPr>
          <w:trHeight w:val="292"/>
        </w:trPr>
        <w:tc>
          <w:tcPr>
            <w:tcW w:w="1701" w:type="dxa"/>
            <w:tcBorders>
              <w:top w:val="nil"/>
              <w:left w:val="nil"/>
              <w:right w:val="nil"/>
            </w:tcBorders>
            <w:shd w:val="clear" w:color="auto" w:fill="auto"/>
            <w:noWrap/>
            <w:vAlign w:val="center"/>
            <w:hideMark/>
          </w:tcPr>
          <w:p w14:paraId="6D30CCDC" w14:textId="13BD2BCF" w:rsidR="00F31EA9" w:rsidRPr="0066682B" w:rsidRDefault="00F31EA9" w:rsidP="00F31EA9">
            <w:pPr>
              <w:spacing w:after="0" w:line="240" w:lineRule="auto"/>
              <w:ind w:left="321"/>
              <w:rPr>
                <w:rFonts w:ascii="Cambria" w:eastAsia="Times New Roman" w:hAnsi="Cambria" w:cs="Calibri"/>
                <w:sz w:val="20"/>
                <w:szCs w:val="20"/>
                <w:lang w:val="en-US"/>
              </w:rPr>
            </w:pPr>
            <w:r w:rsidRPr="0066682B">
              <w:rPr>
                <w:rFonts w:ascii="Cambria" w:eastAsia="Times New Roman" w:hAnsi="Cambria" w:cs="Calibri"/>
                <w:sz w:val="20"/>
                <w:szCs w:val="20"/>
                <w:lang w:val="en-US"/>
              </w:rPr>
              <w:t>E</w:t>
            </w:r>
            <w:r w:rsidR="000F396A" w:rsidRPr="0066682B">
              <w:rPr>
                <w:rFonts w:ascii="Cambria" w:eastAsia="Times New Roman" w:hAnsi="Cambria" w:cs="Calibri"/>
                <w:sz w:val="20"/>
                <w:szCs w:val="20"/>
                <w:lang w:val="en-US"/>
              </w:rPr>
              <w:t>G</w:t>
            </w:r>
          </w:p>
        </w:tc>
        <w:tc>
          <w:tcPr>
            <w:tcW w:w="1772" w:type="dxa"/>
            <w:tcBorders>
              <w:top w:val="nil"/>
              <w:left w:val="nil"/>
              <w:right w:val="nil"/>
            </w:tcBorders>
            <w:shd w:val="clear" w:color="auto" w:fill="auto"/>
            <w:noWrap/>
            <w:vAlign w:val="center"/>
            <w:hideMark/>
          </w:tcPr>
          <w:p w14:paraId="043016E7" w14:textId="77777777" w:rsidR="00F31EA9" w:rsidRPr="0066682B" w:rsidRDefault="00F31EA9" w:rsidP="00F31EA9">
            <w:pPr>
              <w:spacing w:after="0" w:line="240" w:lineRule="auto"/>
              <w:ind w:right="383"/>
              <w:jc w:val="right"/>
              <w:rPr>
                <w:rFonts w:ascii="Cambria" w:eastAsia="Times New Roman" w:hAnsi="Cambria" w:cs="Calibri"/>
                <w:sz w:val="20"/>
                <w:szCs w:val="20"/>
                <w:lang w:val="en-US"/>
              </w:rPr>
            </w:pPr>
            <w:r w:rsidRPr="0066682B">
              <w:rPr>
                <w:rFonts w:ascii="Cambria" w:hAnsi="Cambria" w:cs="Arial"/>
                <w:sz w:val="18"/>
                <w:szCs w:val="18"/>
                <w:lang w:val="en-US"/>
              </w:rPr>
              <w:t> 1.408885</w:t>
            </w:r>
          </w:p>
        </w:tc>
        <w:tc>
          <w:tcPr>
            <w:tcW w:w="780" w:type="dxa"/>
            <w:tcBorders>
              <w:top w:val="nil"/>
              <w:left w:val="nil"/>
              <w:right w:val="nil"/>
            </w:tcBorders>
            <w:vAlign w:val="center"/>
          </w:tcPr>
          <w:p w14:paraId="43EB3C83"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p>
        </w:tc>
        <w:tc>
          <w:tcPr>
            <w:tcW w:w="1700" w:type="dxa"/>
            <w:tcBorders>
              <w:top w:val="nil"/>
              <w:left w:val="nil"/>
              <w:right w:val="nil"/>
            </w:tcBorders>
            <w:shd w:val="clear" w:color="auto" w:fill="auto"/>
            <w:noWrap/>
            <w:vAlign w:val="center"/>
            <w:hideMark/>
          </w:tcPr>
          <w:p w14:paraId="327D47F4" w14:textId="3D1007C2" w:rsidR="00F31EA9" w:rsidRPr="0066682B" w:rsidRDefault="000F396A" w:rsidP="00F31EA9">
            <w:pPr>
              <w:spacing w:after="0" w:line="240" w:lineRule="auto"/>
              <w:ind w:left="240" w:right="390"/>
              <w:rPr>
                <w:rFonts w:ascii="Cambria" w:eastAsia="Times New Roman" w:hAnsi="Cambria" w:cs="Calibri"/>
                <w:sz w:val="20"/>
                <w:szCs w:val="20"/>
                <w:lang w:val="en-US"/>
              </w:rPr>
            </w:pPr>
            <w:r w:rsidRPr="0066682B">
              <w:rPr>
                <w:rFonts w:ascii="Cambria" w:hAnsi="Cambria" w:cs="Arial"/>
                <w:sz w:val="18"/>
                <w:szCs w:val="18"/>
                <w:lang w:val="en-US"/>
              </w:rPr>
              <w:t>D(</w:t>
            </w:r>
            <w:r w:rsidR="00F31EA9" w:rsidRPr="0066682B">
              <w:rPr>
                <w:rFonts w:ascii="Cambria" w:hAnsi="Cambria" w:cs="Arial"/>
                <w:sz w:val="18"/>
                <w:szCs w:val="18"/>
                <w:lang w:val="en-US"/>
              </w:rPr>
              <w:t>E</w:t>
            </w:r>
            <w:r w:rsidRPr="0066682B">
              <w:rPr>
                <w:rFonts w:ascii="Cambria" w:hAnsi="Cambria" w:cs="Arial"/>
                <w:sz w:val="18"/>
                <w:szCs w:val="18"/>
                <w:lang w:val="en-US"/>
              </w:rPr>
              <w:t>G</w:t>
            </w:r>
            <w:r w:rsidR="00F31EA9" w:rsidRPr="0066682B">
              <w:rPr>
                <w:rFonts w:ascii="Cambria" w:hAnsi="Cambria" w:cs="Arial"/>
                <w:sz w:val="18"/>
                <w:szCs w:val="18"/>
                <w:lang w:val="en-US"/>
              </w:rPr>
              <w:t>)</w:t>
            </w:r>
          </w:p>
        </w:tc>
        <w:tc>
          <w:tcPr>
            <w:tcW w:w="1914" w:type="dxa"/>
            <w:tcBorders>
              <w:top w:val="nil"/>
              <w:left w:val="nil"/>
              <w:right w:val="nil"/>
            </w:tcBorders>
            <w:shd w:val="clear" w:color="auto" w:fill="auto"/>
            <w:noWrap/>
            <w:vAlign w:val="center"/>
            <w:hideMark/>
          </w:tcPr>
          <w:p w14:paraId="0B3E37BB" w14:textId="77777777" w:rsidR="00F31EA9" w:rsidRPr="0066682B" w:rsidRDefault="00F31EA9" w:rsidP="00F31EA9">
            <w:pPr>
              <w:spacing w:after="0" w:line="240" w:lineRule="auto"/>
              <w:ind w:right="525"/>
              <w:jc w:val="right"/>
              <w:rPr>
                <w:rFonts w:ascii="Cambria" w:eastAsia="Times New Roman" w:hAnsi="Cambria" w:cs="Calibri"/>
                <w:sz w:val="20"/>
                <w:szCs w:val="20"/>
                <w:lang w:val="en-US"/>
              </w:rPr>
            </w:pPr>
            <w:r w:rsidRPr="0066682B">
              <w:rPr>
                <w:rFonts w:ascii="Cambria" w:hAnsi="Cambria" w:cs="Arial"/>
                <w:sz w:val="18"/>
                <w:szCs w:val="18"/>
                <w:lang w:val="en-US"/>
              </w:rPr>
              <w:t> 3.364434</w:t>
            </w:r>
          </w:p>
        </w:tc>
      </w:tr>
      <w:tr w:rsidR="0066682B" w:rsidRPr="0066682B" w14:paraId="3B82A08F" w14:textId="77777777" w:rsidTr="00F31EA9">
        <w:trPr>
          <w:trHeight w:val="292"/>
        </w:trPr>
        <w:tc>
          <w:tcPr>
            <w:tcW w:w="1701" w:type="dxa"/>
            <w:tcBorders>
              <w:top w:val="nil"/>
              <w:left w:val="nil"/>
              <w:bottom w:val="nil"/>
              <w:right w:val="nil"/>
            </w:tcBorders>
            <w:shd w:val="clear" w:color="auto" w:fill="auto"/>
            <w:noWrap/>
            <w:vAlign w:val="center"/>
            <w:hideMark/>
          </w:tcPr>
          <w:p w14:paraId="512DC22B" w14:textId="77777777" w:rsidR="00F31EA9" w:rsidRPr="0066682B" w:rsidRDefault="00F31EA9" w:rsidP="00F31EA9">
            <w:pPr>
              <w:spacing w:after="0" w:line="240" w:lineRule="auto"/>
              <w:ind w:left="321"/>
              <w:rPr>
                <w:rFonts w:ascii="Cambria" w:eastAsia="Times New Roman" w:hAnsi="Cambria" w:cs="Calibri"/>
                <w:sz w:val="20"/>
                <w:szCs w:val="20"/>
                <w:lang w:val="en-US"/>
              </w:rPr>
            </w:pPr>
            <w:r w:rsidRPr="0066682B">
              <w:rPr>
                <w:rFonts w:ascii="Cambria" w:eastAsia="Times New Roman" w:hAnsi="Cambria" w:cs="Calibri"/>
                <w:sz w:val="20"/>
                <w:szCs w:val="20"/>
                <w:lang w:val="en-US"/>
              </w:rPr>
              <w:lastRenderedPageBreak/>
              <w:t>INF</w:t>
            </w:r>
          </w:p>
        </w:tc>
        <w:tc>
          <w:tcPr>
            <w:tcW w:w="1772" w:type="dxa"/>
            <w:tcBorders>
              <w:top w:val="nil"/>
              <w:left w:val="nil"/>
              <w:bottom w:val="nil"/>
              <w:right w:val="nil"/>
            </w:tcBorders>
            <w:shd w:val="clear" w:color="auto" w:fill="auto"/>
            <w:noWrap/>
            <w:vAlign w:val="center"/>
            <w:hideMark/>
          </w:tcPr>
          <w:p w14:paraId="637EC529" w14:textId="77777777" w:rsidR="00F31EA9" w:rsidRPr="0066682B" w:rsidRDefault="00F31EA9" w:rsidP="00F31EA9">
            <w:pPr>
              <w:spacing w:after="0" w:line="240" w:lineRule="auto"/>
              <w:ind w:right="383"/>
              <w:jc w:val="right"/>
              <w:rPr>
                <w:rFonts w:ascii="Cambria" w:eastAsia="Times New Roman" w:hAnsi="Cambria" w:cs="Calibri"/>
                <w:sz w:val="20"/>
                <w:szCs w:val="20"/>
                <w:lang w:val="en-US"/>
              </w:rPr>
            </w:pPr>
            <w:r w:rsidRPr="0066682B">
              <w:rPr>
                <w:rFonts w:ascii="Cambria" w:hAnsi="Cambria" w:cs="Arial"/>
                <w:sz w:val="18"/>
                <w:szCs w:val="18"/>
                <w:lang w:val="en-US"/>
              </w:rPr>
              <w:t> 3.233288</w:t>
            </w:r>
          </w:p>
        </w:tc>
        <w:tc>
          <w:tcPr>
            <w:tcW w:w="780" w:type="dxa"/>
            <w:tcBorders>
              <w:top w:val="nil"/>
              <w:left w:val="nil"/>
              <w:bottom w:val="nil"/>
              <w:right w:val="nil"/>
            </w:tcBorders>
            <w:vAlign w:val="center"/>
          </w:tcPr>
          <w:p w14:paraId="115E920F"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p>
        </w:tc>
        <w:tc>
          <w:tcPr>
            <w:tcW w:w="1700" w:type="dxa"/>
            <w:tcBorders>
              <w:top w:val="nil"/>
              <w:left w:val="nil"/>
              <w:bottom w:val="nil"/>
              <w:right w:val="nil"/>
            </w:tcBorders>
            <w:shd w:val="clear" w:color="auto" w:fill="auto"/>
            <w:noWrap/>
            <w:vAlign w:val="center"/>
            <w:hideMark/>
          </w:tcPr>
          <w:p w14:paraId="74160CF5" w14:textId="77777777" w:rsidR="00F31EA9" w:rsidRPr="0066682B" w:rsidRDefault="00F31EA9" w:rsidP="00F31EA9">
            <w:pPr>
              <w:spacing w:after="0" w:line="240" w:lineRule="auto"/>
              <w:ind w:left="240" w:right="390"/>
              <w:rPr>
                <w:rFonts w:ascii="Cambria" w:eastAsia="Times New Roman" w:hAnsi="Cambria" w:cs="Calibri"/>
                <w:sz w:val="20"/>
                <w:szCs w:val="20"/>
                <w:lang w:val="en-US"/>
              </w:rPr>
            </w:pPr>
            <w:r w:rsidRPr="0066682B">
              <w:rPr>
                <w:rFonts w:ascii="Cambria" w:hAnsi="Cambria" w:cs="Arial"/>
                <w:sz w:val="18"/>
                <w:szCs w:val="18"/>
                <w:lang w:val="en-US"/>
              </w:rPr>
              <w:t>D(INF)</w:t>
            </w:r>
          </w:p>
        </w:tc>
        <w:tc>
          <w:tcPr>
            <w:tcW w:w="1914" w:type="dxa"/>
            <w:tcBorders>
              <w:top w:val="nil"/>
              <w:left w:val="nil"/>
              <w:bottom w:val="nil"/>
              <w:right w:val="nil"/>
            </w:tcBorders>
            <w:shd w:val="clear" w:color="auto" w:fill="auto"/>
            <w:noWrap/>
            <w:vAlign w:val="center"/>
            <w:hideMark/>
          </w:tcPr>
          <w:p w14:paraId="0CFC0619" w14:textId="77777777" w:rsidR="00F31EA9" w:rsidRPr="0066682B" w:rsidRDefault="00F31EA9" w:rsidP="00F31EA9">
            <w:pPr>
              <w:spacing w:after="0" w:line="240" w:lineRule="auto"/>
              <w:ind w:right="525"/>
              <w:jc w:val="right"/>
              <w:rPr>
                <w:rFonts w:ascii="Cambria" w:eastAsia="Times New Roman" w:hAnsi="Cambria" w:cs="Calibri"/>
                <w:sz w:val="20"/>
                <w:szCs w:val="20"/>
                <w:lang w:val="en-US"/>
              </w:rPr>
            </w:pPr>
            <w:r w:rsidRPr="0066682B">
              <w:rPr>
                <w:rFonts w:ascii="Cambria" w:hAnsi="Cambria" w:cs="Arial"/>
                <w:sz w:val="18"/>
                <w:szCs w:val="18"/>
                <w:lang w:val="en-US"/>
              </w:rPr>
              <w:t> 1.458559</w:t>
            </w:r>
          </w:p>
        </w:tc>
      </w:tr>
      <w:tr w:rsidR="00F31EA9" w:rsidRPr="0066682B" w14:paraId="7C53E635" w14:textId="77777777" w:rsidTr="00F31EA9">
        <w:trPr>
          <w:trHeight w:val="292"/>
        </w:trPr>
        <w:tc>
          <w:tcPr>
            <w:tcW w:w="1701" w:type="dxa"/>
            <w:tcBorders>
              <w:top w:val="nil"/>
              <w:left w:val="nil"/>
              <w:bottom w:val="single" w:sz="12" w:space="0" w:color="auto"/>
              <w:right w:val="nil"/>
            </w:tcBorders>
            <w:shd w:val="clear" w:color="auto" w:fill="auto"/>
            <w:noWrap/>
            <w:vAlign w:val="center"/>
          </w:tcPr>
          <w:p w14:paraId="1D565FA0" w14:textId="77777777" w:rsidR="00F31EA9" w:rsidRPr="0066682B" w:rsidRDefault="00F31EA9" w:rsidP="00F31EA9">
            <w:pPr>
              <w:spacing w:after="0" w:line="240" w:lineRule="auto"/>
              <w:ind w:left="321"/>
              <w:rPr>
                <w:rFonts w:ascii="Cambria" w:eastAsia="Times New Roman" w:hAnsi="Cambria" w:cs="Calibri"/>
                <w:sz w:val="20"/>
                <w:szCs w:val="20"/>
                <w:lang w:val="en-US"/>
              </w:rPr>
            </w:pPr>
          </w:p>
        </w:tc>
        <w:tc>
          <w:tcPr>
            <w:tcW w:w="1772" w:type="dxa"/>
            <w:tcBorders>
              <w:top w:val="nil"/>
              <w:left w:val="nil"/>
              <w:bottom w:val="single" w:sz="12" w:space="0" w:color="auto"/>
              <w:right w:val="nil"/>
            </w:tcBorders>
            <w:shd w:val="clear" w:color="auto" w:fill="auto"/>
            <w:noWrap/>
            <w:vAlign w:val="center"/>
          </w:tcPr>
          <w:p w14:paraId="159F3027" w14:textId="77777777" w:rsidR="00F31EA9" w:rsidRPr="0066682B" w:rsidRDefault="00F31EA9" w:rsidP="00F31EA9">
            <w:pPr>
              <w:spacing w:after="0" w:line="240" w:lineRule="auto"/>
              <w:ind w:right="383"/>
              <w:jc w:val="right"/>
              <w:rPr>
                <w:rFonts w:ascii="Cambria" w:hAnsi="Cambria" w:cs="Arial"/>
                <w:sz w:val="18"/>
                <w:szCs w:val="18"/>
                <w:lang w:val="en-US"/>
              </w:rPr>
            </w:pPr>
          </w:p>
        </w:tc>
        <w:tc>
          <w:tcPr>
            <w:tcW w:w="780" w:type="dxa"/>
            <w:tcBorders>
              <w:top w:val="nil"/>
              <w:left w:val="nil"/>
              <w:bottom w:val="single" w:sz="12" w:space="0" w:color="auto"/>
              <w:right w:val="nil"/>
            </w:tcBorders>
            <w:vAlign w:val="center"/>
          </w:tcPr>
          <w:p w14:paraId="17071665"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p>
        </w:tc>
        <w:tc>
          <w:tcPr>
            <w:tcW w:w="1700" w:type="dxa"/>
            <w:tcBorders>
              <w:top w:val="nil"/>
              <w:left w:val="nil"/>
              <w:bottom w:val="single" w:sz="12" w:space="0" w:color="auto"/>
              <w:right w:val="nil"/>
            </w:tcBorders>
            <w:shd w:val="clear" w:color="auto" w:fill="auto"/>
            <w:noWrap/>
            <w:vAlign w:val="center"/>
          </w:tcPr>
          <w:p w14:paraId="05F2EC73" w14:textId="5CABCDB2" w:rsidR="00F31EA9" w:rsidRPr="0066682B" w:rsidRDefault="000F396A" w:rsidP="00F31EA9">
            <w:pPr>
              <w:spacing w:after="0" w:line="240" w:lineRule="auto"/>
              <w:ind w:left="240" w:right="390"/>
              <w:rPr>
                <w:rFonts w:ascii="Cambria" w:hAnsi="Cambria" w:cs="Calibri"/>
                <w:sz w:val="20"/>
                <w:szCs w:val="20"/>
              </w:rPr>
            </w:pPr>
            <w:r w:rsidRPr="0066682B">
              <w:rPr>
                <w:rFonts w:ascii="Cambria" w:hAnsi="Cambria" w:cs="Arial"/>
                <w:sz w:val="18"/>
                <w:szCs w:val="18"/>
                <w:lang w:val="en-US"/>
              </w:rPr>
              <w:t>EC</w:t>
            </w:r>
            <w:r w:rsidR="00F31EA9" w:rsidRPr="0066682B">
              <w:rPr>
                <w:rFonts w:ascii="Cambria" w:hAnsi="Cambria" w:cs="Arial"/>
                <w:sz w:val="18"/>
                <w:szCs w:val="18"/>
                <w:lang w:val="en-US"/>
              </w:rPr>
              <w:t>(-1)</w:t>
            </w:r>
          </w:p>
        </w:tc>
        <w:tc>
          <w:tcPr>
            <w:tcW w:w="1914" w:type="dxa"/>
            <w:tcBorders>
              <w:top w:val="nil"/>
              <w:left w:val="nil"/>
              <w:bottom w:val="single" w:sz="12" w:space="0" w:color="auto"/>
              <w:right w:val="nil"/>
            </w:tcBorders>
            <w:shd w:val="clear" w:color="auto" w:fill="auto"/>
            <w:noWrap/>
            <w:vAlign w:val="center"/>
          </w:tcPr>
          <w:p w14:paraId="53659D64" w14:textId="77777777" w:rsidR="00F31EA9" w:rsidRPr="0066682B" w:rsidRDefault="00F31EA9" w:rsidP="00F31EA9">
            <w:pPr>
              <w:spacing w:after="0" w:line="240" w:lineRule="auto"/>
              <w:ind w:right="525"/>
              <w:jc w:val="right"/>
              <w:rPr>
                <w:rFonts w:ascii="Cambria" w:hAnsi="Cambria" w:cs="Calibri"/>
                <w:sz w:val="20"/>
                <w:szCs w:val="20"/>
              </w:rPr>
            </w:pPr>
            <w:r w:rsidRPr="0066682B">
              <w:rPr>
                <w:rFonts w:ascii="Cambria" w:hAnsi="Cambria" w:cs="Arial"/>
                <w:sz w:val="18"/>
                <w:szCs w:val="18"/>
                <w:lang w:val="en-US"/>
              </w:rPr>
              <w:t> 2.417644</w:t>
            </w:r>
          </w:p>
        </w:tc>
      </w:tr>
    </w:tbl>
    <w:p w14:paraId="39B37A23" w14:textId="02B25AA2" w:rsidR="00F31EA9" w:rsidRDefault="00F31EA9" w:rsidP="00F31EA9">
      <w:pPr>
        <w:pStyle w:val="ListParagraph"/>
        <w:spacing w:after="0" w:line="360" w:lineRule="auto"/>
        <w:ind w:left="0"/>
        <w:jc w:val="both"/>
        <w:rPr>
          <w:rFonts w:ascii="Cambria" w:hAnsi="Cambria" w:cs="Times New Roman"/>
          <w:sz w:val="24"/>
          <w:szCs w:val="24"/>
          <w:lang w:val="en-US"/>
        </w:rPr>
      </w:pPr>
    </w:p>
    <w:p w14:paraId="02FF1D5E" w14:textId="0B4917E8" w:rsidR="006D0E3F" w:rsidRPr="006D0E3F" w:rsidRDefault="006D0E3F" w:rsidP="006D0E3F">
      <w:pPr>
        <w:pStyle w:val="ListParagraph"/>
        <w:spacing w:after="0" w:line="240" w:lineRule="auto"/>
        <w:ind w:left="0" w:firstLine="426"/>
        <w:contextualSpacing w:val="0"/>
        <w:jc w:val="both"/>
        <w:rPr>
          <w:rFonts w:ascii="Cambria" w:hAnsi="Cambria" w:cs="Times New Roman"/>
          <w:lang w:val="en-US"/>
        </w:rPr>
      </w:pPr>
      <w:r w:rsidRPr="006D0E3F">
        <w:rPr>
          <w:rFonts w:ascii="Cambria" w:hAnsi="Cambria" w:cs="Times New Roman"/>
          <w:lang w:val="en-US"/>
        </w:rPr>
        <w:t>Initial identification of the presence or absence of autocorrelation between the two models (OLS and ECM) has been done previously with the Durbin Watson test and it is suspected that the two models are free from autocorrelation. To further ensure the fulfillment of the model from the autocorrelation assumption, the Breusch-Godfrey Lagrange Multiplier (LM) test was performed. The results of the Breusch-Godfrey LM test for both models can be seen in Table 7, which shows that prob. F-stat and χ2 are more than 0.05 so that it can be ascertained that the residuals of the two models do not have autocorrelation, so that the assumptions of the model are free from autocorrelation are fulfilled.</w:t>
      </w:r>
    </w:p>
    <w:p w14:paraId="3DEBEA55" w14:textId="536451C9" w:rsidR="006D0E3F" w:rsidRPr="006D0E3F" w:rsidRDefault="006D0E3F" w:rsidP="006D0E3F">
      <w:pPr>
        <w:pStyle w:val="ListParagraph"/>
        <w:spacing w:after="0" w:line="240" w:lineRule="auto"/>
        <w:ind w:left="0" w:firstLine="426"/>
        <w:contextualSpacing w:val="0"/>
        <w:jc w:val="both"/>
        <w:rPr>
          <w:rFonts w:ascii="Cambria" w:hAnsi="Cambria" w:cs="Times New Roman"/>
          <w:lang w:val="en-US"/>
        </w:rPr>
      </w:pPr>
      <w:r w:rsidRPr="006D0E3F">
        <w:rPr>
          <w:rFonts w:ascii="Cambria" w:hAnsi="Cambria" w:cs="Times New Roman"/>
          <w:lang w:val="en-US"/>
        </w:rPr>
        <w:t xml:space="preserve">The results of the heteroscedasticity test using the Breusch-Pagan-Godfrey test </w:t>
      </w:r>
      <w:r>
        <w:rPr>
          <w:rFonts w:ascii="Cambria" w:hAnsi="Cambria" w:cs="Times New Roman"/>
          <w:lang w:val="en-US"/>
        </w:rPr>
        <w:t xml:space="preserve">are shown in Table 8. Prob. </w:t>
      </w:r>
      <w:r w:rsidRPr="006D0E3F">
        <w:rPr>
          <w:rFonts w:ascii="Cambria" w:hAnsi="Cambria" w:cs="Times New Roman"/>
          <w:lang w:val="en-US"/>
        </w:rPr>
        <w:t>F-stat and χ2 of both models (OLS and ECM) are more than 0.05, which means that the residuals of both models are homoscedastic (not heteroscedasticity). From these results, it can be concluded that the assumptions of both models are free from heteroscedasticity have been fulfilled.</w:t>
      </w:r>
    </w:p>
    <w:p w14:paraId="0F4BB373" w14:textId="77777777" w:rsidR="00606C55" w:rsidRPr="0066682B" w:rsidRDefault="00606C55" w:rsidP="00F31EA9">
      <w:pPr>
        <w:pStyle w:val="ListParagraph"/>
        <w:spacing w:after="0" w:line="360" w:lineRule="auto"/>
        <w:ind w:left="0"/>
        <w:jc w:val="both"/>
        <w:rPr>
          <w:rFonts w:ascii="Cambria" w:hAnsi="Cambria" w:cs="Times New Roman"/>
          <w:sz w:val="24"/>
          <w:szCs w:val="24"/>
          <w:lang w:val="en-US"/>
        </w:rPr>
      </w:pPr>
    </w:p>
    <w:p w14:paraId="400DE5B9" w14:textId="0B628D13" w:rsidR="00F31EA9" w:rsidRPr="0066682B" w:rsidRDefault="00F31EA9" w:rsidP="00F31EA9">
      <w:pPr>
        <w:pStyle w:val="ListParagraph"/>
        <w:spacing w:after="0" w:line="360" w:lineRule="auto"/>
        <w:ind w:left="0"/>
        <w:jc w:val="both"/>
        <w:rPr>
          <w:rFonts w:ascii="Cambria" w:hAnsi="Cambria" w:cs="Times New Roman"/>
          <w:sz w:val="20"/>
          <w:szCs w:val="20"/>
          <w:lang w:val="en-US"/>
        </w:rPr>
      </w:pPr>
      <w:r w:rsidRPr="0066682B">
        <w:rPr>
          <w:rFonts w:ascii="Cambria" w:hAnsi="Cambria" w:cs="Times New Roman"/>
          <w:b/>
          <w:sz w:val="20"/>
          <w:szCs w:val="20"/>
          <w:lang w:val="en-US"/>
        </w:rPr>
        <w:t xml:space="preserve">Table </w:t>
      </w:r>
      <w:r w:rsidR="0074347C">
        <w:rPr>
          <w:rFonts w:ascii="Cambria" w:hAnsi="Cambria" w:cs="Times New Roman"/>
          <w:b/>
          <w:sz w:val="20"/>
          <w:szCs w:val="20"/>
          <w:lang w:val="en-US"/>
        </w:rPr>
        <w:t>7</w:t>
      </w:r>
      <w:r w:rsidRPr="0066682B">
        <w:rPr>
          <w:rFonts w:ascii="Cambria" w:hAnsi="Cambria" w:cs="Times New Roman"/>
          <w:b/>
          <w:sz w:val="20"/>
          <w:szCs w:val="20"/>
          <w:lang w:val="en-US"/>
        </w:rPr>
        <w:t>.</w:t>
      </w:r>
      <w:r w:rsidR="00B83016">
        <w:rPr>
          <w:rFonts w:ascii="Cambria" w:hAnsi="Cambria" w:cs="Times New Roman"/>
          <w:sz w:val="20"/>
          <w:szCs w:val="20"/>
          <w:lang w:val="en-US"/>
        </w:rPr>
        <w:t xml:space="preserve"> Autororrelation t</w:t>
      </w:r>
      <w:r w:rsidRPr="0066682B">
        <w:rPr>
          <w:rFonts w:ascii="Cambria" w:hAnsi="Cambria" w:cs="Times New Roman"/>
          <w:sz w:val="20"/>
          <w:szCs w:val="20"/>
          <w:lang w:val="en-US"/>
        </w:rPr>
        <w:t xml:space="preserve">est </w:t>
      </w:r>
      <w:r w:rsidR="00B83016">
        <w:rPr>
          <w:rFonts w:ascii="Cambria" w:hAnsi="Cambria" w:cs="Times New Roman"/>
          <w:sz w:val="20"/>
          <w:szCs w:val="20"/>
          <w:lang w:val="en-US"/>
        </w:rPr>
        <w:t>r</w:t>
      </w:r>
      <w:r w:rsidRPr="0066682B">
        <w:rPr>
          <w:rFonts w:ascii="Cambria" w:hAnsi="Cambria" w:cs="Times New Roman"/>
          <w:sz w:val="20"/>
          <w:szCs w:val="20"/>
          <w:lang w:val="en-US"/>
        </w:rPr>
        <w:t xml:space="preserve">esult: </w:t>
      </w:r>
      <w:r w:rsidRPr="0066682B">
        <w:rPr>
          <w:rFonts w:ascii="Cambria" w:hAnsi="Cambria" w:cs="Arial"/>
          <w:sz w:val="20"/>
          <w:szCs w:val="20"/>
          <w:lang w:val="en-US"/>
        </w:rPr>
        <w:t>Breusch-Godfrey</w:t>
      </w:r>
    </w:p>
    <w:tbl>
      <w:tblPr>
        <w:tblW w:w="9639" w:type="dxa"/>
        <w:tblInd w:w="108" w:type="dxa"/>
        <w:tblLayout w:type="fixed"/>
        <w:tblLook w:val="04A0" w:firstRow="1" w:lastRow="0" w:firstColumn="1" w:lastColumn="0" w:noHBand="0" w:noVBand="1"/>
      </w:tblPr>
      <w:tblGrid>
        <w:gridCol w:w="1927"/>
        <w:gridCol w:w="1928"/>
        <w:gridCol w:w="1928"/>
        <w:gridCol w:w="1928"/>
        <w:gridCol w:w="1928"/>
      </w:tblGrid>
      <w:tr w:rsidR="0066682B" w:rsidRPr="0066682B" w14:paraId="7DDE11D1" w14:textId="77777777" w:rsidTr="00F31EA9">
        <w:trPr>
          <w:trHeight w:val="300"/>
        </w:trPr>
        <w:tc>
          <w:tcPr>
            <w:tcW w:w="1927" w:type="dxa"/>
            <w:tcBorders>
              <w:top w:val="single" w:sz="12" w:space="0" w:color="auto"/>
              <w:left w:val="nil"/>
              <w:bottom w:val="single" w:sz="8" w:space="0" w:color="auto"/>
              <w:right w:val="nil"/>
            </w:tcBorders>
            <w:shd w:val="clear" w:color="auto" w:fill="auto"/>
            <w:noWrap/>
            <w:vAlign w:val="center"/>
            <w:hideMark/>
          </w:tcPr>
          <w:p w14:paraId="7032B86E" w14:textId="77777777" w:rsidR="00F31EA9" w:rsidRPr="0066682B" w:rsidRDefault="00F31EA9" w:rsidP="00F31EA9">
            <w:pPr>
              <w:spacing w:after="0" w:line="240" w:lineRule="auto"/>
              <w:ind w:left="179"/>
              <w:rPr>
                <w:rFonts w:ascii="Cambria" w:eastAsia="Times New Roman" w:hAnsi="Cambria" w:cs="Times New Roman"/>
                <w:b/>
                <w:sz w:val="20"/>
                <w:szCs w:val="20"/>
                <w:lang w:val="en-US"/>
              </w:rPr>
            </w:pPr>
            <w:r w:rsidRPr="0066682B">
              <w:rPr>
                <w:rFonts w:ascii="Cambria" w:eastAsia="Times New Roman" w:hAnsi="Cambria" w:cs="Times New Roman"/>
                <w:b/>
                <w:sz w:val="20"/>
                <w:szCs w:val="20"/>
                <w:lang w:val="en-US"/>
              </w:rPr>
              <w:t>Model</w:t>
            </w:r>
          </w:p>
        </w:tc>
        <w:tc>
          <w:tcPr>
            <w:tcW w:w="1928" w:type="dxa"/>
            <w:tcBorders>
              <w:top w:val="single" w:sz="12" w:space="0" w:color="auto"/>
              <w:left w:val="nil"/>
              <w:bottom w:val="single" w:sz="8" w:space="0" w:color="auto"/>
              <w:right w:val="nil"/>
            </w:tcBorders>
            <w:shd w:val="clear" w:color="auto" w:fill="auto"/>
            <w:noWrap/>
            <w:vAlign w:val="center"/>
            <w:hideMark/>
          </w:tcPr>
          <w:p w14:paraId="64DA4613"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hAnsi="Cambria" w:cs="Arial"/>
                <w:sz w:val="20"/>
                <w:szCs w:val="20"/>
                <w:lang w:val="en-US"/>
              </w:rPr>
              <w:t>F-statistic</w:t>
            </w:r>
          </w:p>
        </w:tc>
        <w:tc>
          <w:tcPr>
            <w:tcW w:w="1928" w:type="dxa"/>
            <w:tcBorders>
              <w:top w:val="single" w:sz="12" w:space="0" w:color="auto"/>
              <w:left w:val="nil"/>
              <w:bottom w:val="single" w:sz="8" w:space="0" w:color="auto"/>
              <w:right w:val="nil"/>
            </w:tcBorders>
            <w:shd w:val="clear" w:color="auto" w:fill="auto"/>
            <w:noWrap/>
            <w:vAlign w:val="center"/>
            <w:hideMark/>
          </w:tcPr>
          <w:p w14:paraId="24BF3952"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hAnsi="Cambria" w:cs="Arial"/>
                <w:sz w:val="20"/>
                <w:szCs w:val="20"/>
                <w:lang w:val="en-US"/>
              </w:rPr>
              <w:t>Prob. F</w:t>
            </w:r>
          </w:p>
        </w:tc>
        <w:tc>
          <w:tcPr>
            <w:tcW w:w="1928" w:type="dxa"/>
            <w:tcBorders>
              <w:top w:val="single" w:sz="12" w:space="0" w:color="auto"/>
              <w:left w:val="nil"/>
              <w:bottom w:val="single" w:sz="8" w:space="0" w:color="auto"/>
              <w:right w:val="nil"/>
            </w:tcBorders>
            <w:shd w:val="clear" w:color="auto" w:fill="auto"/>
            <w:noWrap/>
            <w:vAlign w:val="center"/>
            <w:hideMark/>
          </w:tcPr>
          <w:p w14:paraId="5706C046"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hAnsi="Cambria" w:cs="Arial"/>
                <w:sz w:val="20"/>
                <w:szCs w:val="20"/>
                <w:lang w:val="en-US"/>
              </w:rPr>
              <w:t>Obs*R-squared</w:t>
            </w:r>
          </w:p>
        </w:tc>
        <w:tc>
          <w:tcPr>
            <w:tcW w:w="1928" w:type="dxa"/>
            <w:tcBorders>
              <w:top w:val="single" w:sz="12" w:space="0" w:color="auto"/>
              <w:left w:val="nil"/>
              <w:bottom w:val="single" w:sz="8" w:space="0" w:color="auto"/>
              <w:right w:val="nil"/>
            </w:tcBorders>
            <w:shd w:val="clear" w:color="auto" w:fill="auto"/>
            <w:noWrap/>
            <w:vAlign w:val="center"/>
            <w:hideMark/>
          </w:tcPr>
          <w:p w14:paraId="390B3431"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hAnsi="Cambria" w:cs="Arial"/>
                <w:sz w:val="20"/>
                <w:szCs w:val="20"/>
                <w:lang w:val="en-US"/>
              </w:rPr>
              <w:t>Prob. Chi-Square</w:t>
            </w:r>
          </w:p>
        </w:tc>
      </w:tr>
      <w:tr w:rsidR="0066682B" w:rsidRPr="0066682B" w14:paraId="598430DD" w14:textId="77777777" w:rsidTr="00F31EA9">
        <w:trPr>
          <w:trHeight w:val="300"/>
        </w:trPr>
        <w:tc>
          <w:tcPr>
            <w:tcW w:w="1927" w:type="dxa"/>
            <w:tcBorders>
              <w:top w:val="single" w:sz="8" w:space="0" w:color="auto"/>
              <w:left w:val="nil"/>
              <w:bottom w:val="nil"/>
              <w:right w:val="nil"/>
            </w:tcBorders>
            <w:shd w:val="clear" w:color="auto" w:fill="auto"/>
            <w:noWrap/>
            <w:vAlign w:val="center"/>
            <w:hideMark/>
          </w:tcPr>
          <w:p w14:paraId="4B5E6CD8" w14:textId="77777777" w:rsidR="00F31EA9" w:rsidRPr="0066682B" w:rsidRDefault="00F31EA9" w:rsidP="00F31EA9">
            <w:pPr>
              <w:spacing w:after="0" w:line="240" w:lineRule="auto"/>
              <w:ind w:left="179"/>
              <w:rPr>
                <w:rFonts w:ascii="Cambria" w:eastAsia="Times New Roman" w:hAnsi="Cambria" w:cs="Calibri"/>
                <w:sz w:val="20"/>
                <w:szCs w:val="20"/>
                <w:lang w:val="en-US"/>
              </w:rPr>
            </w:pPr>
            <w:r w:rsidRPr="0066682B">
              <w:rPr>
                <w:rFonts w:ascii="Cambria" w:eastAsia="Times New Roman" w:hAnsi="Cambria" w:cs="Calibri"/>
                <w:sz w:val="20"/>
                <w:szCs w:val="20"/>
                <w:lang w:val="en-US"/>
              </w:rPr>
              <w:t>OLS</w:t>
            </w:r>
          </w:p>
        </w:tc>
        <w:tc>
          <w:tcPr>
            <w:tcW w:w="1928" w:type="dxa"/>
            <w:tcBorders>
              <w:top w:val="single" w:sz="8" w:space="0" w:color="auto"/>
              <w:left w:val="nil"/>
              <w:bottom w:val="nil"/>
              <w:right w:val="nil"/>
            </w:tcBorders>
            <w:shd w:val="clear" w:color="auto" w:fill="auto"/>
            <w:noWrap/>
            <w:vAlign w:val="center"/>
            <w:hideMark/>
          </w:tcPr>
          <w:p w14:paraId="0082864B" w14:textId="77777777" w:rsidR="00F31EA9" w:rsidRPr="0066682B" w:rsidRDefault="00F31EA9" w:rsidP="00F31EA9">
            <w:pPr>
              <w:spacing w:after="0" w:line="240" w:lineRule="auto"/>
              <w:ind w:right="489"/>
              <w:jc w:val="right"/>
              <w:rPr>
                <w:rFonts w:ascii="Cambria" w:eastAsia="Times New Roman" w:hAnsi="Cambria" w:cs="Calibri"/>
                <w:sz w:val="20"/>
                <w:szCs w:val="20"/>
                <w:lang w:val="en-US"/>
              </w:rPr>
            </w:pPr>
            <w:r w:rsidRPr="0066682B">
              <w:rPr>
                <w:rFonts w:ascii="Cambria" w:hAnsi="Cambria" w:cs="Arial"/>
                <w:sz w:val="20"/>
                <w:szCs w:val="20"/>
                <w:lang w:val="en-US"/>
              </w:rPr>
              <w:t>0.07751</w:t>
            </w:r>
          </w:p>
        </w:tc>
        <w:tc>
          <w:tcPr>
            <w:tcW w:w="1928" w:type="dxa"/>
            <w:tcBorders>
              <w:top w:val="single" w:sz="8" w:space="0" w:color="auto"/>
              <w:left w:val="nil"/>
              <w:bottom w:val="nil"/>
              <w:right w:val="nil"/>
            </w:tcBorders>
            <w:shd w:val="clear" w:color="auto" w:fill="auto"/>
            <w:noWrap/>
            <w:vAlign w:val="center"/>
            <w:hideMark/>
          </w:tcPr>
          <w:p w14:paraId="2A66AD56" w14:textId="77777777" w:rsidR="00F31EA9" w:rsidRPr="0066682B" w:rsidRDefault="00F31EA9" w:rsidP="00F31EA9">
            <w:pPr>
              <w:spacing w:after="0" w:line="240" w:lineRule="auto"/>
              <w:ind w:right="567"/>
              <w:jc w:val="right"/>
              <w:rPr>
                <w:rFonts w:ascii="Cambria" w:eastAsia="Times New Roman" w:hAnsi="Cambria" w:cs="Calibri"/>
                <w:sz w:val="20"/>
                <w:szCs w:val="20"/>
                <w:lang w:val="en-US"/>
              </w:rPr>
            </w:pPr>
            <w:r w:rsidRPr="0066682B">
              <w:rPr>
                <w:rFonts w:ascii="Cambria" w:hAnsi="Cambria" w:cs="Arial"/>
                <w:sz w:val="20"/>
                <w:szCs w:val="20"/>
                <w:lang w:val="en-US"/>
              </w:rPr>
              <w:t>0.9258</w:t>
            </w:r>
          </w:p>
        </w:tc>
        <w:tc>
          <w:tcPr>
            <w:tcW w:w="1928" w:type="dxa"/>
            <w:tcBorders>
              <w:top w:val="single" w:sz="8" w:space="0" w:color="auto"/>
              <w:left w:val="nil"/>
              <w:bottom w:val="nil"/>
              <w:right w:val="nil"/>
            </w:tcBorders>
            <w:shd w:val="clear" w:color="auto" w:fill="auto"/>
            <w:noWrap/>
            <w:vAlign w:val="center"/>
            <w:hideMark/>
          </w:tcPr>
          <w:p w14:paraId="401477A9"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r w:rsidRPr="0066682B">
              <w:rPr>
                <w:rFonts w:ascii="Cambria" w:hAnsi="Cambria" w:cs="Arial"/>
                <w:sz w:val="20"/>
                <w:szCs w:val="20"/>
                <w:lang w:val="en-US"/>
              </w:rPr>
              <w:t>0.25190</w:t>
            </w:r>
          </w:p>
        </w:tc>
        <w:tc>
          <w:tcPr>
            <w:tcW w:w="1928" w:type="dxa"/>
            <w:tcBorders>
              <w:top w:val="single" w:sz="8" w:space="0" w:color="auto"/>
              <w:left w:val="nil"/>
              <w:bottom w:val="nil"/>
              <w:right w:val="nil"/>
            </w:tcBorders>
            <w:shd w:val="clear" w:color="auto" w:fill="auto"/>
            <w:noWrap/>
            <w:vAlign w:val="center"/>
            <w:hideMark/>
          </w:tcPr>
          <w:p w14:paraId="6C3F754E" w14:textId="77777777" w:rsidR="00F31EA9" w:rsidRPr="0066682B" w:rsidRDefault="00F31EA9" w:rsidP="00F31EA9">
            <w:pPr>
              <w:spacing w:after="0" w:line="240" w:lineRule="auto"/>
              <w:ind w:right="453"/>
              <w:jc w:val="right"/>
              <w:rPr>
                <w:rFonts w:ascii="Cambria" w:eastAsia="Times New Roman" w:hAnsi="Cambria" w:cs="Calibri"/>
                <w:sz w:val="20"/>
                <w:szCs w:val="20"/>
                <w:lang w:val="en-US"/>
              </w:rPr>
            </w:pPr>
            <w:r w:rsidRPr="0066682B">
              <w:rPr>
                <w:rFonts w:ascii="Cambria" w:hAnsi="Cambria" w:cs="Arial"/>
                <w:sz w:val="20"/>
                <w:szCs w:val="20"/>
                <w:lang w:val="en-US"/>
              </w:rPr>
              <w:t>0.8817</w:t>
            </w:r>
          </w:p>
        </w:tc>
      </w:tr>
      <w:tr w:rsidR="00F31EA9" w:rsidRPr="0066682B" w14:paraId="32062D09" w14:textId="77777777" w:rsidTr="00F31EA9">
        <w:trPr>
          <w:trHeight w:val="300"/>
        </w:trPr>
        <w:tc>
          <w:tcPr>
            <w:tcW w:w="1927" w:type="dxa"/>
            <w:tcBorders>
              <w:top w:val="nil"/>
              <w:left w:val="nil"/>
              <w:bottom w:val="single" w:sz="12" w:space="0" w:color="auto"/>
              <w:right w:val="nil"/>
            </w:tcBorders>
            <w:shd w:val="clear" w:color="auto" w:fill="auto"/>
            <w:noWrap/>
            <w:vAlign w:val="center"/>
            <w:hideMark/>
          </w:tcPr>
          <w:p w14:paraId="3F536E1E" w14:textId="77777777" w:rsidR="00F31EA9" w:rsidRPr="0066682B" w:rsidRDefault="00F31EA9" w:rsidP="00F31EA9">
            <w:pPr>
              <w:spacing w:after="0" w:line="240" w:lineRule="auto"/>
              <w:ind w:left="179"/>
              <w:rPr>
                <w:rFonts w:ascii="Cambria" w:eastAsia="Times New Roman" w:hAnsi="Cambria" w:cs="Calibri"/>
                <w:sz w:val="20"/>
                <w:szCs w:val="20"/>
                <w:lang w:val="en-US"/>
              </w:rPr>
            </w:pPr>
            <w:r w:rsidRPr="0066682B">
              <w:rPr>
                <w:rFonts w:ascii="Cambria" w:eastAsia="Times New Roman" w:hAnsi="Cambria" w:cs="Calibri"/>
                <w:sz w:val="20"/>
                <w:szCs w:val="20"/>
                <w:lang w:val="en-US"/>
              </w:rPr>
              <w:t>ECM</w:t>
            </w:r>
          </w:p>
        </w:tc>
        <w:tc>
          <w:tcPr>
            <w:tcW w:w="1928" w:type="dxa"/>
            <w:tcBorders>
              <w:top w:val="nil"/>
              <w:left w:val="nil"/>
              <w:bottom w:val="single" w:sz="12" w:space="0" w:color="auto"/>
              <w:right w:val="nil"/>
            </w:tcBorders>
            <w:shd w:val="clear" w:color="auto" w:fill="auto"/>
            <w:noWrap/>
            <w:vAlign w:val="center"/>
            <w:hideMark/>
          </w:tcPr>
          <w:p w14:paraId="7EB45AF3" w14:textId="77777777" w:rsidR="00F31EA9" w:rsidRPr="0066682B" w:rsidRDefault="00F31EA9" w:rsidP="00F31EA9">
            <w:pPr>
              <w:spacing w:after="0" w:line="240" w:lineRule="auto"/>
              <w:ind w:right="489"/>
              <w:jc w:val="right"/>
              <w:rPr>
                <w:rFonts w:ascii="Cambria" w:eastAsia="Times New Roman" w:hAnsi="Cambria" w:cs="Calibri"/>
                <w:sz w:val="20"/>
                <w:szCs w:val="20"/>
                <w:lang w:val="en-US"/>
              </w:rPr>
            </w:pPr>
            <w:r w:rsidRPr="0066682B">
              <w:rPr>
                <w:rFonts w:ascii="Cambria" w:hAnsi="Cambria" w:cs="Arial"/>
                <w:sz w:val="20"/>
                <w:szCs w:val="20"/>
                <w:lang w:val="en-US"/>
              </w:rPr>
              <w:t>0.72131</w:t>
            </w:r>
          </w:p>
        </w:tc>
        <w:tc>
          <w:tcPr>
            <w:tcW w:w="1928" w:type="dxa"/>
            <w:tcBorders>
              <w:top w:val="nil"/>
              <w:left w:val="nil"/>
              <w:bottom w:val="single" w:sz="12" w:space="0" w:color="auto"/>
              <w:right w:val="nil"/>
            </w:tcBorders>
            <w:shd w:val="clear" w:color="auto" w:fill="auto"/>
            <w:noWrap/>
            <w:vAlign w:val="center"/>
            <w:hideMark/>
          </w:tcPr>
          <w:p w14:paraId="68120540" w14:textId="77777777" w:rsidR="00F31EA9" w:rsidRPr="0066682B" w:rsidRDefault="00F31EA9" w:rsidP="00F31EA9">
            <w:pPr>
              <w:spacing w:after="0" w:line="240" w:lineRule="auto"/>
              <w:ind w:right="567"/>
              <w:jc w:val="right"/>
              <w:rPr>
                <w:rFonts w:ascii="Cambria" w:eastAsia="Times New Roman" w:hAnsi="Cambria" w:cs="Calibri"/>
                <w:sz w:val="20"/>
                <w:szCs w:val="20"/>
                <w:lang w:val="en-US"/>
              </w:rPr>
            </w:pPr>
            <w:r w:rsidRPr="0066682B">
              <w:rPr>
                <w:rFonts w:ascii="Cambria" w:hAnsi="Cambria" w:cs="Arial"/>
                <w:sz w:val="20"/>
                <w:szCs w:val="20"/>
                <w:lang w:val="en-US"/>
              </w:rPr>
              <w:t>0.5060</w:t>
            </w:r>
          </w:p>
        </w:tc>
        <w:tc>
          <w:tcPr>
            <w:tcW w:w="1928" w:type="dxa"/>
            <w:tcBorders>
              <w:top w:val="nil"/>
              <w:left w:val="nil"/>
              <w:bottom w:val="single" w:sz="12" w:space="0" w:color="auto"/>
              <w:right w:val="nil"/>
            </w:tcBorders>
            <w:shd w:val="clear" w:color="auto" w:fill="auto"/>
            <w:noWrap/>
            <w:vAlign w:val="center"/>
            <w:hideMark/>
          </w:tcPr>
          <w:p w14:paraId="16605486"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r w:rsidRPr="0066682B">
              <w:rPr>
                <w:rFonts w:ascii="Cambria" w:hAnsi="Cambria" w:cs="Arial"/>
                <w:sz w:val="20"/>
                <w:szCs w:val="20"/>
                <w:lang w:val="en-US"/>
              </w:rPr>
              <w:t>2.36099</w:t>
            </w:r>
          </w:p>
        </w:tc>
        <w:tc>
          <w:tcPr>
            <w:tcW w:w="1928" w:type="dxa"/>
            <w:tcBorders>
              <w:top w:val="nil"/>
              <w:left w:val="nil"/>
              <w:bottom w:val="single" w:sz="12" w:space="0" w:color="auto"/>
              <w:right w:val="nil"/>
            </w:tcBorders>
            <w:shd w:val="clear" w:color="auto" w:fill="auto"/>
            <w:noWrap/>
            <w:vAlign w:val="center"/>
            <w:hideMark/>
          </w:tcPr>
          <w:p w14:paraId="08975E38" w14:textId="77777777" w:rsidR="00F31EA9" w:rsidRPr="0066682B" w:rsidRDefault="00F31EA9" w:rsidP="00F31EA9">
            <w:pPr>
              <w:spacing w:after="0" w:line="240" w:lineRule="auto"/>
              <w:ind w:right="453"/>
              <w:jc w:val="right"/>
              <w:rPr>
                <w:rFonts w:ascii="Cambria" w:eastAsia="Times New Roman" w:hAnsi="Cambria" w:cs="Calibri"/>
                <w:sz w:val="20"/>
                <w:szCs w:val="20"/>
                <w:lang w:val="en-US"/>
              </w:rPr>
            </w:pPr>
            <w:r w:rsidRPr="0066682B">
              <w:rPr>
                <w:rFonts w:ascii="Cambria" w:hAnsi="Cambria" w:cs="Arial"/>
                <w:sz w:val="20"/>
                <w:szCs w:val="20"/>
                <w:lang w:val="en-US"/>
              </w:rPr>
              <w:t>0.3071</w:t>
            </w:r>
          </w:p>
        </w:tc>
      </w:tr>
    </w:tbl>
    <w:p w14:paraId="31FA8FEE" w14:textId="77777777" w:rsidR="00F31EA9" w:rsidRPr="0066682B" w:rsidRDefault="00F31EA9" w:rsidP="00F31EA9">
      <w:pPr>
        <w:autoSpaceDE w:val="0"/>
        <w:autoSpaceDN w:val="0"/>
        <w:adjustRightInd w:val="0"/>
        <w:spacing w:after="0" w:line="240" w:lineRule="auto"/>
        <w:rPr>
          <w:rFonts w:ascii="Cambria" w:hAnsi="Cambria" w:cs="Arial"/>
          <w:sz w:val="20"/>
          <w:szCs w:val="20"/>
          <w:lang w:val="en-US"/>
        </w:rPr>
      </w:pPr>
    </w:p>
    <w:p w14:paraId="19E85349" w14:textId="382F557F" w:rsidR="00F31EA9" w:rsidRPr="0066682B" w:rsidRDefault="0074347C" w:rsidP="00F31EA9">
      <w:pPr>
        <w:pStyle w:val="ListParagraph"/>
        <w:spacing w:after="0" w:line="360" w:lineRule="auto"/>
        <w:ind w:left="0"/>
        <w:jc w:val="both"/>
        <w:rPr>
          <w:rFonts w:ascii="Cambria" w:hAnsi="Cambria" w:cs="Times New Roman"/>
          <w:sz w:val="20"/>
          <w:szCs w:val="20"/>
          <w:lang w:val="en-US"/>
        </w:rPr>
      </w:pPr>
      <w:r>
        <w:rPr>
          <w:rFonts w:ascii="Cambria" w:hAnsi="Cambria" w:cs="Times New Roman"/>
          <w:b/>
          <w:sz w:val="20"/>
          <w:szCs w:val="20"/>
          <w:lang w:val="en-US"/>
        </w:rPr>
        <w:t>Table 8</w:t>
      </w:r>
      <w:r w:rsidR="00F31EA9" w:rsidRPr="0066682B">
        <w:rPr>
          <w:rFonts w:ascii="Cambria" w:hAnsi="Cambria" w:cs="Times New Roman"/>
          <w:b/>
          <w:sz w:val="20"/>
          <w:szCs w:val="20"/>
          <w:lang w:val="en-US"/>
        </w:rPr>
        <w:t>.</w:t>
      </w:r>
      <w:r w:rsidR="00B83016">
        <w:rPr>
          <w:rFonts w:ascii="Cambria" w:hAnsi="Cambria" w:cs="Times New Roman"/>
          <w:sz w:val="20"/>
          <w:szCs w:val="20"/>
          <w:lang w:val="en-US"/>
        </w:rPr>
        <w:t xml:space="preserve"> Heteroscedasticity t</w:t>
      </w:r>
      <w:r w:rsidR="00F31EA9" w:rsidRPr="0066682B">
        <w:rPr>
          <w:rFonts w:ascii="Cambria" w:hAnsi="Cambria" w:cs="Times New Roman"/>
          <w:sz w:val="20"/>
          <w:szCs w:val="20"/>
          <w:lang w:val="en-US"/>
        </w:rPr>
        <w:t xml:space="preserve">est </w:t>
      </w:r>
      <w:r w:rsidR="00B83016">
        <w:rPr>
          <w:rFonts w:ascii="Cambria" w:hAnsi="Cambria" w:cs="Times New Roman"/>
          <w:sz w:val="20"/>
          <w:szCs w:val="20"/>
          <w:lang w:val="en-US"/>
        </w:rPr>
        <w:t>r</w:t>
      </w:r>
      <w:r w:rsidR="00F31EA9" w:rsidRPr="0066682B">
        <w:rPr>
          <w:rFonts w:ascii="Cambria" w:hAnsi="Cambria" w:cs="Times New Roman"/>
          <w:sz w:val="20"/>
          <w:szCs w:val="20"/>
          <w:lang w:val="en-US"/>
        </w:rPr>
        <w:t xml:space="preserve">esult: </w:t>
      </w:r>
      <w:r w:rsidR="00F31EA9" w:rsidRPr="0066682B">
        <w:rPr>
          <w:rFonts w:ascii="Cambria" w:hAnsi="Cambria" w:cs="Arial"/>
          <w:sz w:val="20"/>
          <w:szCs w:val="20"/>
          <w:lang w:val="en-US"/>
        </w:rPr>
        <w:t>Breusch-Pagan-Godfrey</w:t>
      </w:r>
    </w:p>
    <w:tbl>
      <w:tblPr>
        <w:tblW w:w="9639" w:type="dxa"/>
        <w:tblInd w:w="108" w:type="dxa"/>
        <w:tblLayout w:type="fixed"/>
        <w:tblLook w:val="04A0" w:firstRow="1" w:lastRow="0" w:firstColumn="1" w:lastColumn="0" w:noHBand="0" w:noVBand="1"/>
      </w:tblPr>
      <w:tblGrid>
        <w:gridCol w:w="1927"/>
        <w:gridCol w:w="1928"/>
        <w:gridCol w:w="1928"/>
        <w:gridCol w:w="1928"/>
        <w:gridCol w:w="1928"/>
      </w:tblGrid>
      <w:tr w:rsidR="0066682B" w:rsidRPr="0066682B" w14:paraId="1F2792FF" w14:textId="77777777" w:rsidTr="00F31EA9">
        <w:trPr>
          <w:trHeight w:val="300"/>
        </w:trPr>
        <w:tc>
          <w:tcPr>
            <w:tcW w:w="1927" w:type="dxa"/>
            <w:tcBorders>
              <w:top w:val="single" w:sz="12" w:space="0" w:color="auto"/>
              <w:left w:val="nil"/>
              <w:bottom w:val="single" w:sz="8" w:space="0" w:color="auto"/>
              <w:right w:val="nil"/>
            </w:tcBorders>
            <w:shd w:val="clear" w:color="auto" w:fill="auto"/>
            <w:noWrap/>
            <w:vAlign w:val="center"/>
            <w:hideMark/>
          </w:tcPr>
          <w:p w14:paraId="00CFD27E" w14:textId="77777777" w:rsidR="00F31EA9" w:rsidRPr="0066682B" w:rsidRDefault="00F31EA9" w:rsidP="00F31EA9">
            <w:pPr>
              <w:spacing w:after="0" w:line="240" w:lineRule="auto"/>
              <w:ind w:left="179"/>
              <w:rPr>
                <w:rFonts w:ascii="Cambria" w:eastAsia="Times New Roman" w:hAnsi="Cambria" w:cs="Times New Roman"/>
                <w:b/>
                <w:sz w:val="20"/>
                <w:szCs w:val="20"/>
                <w:lang w:val="en-US"/>
              </w:rPr>
            </w:pPr>
            <w:r w:rsidRPr="0066682B">
              <w:rPr>
                <w:rFonts w:ascii="Cambria" w:eastAsia="Times New Roman" w:hAnsi="Cambria" w:cs="Times New Roman"/>
                <w:b/>
                <w:sz w:val="20"/>
                <w:szCs w:val="20"/>
                <w:lang w:val="en-US"/>
              </w:rPr>
              <w:t>Model</w:t>
            </w:r>
          </w:p>
        </w:tc>
        <w:tc>
          <w:tcPr>
            <w:tcW w:w="1928" w:type="dxa"/>
            <w:tcBorders>
              <w:top w:val="single" w:sz="12" w:space="0" w:color="auto"/>
              <w:left w:val="nil"/>
              <w:bottom w:val="single" w:sz="8" w:space="0" w:color="auto"/>
              <w:right w:val="nil"/>
            </w:tcBorders>
            <w:shd w:val="clear" w:color="auto" w:fill="auto"/>
            <w:noWrap/>
            <w:vAlign w:val="center"/>
            <w:hideMark/>
          </w:tcPr>
          <w:p w14:paraId="3FCADD60"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hAnsi="Cambria" w:cs="Arial"/>
                <w:sz w:val="20"/>
                <w:szCs w:val="20"/>
                <w:lang w:val="en-US"/>
              </w:rPr>
              <w:t>F-statistic</w:t>
            </w:r>
          </w:p>
        </w:tc>
        <w:tc>
          <w:tcPr>
            <w:tcW w:w="1928" w:type="dxa"/>
            <w:tcBorders>
              <w:top w:val="single" w:sz="12" w:space="0" w:color="auto"/>
              <w:left w:val="nil"/>
              <w:bottom w:val="single" w:sz="8" w:space="0" w:color="auto"/>
              <w:right w:val="nil"/>
            </w:tcBorders>
            <w:shd w:val="clear" w:color="auto" w:fill="auto"/>
            <w:noWrap/>
            <w:vAlign w:val="center"/>
            <w:hideMark/>
          </w:tcPr>
          <w:p w14:paraId="649B8F27"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hAnsi="Cambria" w:cs="Arial"/>
                <w:sz w:val="20"/>
                <w:szCs w:val="20"/>
                <w:lang w:val="en-US"/>
              </w:rPr>
              <w:t>Prob. F</w:t>
            </w:r>
          </w:p>
        </w:tc>
        <w:tc>
          <w:tcPr>
            <w:tcW w:w="1928" w:type="dxa"/>
            <w:tcBorders>
              <w:top w:val="single" w:sz="12" w:space="0" w:color="auto"/>
              <w:left w:val="nil"/>
              <w:bottom w:val="single" w:sz="8" w:space="0" w:color="auto"/>
              <w:right w:val="nil"/>
            </w:tcBorders>
            <w:shd w:val="clear" w:color="auto" w:fill="auto"/>
            <w:noWrap/>
            <w:vAlign w:val="center"/>
            <w:hideMark/>
          </w:tcPr>
          <w:p w14:paraId="3ECFCA52"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hAnsi="Cambria" w:cs="Arial"/>
                <w:sz w:val="20"/>
                <w:szCs w:val="20"/>
                <w:lang w:val="en-US"/>
              </w:rPr>
              <w:t>Obs*R-squared</w:t>
            </w:r>
          </w:p>
        </w:tc>
        <w:tc>
          <w:tcPr>
            <w:tcW w:w="1928" w:type="dxa"/>
            <w:tcBorders>
              <w:top w:val="single" w:sz="12" w:space="0" w:color="auto"/>
              <w:left w:val="nil"/>
              <w:bottom w:val="single" w:sz="8" w:space="0" w:color="auto"/>
              <w:right w:val="nil"/>
            </w:tcBorders>
            <w:shd w:val="clear" w:color="auto" w:fill="auto"/>
            <w:noWrap/>
            <w:vAlign w:val="center"/>
            <w:hideMark/>
          </w:tcPr>
          <w:p w14:paraId="44918EFF" w14:textId="77777777" w:rsidR="00F31EA9" w:rsidRPr="0066682B" w:rsidRDefault="00F31EA9" w:rsidP="00F31EA9">
            <w:pPr>
              <w:spacing w:after="0" w:line="240" w:lineRule="auto"/>
              <w:jc w:val="center"/>
              <w:rPr>
                <w:rFonts w:ascii="Cambria" w:eastAsia="Times New Roman" w:hAnsi="Cambria" w:cs="Calibri"/>
                <w:b/>
                <w:sz w:val="20"/>
                <w:szCs w:val="20"/>
                <w:lang w:val="en-US"/>
              </w:rPr>
            </w:pPr>
            <w:r w:rsidRPr="0066682B">
              <w:rPr>
                <w:rFonts w:ascii="Cambria" w:hAnsi="Cambria" w:cs="Arial"/>
                <w:sz w:val="20"/>
                <w:szCs w:val="20"/>
                <w:lang w:val="en-US"/>
              </w:rPr>
              <w:t>Prob. Chi-Square</w:t>
            </w:r>
          </w:p>
        </w:tc>
      </w:tr>
      <w:tr w:rsidR="0066682B" w:rsidRPr="0066682B" w14:paraId="22444D78" w14:textId="77777777" w:rsidTr="00F31EA9">
        <w:trPr>
          <w:trHeight w:val="300"/>
        </w:trPr>
        <w:tc>
          <w:tcPr>
            <w:tcW w:w="1927" w:type="dxa"/>
            <w:tcBorders>
              <w:top w:val="single" w:sz="8" w:space="0" w:color="auto"/>
              <w:left w:val="nil"/>
              <w:bottom w:val="nil"/>
              <w:right w:val="nil"/>
            </w:tcBorders>
            <w:shd w:val="clear" w:color="auto" w:fill="auto"/>
            <w:noWrap/>
            <w:vAlign w:val="center"/>
            <w:hideMark/>
          </w:tcPr>
          <w:p w14:paraId="4C3F099E" w14:textId="77777777" w:rsidR="00F31EA9" w:rsidRPr="0066682B" w:rsidRDefault="00F31EA9" w:rsidP="00F31EA9">
            <w:pPr>
              <w:spacing w:after="0" w:line="240" w:lineRule="auto"/>
              <w:ind w:left="179"/>
              <w:rPr>
                <w:rFonts w:ascii="Cambria" w:eastAsia="Times New Roman" w:hAnsi="Cambria" w:cs="Calibri"/>
                <w:sz w:val="20"/>
                <w:szCs w:val="20"/>
                <w:lang w:val="en-US"/>
              </w:rPr>
            </w:pPr>
            <w:r w:rsidRPr="0066682B">
              <w:rPr>
                <w:rFonts w:ascii="Cambria" w:eastAsia="Times New Roman" w:hAnsi="Cambria" w:cs="Calibri"/>
                <w:sz w:val="20"/>
                <w:szCs w:val="20"/>
                <w:lang w:val="en-US"/>
              </w:rPr>
              <w:t>OLS</w:t>
            </w:r>
          </w:p>
        </w:tc>
        <w:tc>
          <w:tcPr>
            <w:tcW w:w="1928" w:type="dxa"/>
            <w:tcBorders>
              <w:top w:val="single" w:sz="8" w:space="0" w:color="auto"/>
              <w:left w:val="nil"/>
              <w:bottom w:val="nil"/>
              <w:right w:val="nil"/>
            </w:tcBorders>
            <w:shd w:val="clear" w:color="auto" w:fill="auto"/>
            <w:noWrap/>
            <w:vAlign w:val="center"/>
            <w:hideMark/>
          </w:tcPr>
          <w:p w14:paraId="2960C918" w14:textId="77777777" w:rsidR="00F31EA9" w:rsidRPr="0066682B" w:rsidRDefault="00F31EA9" w:rsidP="00F31EA9">
            <w:pPr>
              <w:spacing w:after="0" w:line="240" w:lineRule="auto"/>
              <w:ind w:right="489"/>
              <w:jc w:val="right"/>
              <w:rPr>
                <w:rFonts w:ascii="Cambria" w:eastAsia="Times New Roman" w:hAnsi="Cambria" w:cs="Calibri"/>
                <w:sz w:val="20"/>
                <w:szCs w:val="20"/>
                <w:lang w:val="en-US"/>
              </w:rPr>
            </w:pPr>
            <w:r w:rsidRPr="0066682B">
              <w:rPr>
                <w:rFonts w:ascii="Cambria" w:hAnsi="Cambria" w:cs="Arial"/>
                <w:sz w:val="20"/>
                <w:szCs w:val="20"/>
                <w:lang w:val="en-US"/>
              </w:rPr>
              <w:t>0.90787</w:t>
            </w:r>
          </w:p>
        </w:tc>
        <w:tc>
          <w:tcPr>
            <w:tcW w:w="1928" w:type="dxa"/>
            <w:tcBorders>
              <w:top w:val="single" w:sz="8" w:space="0" w:color="auto"/>
              <w:left w:val="nil"/>
              <w:bottom w:val="nil"/>
              <w:right w:val="nil"/>
            </w:tcBorders>
            <w:shd w:val="clear" w:color="auto" w:fill="auto"/>
            <w:noWrap/>
            <w:vAlign w:val="center"/>
            <w:hideMark/>
          </w:tcPr>
          <w:p w14:paraId="010F5745" w14:textId="77777777" w:rsidR="00F31EA9" w:rsidRPr="0066682B" w:rsidRDefault="00F31EA9" w:rsidP="00F31EA9">
            <w:pPr>
              <w:spacing w:after="0" w:line="240" w:lineRule="auto"/>
              <w:ind w:right="567"/>
              <w:jc w:val="right"/>
              <w:rPr>
                <w:rFonts w:ascii="Cambria" w:eastAsia="Times New Roman" w:hAnsi="Cambria" w:cs="Calibri"/>
                <w:sz w:val="20"/>
                <w:szCs w:val="20"/>
                <w:lang w:val="en-US"/>
              </w:rPr>
            </w:pPr>
            <w:r w:rsidRPr="0066682B">
              <w:rPr>
                <w:rFonts w:ascii="Cambria" w:hAnsi="Cambria" w:cs="Arial"/>
                <w:sz w:val="20"/>
                <w:szCs w:val="20"/>
                <w:lang w:val="en-US"/>
              </w:rPr>
              <w:t>0.5137</w:t>
            </w:r>
          </w:p>
        </w:tc>
        <w:tc>
          <w:tcPr>
            <w:tcW w:w="1928" w:type="dxa"/>
            <w:tcBorders>
              <w:top w:val="single" w:sz="8" w:space="0" w:color="auto"/>
              <w:left w:val="nil"/>
              <w:bottom w:val="nil"/>
              <w:right w:val="nil"/>
            </w:tcBorders>
            <w:shd w:val="clear" w:color="auto" w:fill="auto"/>
            <w:noWrap/>
            <w:vAlign w:val="center"/>
            <w:hideMark/>
          </w:tcPr>
          <w:p w14:paraId="4493925C"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r w:rsidRPr="0066682B">
              <w:rPr>
                <w:rFonts w:ascii="Cambria" w:hAnsi="Cambria" w:cs="Arial"/>
                <w:sz w:val="20"/>
                <w:szCs w:val="20"/>
                <w:lang w:val="en-US"/>
              </w:rPr>
              <w:t>5.84160</w:t>
            </w:r>
          </w:p>
        </w:tc>
        <w:tc>
          <w:tcPr>
            <w:tcW w:w="1928" w:type="dxa"/>
            <w:tcBorders>
              <w:top w:val="single" w:sz="8" w:space="0" w:color="auto"/>
              <w:left w:val="nil"/>
              <w:bottom w:val="nil"/>
              <w:right w:val="nil"/>
            </w:tcBorders>
            <w:shd w:val="clear" w:color="auto" w:fill="auto"/>
            <w:noWrap/>
            <w:vAlign w:val="center"/>
            <w:hideMark/>
          </w:tcPr>
          <w:p w14:paraId="6C62B846" w14:textId="77777777" w:rsidR="00F31EA9" w:rsidRPr="0066682B" w:rsidRDefault="00F31EA9" w:rsidP="00F31EA9">
            <w:pPr>
              <w:spacing w:after="0" w:line="240" w:lineRule="auto"/>
              <w:ind w:right="453"/>
              <w:jc w:val="right"/>
              <w:rPr>
                <w:rFonts w:ascii="Cambria" w:eastAsia="Times New Roman" w:hAnsi="Cambria" w:cs="Calibri"/>
                <w:sz w:val="20"/>
                <w:szCs w:val="20"/>
                <w:lang w:val="en-US"/>
              </w:rPr>
            </w:pPr>
            <w:r w:rsidRPr="0066682B">
              <w:rPr>
                <w:rFonts w:ascii="Cambria" w:hAnsi="Cambria" w:cs="Arial"/>
                <w:sz w:val="20"/>
                <w:szCs w:val="20"/>
                <w:lang w:val="en-US"/>
              </w:rPr>
              <w:t>0.4412</w:t>
            </w:r>
          </w:p>
        </w:tc>
      </w:tr>
      <w:tr w:rsidR="00F31EA9" w:rsidRPr="0066682B" w14:paraId="4833BA0C" w14:textId="77777777" w:rsidTr="00F31EA9">
        <w:trPr>
          <w:trHeight w:val="300"/>
        </w:trPr>
        <w:tc>
          <w:tcPr>
            <w:tcW w:w="1927" w:type="dxa"/>
            <w:tcBorders>
              <w:top w:val="nil"/>
              <w:left w:val="nil"/>
              <w:bottom w:val="single" w:sz="12" w:space="0" w:color="auto"/>
              <w:right w:val="nil"/>
            </w:tcBorders>
            <w:shd w:val="clear" w:color="auto" w:fill="auto"/>
            <w:noWrap/>
            <w:vAlign w:val="center"/>
            <w:hideMark/>
          </w:tcPr>
          <w:p w14:paraId="315CA7C5" w14:textId="77777777" w:rsidR="00F31EA9" w:rsidRPr="0066682B" w:rsidRDefault="00F31EA9" w:rsidP="00F31EA9">
            <w:pPr>
              <w:spacing w:after="0" w:line="240" w:lineRule="auto"/>
              <w:ind w:left="179"/>
              <w:rPr>
                <w:rFonts w:ascii="Cambria" w:eastAsia="Times New Roman" w:hAnsi="Cambria" w:cs="Calibri"/>
                <w:sz w:val="20"/>
                <w:szCs w:val="20"/>
                <w:lang w:val="en-US"/>
              </w:rPr>
            </w:pPr>
            <w:r w:rsidRPr="0066682B">
              <w:rPr>
                <w:rFonts w:ascii="Cambria" w:eastAsia="Times New Roman" w:hAnsi="Cambria" w:cs="Calibri"/>
                <w:sz w:val="20"/>
                <w:szCs w:val="20"/>
                <w:lang w:val="en-US"/>
              </w:rPr>
              <w:t>ECM</w:t>
            </w:r>
          </w:p>
        </w:tc>
        <w:tc>
          <w:tcPr>
            <w:tcW w:w="1928" w:type="dxa"/>
            <w:tcBorders>
              <w:top w:val="nil"/>
              <w:left w:val="nil"/>
              <w:bottom w:val="single" w:sz="12" w:space="0" w:color="auto"/>
              <w:right w:val="nil"/>
            </w:tcBorders>
            <w:shd w:val="clear" w:color="auto" w:fill="auto"/>
            <w:noWrap/>
            <w:vAlign w:val="center"/>
            <w:hideMark/>
          </w:tcPr>
          <w:p w14:paraId="4A9D0CBA" w14:textId="77777777" w:rsidR="00F31EA9" w:rsidRPr="0066682B" w:rsidRDefault="00F31EA9" w:rsidP="00F31EA9">
            <w:pPr>
              <w:spacing w:after="0" w:line="240" w:lineRule="auto"/>
              <w:ind w:right="489"/>
              <w:jc w:val="right"/>
              <w:rPr>
                <w:rFonts w:ascii="Cambria" w:eastAsia="Times New Roman" w:hAnsi="Cambria" w:cs="Calibri"/>
                <w:sz w:val="20"/>
                <w:szCs w:val="20"/>
                <w:lang w:val="en-US"/>
              </w:rPr>
            </w:pPr>
            <w:r w:rsidRPr="0066682B">
              <w:rPr>
                <w:rFonts w:ascii="Cambria" w:hAnsi="Cambria" w:cs="Arial"/>
                <w:sz w:val="20"/>
                <w:szCs w:val="20"/>
                <w:lang w:val="en-US"/>
              </w:rPr>
              <w:t>1.25017</w:t>
            </w:r>
          </w:p>
        </w:tc>
        <w:tc>
          <w:tcPr>
            <w:tcW w:w="1928" w:type="dxa"/>
            <w:tcBorders>
              <w:top w:val="nil"/>
              <w:left w:val="nil"/>
              <w:bottom w:val="single" w:sz="12" w:space="0" w:color="auto"/>
              <w:right w:val="nil"/>
            </w:tcBorders>
            <w:shd w:val="clear" w:color="auto" w:fill="auto"/>
            <w:noWrap/>
            <w:vAlign w:val="center"/>
            <w:hideMark/>
          </w:tcPr>
          <w:p w14:paraId="05FE2573" w14:textId="77777777" w:rsidR="00F31EA9" w:rsidRPr="0066682B" w:rsidRDefault="00F31EA9" w:rsidP="00F31EA9">
            <w:pPr>
              <w:spacing w:after="0" w:line="240" w:lineRule="auto"/>
              <w:ind w:right="567"/>
              <w:jc w:val="right"/>
              <w:rPr>
                <w:rFonts w:ascii="Cambria" w:eastAsia="Times New Roman" w:hAnsi="Cambria" w:cs="Calibri"/>
                <w:sz w:val="20"/>
                <w:szCs w:val="20"/>
                <w:lang w:val="en-US"/>
              </w:rPr>
            </w:pPr>
            <w:r w:rsidRPr="0066682B">
              <w:rPr>
                <w:rFonts w:ascii="Cambria" w:hAnsi="Cambria" w:cs="Arial"/>
                <w:sz w:val="20"/>
                <w:szCs w:val="20"/>
                <w:lang w:val="en-US"/>
              </w:rPr>
              <w:t>0.3408</w:t>
            </w:r>
          </w:p>
        </w:tc>
        <w:tc>
          <w:tcPr>
            <w:tcW w:w="1928" w:type="dxa"/>
            <w:tcBorders>
              <w:top w:val="nil"/>
              <w:left w:val="nil"/>
              <w:bottom w:val="single" w:sz="12" w:space="0" w:color="auto"/>
              <w:right w:val="nil"/>
            </w:tcBorders>
            <w:shd w:val="clear" w:color="auto" w:fill="auto"/>
            <w:noWrap/>
            <w:vAlign w:val="center"/>
            <w:hideMark/>
          </w:tcPr>
          <w:p w14:paraId="01EF5325" w14:textId="77777777" w:rsidR="00F31EA9" w:rsidRPr="0066682B" w:rsidRDefault="00F31EA9" w:rsidP="00F31EA9">
            <w:pPr>
              <w:spacing w:after="0" w:line="240" w:lineRule="auto"/>
              <w:ind w:right="517"/>
              <w:jc w:val="right"/>
              <w:rPr>
                <w:rFonts w:ascii="Cambria" w:eastAsia="Times New Roman" w:hAnsi="Cambria" w:cs="Calibri"/>
                <w:sz w:val="20"/>
                <w:szCs w:val="20"/>
                <w:lang w:val="en-US"/>
              </w:rPr>
            </w:pPr>
            <w:r w:rsidRPr="0066682B">
              <w:rPr>
                <w:rFonts w:ascii="Cambria" w:hAnsi="Cambria" w:cs="Arial"/>
                <w:sz w:val="20"/>
                <w:szCs w:val="20"/>
                <w:lang w:val="en-US"/>
              </w:rPr>
              <w:t>8.46225</w:t>
            </w:r>
          </w:p>
        </w:tc>
        <w:tc>
          <w:tcPr>
            <w:tcW w:w="1928" w:type="dxa"/>
            <w:tcBorders>
              <w:top w:val="nil"/>
              <w:left w:val="nil"/>
              <w:bottom w:val="single" w:sz="12" w:space="0" w:color="auto"/>
              <w:right w:val="nil"/>
            </w:tcBorders>
            <w:shd w:val="clear" w:color="auto" w:fill="auto"/>
            <w:noWrap/>
            <w:vAlign w:val="center"/>
            <w:hideMark/>
          </w:tcPr>
          <w:p w14:paraId="555565EB" w14:textId="77777777" w:rsidR="00F31EA9" w:rsidRPr="0066682B" w:rsidRDefault="00F31EA9" w:rsidP="00F31EA9">
            <w:pPr>
              <w:spacing w:after="0" w:line="240" w:lineRule="auto"/>
              <w:ind w:right="453"/>
              <w:jc w:val="right"/>
              <w:rPr>
                <w:rFonts w:ascii="Cambria" w:eastAsia="Times New Roman" w:hAnsi="Cambria" w:cs="Calibri"/>
                <w:sz w:val="20"/>
                <w:szCs w:val="20"/>
                <w:lang w:val="en-US"/>
              </w:rPr>
            </w:pPr>
            <w:r w:rsidRPr="0066682B">
              <w:rPr>
                <w:rFonts w:ascii="Cambria" w:hAnsi="Cambria" w:cs="Arial"/>
                <w:sz w:val="20"/>
                <w:szCs w:val="20"/>
                <w:lang w:val="en-US"/>
              </w:rPr>
              <w:t>0.2936</w:t>
            </w:r>
          </w:p>
        </w:tc>
      </w:tr>
    </w:tbl>
    <w:p w14:paraId="03752864" w14:textId="77777777" w:rsidR="00F31EA9" w:rsidRPr="0066682B" w:rsidRDefault="00F31EA9" w:rsidP="00F31EA9">
      <w:pPr>
        <w:autoSpaceDE w:val="0"/>
        <w:autoSpaceDN w:val="0"/>
        <w:adjustRightInd w:val="0"/>
        <w:spacing w:after="0" w:line="240" w:lineRule="auto"/>
        <w:rPr>
          <w:rFonts w:ascii="Cambria" w:hAnsi="Cambria" w:cs="Arial"/>
          <w:sz w:val="20"/>
          <w:szCs w:val="20"/>
          <w:lang w:val="en-US"/>
        </w:rPr>
      </w:pPr>
    </w:p>
    <w:p w14:paraId="332F4FAD" w14:textId="37D8CA2D" w:rsidR="006D0E3F" w:rsidRPr="006D0E3F" w:rsidRDefault="006D0E3F" w:rsidP="001F710C">
      <w:pPr>
        <w:pStyle w:val="ListParagraph"/>
        <w:spacing w:after="0" w:line="240" w:lineRule="auto"/>
        <w:ind w:left="0" w:firstLine="426"/>
        <w:contextualSpacing w:val="0"/>
        <w:jc w:val="both"/>
        <w:rPr>
          <w:rFonts w:ascii="Cambria" w:hAnsi="Cambria" w:cs="Times New Roman"/>
          <w:lang w:val="en-US"/>
        </w:rPr>
      </w:pPr>
      <w:r w:rsidRPr="006D0E3F">
        <w:rPr>
          <w:rFonts w:ascii="Cambria" w:hAnsi="Cambria" w:cs="Times New Roman"/>
          <w:lang w:val="en-US"/>
        </w:rPr>
        <w:t>The normality test for the residuals of the long-term equation model (OLS) and the short-term equation (ECM) is shown in Table 9. The results of the residual data normality test for both models using the Jarque-Bera test are shown by prob. t-stat greater than 0.05. This means that there is not enough evidence to state that the residual data are not normally distributed, so it can be concluded that the residual data for the OLS and ECM models are equally normally distributed. Thus, the assumption of normality has been fulfilled.</w:t>
      </w:r>
    </w:p>
    <w:p w14:paraId="42391E45" w14:textId="77777777" w:rsidR="0074347C" w:rsidRPr="0066682B" w:rsidRDefault="0074347C" w:rsidP="0074347C">
      <w:pPr>
        <w:pStyle w:val="ListParagraph"/>
        <w:spacing w:after="0" w:line="360" w:lineRule="auto"/>
        <w:ind w:left="0"/>
        <w:jc w:val="both"/>
        <w:rPr>
          <w:rFonts w:ascii="Cambria" w:hAnsi="Cambria" w:cs="Times New Roman"/>
          <w:sz w:val="24"/>
          <w:szCs w:val="24"/>
          <w:lang w:val="en-US"/>
        </w:rPr>
      </w:pPr>
    </w:p>
    <w:p w14:paraId="244B078C" w14:textId="3D00F5E4" w:rsidR="0074347C" w:rsidRPr="0066682B" w:rsidRDefault="0074347C" w:rsidP="0074347C">
      <w:pPr>
        <w:pStyle w:val="ListParagraph"/>
        <w:spacing w:after="0" w:line="360" w:lineRule="auto"/>
        <w:ind w:left="0"/>
        <w:jc w:val="both"/>
        <w:rPr>
          <w:rFonts w:ascii="Cambria" w:hAnsi="Cambria" w:cs="Times New Roman"/>
          <w:sz w:val="20"/>
          <w:szCs w:val="20"/>
          <w:lang w:val="en-US"/>
        </w:rPr>
      </w:pPr>
      <w:r>
        <w:rPr>
          <w:rFonts w:ascii="Cambria" w:hAnsi="Cambria" w:cs="Times New Roman"/>
          <w:b/>
          <w:sz w:val="20"/>
          <w:szCs w:val="20"/>
          <w:lang w:val="en-US"/>
        </w:rPr>
        <w:t>Table 9</w:t>
      </w:r>
      <w:r w:rsidRPr="0066682B">
        <w:rPr>
          <w:rFonts w:ascii="Cambria" w:hAnsi="Cambria" w:cs="Times New Roman"/>
          <w:b/>
          <w:sz w:val="20"/>
          <w:szCs w:val="20"/>
          <w:lang w:val="en-US"/>
        </w:rPr>
        <w:t>.</w:t>
      </w:r>
      <w:r w:rsidR="00B83016">
        <w:rPr>
          <w:rFonts w:ascii="Cambria" w:hAnsi="Cambria" w:cs="Times New Roman"/>
          <w:sz w:val="20"/>
          <w:szCs w:val="20"/>
          <w:lang w:val="en-US"/>
        </w:rPr>
        <w:t xml:space="preserve"> Normality t</w:t>
      </w:r>
      <w:r w:rsidRPr="0066682B">
        <w:rPr>
          <w:rFonts w:ascii="Cambria" w:hAnsi="Cambria" w:cs="Times New Roman"/>
          <w:sz w:val="20"/>
          <w:szCs w:val="20"/>
          <w:lang w:val="en-US"/>
        </w:rPr>
        <w:t xml:space="preserve">est </w:t>
      </w:r>
      <w:r w:rsidR="00B83016">
        <w:rPr>
          <w:rFonts w:ascii="Cambria" w:hAnsi="Cambria" w:cs="Times New Roman"/>
          <w:sz w:val="20"/>
          <w:szCs w:val="20"/>
          <w:lang w:val="en-US"/>
        </w:rPr>
        <w:t>r</w:t>
      </w:r>
      <w:r w:rsidRPr="0066682B">
        <w:rPr>
          <w:rFonts w:ascii="Cambria" w:hAnsi="Cambria" w:cs="Times New Roman"/>
          <w:sz w:val="20"/>
          <w:szCs w:val="20"/>
          <w:lang w:val="en-US"/>
        </w:rPr>
        <w:t>esult: Jarque Bera</w:t>
      </w:r>
    </w:p>
    <w:tbl>
      <w:tblPr>
        <w:tblW w:w="4111" w:type="dxa"/>
        <w:tblLayout w:type="fixed"/>
        <w:tblCellMar>
          <w:left w:w="0" w:type="dxa"/>
          <w:right w:w="0" w:type="dxa"/>
        </w:tblCellMar>
        <w:tblLook w:val="0000" w:firstRow="0" w:lastRow="0" w:firstColumn="0" w:lastColumn="0" w:noHBand="0" w:noVBand="0"/>
      </w:tblPr>
      <w:tblGrid>
        <w:gridCol w:w="1701"/>
        <w:gridCol w:w="1205"/>
        <w:gridCol w:w="1205"/>
      </w:tblGrid>
      <w:tr w:rsidR="0074347C" w:rsidRPr="0066682B" w14:paraId="3A0CE376" w14:textId="77777777" w:rsidTr="006E356E">
        <w:trPr>
          <w:trHeight w:val="245"/>
        </w:trPr>
        <w:tc>
          <w:tcPr>
            <w:tcW w:w="1701" w:type="dxa"/>
            <w:tcBorders>
              <w:top w:val="single" w:sz="12" w:space="0" w:color="auto"/>
              <w:bottom w:val="single" w:sz="8" w:space="0" w:color="auto"/>
            </w:tcBorders>
            <w:vAlign w:val="center"/>
          </w:tcPr>
          <w:p w14:paraId="6D6D4E76" w14:textId="77777777" w:rsidR="0074347C" w:rsidRPr="0066682B" w:rsidRDefault="0074347C" w:rsidP="006E356E">
            <w:pPr>
              <w:autoSpaceDE w:val="0"/>
              <w:autoSpaceDN w:val="0"/>
              <w:adjustRightInd w:val="0"/>
              <w:spacing w:after="0" w:line="240" w:lineRule="auto"/>
              <w:jc w:val="center"/>
              <w:rPr>
                <w:rFonts w:ascii="Cambria" w:hAnsi="Cambria" w:cs="Arial"/>
                <w:b/>
                <w:sz w:val="20"/>
                <w:szCs w:val="20"/>
                <w:lang w:val="en-US"/>
              </w:rPr>
            </w:pPr>
          </w:p>
        </w:tc>
        <w:tc>
          <w:tcPr>
            <w:tcW w:w="1205" w:type="dxa"/>
            <w:tcBorders>
              <w:top w:val="single" w:sz="12" w:space="0" w:color="auto"/>
              <w:bottom w:val="single" w:sz="8" w:space="0" w:color="auto"/>
            </w:tcBorders>
            <w:vAlign w:val="center"/>
          </w:tcPr>
          <w:p w14:paraId="15680572" w14:textId="77777777" w:rsidR="0074347C" w:rsidRPr="0066682B" w:rsidRDefault="0074347C" w:rsidP="006E356E">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t-Statistic</w:t>
            </w:r>
          </w:p>
        </w:tc>
        <w:tc>
          <w:tcPr>
            <w:tcW w:w="1205" w:type="dxa"/>
            <w:tcBorders>
              <w:top w:val="single" w:sz="12" w:space="0" w:color="auto"/>
              <w:bottom w:val="single" w:sz="8" w:space="0" w:color="auto"/>
            </w:tcBorders>
            <w:vAlign w:val="center"/>
          </w:tcPr>
          <w:p w14:paraId="52A5B490" w14:textId="77777777" w:rsidR="0074347C" w:rsidRPr="0066682B" w:rsidRDefault="0074347C" w:rsidP="006E356E">
            <w:pPr>
              <w:autoSpaceDE w:val="0"/>
              <w:autoSpaceDN w:val="0"/>
              <w:adjustRightInd w:val="0"/>
              <w:spacing w:after="0" w:line="240" w:lineRule="auto"/>
              <w:ind w:right="10"/>
              <w:jc w:val="center"/>
              <w:rPr>
                <w:rFonts w:ascii="Cambria" w:hAnsi="Cambria" w:cs="Arial"/>
                <w:b/>
                <w:sz w:val="20"/>
                <w:szCs w:val="20"/>
                <w:lang w:val="en-US"/>
              </w:rPr>
            </w:pPr>
            <w:r w:rsidRPr="0066682B">
              <w:rPr>
                <w:rFonts w:ascii="Cambria" w:hAnsi="Cambria" w:cs="Arial"/>
                <w:b/>
                <w:sz w:val="20"/>
                <w:szCs w:val="20"/>
                <w:lang w:val="en-US"/>
              </w:rPr>
              <w:t>Prob.</w:t>
            </w:r>
          </w:p>
        </w:tc>
      </w:tr>
      <w:tr w:rsidR="0074347C" w:rsidRPr="0066682B" w14:paraId="28DBE7DA" w14:textId="77777777" w:rsidTr="006E356E">
        <w:trPr>
          <w:trHeight w:val="245"/>
        </w:trPr>
        <w:tc>
          <w:tcPr>
            <w:tcW w:w="1701" w:type="dxa"/>
            <w:tcBorders>
              <w:top w:val="single" w:sz="8" w:space="0" w:color="auto"/>
            </w:tcBorders>
            <w:vAlign w:val="center"/>
          </w:tcPr>
          <w:p w14:paraId="1B7EF5F8" w14:textId="77777777" w:rsidR="0074347C" w:rsidRPr="0066682B" w:rsidRDefault="0074347C" w:rsidP="006E356E">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Residual OLS</w:t>
            </w:r>
          </w:p>
        </w:tc>
        <w:tc>
          <w:tcPr>
            <w:tcW w:w="1205" w:type="dxa"/>
            <w:tcBorders>
              <w:top w:val="single" w:sz="8" w:space="0" w:color="auto"/>
            </w:tcBorders>
            <w:vAlign w:val="center"/>
          </w:tcPr>
          <w:p w14:paraId="70AEE53C" w14:textId="77777777" w:rsidR="0074347C" w:rsidRPr="0066682B" w:rsidRDefault="0074347C" w:rsidP="006E356E">
            <w:pPr>
              <w:autoSpaceDE w:val="0"/>
              <w:autoSpaceDN w:val="0"/>
              <w:adjustRightInd w:val="0"/>
              <w:spacing w:after="0" w:line="240" w:lineRule="auto"/>
              <w:ind w:right="-3"/>
              <w:jc w:val="center"/>
              <w:rPr>
                <w:rFonts w:ascii="Cambria" w:hAnsi="Cambria" w:cs="Arial"/>
                <w:sz w:val="20"/>
                <w:szCs w:val="20"/>
                <w:lang w:val="en-US"/>
              </w:rPr>
            </w:pPr>
            <w:r w:rsidRPr="0066682B">
              <w:rPr>
                <w:rFonts w:ascii="Cambria" w:hAnsi="Cambria" w:cs="Arial"/>
                <w:sz w:val="20"/>
                <w:szCs w:val="20"/>
                <w:lang w:val="en-US"/>
              </w:rPr>
              <w:t>0.64257</w:t>
            </w:r>
          </w:p>
        </w:tc>
        <w:tc>
          <w:tcPr>
            <w:tcW w:w="1205" w:type="dxa"/>
            <w:tcBorders>
              <w:top w:val="single" w:sz="8" w:space="0" w:color="auto"/>
            </w:tcBorders>
            <w:vAlign w:val="center"/>
          </w:tcPr>
          <w:p w14:paraId="009D2D35" w14:textId="77777777" w:rsidR="0074347C" w:rsidRPr="0066682B" w:rsidRDefault="0074347C" w:rsidP="006E356E">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0.7252</w:t>
            </w:r>
          </w:p>
        </w:tc>
      </w:tr>
      <w:tr w:rsidR="0074347C" w:rsidRPr="0066682B" w14:paraId="2BA787D7" w14:textId="77777777" w:rsidTr="006E356E">
        <w:trPr>
          <w:trHeight w:val="245"/>
        </w:trPr>
        <w:tc>
          <w:tcPr>
            <w:tcW w:w="1701" w:type="dxa"/>
            <w:tcBorders>
              <w:bottom w:val="single" w:sz="12" w:space="0" w:color="auto"/>
            </w:tcBorders>
            <w:vAlign w:val="center"/>
          </w:tcPr>
          <w:p w14:paraId="175A665F" w14:textId="77777777" w:rsidR="0074347C" w:rsidRPr="0066682B" w:rsidRDefault="0074347C" w:rsidP="006E356E">
            <w:pPr>
              <w:autoSpaceDE w:val="0"/>
              <w:autoSpaceDN w:val="0"/>
              <w:adjustRightInd w:val="0"/>
              <w:spacing w:after="0" w:line="240" w:lineRule="auto"/>
              <w:ind w:left="239"/>
              <w:rPr>
                <w:rFonts w:ascii="Cambria" w:hAnsi="Cambria" w:cs="Arial"/>
                <w:sz w:val="20"/>
                <w:szCs w:val="20"/>
                <w:lang w:val="en-US"/>
              </w:rPr>
            </w:pPr>
            <w:r w:rsidRPr="0066682B">
              <w:rPr>
                <w:rFonts w:ascii="Cambria" w:hAnsi="Cambria" w:cs="Arial"/>
                <w:sz w:val="20"/>
                <w:szCs w:val="20"/>
                <w:lang w:val="en-US"/>
              </w:rPr>
              <w:t>Residual ECM</w:t>
            </w:r>
          </w:p>
        </w:tc>
        <w:tc>
          <w:tcPr>
            <w:tcW w:w="1205" w:type="dxa"/>
            <w:tcBorders>
              <w:bottom w:val="single" w:sz="12" w:space="0" w:color="auto"/>
            </w:tcBorders>
            <w:vAlign w:val="center"/>
          </w:tcPr>
          <w:p w14:paraId="02161721" w14:textId="77777777" w:rsidR="0074347C" w:rsidRPr="0066682B" w:rsidRDefault="0074347C" w:rsidP="006E356E">
            <w:pPr>
              <w:autoSpaceDE w:val="0"/>
              <w:autoSpaceDN w:val="0"/>
              <w:adjustRightInd w:val="0"/>
              <w:spacing w:after="0" w:line="240" w:lineRule="auto"/>
              <w:ind w:right="-3"/>
              <w:jc w:val="center"/>
              <w:rPr>
                <w:rFonts w:ascii="Cambria" w:hAnsi="Cambria" w:cs="Arial"/>
                <w:sz w:val="20"/>
                <w:szCs w:val="20"/>
                <w:lang w:val="en-US"/>
              </w:rPr>
            </w:pPr>
            <w:r w:rsidRPr="0066682B">
              <w:rPr>
                <w:rFonts w:ascii="Cambria" w:hAnsi="Cambria" w:cs="Arial"/>
                <w:sz w:val="20"/>
                <w:szCs w:val="20"/>
                <w:lang w:val="en-US"/>
              </w:rPr>
              <w:t>0.80281</w:t>
            </w:r>
          </w:p>
        </w:tc>
        <w:tc>
          <w:tcPr>
            <w:tcW w:w="1205" w:type="dxa"/>
            <w:tcBorders>
              <w:bottom w:val="single" w:sz="12" w:space="0" w:color="auto"/>
            </w:tcBorders>
            <w:vAlign w:val="center"/>
          </w:tcPr>
          <w:p w14:paraId="24820932" w14:textId="77777777" w:rsidR="0074347C" w:rsidRPr="0066682B" w:rsidRDefault="0074347C" w:rsidP="006E356E">
            <w:pPr>
              <w:autoSpaceDE w:val="0"/>
              <w:autoSpaceDN w:val="0"/>
              <w:adjustRightInd w:val="0"/>
              <w:spacing w:after="0" w:line="240" w:lineRule="auto"/>
              <w:ind w:right="10"/>
              <w:jc w:val="center"/>
              <w:rPr>
                <w:rFonts w:ascii="Cambria" w:hAnsi="Cambria" w:cs="Arial"/>
                <w:sz w:val="20"/>
                <w:szCs w:val="20"/>
                <w:lang w:val="en-US"/>
              </w:rPr>
            </w:pPr>
            <w:r w:rsidRPr="0066682B">
              <w:rPr>
                <w:rFonts w:ascii="Cambria" w:hAnsi="Cambria" w:cs="Arial"/>
                <w:sz w:val="20"/>
                <w:szCs w:val="20"/>
                <w:lang w:val="en-US"/>
              </w:rPr>
              <w:t>0.6694</w:t>
            </w:r>
          </w:p>
        </w:tc>
      </w:tr>
    </w:tbl>
    <w:p w14:paraId="55130C92" w14:textId="77777777" w:rsidR="0074347C" w:rsidRPr="0066682B" w:rsidRDefault="0074347C" w:rsidP="0074347C">
      <w:pPr>
        <w:pStyle w:val="ListParagraph"/>
        <w:spacing w:after="0" w:line="360" w:lineRule="auto"/>
        <w:ind w:left="0"/>
        <w:jc w:val="both"/>
        <w:rPr>
          <w:rFonts w:ascii="Cambria" w:hAnsi="Cambria" w:cs="Arial"/>
          <w:sz w:val="20"/>
          <w:szCs w:val="20"/>
          <w:lang w:val="en-US"/>
        </w:rPr>
      </w:pPr>
    </w:p>
    <w:p w14:paraId="128F0FF8" w14:textId="3B0D9720" w:rsidR="00576C66" w:rsidRPr="00576C66" w:rsidRDefault="00576C66" w:rsidP="00576C66">
      <w:pPr>
        <w:spacing w:after="0" w:line="240" w:lineRule="auto"/>
        <w:jc w:val="both"/>
        <w:rPr>
          <w:rFonts w:ascii="Cambria" w:hAnsi="Cambria" w:cs="Times New Roman"/>
          <w:b/>
          <w:lang w:val="en-US"/>
        </w:rPr>
      </w:pPr>
      <w:r w:rsidRPr="00576C66">
        <w:rPr>
          <w:rFonts w:ascii="Cambria" w:hAnsi="Cambria" w:cs="Times New Roman"/>
          <w:b/>
          <w:lang w:val="en-US"/>
        </w:rPr>
        <w:t>Hypothesis testing</w:t>
      </w:r>
    </w:p>
    <w:p w14:paraId="67593329" w14:textId="77777777" w:rsidR="00506523" w:rsidRDefault="00EC49E8" w:rsidP="00506523">
      <w:pPr>
        <w:pStyle w:val="ListParagraph"/>
        <w:spacing w:after="0" w:line="240" w:lineRule="auto"/>
        <w:ind w:left="0" w:firstLine="426"/>
        <w:contextualSpacing w:val="0"/>
        <w:jc w:val="both"/>
        <w:rPr>
          <w:rFonts w:ascii="Cambria" w:hAnsi="Cambria" w:cs="Times New Roman"/>
          <w:lang w:val="en-US"/>
        </w:rPr>
      </w:pPr>
      <w:r w:rsidRPr="00EC49E8">
        <w:rPr>
          <w:rFonts w:ascii="Cambria" w:hAnsi="Cambria" w:cs="Times New Roman"/>
          <w:lang w:val="en-US"/>
        </w:rPr>
        <w:t>The fulfillment of the classical assumptions of the long-term equation model (OLS) and the short-term equation (ECM) shows that the model formed is already the Best Linear Un</w:t>
      </w:r>
      <w:r>
        <w:rPr>
          <w:rFonts w:ascii="Cambria" w:hAnsi="Cambria" w:cs="Times New Roman"/>
          <w:lang w:val="en-US"/>
        </w:rPr>
        <w:t>bias</w:t>
      </w:r>
      <w:r w:rsidR="00506523">
        <w:rPr>
          <w:rFonts w:ascii="Cambria" w:hAnsi="Cambria" w:cs="Times New Roman"/>
          <w:lang w:val="en-US"/>
        </w:rPr>
        <w:t>ed</w:t>
      </w:r>
      <w:r>
        <w:rPr>
          <w:rFonts w:ascii="Cambria" w:hAnsi="Cambria" w:cs="Times New Roman"/>
          <w:lang w:val="en-US"/>
        </w:rPr>
        <w:t xml:space="preserve"> </w:t>
      </w:r>
      <w:r w:rsidRPr="00EC49E8">
        <w:rPr>
          <w:rFonts w:ascii="Cambria" w:hAnsi="Cambria" w:cs="Times New Roman"/>
          <w:lang w:val="en-US"/>
        </w:rPr>
        <w:t>Estimate (BLUE), so that the regression coefficient generated by each model (Table 3 and Table 5) can be used to</w:t>
      </w:r>
      <w:r w:rsidR="00506523">
        <w:rPr>
          <w:rFonts w:ascii="Cambria" w:hAnsi="Cambria" w:cs="Times New Roman"/>
          <w:lang w:val="en-US"/>
        </w:rPr>
        <w:t xml:space="preserve"> prove the research hypothesis.</w:t>
      </w:r>
    </w:p>
    <w:p w14:paraId="0E82A158" w14:textId="40C2E208" w:rsidR="00506523" w:rsidRDefault="00EC49E8" w:rsidP="00506523">
      <w:pPr>
        <w:pStyle w:val="ListParagraph"/>
        <w:spacing w:after="0" w:line="240" w:lineRule="auto"/>
        <w:ind w:left="0" w:firstLine="426"/>
        <w:contextualSpacing w:val="0"/>
        <w:jc w:val="both"/>
        <w:rPr>
          <w:rFonts w:ascii="Cambria" w:hAnsi="Cambria" w:cs="Times New Roman"/>
          <w:lang w:val="en-US"/>
        </w:rPr>
      </w:pPr>
      <w:r w:rsidRPr="00506523">
        <w:rPr>
          <w:rFonts w:ascii="Cambria" w:hAnsi="Cambria" w:cs="Times New Roman"/>
          <w:lang w:val="en-US"/>
        </w:rPr>
        <w:t xml:space="preserve">Mudharabah deposit </w:t>
      </w:r>
      <w:r w:rsidR="00506523" w:rsidRPr="00506523">
        <w:rPr>
          <w:rFonts w:ascii="Cambria" w:hAnsi="Cambria" w:cs="Times New Roman"/>
          <w:lang w:val="en-US"/>
        </w:rPr>
        <w:t xml:space="preserve">(Ln_MD) </w:t>
      </w:r>
      <w:r w:rsidRPr="00506523">
        <w:rPr>
          <w:rFonts w:ascii="Cambria" w:hAnsi="Cambria" w:cs="Times New Roman"/>
          <w:lang w:val="en-US"/>
        </w:rPr>
        <w:t>regression coefficient in the long-term equation (OLS) of 0.82724 has a prob. t-stat is 0.0000, so it can be said that in the long term mudharabah deposits have a significant positive effect at α = 1%. While in the short term equation (ECM) the regression coefficient is 0.41163 with prob. t-stat 0.0481, thus in the short term mudharabah deposits have a significant positive effect at α = 5%. The consistency of these two results proves that mudharabah deposits have a signif</w:t>
      </w:r>
      <w:r w:rsidR="00506523">
        <w:rPr>
          <w:rFonts w:ascii="Cambria" w:hAnsi="Cambria" w:cs="Times New Roman"/>
          <w:lang w:val="en-US"/>
        </w:rPr>
        <w:t>icant positive effect on profit-</w:t>
      </w:r>
      <w:r w:rsidRPr="00506523">
        <w:rPr>
          <w:rFonts w:ascii="Cambria" w:hAnsi="Cambria" w:cs="Times New Roman"/>
          <w:lang w:val="en-US"/>
        </w:rPr>
        <w:t>sharing financing (H</w:t>
      </w:r>
      <w:r w:rsidRPr="00506523">
        <w:rPr>
          <w:rFonts w:ascii="Cambria" w:hAnsi="Cambria" w:cs="Times New Roman"/>
          <w:vertAlign w:val="subscript"/>
          <w:lang w:val="en-US"/>
        </w:rPr>
        <w:t>1</w:t>
      </w:r>
      <w:r w:rsidR="00506523" w:rsidRPr="00EC49E8">
        <w:rPr>
          <w:rFonts w:ascii="Cambria" w:hAnsi="Cambria" w:cs="Times New Roman"/>
          <w:lang w:val="en-US"/>
        </w:rPr>
        <w:t xml:space="preserve"> proven</w:t>
      </w:r>
      <w:r w:rsidR="00506523">
        <w:rPr>
          <w:rFonts w:ascii="Cambria" w:hAnsi="Cambria" w:cs="Times New Roman"/>
          <w:lang w:val="en-US"/>
        </w:rPr>
        <w:t>).</w:t>
      </w:r>
    </w:p>
    <w:p w14:paraId="0DF08B19" w14:textId="2A0DA539" w:rsidR="00506523" w:rsidRDefault="00EC49E8" w:rsidP="00506523">
      <w:pPr>
        <w:pStyle w:val="ListParagraph"/>
        <w:spacing w:after="0" w:line="240" w:lineRule="auto"/>
        <w:ind w:left="0" w:firstLine="426"/>
        <w:contextualSpacing w:val="0"/>
        <w:jc w:val="both"/>
        <w:rPr>
          <w:rFonts w:ascii="Cambria" w:hAnsi="Cambria" w:cs="Times New Roman"/>
          <w:lang w:val="en-US"/>
        </w:rPr>
      </w:pPr>
      <w:r w:rsidRPr="00506523">
        <w:rPr>
          <w:rFonts w:ascii="Cambria" w:hAnsi="Cambria" w:cs="Times New Roman"/>
          <w:lang w:val="en-US"/>
        </w:rPr>
        <w:t xml:space="preserve">The regression coefficient values ​​of non-performing financing (NPF) and equivalent rate (ER) on the long-term and short-term equations are both consistently negative. However, both have different levels of significance. Non-performing financing prob. t-stat for the long and short term equation is both </w:t>
      </w:r>
      <w:r w:rsidRPr="00506523">
        <w:rPr>
          <w:rFonts w:ascii="Cambria" w:hAnsi="Cambria" w:cs="Times New Roman"/>
          <w:lang w:val="en-US"/>
        </w:rPr>
        <w:lastRenderedPageBreak/>
        <w:t>significant at α = 10%, while for the equivalent rate in the long term equation it is significant at α = 1% and for the short term equation it is significant at α = 5%. These results are sufficient to prove that non-performing financing has a significant negative effect on profit-sharing financing (H</w:t>
      </w:r>
      <w:r w:rsidRPr="00506523">
        <w:rPr>
          <w:rFonts w:ascii="Cambria" w:hAnsi="Cambria" w:cs="Times New Roman"/>
          <w:vertAlign w:val="subscript"/>
          <w:lang w:val="en-US"/>
        </w:rPr>
        <w:t>2</w:t>
      </w:r>
      <w:r w:rsidRPr="00506523">
        <w:rPr>
          <w:rFonts w:ascii="Cambria" w:hAnsi="Cambria" w:cs="Times New Roman"/>
          <w:lang w:val="en-US"/>
        </w:rPr>
        <w:t xml:space="preserve"> proven) and the equivalent rate has a significant negative effect on profit-sh</w:t>
      </w:r>
      <w:r w:rsidR="00506523">
        <w:rPr>
          <w:rFonts w:ascii="Cambria" w:hAnsi="Cambria" w:cs="Times New Roman"/>
          <w:lang w:val="en-US"/>
        </w:rPr>
        <w:t>aring financing (H</w:t>
      </w:r>
      <w:r w:rsidR="00506523" w:rsidRPr="00506523">
        <w:rPr>
          <w:rFonts w:ascii="Cambria" w:hAnsi="Cambria" w:cs="Times New Roman"/>
          <w:vertAlign w:val="subscript"/>
          <w:lang w:val="en-US"/>
        </w:rPr>
        <w:t>3</w:t>
      </w:r>
      <w:r w:rsidR="00506523">
        <w:rPr>
          <w:rFonts w:ascii="Cambria" w:hAnsi="Cambria" w:cs="Times New Roman"/>
          <w:lang w:val="en-US"/>
        </w:rPr>
        <w:t xml:space="preserve"> proven).</w:t>
      </w:r>
    </w:p>
    <w:p w14:paraId="046AFCFE" w14:textId="73D4CE18" w:rsidR="00506523" w:rsidRDefault="00EC49E8" w:rsidP="00506523">
      <w:pPr>
        <w:pStyle w:val="ListParagraph"/>
        <w:spacing w:after="0" w:line="240" w:lineRule="auto"/>
        <w:ind w:left="0" w:firstLine="426"/>
        <w:contextualSpacing w:val="0"/>
        <w:jc w:val="both"/>
        <w:rPr>
          <w:rFonts w:ascii="Cambria" w:hAnsi="Cambria" w:cs="Times New Roman"/>
          <w:lang w:val="en-US"/>
        </w:rPr>
      </w:pPr>
      <w:r w:rsidRPr="00506523">
        <w:rPr>
          <w:rFonts w:ascii="Cambria" w:hAnsi="Cambria" w:cs="Times New Roman"/>
          <w:lang w:val="en-US"/>
        </w:rPr>
        <w:t>In the short term efficiency (BOPO) does not have a significant effect on profi</w:t>
      </w:r>
      <w:r w:rsidR="00506523">
        <w:rPr>
          <w:rFonts w:ascii="Cambria" w:hAnsi="Cambria" w:cs="Times New Roman"/>
          <w:lang w:val="en-US"/>
        </w:rPr>
        <w:t>t-</w:t>
      </w:r>
      <w:r w:rsidRPr="00506523">
        <w:rPr>
          <w:rFonts w:ascii="Cambria" w:hAnsi="Cambria" w:cs="Times New Roman"/>
          <w:lang w:val="en-US"/>
        </w:rPr>
        <w:t>sharing financing, as indicated by the prob</w:t>
      </w:r>
      <w:r w:rsidR="00506523">
        <w:rPr>
          <w:rFonts w:ascii="Cambria" w:hAnsi="Cambria" w:cs="Times New Roman"/>
          <w:lang w:val="en-US"/>
        </w:rPr>
        <w:t>.</w:t>
      </w:r>
      <w:r w:rsidRPr="00506523">
        <w:rPr>
          <w:rFonts w:ascii="Cambria" w:hAnsi="Cambria" w:cs="Times New Roman"/>
          <w:lang w:val="en-US"/>
        </w:rPr>
        <w:t xml:space="preserve"> t-stat is very large 0.6356. However, in the long term, BOPO has a significant effec</w:t>
      </w:r>
      <w:r w:rsidR="00506523">
        <w:rPr>
          <w:rFonts w:ascii="Cambria" w:hAnsi="Cambria" w:cs="Times New Roman"/>
          <w:lang w:val="en-US"/>
        </w:rPr>
        <w:t>t on α = 5% (because the prob. t</w:t>
      </w:r>
      <w:r w:rsidRPr="00506523">
        <w:rPr>
          <w:rFonts w:ascii="Cambria" w:hAnsi="Cambria" w:cs="Times New Roman"/>
          <w:lang w:val="en-US"/>
        </w:rPr>
        <w:t xml:space="preserve">-stat is 0.0226). The value of the BOPO coefficient in the short-term and long-term equations is both negative, so it can be concluded that the efficiency measured by the </w:t>
      </w:r>
      <w:r w:rsidR="00506523">
        <w:rPr>
          <w:rFonts w:ascii="Cambria" w:hAnsi="Cambria" w:cs="Times New Roman"/>
          <w:lang w:val="en-US"/>
        </w:rPr>
        <w:t xml:space="preserve">BOPO </w:t>
      </w:r>
      <w:r w:rsidRPr="00506523">
        <w:rPr>
          <w:rFonts w:ascii="Cambria" w:hAnsi="Cambria" w:cs="Times New Roman"/>
          <w:lang w:val="en-US"/>
        </w:rPr>
        <w:t>ratio has a significant negative effect on profit sharing financing (H</w:t>
      </w:r>
      <w:r w:rsidRPr="00506523">
        <w:rPr>
          <w:rFonts w:ascii="Cambria" w:hAnsi="Cambria" w:cs="Times New Roman"/>
          <w:vertAlign w:val="subscript"/>
          <w:lang w:val="en-US"/>
        </w:rPr>
        <w:t>4</w:t>
      </w:r>
      <w:r w:rsidR="00506523">
        <w:rPr>
          <w:rFonts w:ascii="Cambria" w:hAnsi="Cambria" w:cs="Times New Roman"/>
          <w:lang w:val="en-US"/>
        </w:rPr>
        <w:t xml:space="preserve"> proven).</w:t>
      </w:r>
    </w:p>
    <w:p w14:paraId="64B587BA" w14:textId="30EA0C9E" w:rsidR="00EC49E8" w:rsidRPr="00506523" w:rsidRDefault="00EC49E8" w:rsidP="00506523">
      <w:pPr>
        <w:pStyle w:val="ListParagraph"/>
        <w:spacing w:after="0" w:line="240" w:lineRule="auto"/>
        <w:ind w:left="0" w:firstLine="426"/>
        <w:contextualSpacing w:val="0"/>
        <w:jc w:val="both"/>
        <w:rPr>
          <w:rFonts w:ascii="Cambria" w:hAnsi="Cambria" w:cs="Times New Roman"/>
          <w:lang w:val="en-US"/>
        </w:rPr>
      </w:pPr>
      <w:r w:rsidRPr="00506523">
        <w:rPr>
          <w:rFonts w:ascii="Cambria" w:hAnsi="Cambria" w:cs="Times New Roman"/>
          <w:lang w:val="en-US"/>
        </w:rPr>
        <w:t xml:space="preserve">The results of the calculation of the prob. t-stat equations for the long-term and short-term variables for economic growth </w:t>
      </w:r>
      <w:r w:rsidR="00506523">
        <w:rPr>
          <w:rFonts w:ascii="Cambria" w:hAnsi="Cambria" w:cs="Times New Roman"/>
          <w:lang w:val="en-US"/>
        </w:rPr>
        <w:t xml:space="preserve">(ER) </w:t>
      </w:r>
      <w:r w:rsidRPr="00506523">
        <w:rPr>
          <w:rFonts w:ascii="Cambria" w:hAnsi="Cambria" w:cs="Times New Roman"/>
          <w:lang w:val="en-US"/>
        </w:rPr>
        <w:t>have similarities and differences. In terms of the level of significance, economic growth has a significant effect on different alpha, but the two equations show the same direction of influence (negative). This is contrary to the hypothesis that economic growth has a signif</w:t>
      </w:r>
      <w:r w:rsidR="00852CB5">
        <w:rPr>
          <w:rFonts w:ascii="Cambria" w:hAnsi="Cambria" w:cs="Times New Roman"/>
          <w:lang w:val="en-US"/>
        </w:rPr>
        <w:t>icant positive effect on profit-</w:t>
      </w:r>
      <w:r w:rsidRPr="00506523">
        <w:rPr>
          <w:rFonts w:ascii="Cambria" w:hAnsi="Cambria" w:cs="Times New Roman"/>
          <w:lang w:val="en-US"/>
        </w:rPr>
        <w:t>sharing financing, thus there is insufficient evidence to accept the research hypothesis (H</w:t>
      </w:r>
      <w:r w:rsidRPr="00852CB5">
        <w:rPr>
          <w:rFonts w:ascii="Cambria" w:hAnsi="Cambria" w:cs="Times New Roman"/>
          <w:vertAlign w:val="subscript"/>
          <w:lang w:val="en-US"/>
        </w:rPr>
        <w:t>5</w:t>
      </w:r>
      <w:r w:rsidRPr="00506523">
        <w:rPr>
          <w:rFonts w:ascii="Cambria" w:hAnsi="Cambria" w:cs="Times New Roman"/>
          <w:lang w:val="en-US"/>
        </w:rPr>
        <w:t xml:space="preserve"> not proven).</w:t>
      </w:r>
    </w:p>
    <w:p w14:paraId="2BDFBCBA" w14:textId="556D943C" w:rsidR="004A7B3F" w:rsidRPr="00800086" w:rsidRDefault="00EC49E8" w:rsidP="00EC49E8">
      <w:pPr>
        <w:pStyle w:val="ListParagraph"/>
        <w:spacing w:after="0" w:line="240" w:lineRule="auto"/>
        <w:ind w:left="0" w:firstLine="426"/>
        <w:contextualSpacing w:val="0"/>
        <w:jc w:val="both"/>
        <w:rPr>
          <w:rFonts w:ascii="Cambria" w:hAnsi="Cambria" w:cs="Times New Roman"/>
          <w:color w:val="0070C0"/>
          <w:lang w:val="en-US"/>
        </w:rPr>
      </w:pPr>
      <w:r w:rsidRPr="00EC49E8">
        <w:rPr>
          <w:rFonts w:ascii="Cambria" w:hAnsi="Cambria" w:cs="Times New Roman"/>
          <w:lang w:val="en-US"/>
        </w:rPr>
        <w:t xml:space="preserve">Of all the research variables, only inflation has no effect on </w:t>
      </w:r>
      <w:r w:rsidR="00852CB5">
        <w:rPr>
          <w:rFonts w:ascii="Cambria" w:hAnsi="Cambria" w:cs="Times New Roman"/>
          <w:lang w:val="en-US"/>
        </w:rPr>
        <w:t>profit-</w:t>
      </w:r>
      <w:r w:rsidRPr="00EC49E8">
        <w:rPr>
          <w:rFonts w:ascii="Cambria" w:hAnsi="Cambria" w:cs="Times New Roman"/>
          <w:lang w:val="en-US"/>
        </w:rPr>
        <w:t xml:space="preserve">sharing financing, both in the short and long term. This can be seen from the prob. t-stat for the inflation </w:t>
      </w:r>
      <w:r w:rsidR="00852CB5" w:rsidRPr="00EC49E8">
        <w:rPr>
          <w:rFonts w:ascii="Cambria" w:hAnsi="Cambria" w:cs="Times New Roman"/>
          <w:lang w:val="en-US"/>
        </w:rPr>
        <w:t xml:space="preserve">(INF) </w:t>
      </w:r>
      <w:r w:rsidRPr="00EC49E8">
        <w:rPr>
          <w:rFonts w:ascii="Cambria" w:hAnsi="Cambria" w:cs="Times New Roman"/>
          <w:lang w:val="en-US"/>
        </w:rPr>
        <w:t xml:space="preserve">coefficient greater than 0.1 in each equation. Thus, there is insufficient evidence to state that inflation has a significant negative effect on </w:t>
      </w:r>
      <w:r w:rsidR="00852CB5">
        <w:rPr>
          <w:rFonts w:ascii="Cambria" w:hAnsi="Cambria" w:cs="Times New Roman"/>
          <w:lang w:val="en-US"/>
        </w:rPr>
        <w:t>profit-</w:t>
      </w:r>
      <w:r w:rsidRPr="00EC49E8">
        <w:rPr>
          <w:rFonts w:ascii="Cambria" w:hAnsi="Cambria" w:cs="Times New Roman"/>
          <w:lang w:val="en-US"/>
        </w:rPr>
        <w:t xml:space="preserve">sharing </w:t>
      </w:r>
      <w:r w:rsidR="00852CB5">
        <w:rPr>
          <w:rFonts w:ascii="Cambria" w:hAnsi="Cambria" w:cs="Times New Roman"/>
          <w:lang w:val="en-US"/>
        </w:rPr>
        <w:t xml:space="preserve">financing </w:t>
      </w:r>
      <w:r w:rsidRPr="00EC49E8">
        <w:rPr>
          <w:rFonts w:ascii="Cambria" w:hAnsi="Cambria" w:cs="Times New Roman"/>
          <w:lang w:val="en-US"/>
        </w:rPr>
        <w:t>(H</w:t>
      </w:r>
      <w:r w:rsidRPr="00852CB5">
        <w:rPr>
          <w:rFonts w:ascii="Cambria" w:hAnsi="Cambria" w:cs="Times New Roman"/>
          <w:vertAlign w:val="subscript"/>
          <w:lang w:val="en-US"/>
        </w:rPr>
        <w:t>6</w:t>
      </w:r>
      <w:r w:rsidRPr="00EC49E8">
        <w:rPr>
          <w:rFonts w:ascii="Cambria" w:hAnsi="Cambria" w:cs="Times New Roman"/>
          <w:lang w:val="en-US"/>
        </w:rPr>
        <w:t xml:space="preserve"> not proven).</w:t>
      </w:r>
    </w:p>
    <w:p w14:paraId="6F4AB52F" w14:textId="77777777" w:rsidR="00A07778" w:rsidRDefault="00A07778" w:rsidP="00450874">
      <w:pPr>
        <w:pStyle w:val="ListParagraph"/>
        <w:spacing w:after="0" w:line="240" w:lineRule="auto"/>
        <w:ind w:left="0" w:firstLine="426"/>
        <w:contextualSpacing w:val="0"/>
        <w:jc w:val="both"/>
        <w:rPr>
          <w:rFonts w:ascii="Cambria" w:hAnsi="Cambria" w:cs="Times New Roman"/>
          <w:color w:val="0070C0"/>
          <w:lang w:val="en-US"/>
        </w:rPr>
      </w:pPr>
    </w:p>
    <w:p w14:paraId="70C6E16C" w14:textId="653CB522" w:rsidR="00D16CD7" w:rsidRPr="001029A9" w:rsidRDefault="00D16CD7" w:rsidP="001029A9">
      <w:pPr>
        <w:spacing w:after="120" w:line="240" w:lineRule="auto"/>
        <w:jc w:val="both"/>
        <w:rPr>
          <w:rFonts w:cstheme="minorHAnsi"/>
          <w:b/>
          <w:sz w:val="24"/>
          <w:szCs w:val="24"/>
          <w:lang w:val="en-US"/>
        </w:rPr>
      </w:pPr>
      <w:r w:rsidRPr="001029A9">
        <w:rPr>
          <w:rFonts w:cstheme="minorHAnsi"/>
          <w:b/>
          <w:sz w:val="24"/>
          <w:szCs w:val="24"/>
          <w:lang w:val="en-US"/>
        </w:rPr>
        <w:t xml:space="preserve">5. Discussion </w:t>
      </w:r>
    </w:p>
    <w:p w14:paraId="33063EA3" w14:textId="40E56375" w:rsidR="00B1029E" w:rsidRDefault="00623A2D" w:rsidP="00B1029E">
      <w:pPr>
        <w:pStyle w:val="ListParagraph"/>
        <w:spacing w:after="0" w:line="240" w:lineRule="auto"/>
        <w:ind w:left="0" w:firstLine="426"/>
        <w:contextualSpacing w:val="0"/>
        <w:jc w:val="both"/>
        <w:rPr>
          <w:rFonts w:ascii="Cambria" w:hAnsi="Cambria" w:cs="Times New Roman"/>
        </w:rPr>
      </w:pPr>
      <w:r w:rsidRPr="00450874">
        <w:rPr>
          <w:rFonts w:ascii="Cambria" w:hAnsi="Cambria" w:cs="Times New Roman"/>
        </w:rPr>
        <w:t>The mudharabah deposit variable was found to have a significant positive effect on pr</w:t>
      </w:r>
      <w:r w:rsidR="00450874">
        <w:rPr>
          <w:rFonts w:ascii="Cambria" w:hAnsi="Cambria" w:cs="Times New Roman"/>
        </w:rPr>
        <w:t>ofit-</w:t>
      </w:r>
      <w:r w:rsidRPr="00450874">
        <w:rPr>
          <w:rFonts w:ascii="Cambria" w:hAnsi="Cambria" w:cs="Times New Roman"/>
        </w:rPr>
        <w:t>sharing financing. The increase in the number of mudharabah deposits as a time deposit product will provide a sense of security for management to take more aggressive financing expansion decisions, so that theoretically when mudharabah deposits increase, the availability of funds to be distributed to the public will be greater and it is expected to have an</w:t>
      </w:r>
      <w:r w:rsidR="00450874">
        <w:rPr>
          <w:rFonts w:ascii="Cambria" w:hAnsi="Cambria" w:cs="Times New Roman"/>
        </w:rPr>
        <w:t xml:space="preserve"> impact on the growth of pro</w:t>
      </w:r>
      <w:r w:rsidR="00896AE1">
        <w:rPr>
          <w:rFonts w:ascii="Cambria" w:hAnsi="Cambria" w:cs="Times New Roman"/>
        </w:rPr>
        <w:t xml:space="preserve">fit-sharing financing as well </w:t>
      </w:r>
      <w:r w:rsidRPr="00450874">
        <w:rPr>
          <w:rFonts w:ascii="Cambria" w:hAnsi="Cambria" w:cs="Times New Roman"/>
        </w:rPr>
        <w:t>will increase. This finding is corroborated by</w:t>
      </w:r>
      <w:r w:rsidR="00A15118" w:rsidRPr="00450874">
        <w:rPr>
          <w:rFonts w:ascii="Cambria" w:hAnsi="Cambria" w:cs="Times New Roman"/>
        </w:rPr>
        <w:t xml:space="preserve"> </w:t>
      </w:r>
      <w:r w:rsidR="00A15118" w:rsidRPr="00450874">
        <w:rPr>
          <w:rFonts w:ascii="Cambria" w:hAnsi="Cambria" w:cs="Times New Roman"/>
        </w:rPr>
        <w:fldChar w:fldCharType="begin"/>
      </w:r>
      <w:r w:rsidR="00904861">
        <w:rPr>
          <w:rFonts w:ascii="Cambria" w:hAnsi="Cambria" w:cs="Times New Roman"/>
        </w:rPr>
        <w:instrText xml:space="preserve"> ADDIN ZOTERO_ITEM CSL_CITATION {"citationID":"lLAy16iy","properties":{"formattedCitation":"(Kiswanto, 2013; Pramono, 2013; Riyanto, 2016)","plainCitation":"(Kiswanto, 2013; Pramono, 2013; Riyanto, 2016)","dontUpdate":true,"noteIndex":0},"citationItems":[{"id":1748,"uris":["http://zotero.org/groups/2238283/items/HM9EYXIF"],"uri":["http://zotero.org/groups/2238283/items/HM9EYXIF"],"itemData":{"id":1748,"type":"article-journal","abstract":"The purpose of this study was to examine the effect mudharaba deposits, return, profit-sharing rate and the average interest rate loans to profit and loss sharing of Islamic banks either simultaneously or partially. The population is Islamic bank in Indonesia, which consisted of 11 banks with a sample consisting of 7 Islamic banks. Criteria for selection of the sample is using purposive sampling. The unit of analysis is a semi-annual publication of the financial statements of Islamic banks in 2010-2012. The method of data analysis used in this study is multiple linear regression. Variables mudharaba deposits, return, profit sharing rate and the average interest rate are significant effect simultaneously to the profit sharing. While partially only variable mudaraba deposits, profit -sharing and profit sharing rate is significant positive effect on the profit and loss sharing. Meanwhile, the average interest rate credit does not significantly influence the profit and loss sharing. Keywords: Mudharaba Deposits, Return, Profit Sharing Rate, Average Interest Rate, Profit and Loss Sharing.","container-title":"Jurnal Reviu Akuntansi dan Keuangan","ISSN":"2615-2223","issue":"2","language":"en","page":"437-446","source":"ejournal.umm.ac.id","title":"Faktor-Faktor yang Mempengaruhi Pembiayaan Berbasis Bagi Hasil (Profit And Loss Sharing)","volume":"3","author":[{"family":"Kiswanto","given":"Wahyuli Ambarwati Wulandari"}],"issued":{"date-parts":[["2013"]]}}},{"id":1725,"uris":["http://zotero.org/groups/2238283/items/MPPH864L"],"uri":["http://zotero.org/groups/2238283/items/MPPH864L"],"itemData":{"id":1725,"type":"article-journal","abstract":"Tujuan penelitian ini adalah untuk mengetahui ada tidaknya pengaruh deposito mudharabah, spread bagi hasil, dan tingkat bagi hasil terhadap pembiayaan berbasis bagi hasil bank syariah baik secara simultan maupun parsial. Populasi dalam penelitian ini adalah bank syariah di Indonesia yang terdiri dari 11 bank. Sedangkan sampelnya terdiri dari 5 bank syariah. Kriteria pemilihan sampel menggunakan purposive sampling. Unit analisis yang digunakan adalah laporan keuangan publikasi triwulanan bank syariah tahun 2010-2012. Metode analisis data yang digunakan dalam penelitian ini adalah regresi linier berganda. Secara simultan variabel deposito mudharabah, spread bagi hasil, dan tingkat bagi hasil berpengaruh positif signifikan terhadap pembiayaan berbasis bagi hasil. Sedangkan secara parsial hanya variabel deposito mudharabah dan spread bagi hasil yang berpengaruh positif signifikan terhadap pembiayaan berbasis bagi hasil. Sedangkan tingkat bagi hasil tidak berpengaruh signifikan terhadap pembiayaan berbasis bagi hasil.    The purpose of this study to examine the effect of mudharabah deposits, spread proft sharing, and equivalent rate to profit sharing of Islamic bank either simultaneously or partially. The population of this study is Islamic bank in Indonesia which consists of 11 banks. While the sample consisted of 5 Islamic banks. Sampling technique using purposive sampling. The unit analysis whichis used is the quarterly publication of the financial report of Islamic bank in 2010-2012. Multiple regression analysis was employed to analysis data. Variables of mudharabah deposits, spread profit sharing, and equivalent rate are significant effect simultaneously to the profit sharing. Based on the results of this study can be concluded that variable of mudharabah deposit and spread profit sharing are partially significant to the profit sharing. While equivalent rate is not significant to the profit sharing.","container-title":"Accounting Analysis Journal","DOI":"10.15294/aaj.v2i2.1437","ISSN":"2252-6765","issue":"2","journalAbbreviation":"1","language":"en","page":"154-162","source":"journal.unnes.ac.id","title":"Optimalisasi Pembiayaan Berbasis Bagi Hasil Pada Bank Syariah Di Indonesia","volume":"2","author":[{"family":"Pramono","given":"Nugroho Heri"}],"issued":{"date-parts":[["2013"]]}}},{"id":1788,"uris":["http://zotero.org/groups/2238283/items/L9YGPPH6"],"uri":["http://zotero.org/groups/2238283/items/L9YGPPH6"],"itemData":{"id":1788,"type":"article-journal","abstract":"Islamic banking is a financial institution that uses the sharing system has a wide range ofproducts offered, especially in the task of channeling bank funds for financing one of which isprofit and loss sharing financing (Mudaraba and Musharaka). Suposed profit and loss sharingfinancing that dominates among other types of financing due in accordance with conventionalbanks as well differentiator, but the reality is not profit and loss sharing financing dominate. Thisstudy aims analyze the factors that affect profit and loss sharing financing. The purpose of thisstudy was to analyze the influence of deposits mudaraba, equivalent of profit sharing, spreadprofit sharing, and Non Performing Financing of profit and loss sharing financing. The populationwas islamic Banking in Indonesia, which consists of 11 banks. The samples used are selectedusing purposive sampling technique and only 4 bank in accordance with the criteria. The datais taken from the Quarterly Financing Reports Sharia Bank Devisa in Bank Indonesia’s websiteduring the period of 4 years from 2010 to 2013, in this study consisted of 64 observation points.The data collected were analyzed using descriptive statistics and multiple regression analysis.The result showed that the coefficient of determination through the four test variables: depositsmudaraba, equivalent of profit sharing, spread profit sharing, and Non Performing Financingcan explian the variation in the dependent variable for profit and loss sharing financing by70.4% while the rest is explained by other causes beyond the research variables. Four variablessimultaneously affect the results because the financing for the significance level of less than0.05. From the partial results variable equivalent of profit sharing has not significant affect toprofit and loss sharing financing and variable non-performing ratio has negative significant affectto profit and loss sharing financing, while the other two variables deposits mudaraba and spreadprofit sharing has positive significant affect to profit and loss sharing financing.Keywords : deposits mudaraba, equivalent of profit sharing, spread profit sharing, and NonPerforming Financing of profit and loss sharing financing.","container-title":"Jurnal Ekonomi &amp; Bisnis","DOI":"10.30659/ekobis.17.1.54-65","ISSN":"14112280","issue":"1","language":"ID","page":"54-65","source":"jurnal.unissula.ac.id","title":"Optimalisasi Pembiayaan Berbasis Bagi Hasil Pada Bank Devisa Syariah Di Indonesia","volume":"17","author":[{"family":"Riyanto","given":"Hermawan"}],"issued":{"date-parts":[["2016",1,11]]}}}],"schema":"https://github.com/citation-style-language/schema/raw/master/csl-citation.json"} </w:instrText>
      </w:r>
      <w:r w:rsidR="00A15118" w:rsidRPr="00450874">
        <w:rPr>
          <w:rFonts w:ascii="Cambria" w:hAnsi="Cambria" w:cs="Times New Roman"/>
        </w:rPr>
        <w:fldChar w:fldCharType="separate"/>
      </w:r>
      <w:r w:rsidR="00237923">
        <w:rPr>
          <w:rFonts w:ascii="Cambria" w:hAnsi="Cambria"/>
        </w:rPr>
        <w:t>Kiswanto</w:t>
      </w:r>
      <w:r w:rsidR="003A53E4" w:rsidRPr="003A53E4">
        <w:rPr>
          <w:rFonts w:ascii="Cambria" w:hAnsi="Cambria"/>
        </w:rPr>
        <w:t xml:space="preserve"> </w:t>
      </w:r>
      <w:r w:rsidR="00237923">
        <w:rPr>
          <w:rFonts w:ascii="Cambria" w:hAnsi="Cambria"/>
          <w:lang w:val="en-US"/>
        </w:rPr>
        <w:t>(</w:t>
      </w:r>
      <w:r w:rsidR="00237923">
        <w:rPr>
          <w:rFonts w:ascii="Cambria" w:hAnsi="Cambria"/>
        </w:rPr>
        <w:t>2013), Pramono</w:t>
      </w:r>
      <w:r w:rsidR="003A53E4" w:rsidRPr="003A53E4">
        <w:rPr>
          <w:rFonts w:ascii="Cambria" w:hAnsi="Cambria"/>
        </w:rPr>
        <w:t xml:space="preserve"> </w:t>
      </w:r>
      <w:r w:rsidR="00237923">
        <w:rPr>
          <w:rFonts w:ascii="Cambria" w:hAnsi="Cambria"/>
          <w:lang w:val="en-US"/>
        </w:rPr>
        <w:t>(</w:t>
      </w:r>
      <w:r w:rsidR="00237923">
        <w:rPr>
          <w:rFonts w:ascii="Cambria" w:hAnsi="Cambria"/>
        </w:rPr>
        <w:t>2013) and Riyanto</w:t>
      </w:r>
      <w:r w:rsidR="003A53E4" w:rsidRPr="003A53E4">
        <w:rPr>
          <w:rFonts w:ascii="Cambria" w:hAnsi="Cambria"/>
        </w:rPr>
        <w:t xml:space="preserve"> </w:t>
      </w:r>
      <w:r w:rsidR="00237923">
        <w:rPr>
          <w:rFonts w:ascii="Cambria" w:hAnsi="Cambria"/>
          <w:lang w:val="en-US"/>
        </w:rPr>
        <w:t>(</w:t>
      </w:r>
      <w:r w:rsidR="003A53E4" w:rsidRPr="003A53E4">
        <w:rPr>
          <w:rFonts w:ascii="Cambria" w:hAnsi="Cambria"/>
        </w:rPr>
        <w:t>2016)</w:t>
      </w:r>
      <w:r w:rsidR="00A15118" w:rsidRPr="00450874">
        <w:rPr>
          <w:rFonts w:ascii="Cambria" w:hAnsi="Cambria" w:cs="Times New Roman"/>
        </w:rPr>
        <w:fldChar w:fldCharType="end"/>
      </w:r>
      <w:r w:rsidR="00A15118" w:rsidRPr="00450874">
        <w:rPr>
          <w:rFonts w:ascii="Cambria" w:hAnsi="Cambria" w:cs="Times New Roman"/>
        </w:rPr>
        <w:t xml:space="preserve"> </w:t>
      </w:r>
      <w:r w:rsidRPr="00450874">
        <w:rPr>
          <w:rFonts w:ascii="Cambria" w:hAnsi="Cambria" w:cs="Times New Roman"/>
        </w:rPr>
        <w:t>who state that the greater the mudharabah deposit rate, the greater the financing funds that the bank will provide to customers.</w:t>
      </w:r>
    </w:p>
    <w:p w14:paraId="18C32184" w14:textId="77777777" w:rsidR="00B1029E" w:rsidRDefault="00B1029E" w:rsidP="00B1029E">
      <w:pPr>
        <w:pStyle w:val="ListParagraph"/>
        <w:spacing w:after="0" w:line="240" w:lineRule="auto"/>
        <w:ind w:left="0" w:firstLine="426"/>
        <w:contextualSpacing w:val="0"/>
        <w:jc w:val="both"/>
        <w:rPr>
          <w:rFonts w:ascii="Cambria" w:hAnsi="Cambria" w:cs="Times New Roman"/>
        </w:rPr>
      </w:pPr>
      <w:r w:rsidRPr="00B1029E">
        <w:rPr>
          <w:rFonts w:ascii="Cambria" w:hAnsi="Cambria" w:cs="Times New Roman"/>
        </w:rPr>
        <w:t>The increase in the amount of profit-sharing financing that can be distributed to customers as a result of the increase in the amount of mudharabah deposits is quite elastic. In the short term, every 1% increase in the amount of mudharabah deposits will encourage the growth of profit sharing financing by 0.41%. Meanwhile, in the long term, the growth of mudharabah deposits by 1% can increase the profit sharing financing to 0.83%. The growth of mudharabah deposits has had a consistent impact on the growth in profit sharing financing. It appears that the long-term impacts that are generated are far greater tha</w:t>
      </w:r>
      <w:r>
        <w:rPr>
          <w:rFonts w:ascii="Cambria" w:hAnsi="Cambria" w:cs="Times New Roman"/>
        </w:rPr>
        <w:t>n the short-term impacts.</w:t>
      </w:r>
    </w:p>
    <w:p w14:paraId="65FC9889" w14:textId="3D3797B0" w:rsidR="00B1029E" w:rsidRPr="00B1029E" w:rsidRDefault="00B1029E" w:rsidP="00B1029E">
      <w:pPr>
        <w:pStyle w:val="ListParagraph"/>
        <w:spacing w:after="0" w:line="240" w:lineRule="auto"/>
        <w:ind w:left="0" w:firstLine="426"/>
        <w:contextualSpacing w:val="0"/>
        <w:jc w:val="both"/>
        <w:rPr>
          <w:rFonts w:ascii="Cambria" w:hAnsi="Cambria" w:cs="Times New Roman"/>
        </w:rPr>
      </w:pPr>
      <w:r w:rsidRPr="00B1029E">
        <w:rPr>
          <w:rFonts w:ascii="Cambria" w:hAnsi="Cambria" w:cs="Times New Roman"/>
        </w:rPr>
        <w:t>The strategy of Islamic banks to continuously encourage the growth of mudharabah deposits must be viewed carefully. Growth that is too aggressive is not impossible to slow down in the future. Slowing growth in mudharabah deposits will also slow down the growth in profit sharing financing. Therefore, the strategy that Islamic banks must implement in encouraging the growth of mudharabah deposits must be carried out consistently. This means that existing growth must be maintained, not to decline if you want to continue to encourage growth in financing for the results.</w:t>
      </w:r>
    </w:p>
    <w:p w14:paraId="0551202B" w14:textId="2674BB2E" w:rsidR="00B1029E" w:rsidRDefault="00B1029E" w:rsidP="00B1029E">
      <w:pPr>
        <w:pStyle w:val="ListParagraph"/>
        <w:spacing w:after="0" w:line="240" w:lineRule="auto"/>
        <w:ind w:left="0" w:firstLine="426"/>
        <w:contextualSpacing w:val="0"/>
        <w:jc w:val="both"/>
        <w:rPr>
          <w:rFonts w:ascii="Cambria" w:hAnsi="Cambria" w:cs="Times New Roman"/>
        </w:rPr>
      </w:pPr>
      <w:r w:rsidRPr="00B1029E">
        <w:rPr>
          <w:rFonts w:ascii="Cambria" w:hAnsi="Cambria" w:cs="Times New Roman"/>
        </w:rPr>
        <w:t>For the record, the growth of mudharabah deposits is the factor that has the biggest impact compared to other factors after the growth of the profit sharing itself. So the growth in the number of mudharabah deposits in Islamic banks is the dominant factor that becomes the strategy for optimizing profit sharing financing. This is very reasonable, considering the amount of profit-sharing financing channeled mostly comes from mudharabah deposits.</w:t>
      </w:r>
    </w:p>
    <w:p w14:paraId="6C34F769" w14:textId="31D611DE" w:rsidR="009012D8" w:rsidRDefault="00623A2D" w:rsidP="00896AE1">
      <w:pPr>
        <w:pStyle w:val="ListParagraph"/>
        <w:spacing w:after="0" w:line="240" w:lineRule="auto"/>
        <w:ind w:left="0" w:firstLine="426"/>
        <w:contextualSpacing w:val="0"/>
        <w:jc w:val="both"/>
        <w:rPr>
          <w:rFonts w:ascii="Cambria" w:hAnsi="Cambria" w:cs="Times New Roman"/>
        </w:rPr>
      </w:pPr>
      <w:r w:rsidRPr="00450874">
        <w:rPr>
          <w:rFonts w:ascii="Cambria" w:hAnsi="Cambria" w:cs="Times New Roman"/>
        </w:rPr>
        <w:t>The NPF variable was found to have a signif</w:t>
      </w:r>
      <w:r w:rsidR="00B8490B">
        <w:rPr>
          <w:rFonts w:ascii="Cambria" w:hAnsi="Cambria" w:cs="Times New Roman"/>
        </w:rPr>
        <w:t>icant negative effect on profit-</w:t>
      </w:r>
      <w:r w:rsidRPr="00450874">
        <w:rPr>
          <w:rFonts w:ascii="Cambria" w:hAnsi="Cambria" w:cs="Times New Roman"/>
        </w:rPr>
        <w:t xml:space="preserve">sharing financing. This can be explained that when the NPF rises, management will be more careful in expanding financing and will focus more on activities to maintain the quality of financing and make remedial and recovery efforts. This will indirectly reduce the efforts and focus of banks to expand production </w:t>
      </w:r>
      <w:r w:rsidR="00B8490B">
        <w:rPr>
          <w:rFonts w:ascii="Cambria" w:hAnsi="Cambria" w:cs="Times New Roman"/>
          <w:lang w:val="en-US"/>
        </w:rPr>
        <w:t>profit-</w:t>
      </w:r>
      <w:r w:rsidRPr="00450874">
        <w:rPr>
          <w:rFonts w:ascii="Cambria" w:hAnsi="Cambria" w:cs="Times New Roman"/>
        </w:rPr>
        <w:t>sharing financing. With a high NPF, banks will be more careful in providing financing, even if they do not rule out the possibility that banks will reduce their portion of financing. The results of this study are supported by</w:t>
      </w:r>
      <w:r w:rsidR="00DF6FE5" w:rsidRPr="00450874">
        <w:rPr>
          <w:rFonts w:ascii="Cambria" w:hAnsi="Cambria" w:cs="Times New Roman"/>
        </w:rPr>
        <w:t xml:space="preserve"> </w:t>
      </w:r>
      <w:r w:rsidR="009012D8" w:rsidRPr="00450874">
        <w:rPr>
          <w:rFonts w:ascii="Cambria" w:hAnsi="Cambria" w:cs="Times New Roman"/>
        </w:rPr>
        <w:fldChar w:fldCharType="begin"/>
      </w:r>
      <w:r w:rsidR="00904861">
        <w:rPr>
          <w:rFonts w:ascii="Cambria" w:hAnsi="Cambria" w:cs="Times New Roman"/>
        </w:rPr>
        <w:instrText xml:space="preserve"> ADDIN ZOTERO_ITEM CSL_CITATION {"citationID":"cztyQIv3","properties":{"formattedCitation":"(Annisa &amp; Yaya, 2015; Ispad, 2019; Riyanto, 2016)","plainCitation":"(Annisa &amp; Yaya, 2015; Ispad, 2019; Riyanto, 2016)","dontUpdate":true,"noteIndex":0},"citationItems":[{"id":3108,"uris":["http://zotero.org/groups/2238283/items/RMRBACB9"],"uri":["http://zotero.org/groups/2238283/items/RMRBACB9"],"itemData":{"id":3108,"type":"article-journal","abstract":"This study aims to examine the impact of the third-party funds (DPK), profit sharing rate and non-performing financing (NPF) of the volume and financing portion of profit sharing based on Islamic banking. The sample of this study is seven Islamic banks with the purpose of research object are quarterly financial statements from June 2010 until September 201. Methods of data analysis are using multiple linear regression analysis. The results showed that, from the aspect of volume, DPK variable, profit sharing rate and NPF last period has a significant impact on the profit-sharing based on financing volume for the subsequent period. In the proportion aspect, it is found that the only variable level of revenue sharing finance portfolio of last period that significantly influences the results-based financing portion for the next period.\n===========================================\nPenelitian ini bertujuan untuk mengetahui pengaruh dana pihak ketiga (DPK), tingkat bagi hasil dan non-performing financing (NPF) terhadap volume dan porsi pembiayaan berbasis bagi hasil pada perbankan syariah. Sampel yang digunakan adalah tujuh bank umum syariah dengan objek penelitian laporan keuangan triwulan dari Juni 2010 hingga September 2013.Metode analisis data menggunakan analisis regresi linear berganda.Hasil penelitian menunjukkan bahwa, dari aspek volume, variabel DPK, tingkat bagi hasil dan NPF periode lalu berpengaruh signifikan terhadap volume pembiayaan berbasis bagi hasil periode berikutnya.Pada aspek proporsi ditemukan bahwa hanya variable tingkat bagi hasil penyaluran pembiayaan periode lalu yang berpengaruh signifikan terhadap porsi pembiayaan berbasis bagi hasil periode berikutnya.","container-title":"Share: Jurnal Ekonomi dan Keuangan Islam","DOI":"10.22373/share.v4i1.754","ISSN":"2549-0648","issue":"1","language":"id","note":"number: 1","page":"79-104","source":"jurnal.ar-raniry.ac.id","title":"Pengaruh Dana Pihak Ketiga, Tingkat Bagi Hasil dan Non Performing Financing terhadap Volume dan Porsi Pembiayaan Berbasis Bagi Hasil pada Perbankan Syariah di Indonesia","volume":"4","author":[{"family":"Annisa","given":"Lintang Nurul"},{"family":"Yaya","given":"Rizal"}],"issued":{"date-parts":[["2015",6,30]]}}},{"id":1728,"uris":["http://zotero.org/groups/2238283/items/ZYUWIHJ5"],"uri":["http://zotero.org/groups/2238283/items/ZYUWIHJ5"],"itemData":{"id":1728,"type":"paper-conference","abstract":"Abstract.Banking is a very important part in the economy, one of them as an institution whose job intermediation gathers funds from community and channel it back in the form of credit. This research aims to analyze the effect of Capital Adequacy Ratio (CAR), a Non-Performing Financing (NPF), and third-party Funds (DPK) against Channelling Public Banks On Mudharabah Financing Islamic Indonesia in the period 2015-2017. This type of research using time series data in the form of a monthly statistics report from January until December 2015 2017, published by the financial services authority (OJK). Analytical techniques used is multiple regression analysis by using the method of Ordinary Least Square (OLS) on application Software Eviews 7, namely analyzing the magnitude of the influence of the free variable (independent) against the variable (dependent) with a level of significance of 5%.The overall results of the study indicate that simultaneous or CAR, NPF and DPK mudharabah financing channelling effect. In pasrsial or each CAR has no effect against the channelling of mudharabah financing, this is proved with probability values (t-statistics) is greater than the significance level of 5%, the NPF and partially against influential DPK channeling mudharabah financing. Based on the Adjusted  of 0.499745 give meaning to that variable mudharabah financing is able to explained by variable CAR, NPF, and DPK of 49.97% while the rest 50.03% explained by other variables that are not included in the This research. Keywords: CAR, NPF, DPK, MudharabahAbstrak. Perbankan merupakan bagian yang sangat penting dalam perekonomian, salah satunya sebagai lembaga intermediasi yang tugasnya menghimpun dana dari masyarakat dan menyalurkannya kembali dalam bentuk kredit. Penelitian ini bertujuan untuk menganalisis pengaruh Capital Adequacy Ratio (CAR), Non Performing Financing (NPF), dan Dana Pihak Ketiga (DPK) terhadap Penyaluran Pembiayaan Mudharabah Pada Bank Umum Syariah di Indonesia Periode 2015-2017. Jenis Penelitian ini menggunakan data time series dalam bentuk laporan statistik bulanan periode Januari 2015 hingga Desember 2017 yang dipublikasikan oleh Otoritas Jasa Keuangan (OJK). Teknik analisis yang digunakan adalah analisis regresi berganda dengan menggunakan metode Ordinary Least Square (OLS) pada aplikasi Software Eviews 7, yaitu menganalisis besarnya pengaruh variabel bebas (independent) terhadap variabel terikat (dependent) dengan tingkat signifikasi 5%.Hasil penelitian secara keseluruhan atau simultan menunjukan bahwa CAR, NPF dan DPK berpengaruh terhadap penyaluran pembiayaan mudharabah. Secara pasrsial atau masing-masing CAR tidak berpengaruh terhadap penyaluran pembiayaan mudharabah, hal ini dibuktikan dengan nilai probabilitas (t-statistik) lebih besar dari tingkat signifikasi 5%, NPF dan DPK berpengaruh secara parsial terhadap penyaluran pembiayaan mudharabah. Berdasarkan nilai Adjusted  sebesar 0.499745 memberikan makna bahwa variabel pembiayaan mudharabah mampu dijelaskan dengan oleh variabel CAR, NPF, dan DPK sebesar 49.97% sedangkan sisanya 50.03% dijelaskan oleh variabel lain yang tidak termasuk dalam penelitian ini.Keywords: CAR, NPF, DPK, Mudharabah","collection-title":"1","container-title":"Prosiding Ilmu Ekonomi","event":"Seminar Penelitian Sivitas Akademika Unisba","event-place":"Bandung","language":"id","page":"83-90","publisher":"FEB UNISBA","publisher-place":"Bandung","source":"karyailmiah.unisba.ac.id","title":"Pengaruh Capital Adequacy Ratio (CAR), Non Performing Financing (NPF), dan Dana Pihak Ketiga (DPK), terhadap Penyaluran Pembiayaan Mudharabah pada Bank Umum Syariah di Indonesia Periode 2015-2017","URL":"http://karyailmiah.unisba.ac.id/index.php/ekonomi/article/view/15193","volume":"5","author":[{"family":"Ispad","given":"Agnisma Nur Balkis"}],"accessed":{"date-parts":[["2019",5,14]]},"issued":{"date-parts":[["2019",1,25]]}}},{"id":1788,"uris":["http://zotero.org/groups/2238283/items/L9YGPPH6"],"uri":["http://zotero.org/groups/2238283/items/L9YGPPH6"],"itemData":{"id":1788,"type":"article-journal","abstract":"Islamic banking is a financial institution that uses the sharing system has a wide range ofproducts offered, especially in the task of channeling bank funds for financing one of which isprofit and loss sharing financing (Mudaraba and Musharaka). Suposed profit and loss sharingfinancing that dominates among other types of financing due in accordance with conventionalbanks as well differentiator, but the reality is not profit and loss sharing financing dominate. Thisstudy aims analyze the factors that affect profit and loss sharing financing. The purpose of thisstudy was to analyze the influence of deposits mudaraba, equivalent of profit sharing, spreadprofit sharing, and Non Performing Financing of profit and loss sharing financing. The populationwas islamic Banking in Indonesia, which consists of 11 banks. The samples used are selectedusing purposive sampling technique and only 4 bank in accordance with the criteria. The datais taken from the Quarterly Financing Reports Sharia Bank Devisa in Bank Indonesia’s websiteduring the period of 4 years from 2010 to 2013, in this study consisted of 64 observation points.The data collected were analyzed using descriptive statistics and multiple regression analysis.The result showed that the coefficient of determination through the four test variables: depositsmudaraba, equivalent of profit sharing, spread profit sharing, and Non Performing Financingcan explian the variation in the dependent variable for profit and loss sharing financing by70.4% while the rest is explained by other causes beyond the research variables. Four variablessimultaneously affect the results because the financing for the significance level of less than0.05. From the partial results variable equivalent of profit sharing has not significant affect toprofit and loss sharing financing and variable non-performing ratio has negative significant affectto profit and loss sharing financing, while the other two variables deposits mudaraba and spreadprofit sharing has positive significant affect to profit and loss sharing financing.Keywords : deposits mudaraba, equivalent of profit sharing, spread profit sharing, and NonPerforming Financing of profit and loss sharing financing.","container-title":"Jurnal Ekonomi &amp; Bisnis","DOI":"10.30659/ekobis.17.1.54-65","ISSN":"14112280","issue":"1","language":"ID","page":"54-65","source":"jurnal.unissula.ac.id","title":"Optimalisasi Pembiayaan Berbasis Bagi Hasil Pada Bank Devisa Syariah Di Indonesia","volume":"17","author":[{"family":"Riyanto","given":"Hermawan"}],"issued":{"date-parts":[["2016",1,11]]}}}],"schema":"https://github.com/citation-style-language/schema/raw/master/csl-citation.json"} </w:instrText>
      </w:r>
      <w:r w:rsidR="009012D8" w:rsidRPr="00450874">
        <w:rPr>
          <w:rFonts w:ascii="Cambria" w:hAnsi="Cambria" w:cs="Times New Roman"/>
        </w:rPr>
        <w:fldChar w:fldCharType="separate"/>
      </w:r>
      <w:r w:rsidR="00B8490B">
        <w:rPr>
          <w:rFonts w:ascii="Cambria" w:hAnsi="Cambria"/>
        </w:rPr>
        <w:t>Annisa &amp; Yaya</w:t>
      </w:r>
      <w:r w:rsidR="00B8490B" w:rsidRPr="00B8490B">
        <w:rPr>
          <w:rFonts w:ascii="Cambria" w:hAnsi="Cambria"/>
        </w:rPr>
        <w:t xml:space="preserve"> </w:t>
      </w:r>
      <w:r w:rsidR="00B8490B">
        <w:rPr>
          <w:rFonts w:ascii="Cambria" w:hAnsi="Cambria"/>
          <w:lang w:val="en-US"/>
        </w:rPr>
        <w:t>(</w:t>
      </w:r>
      <w:r w:rsidR="002B79C8">
        <w:rPr>
          <w:rFonts w:ascii="Cambria" w:hAnsi="Cambria"/>
        </w:rPr>
        <w:t>2015),</w:t>
      </w:r>
      <w:r w:rsidR="00B8490B" w:rsidRPr="00B8490B">
        <w:rPr>
          <w:rFonts w:ascii="Cambria" w:hAnsi="Cambria"/>
        </w:rPr>
        <w:t xml:space="preserve"> </w:t>
      </w:r>
      <w:r w:rsidR="002B79C8">
        <w:rPr>
          <w:rFonts w:ascii="Cambria" w:hAnsi="Cambria"/>
        </w:rPr>
        <w:t>Riyanto</w:t>
      </w:r>
      <w:r w:rsidR="002B79C8" w:rsidRPr="00B8490B">
        <w:rPr>
          <w:rFonts w:ascii="Cambria" w:hAnsi="Cambria"/>
        </w:rPr>
        <w:t xml:space="preserve"> </w:t>
      </w:r>
      <w:r w:rsidR="002B79C8">
        <w:rPr>
          <w:rFonts w:ascii="Cambria" w:hAnsi="Cambria"/>
          <w:lang w:val="en-US"/>
        </w:rPr>
        <w:t>(</w:t>
      </w:r>
      <w:r w:rsidR="002B79C8" w:rsidRPr="00B8490B">
        <w:rPr>
          <w:rFonts w:ascii="Cambria" w:hAnsi="Cambria"/>
        </w:rPr>
        <w:t>2016)</w:t>
      </w:r>
      <w:r w:rsidR="002B79C8">
        <w:rPr>
          <w:rFonts w:ascii="Cambria" w:hAnsi="Cambria"/>
          <w:lang w:val="en-US"/>
        </w:rPr>
        <w:t xml:space="preserve"> and </w:t>
      </w:r>
      <w:r w:rsidR="002B79C8">
        <w:rPr>
          <w:rFonts w:ascii="Cambria" w:hAnsi="Cambria"/>
        </w:rPr>
        <w:t>Ispad</w:t>
      </w:r>
      <w:r w:rsidR="00B8490B" w:rsidRPr="00B8490B">
        <w:rPr>
          <w:rFonts w:ascii="Cambria" w:hAnsi="Cambria"/>
        </w:rPr>
        <w:t xml:space="preserve"> </w:t>
      </w:r>
      <w:r w:rsidR="002B79C8">
        <w:rPr>
          <w:rFonts w:ascii="Cambria" w:hAnsi="Cambria"/>
          <w:lang w:val="en-US"/>
        </w:rPr>
        <w:t>(</w:t>
      </w:r>
      <w:r w:rsidR="002B79C8">
        <w:rPr>
          <w:rFonts w:ascii="Cambria" w:hAnsi="Cambria"/>
        </w:rPr>
        <w:t>2019)</w:t>
      </w:r>
      <w:r w:rsidR="009012D8" w:rsidRPr="00450874">
        <w:rPr>
          <w:rFonts w:ascii="Cambria" w:hAnsi="Cambria" w:cs="Times New Roman"/>
        </w:rPr>
        <w:fldChar w:fldCharType="end"/>
      </w:r>
      <w:r w:rsidR="009012D8" w:rsidRPr="00450874">
        <w:rPr>
          <w:rFonts w:ascii="Cambria" w:hAnsi="Cambria" w:cs="Times New Roman"/>
        </w:rPr>
        <w:t xml:space="preserve"> </w:t>
      </w:r>
      <w:r w:rsidRPr="00450874">
        <w:rPr>
          <w:rFonts w:ascii="Cambria" w:hAnsi="Cambria" w:cs="Times New Roman"/>
        </w:rPr>
        <w:t>which show that NPF has a negative effect on profit-sharing financing.</w:t>
      </w:r>
    </w:p>
    <w:p w14:paraId="0ADB8500" w14:textId="748C57C7" w:rsidR="00A644B2" w:rsidRDefault="00A644B2" w:rsidP="00896AE1">
      <w:pPr>
        <w:pStyle w:val="ListParagraph"/>
        <w:spacing w:after="0" w:line="240" w:lineRule="auto"/>
        <w:ind w:left="0" w:firstLine="426"/>
        <w:contextualSpacing w:val="0"/>
        <w:jc w:val="both"/>
        <w:rPr>
          <w:rFonts w:ascii="Cambria" w:hAnsi="Cambria" w:cs="Times New Roman"/>
        </w:rPr>
      </w:pPr>
      <w:r w:rsidRPr="00A644B2">
        <w:rPr>
          <w:rFonts w:ascii="Cambria" w:hAnsi="Cambria" w:cs="Times New Roman"/>
        </w:rPr>
        <w:lastRenderedPageBreak/>
        <w:t xml:space="preserve">The impact of a decrease in profit-sharing financing due to an increase in non-performing financing in the short and long term is not elastic. In the short term, each 1% increase in the NPF ratio will reduce the financing growth by 0.029%. Meanwhile, in the long term, each increase in the NPF ratio of 1% will reduce the growth of profit sharing financing by 0.042%. Efforts to maintain the quality of profit-sharing financing are big homework for Islamic banks. Currently, the average NPF for the </w:t>
      </w:r>
      <w:r>
        <w:rPr>
          <w:rFonts w:ascii="Cambria" w:hAnsi="Cambria" w:cs="Times New Roman"/>
          <w:lang w:val="en-US"/>
        </w:rPr>
        <w:t>profit</w:t>
      </w:r>
      <w:r w:rsidRPr="00A644B2">
        <w:rPr>
          <w:rFonts w:ascii="Cambria" w:hAnsi="Cambria" w:cs="Times New Roman"/>
        </w:rPr>
        <w:t xml:space="preserve">-sharing </w:t>
      </w:r>
      <w:r>
        <w:rPr>
          <w:rFonts w:ascii="Cambria" w:hAnsi="Cambria" w:cs="Times New Roman"/>
          <w:lang w:val="en-US"/>
        </w:rPr>
        <w:t xml:space="preserve">financing </w:t>
      </w:r>
      <w:r w:rsidRPr="00A644B2">
        <w:rPr>
          <w:rFonts w:ascii="Cambria" w:hAnsi="Cambria" w:cs="Times New Roman"/>
        </w:rPr>
        <w:t>category is relatively high, even the minimum NPF in this category is almost 3%. The decline in NPF indicates an increase in the quality of financing and this is what the Islamic banking industry must do, whether it is in order t</w:t>
      </w:r>
      <w:r>
        <w:rPr>
          <w:rFonts w:ascii="Cambria" w:hAnsi="Cambria" w:cs="Times New Roman"/>
        </w:rPr>
        <w:t>o increase the growth of profit-</w:t>
      </w:r>
      <w:r w:rsidRPr="00A644B2">
        <w:rPr>
          <w:rFonts w:ascii="Cambria" w:hAnsi="Cambria" w:cs="Times New Roman"/>
        </w:rPr>
        <w:t>sharing financing or not.</w:t>
      </w:r>
    </w:p>
    <w:p w14:paraId="64D8E943" w14:textId="13BF1670" w:rsidR="00E25A7C" w:rsidRDefault="00C72031" w:rsidP="00BE7318">
      <w:pPr>
        <w:pStyle w:val="ListParagraph"/>
        <w:spacing w:after="0" w:line="240" w:lineRule="auto"/>
        <w:ind w:left="0" w:firstLine="426"/>
        <w:contextualSpacing w:val="0"/>
        <w:jc w:val="both"/>
        <w:rPr>
          <w:rFonts w:ascii="Cambria" w:hAnsi="Cambria" w:cs="Times New Roman"/>
          <w:lang w:val="en-US"/>
        </w:rPr>
      </w:pPr>
      <w:r>
        <w:rPr>
          <w:rFonts w:ascii="Cambria" w:hAnsi="Cambria" w:cs="Times New Roman"/>
          <w:lang w:val="en-US"/>
        </w:rPr>
        <w:t xml:space="preserve">Equivalent </w:t>
      </w:r>
      <w:r w:rsidR="00623A2D" w:rsidRPr="00450874">
        <w:rPr>
          <w:rFonts w:ascii="Cambria" w:hAnsi="Cambria" w:cs="Times New Roman"/>
        </w:rPr>
        <w:t xml:space="preserve">rate was found to have a significant negative effect on profit-sharing financing. This can be explained that basically financing customers will choose a bank that offers a lower </w:t>
      </w:r>
      <w:r w:rsidR="003B0C6A">
        <w:rPr>
          <w:rFonts w:ascii="Cambria" w:hAnsi="Cambria" w:cs="Times New Roman"/>
          <w:lang w:val="en-US"/>
        </w:rPr>
        <w:t>equivalent</w:t>
      </w:r>
      <w:r w:rsidR="00623A2D" w:rsidRPr="00450874">
        <w:rPr>
          <w:rFonts w:ascii="Cambria" w:hAnsi="Cambria" w:cs="Times New Roman"/>
        </w:rPr>
        <w:t xml:space="preserve"> rate relative to other banks that offer a higher </w:t>
      </w:r>
      <w:r w:rsidR="003B0C6A">
        <w:rPr>
          <w:rFonts w:ascii="Cambria" w:hAnsi="Cambria" w:cs="Times New Roman"/>
          <w:lang w:val="en-US"/>
        </w:rPr>
        <w:t xml:space="preserve">equivalent </w:t>
      </w:r>
      <w:r w:rsidR="00623A2D" w:rsidRPr="00450874">
        <w:rPr>
          <w:rFonts w:ascii="Cambria" w:hAnsi="Cambria" w:cs="Times New Roman"/>
        </w:rPr>
        <w:t xml:space="preserve">rate, by ignoring other factors that influence the prospective customer's decision making. When </w:t>
      </w:r>
      <w:r w:rsidR="003B0C6A">
        <w:rPr>
          <w:rFonts w:ascii="Cambria" w:hAnsi="Cambria" w:cs="Times New Roman"/>
          <w:lang w:val="en-US"/>
        </w:rPr>
        <w:t xml:space="preserve">equivalent </w:t>
      </w:r>
      <w:r w:rsidR="00623A2D" w:rsidRPr="00450874">
        <w:rPr>
          <w:rFonts w:ascii="Cambria" w:hAnsi="Cambria" w:cs="Times New Roman"/>
        </w:rPr>
        <w:t>rate rises, the growth in pr</w:t>
      </w:r>
      <w:r w:rsidR="003B0C6A">
        <w:rPr>
          <w:rFonts w:ascii="Cambria" w:hAnsi="Cambria" w:cs="Times New Roman"/>
        </w:rPr>
        <w:t>ofit-</w:t>
      </w:r>
      <w:r w:rsidR="00623A2D" w:rsidRPr="00450874">
        <w:rPr>
          <w:rFonts w:ascii="Cambria" w:hAnsi="Cambria" w:cs="Times New Roman"/>
        </w:rPr>
        <w:t xml:space="preserve">sharing financing has decreased. If the level of </w:t>
      </w:r>
      <w:r w:rsidR="003B0C6A">
        <w:rPr>
          <w:rFonts w:ascii="Cambria" w:hAnsi="Cambria" w:cs="Times New Roman"/>
          <w:lang w:val="en-US"/>
        </w:rPr>
        <w:t xml:space="preserve">equivalent rate </w:t>
      </w:r>
      <w:r w:rsidR="00623A2D" w:rsidRPr="00450874">
        <w:rPr>
          <w:rFonts w:ascii="Cambria" w:hAnsi="Cambria" w:cs="Times New Roman"/>
        </w:rPr>
        <w:t>does not affect profit sharing financing, the impact is that Islamic banks must consider other aspects, such as improving service quality, product variety, historical relationships, ease of access/proximity to bank locations and others. Th</w:t>
      </w:r>
      <w:r w:rsidR="003B0C6A">
        <w:rPr>
          <w:rFonts w:ascii="Cambria" w:hAnsi="Cambria" w:cs="Times New Roman"/>
        </w:rPr>
        <w:t>erefore, to optimize the profit-</w:t>
      </w:r>
      <w:r w:rsidR="00623A2D" w:rsidRPr="00450874">
        <w:rPr>
          <w:rFonts w:ascii="Cambria" w:hAnsi="Cambria" w:cs="Times New Roman"/>
        </w:rPr>
        <w:t xml:space="preserve">sharing financing of a bank, one of them is by reducing the </w:t>
      </w:r>
      <w:r w:rsidR="003B0C6A">
        <w:rPr>
          <w:rFonts w:ascii="Cambria" w:hAnsi="Cambria" w:cs="Times New Roman"/>
          <w:lang w:val="en-US"/>
        </w:rPr>
        <w:t xml:space="preserve">equivalent </w:t>
      </w:r>
      <w:r w:rsidR="00623A2D" w:rsidRPr="00450874">
        <w:rPr>
          <w:rFonts w:ascii="Cambria" w:hAnsi="Cambria" w:cs="Times New Roman"/>
        </w:rPr>
        <w:t xml:space="preserve">rate received by the bank, which of course still takes into account several aspects in it. This provides a positive critique of the results of research conducted by </w:t>
      </w:r>
      <w:r w:rsidR="00E31885" w:rsidRPr="00450874">
        <w:rPr>
          <w:rFonts w:ascii="Cambria" w:hAnsi="Cambria" w:cs="Times New Roman"/>
        </w:rPr>
        <w:fldChar w:fldCharType="begin"/>
      </w:r>
      <w:r w:rsidR="00904861">
        <w:rPr>
          <w:rFonts w:ascii="Cambria" w:hAnsi="Cambria" w:cs="Times New Roman"/>
        </w:rPr>
        <w:instrText xml:space="preserve"> ADDIN ZOTERO_ITEM CSL_CITATION {"citationID":"KHy8G9v2","properties":{"formattedCitation":"(Pramono, 2013; Riyanto, 2016)","plainCitation":"(Pramono, 2013; Riyanto, 2016)","dontUpdate":true,"noteIndex":0},"citationItems":[{"id":1725,"uris":["http://zotero.org/groups/2238283/items/MPPH864L"],"uri":["http://zotero.org/groups/2238283/items/MPPH864L"],"itemData":{"id":1725,"type":"article-journal","abstract":"Tujuan penelitian ini adalah untuk mengetahui ada tidaknya pengaruh deposito mudharabah, spread bagi hasil, dan tingkat bagi hasil terhadap pembiayaan berbasis bagi hasil bank syariah baik secara simultan maupun parsial. Populasi dalam penelitian ini adalah bank syariah di Indonesia yang terdiri dari 11 bank. Sedangkan sampelnya terdiri dari 5 bank syariah. Kriteria pemilihan sampel menggunakan purposive sampling. Unit analisis yang digunakan adalah laporan keuangan publikasi triwulanan bank syariah tahun 2010-2012. Metode analisis data yang digunakan dalam penelitian ini adalah regresi linier berganda. Secara simultan variabel deposito mudharabah, spread bagi hasil, dan tingkat bagi hasil berpengaruh positif signifikan terhadap pembiayaan berbasis bagi hasil. Sedangkan secara parsial hanya variabel deposito mudharabah dan spread bagi hasil yang berpengaruh positif signifikan terhadap pembiayaan berbasis bagi hasil. Sedangkan tingkat bagi hasil tidak berpengaruh signifikan terhadap pembiayaan berbasis bagi hasil.    The purpose of this study to examine the effect of mudharabah deposits, spread proft sharing, and equivalent rate to profit sharing of Islamic bank either simultaneously or partially. The population of this study is Islamic bank in Indonesia which consists of 11 banks. While the sample consisted of 5 Islamic banks. Sampling technique using purposive sampling. The unit analysis whichis used is the quarterly publication of the financial report of Islamic bank in 2010-2012. Multiple regression analysis was employed to analysis data. Variables of mudharabah deposits, spread profit sharing, and equivalent rate are significant effect simultaneously to the profit sharing. Based on the results of this study can be concluded that variable of mudharabah deposit and spread profit sharing are partially significant to the profit sharing. While equivalent rate is not significant to the profit sharing.","container-title":"Accounting Analysis Journal","DOI":"10.15294/aaj.v2i2.1437","ISSN":"2252-6765","issue":"2","journalAbbreviation":"1","language":"en","page":"154-162","source":"journal.unnes.ac.id","title":"Optimalisasi Pembiayaan Berbasis Bagi Hasil Pada Bank Syariah Di Indonesia","volume":"2","author":[{"family":"Pramono","given":"Nugroho Heri"}],"issued":{"date-parts":[["2013"]]}}},{"id":1788,"uris":["http://zotero.org/groups/2238283/items/L9YGPPH6"],"uri":["http://zotero.org/groups/2238283/items/L9YGPPH6"],"itemData":{"id":1788,"type":"article-journal","abstract":"Islamic banking is a financial institution that uses the sharing system has a wide range ofproducts offered, especially in the task of channeling bank funds for financing one of which isprofit and loss sharing financing (Mudaraba and Musharaka). Suposed profit and loss sharingfinancing that dominates among other types of financing due in accordance with conventionalbanks as well differentiator, but the reality is not profit and loss sharing financing dominate. Thisstudy aims analyze the factors that affect profit and loss sharing financing. The purpose of thisstudy was to analyze the influence of deposits mudaraba, equivalent of profit sharing, spreadprofit sharing, and Non Performing Financing of profit and loss sharing financing. The populationwas islamic Banking in Indonesia, which consists of 11 banks. The samples used are selectedusing purposive sampling technique and only 4 bank in accordance with the criteria. The datais taken from the Quarterly Financing Reports Sharia Bank Devisa in Bank Indonesia’s websiteduring the period of 4 years from 2010 to 2013, in this study consisted of 64 observation points.The data collected were analyzed using descriptive statistics and multiple regression analysis.The result showed that the coefficient of determination through the four test variables: depositsmudaraba, equivalent of profit sharing, spread profit sharing, and Non Performing Financingcan explian the variation in the dependent variable for profit and loss sharing financing by70.4% while the rest is explained by other causes beyond the research variables. Four variablessimultaneously affect the results because the financing for the significance level of less than0.05. From the partial results variable equivalent of profit sharing has not significant affect toprofit and loss sharing financing and variable non-performing ratio has negative significant affectto profit and loss sharing financing, while the other two variables deposits mudaraba and spreadprofit sharing has positive significant affect to profit and loss sharing financing.Keywords : deposits mudaraba, equivalent of profit sharing, spread profit sharing, and NonPerforming Financing of profit and loss sharing financing.","container-title":"Jurnal Ekonomi &amp; Bisnis","DOI":"10.30659/ekobis.17.1.54-65","ISSN":"14112280","issue":"1","language":"ID","page":"54-65","source":"jurnal.unissula.ac.id","title":"Optimalisasi Pembiayaan Berbasis Bagi Hasil Pada Bank Devisa Syariah Di Indonesia","volume":"17","author":[{"family":"Riyanto","given":"Hermawan"}],"issued":{"date-parts":[["2016",1,11]]}}}],"schema":"https://github.com/citation-style-language/schema/raw/master/csl-citation.json"} </w:instrText>
      </w:r>
      <w:r w:rsidR="00E31885" w:rsidRPr="00450874">
        <w:rPr>
          <w:rFonts w:ascii="Cambria" w:hAnsi="Cambria" w:cs="Times New Roman"/>
        </w:rPr>
        <w:fldChar w:fldCharType="separate"/>
      </w:r>
      <w:r w:rsidR="000C738B">
        <w:rPr>
          <w:rFonts w:ascii="Cambria" w:hAnsi="Cambria"/>
        </w:rPr>
        <w:t>Pramono</w:t>
      </w:r>
      <w:r w:rsidR="000C738B" w:rsidRPr="000C738B">
        <w:rPr>
          <w:rFonts w:ascii="Cambria" w:hAnsi="Cambria"/>
        </w:rPr>
        <w:t xml:space="preserve"> </w:t>
      </w:r>
      <w:r w:rsidR="000C738B">
        <w:rPr>
          <w:rFonts w:ascii="Cambria" w:hAnsi="Cambria"/>
          <w:lang w:val="en-US"/>
        </w:rPr>
        <w:t>(</w:t>
      </w:r>
      <w:r w:rsidR="000C738B" w:rsidRPr="000C738B">
        <w:rPr>
          <w:rFonts w:ascii="Cambria" w:hAnsi="Cambria"/>
        </w:rPr>
        <w:t>2</w:t>
      </w:r>
      <w:r w:rsidR="000C738B">
        <w:rPr>
          <w:rFonts w:ascii="Cambria" w:hAnsi="Cambria"/>
        </w:rPr>
        <w:t>013) and Riyanto</w:t>
      </w:r>
      <w:r w:rsidR="000C738B" w:rsidRPr="000C738B">
        <w:rPr>
          <w:rFonts w:ascii="Cambria" w:hAnsi="Cambria"/>
        </w:rPr>
        <w:t xml:space="preserve"> </w:t>
      </w:r>
      <w:r w:rsidR="000C738B">
        <w:rPr>
          <w:rFonts w:ascii="Cambria" w:hAnsi="Cambria"/>
          <w:lang w:val="en-US"/>
        </w:rPr>
        <w:t>(</w:t>
      </w:r>
      <w:r w:rsidR="000C738B" w:rsidRPr="000C738B">
        <w:rPr>
          <w:rFonts w:ascii="Cambria" w:hAnsi="Cambria"/>
        </w:rPr>
        <w:t>2016)</w:t>
      </w:r>
      <w:r w:rsidR="00E31885" w:rsidRPr="00450874">
        <w:rPr>
          <w:rFonts w:ascii="Cambria" w:hAnsi="Cambria" w:cs="Times New Roman"/>
        </w:rPr>
        <w:fldChar w:fldCharType="end"/>
      </w:r>
      <w:r w:rsidR="00E31885" w:rsidRPr="00450874">
        <w:rPr>
          <w:rFonts w:ascii="Cambria" w:hAnsi="Cambria" w:cs="Times New Roman"/>
        </w:rPr>
        <w:t xml:space="preserve"> </w:t>
      </w:r>
      <w:r w:rsidR="00623A2D" w:rsidRPr="00450874">
        <w:rPr>
          <w:rFonts w:ascii="Cambria" w:hAnsi="Cambria" w:cs="Times New Roman"/>
        </w:rPr>
        <w:t>which do not find the effect of the level of profit sharing on profit sharing financing.</w:t>
      </w:r>
      <w:r w:rsidR="000C738B">
        <w:rPr>
          <w:rFonts w:ascii="Cambria" w:hAnsi="Cambria" w:cs="Times New Roman"/>
          <w:lang w:val="en-US"/>
        </w:rPr>
        <w:t xml:space="preserve"> </w:t>
      </w:r>
      <w:r w:rsidR="000C738B" w:rsidRPr="000C738B">
        <w:rPr>
          <w:rFonts w:ascii="Cambria" w:hAnsi="Cambria" w:cs="Times New Roman"/>
          <w:lang w:val="en-US"/>
        </w:rPr>
        <w:t xml:space="preserve">On the other hand, this study strengthens the findings of </w:t>
      </w:r>
      <w:r w:rsidR="00AA5DB2">
        <w:rPr>
          <w:rFonts w:ascii="Cambria" w:hAnsi="Cambria" w:cs="Times New Roman"/>
          <w:lang w:val="en-US"/>
        </w:rPr>
        <w:fldChar w:fldCharType="begin"/>
      </w:r>
      <w:r w:rsidR="00AA5DB2">
        <w:rPr>
          <w:rFonts w:ascii="Cambria" w:hAnsi="Cambria" w:cs="Times New Roman"/>
          <w:lang w:val="en-US"/>
        </w:rPr>
        <w:instrText xml:space="preserve"> ADDIN ZOTERO_ITEM CSL_CITATION {"citationID":"CbEJiGWI","properties":{"formattedCitation":"(Kiswanto, 2013)","plainCitation":"(Kiswanto, 2013)","noteIndex":0},"citationItems":[{"id":1748,"uris":["http://zotero.org/groups/2238283/items/HM9EYXIF"],"uri":["http://zotero.org/groups/2238283/items/HM9EYXIF"],"itemData":{"id":1748,"type":"article-journal","abstract":"The purpose of this study was to examine the effect mudharaba deposits, return, profit-sharing rate and the average interest rate loans to profit and loss sharing of Islamic banks either simultaneously or partially. The population is Islamic bank in Indonesia, which consisted of 11 banks with a sample consisting of 7 Islamic banks. Criteria for selection of the sample is using purposive sampling. The unit of analysis is a semi-annual publication of the financial statements of Islamic banks in 2010-2012. The method of data analysis used in this study is multiple linear regression. Variables mudharaba deposits, return, profit sharing rate and the average interest rate are significant effect simultaneously to the profit sharing. While partially only variable mudaraba deposits, profit -sharing and profit sharing rate is significant positive effect on the profit and loss sharing. Meanwhile, the average interest rate credit does not significantly influence the profit and loss sharing. Keywords: Mudharaba Deposits, Return, Profit Sharing Rate, Average Interest Rate, Profit and Loss Sharing.","container-title":"Jurnal Reviu Akuntansi dan Keuangan","ISSN":"2615-2223","issue":"2","language":"en","page":"437-446","source":"ejournal.umm.ac.id","title":"Faktor-Faktor yang Mempengaruhi Pembiayaan Berbasis Bagi Hasil (Profit And Loss Sharing)","volume":"3","author":[{"family":"Kiswanto","given":"Wahyuli Ambarwati Wulandari"}],"issued":{"date-parts":[["2013"]]}}}],"schema":"https://github.com/citation-style-language/schema/raw/master/csl-citation.json"} </w:instrText>
      </w:r>
      <w:r w:rsidR="00AA5DB2">
        <w:rPr>
          <w:rFonts w:ascii="Cambria" w:hAnsi="Cambria" w:cs="Times New Roman"/>
          <w:lang w:val="en-US"/>
        </w:rPr>
        <w:fldChar w:fldCharType="separate"/>
      </w:r>
      <w:r w:rsidR="00AA5DB2" w:rsidRPr="00AA5DB2">
        <w:rPr>
          <w:rFonts w:ascii="Cambria" w:hAnsi="Cambria"/>
        </w:rPr>
        <w:t>(Kiswanto, 2013)</w:t>
      </w:r>
      <w:r w:rsidR="00AA5DB2">
        <w:rPr>
          <w:rFonts w:ascii="Cambria" w:hAnsi="Cambria" w:cs="Times New Roman"/>
          <w:lang w:val="en-US"/>
        </w:rPr>
        <w:fldChar w:fldCharType="end"/>
      </w:r>
      <w:r w:rsidR="000C738B" w:rsidRPr="000C738B">
        <w:rPr>
          <w:rFonts w:ascii="Cambria" w:hAnsi="Cambria" w:cs="Times New Roman"/>
          <w:lang w:val="en-US"/>
        </w:rPr>
        <w:t xml:space="preserve"> which states that the higher the equivalent rate, the lower the profit-sharing financing.</w:t>
      </w:r>
    </w:p>
    <w:p w14:paraId="24CC8302" w14:textId="3B8F7DBB" w:rsidR="00BE7318" w:rsidRPr="00BE7318" w:rsidRDefault="00BE7318" w:rsidP="00BE7318">
      <w:pPr>
        <w:pStyle w:val="ListParagraph"/>
        <w:spacing w:after="0" w:line="240" w:lineRule="auto"/>
        <w:ind w:left="0" w:firstLine="426"/>
        <w:contextualSpacing w:val="0"/>
        <w:jc w:val="both"/>
        <w:rPr>
          <w:rFonts w:ascii="Cambria" w:hAnsi="Cambria" w:cs="Times New Roman"/>
          <w:lang w:val="en-US"/>
        </w:rPr>
      </w:pPr>
      <w:r w:rsidRPr="00BE7318">
        <w:rPr>
          <w:rFonts w:ascii="Cambria" w:hAnsi="Cambria" w:cs="Times New Roman"/>
          <w:lang w:val="en-US"/>
        </w:rPr>
        <w:t xml:space="preserve">Similar to the effect caused by NPF, the effect given by the equivalent rate on </w:t>
      </w:r>
      <w:r w:rsidR="007F45EA">
        <w:rPr>
          <w:rFonts w:ascii="Cambria" w:hAnsi="Cambria" w:cs="Times New Roman"/>
          <w:lang w:val="en-US"/>
        </w:rPr>
        <w:t>profit-</w:t>
      </w:r>
      <w:r w:rsidRPr="00BE7318">
        <w:rPr>
          <w:rFonts w:ascii="Cambria" w:hAnsi="Cambria" w:cs="Times New Roman"/>
          <w:lang w:val="en-US"/>
        </w:rPr>
        <w:t>sharing financing is not elastic enough. In the short term, any decrease in the equivalent rate of 1% will only be</w:t>
      </w:r>
      <w:r w:rsidR="007F45EA">
        <w:rPr>
          <w:rFonts w:ascii="Cambria" w:hAnsi="Cambria" w:cs="Times New Roman"/>
          <w:lang w:val="en-US"/>
        </w:rPr>
        <w:t xml:space="preserve"> followed by a growth in profit-</w:t>
      </w:r>
      <w:r w:rsidRPr="00BE7318">
        <w:rPr>
          <w:rFonts w:ascii="Cambria" w:hAnsi="Cambria" w:cs="Times New Roman"/>
          <w:lang w:val="en-US"/>
        </w:rPr>
        <w:t xml:space="preserve">sharing financing of 0.043%, while in the long term a change in the equivalent rate of 1% will increase </w:t>
      </w:r>
      <w:r w:rsidR="007F45EA">
        <w:rPr>
          <w:rFonts w:ascii="Cambria" w:hAnsi="Cambria" w:cs="Times New Roman"/>
          <w:lang w:val="en-US"/>
        </w:rPr>
        <w:t>profit-</w:t>
      </w:r>
      <w:r w:rsidRPr="00BE7318">
        <w:rPr>
          <w:rFonts w:ascii="Cambria" w:hAnsi="Cambria" w:cs="Times New Roman"/>
          <w:lang w:val="en-US"/>
        </w:rPr>
        <w:t>sharing financing by 0.097%. These results indicate that Islamic bank customers are rational customers who are sensitive to the portion of profit sharing. The smaller the portion of profit sharing the customer gets, the less profit-sharing financing is proposed.</w:t>
      </w:r>
    </w:p>
    <w:p w14:paraId="2F0CF189" w14:textId="5E1710DF" w:rsidR="00896AE1" w:rsidRDefault="00AB6F0E" w:rsidP="00896AE1">
      <w:pPr>
        <w:pStyle w:val="ListParagraph"/>
        <w:spacing w:after="0" w:line="240" w:lineRule="auto"/>
        <w:ind w:left="0" w:firstLine="426"/>
        <w:contextualSpacing w:val="0"/>
        <w:jc w:val="both"/>
        <w:rPr>
          <w:rFonts w:ascii="Cambria" w:hAnsi="Cambria" w:cs="Times New Roman"/>
          <w:lang w:val="en-US"/>
        </w:rPr>
      </w:pPr>
      <w:r w:rsidRPr="00AB6F0E">
        <w:rPr>
          <w:rFonts w:ascii="Cambria" w:hAnsi="Cambria" w:cs="Times New Roman"/>
          <w:lang w:val="en-US"/>
        </w:rPr>
        <w:t>BOPO has a significant negative effect on profit sharing financing. This shows that the more efficient a syarih bank is, the greater the distribution of profit sharing financing. Vice versa, the more inefficient an Islamic bank is, the lower the amount of revenue-sharing financing that is distributed. The results of this study are reinforced by the findings of Jamilah (2016) and Nastiti et al. (2019) which states that BOPO has a negative effect on the amount of financing disbursed.</w:t>
      </w:r>
    </w:p>
    <w:p w14:paraId="35EF31ED" w14:textId="370216EC" w:rsidR="00AB6F0E" w:rsidRDefault="00AB6F0E" w:rsidP="00896AE1">
      <w:pPr>
        <w:pStyle w:val="ListParagraph"/>
        <w:spacing w:after="0" w:line="240" w:lineRule="auto"/>
        <w:ind w:left="0" w:firstLine="426"/>
        <w:contextualSpacing w:val="0"/>
        <w:jc w:val="both"/>
        <w:rPr>
          <w:rFonts w:ascii="Cambria" w:hAnsi="Cambria" w:cs="Times New Roman"/>
          <w:lang w:val="en-US"/>
        </w:rPr>
      </w:pPr>
      <w:r w:rsidRPr="00AB6F0E">
        <w:rPr>
          <w:rFonts w:ascii="Cambria" w:hAnsi="Cambria" w:cs="Times New Roman"/>
          <w:lang w:val="en-US"/>
        </w:rPr>
        <w:t xml:space="preserve">In the short term, operational efficiency will not have an immediate effect on changes in </w:t>
      </w:r>
      <w:r>
        <w:rPr>
          <w:rFonts w:ascii="Cambria" w:hAnsi="Cambria" w:cs="Times New Roman"/>
          <w:lang w:val="en-US"/>
        </w:rPr>
        <w:t>profit</w:t>
      </w:r>
      <w:r w:rsidRPr="00AB6F0E">
        <w:rPr>
          <w:rFonts w:ascii="Cambria" w:hAnsi="Cambria" w:cs="Times New Roman"/>
          <w:lang w:val="en-US"/>
        </w:rPr>
        <w:t>-sharing financing. The operational efficiency carried out by Islamic banks will have an impact in the long term. In the long term, every 1% decrease in the value of BOPO can increase the growth of profit sharing financing by 0.01%. These results give an indication to Islamic banks to always maintain their level of efficiency. Efficiency that continues to increase and is maintained will e</w:t>
      </w:r>
      <w:r>
        <w:rPr>
          <w:rFonts w:ascii="Cambria" w:hAnsi="Cambria" w:cs="Times New Roman"/>
          <w:lang w:val="en-US"/>
        </w:rPr>
        <w:t>ncourage the growth of profit-</w:t>
      </w:r>
      <w:r w:rsidRPr="00AB6F0E">
        <w:rPr>
          <w:rFonts w:ascii="Cambria" w:hAnsi="Cambria" w:cs="Times New Roman"/>
          <w:lang w:val="en-US"/>
        </w:rPr>
        <w:t>sharing financing. The strategy of optimizing the level of efficiency will not have an impact in the short term, it will only have an impact in the long term. Therefore, what m</w:t>
      </w:r>
      <w:r>
        <w:rPr>
          <w:rFonts w:ascii="Cambria" w:hAnsi="Cambria" w:cs="Times New Roman"/>
          <w:lang w:val="en-US"/>
        </w:rPr>
        <w:t>ust be done to encourage profit-</w:t>
      </w:r>
      <w:r w:rsidRPr="00AB6F0E">
        <w:rPr>
          <w:rFonts w:ascii="Cambria" w:hAnsi="Cambria" w:cs="Times New Roman"/>
          <w:lang w:val="en-US"/>
        </w:rPr>
        <w:t>sharing financing from an efficiency perspective must be done consistently and sustainably, not temporarily.</w:t>
      </w:r>
    </w:p>
    <w:p w14:paraId="20F21C27" w14:textId="47CDCD72" w:rsidR="007F45EA" w:rsidRDefault="007F45EA" w:rsidP="00896AE1">
      <w:pPr>
        <w:pStyle w:val="ListParagraph"/>
        <w:spacing w:after="0" w:line="240" w:lineRule="auto"/>
        <w:ind w:left="0" w:firstLine="426"/>
        <w:contextualSpacing w:val="0"/>
        <w:jc w:val="both"/>
        <w:rPr>
          <w:rFonts w:ascii="Cambria" w:hAnsi="Cambria" w:cs="Times New Roman"/>
          <w:lang w:val="en-US"/>
        </w:rPr>
      </w:pPr>
      <w:r w:rsidRPr="007F45EA">
        <w:rPr>
          <w:rFonts w:ascii="Cambria" w:hAnsi="Cambria" w:cs="Times New Roman"/>
          <w:lang w:val="en-US"/>
        </w:rPr>
        <w:t>Based on the research results, high economic growth does not increase the gro</w:t>
      </w:r>
      <w:r>
        <w:rPr>
          <w:rFonts w:ascii="Cambria" w:hAnsi="Cambria" w:cs="Times New Roman"/>
          <w:lang w:val="en-US"/>
        </w:rPr>
        <w:t>wth of profit-</w:t>
      </w:r>
      <w:r w:rsidRPr="007F45EA">
        <w:rPr>
          <w:rFonts w:ascii="Cambria" w:hAnsi="Cambria" w:cs="Times New Roman"/>
          <w:lang w:val="en-US"/>
        </w:rPr>
        <w:t xml:space="preserve">sharing financing and even reduces its growth. In other words, the faster rate of economic growth has actually slowed down the growth rate of financing. Although these results differ from the research of </w:t>
      </w:r>
      <w:r>
        <w:rPr>
          <w:rFonts w:ascii="Cambria" w:hAnsi="Cambria" w:cs="Times New Roman"/>
          <w:lang w:val="en-US"/>
        </w:rPr>
        <w:t xml:space="preserve"> </w:t>
      </w:r>
      <w:r>
        <w:rPr>
          <w:rFonts w:ascii="Cambria" w:hAnsi="Cambria" w:cs="Times New Roman"/>
          <w:lang w:val="en-US"/>
        </w:rPr>
        <w:fldChar w:fldCharType="begin"/>
      </w:r>
      <w:r>
        <w:rPr>
          <w:rFonts w:ascii="Cambria" w:hAnsi="Cambria" w:cs="Times New Roman"/>
          <w:lang w:val="en-US"/>
        </w:rPr>
        <w:instrText xml:space="preserve"> ADDIN ZOTERO_ITEM CSL_CITATION {"citationID":"z5nZb7pB","properties":{"formattedCitation":"(Anwar et al., 2020; Ayyubi et al., 2017; Hafizh et al., 2020)","plainCitation":"(Anwar et al., 2020; Ayyubi et al., 2017; Hafizh et al., 2020)","noteIndex":0},"citationItems":[{"id":3134,"uris":["http://zotero.org/groups/2238283/items/Q9224ADD"],"uri":["http://zotero.org/groups/2238283/items/Q9224ADD"],"itemData":{"id":3134,"type":"article-journal","abstract":"Purpose – This paper aims to examine the short run and long run of Indonesia Islamic bank (IIB) contribution to economic growth over the periods 2009: Q1 – 2019: Q4. IIB is considered which supported by the largest Muslim population in the world. Deposits, ﬁnancing and ofﬁces are proxy to highlight the relationship between Islamic banks and Indonesia’s economic growth.","container-title":"International Journal of Islamic and Middle Eastern Finance and Management","DOI":"10.1108/IMEFM-02-2018-0071","ISSN":"1753-8394, 1753-8394","issue":"3","journalAbbreviation":"IMEFM","language":"en","page":"519-532","source":"DOI.org (Crossref)","title":"Islamic bank contribution to Indonesian economic growth","volume":"13","author":[{"family":"Anwar","given":"Suhardi M."},{"family":"Junaidi","given":"Junaidi"},{"family":"Salju","given":"Salju"},{"family":"Wicaksono","given":"Ready"},{"family":"Mispiyanti","given":"Mispiyanti"}],"issued":{"date-parts":[["2020",6,22]]}}},{"id":3130,"uris":["http://zotero.org/groups/2238283/items/HMV6LBXM"],"uri":["http://zotero.org/groups/2238283/items/HMV6LBXM"],"itemData":{"id":3130,"type":"article-journal","container-title":"Al-Muzara'ah","DOI":"10.29244/jam.5.2.88-106","ISSN":"2615-7659","issue":"2","language":"id-ID","note":"number: 2","page":"88-106","source":"journal.ipb.ac.id","title":"Pengaruh Bank Syariah terhadap Pertumbuhan Ekonomi di Indonesia","volume":"5","author":[{"family":"Ayyubi","given":"Salahuddin El"},{"family":"Anggraeni","given":"Lukytawati"},{"family":"Mahiswari","given":"Almira Dyah"}],"issued":{"date-parts":[["2017"]]}}},{"id":3117,"uris":["http://zotero.org/groups/2238283/items/X7NXS49I"],"uri":["http://zotero.org/groups/2238283/items/X7NXS49I"],"itemData":{"id":3117,"type":"article-journal","abstract":"Permasalahan utama Dana Pihak Ketiga dan pembiayaan bagi hasil pada perbankan syariah di Indonesia dipengaruhi oleh faktor eksternal yang dikenal dengan istilah makroekonomi. Dana pihak ketiga sebagai variabel intervening inilah yang membedakan penelitian yang dilakukan peneliti dengan penelitian sebelumnya. Metode yang digunakan dalam penelitian ini menggunakan metode analisis jalur dengan model trimming. Hasil penelitian ini menunjukkan bahwa Ekonomi Makro secara simultan mempengaruhi Dana Pihak Ketiga. Secara parsial BI Rate, PDB, dan IHSG berpengaruh terhadap Dana Pihak Ketiga dilihat dari nilai probabilitas 0,000 &lt;0,05, dimana hanya inflasi yang tidak mempengaruhi Dana Pihak Ketiga. Sedangkan secara simultan pengaruh makroekonomi terhadap bagi hasil dimana pengaruhnya secara parsial menunjukkan bahwa inflasi, BI Rate, IHSG dan Dana Pihak Ketiga berpengaruh signifikan terhadap pembiayaan bagi hasil. Dari temuan di atas, secara tidak langsung ekonomi makro melalui Dana Pihak Ketiga lebih baik untuk pembiayaan bagi hasil, karena naik turunnya Dana Pihak Ketiga berpengaruh signifikan terhadap pembiayaan bagi hasil pada perbankan syariah.The main problems of Third Parties Fund and profit and loss sharing financing in Islamic banking in Indonesia are influenced by external factors have known as macroeconomics. Third parties funds as an intervening variable are what distinguish research conducted by researchers from previous research. The method used in this study uses the path analysis method with a trimming model. Processing data using IBM SPSS 25 tools. The results of this study indicate Macroeconomics simultaneously affects Third-Parties Funds. Partially, the BI Rate, GDP, and IHSG have an effect on Third Party Funds seen from the probability value 0.000 &lt;0.05, where only inflation does not affect Third-Parties Funds. Meanwhile, the macroeconomy simultaneously influences the profit-sharing where the effect partially shows that inflation, the BI Rate, IHSG and Third-Parties Funds have a significant effect on profit-sharing financing. From the above findings, the macroeconomy indirectly through Third-Parties Funds is better for profit-sharing financing, because the ups and downs of Third Parties Funds significantly affect profit-sharing financing in Islamic banking.","container-title":"Jurnal Akuntansi dan Keuangan Islam","DOI":"10.35836/jakis.v8i2.183","ISSN":"25493876","issue":"2, Oktober","language":"en","note":"number: 2, Oktober","page":"131-147","source":"journal.sebi.ac.id","title":"Macroeconomics And Profit Sharing Financing In Islamic Banking In Indonesia: The Third Parties Fund As Intervening","title-short":"Macroeconomics And Profit Sharing Financing In Islamic Banking In Indonesia","volume":"8","author":[{"family":"Hafizh","given":"Muhammad"},{"family":"Hidayah","given":"Nur"},{"family":"Silalahi","given":"Purnama Ramadani"}],"issued":{"date-parts":[["2020",10,26]]}}}],"schema":"https://github.com/citation-style-language/schema/raw/master/csl-citation.json"} </w:instrText>
      </w:r>
      <w:r>
        <w:rPr>
          <w:rFonts w:ascii="Cambria" w:hAnsi="Cambria" w:cs="Times New Roman"/>
          <w:lang w:val="en-US"/>
        </w:rPr>
        <w:fldChar w:fldCharType="separate"/>
      </w:r>
      <w:r w:rsidRPr="007F45EA">
        <w:rPr>
          <w:rFonts w:ascii="Cambria" w:hAnsi="Cambria"/>
        </w:rPr>
        <w:t>Ayy</w:t>
      </w:r>
      <w:r>
        <w:rPr>
          <w:rFonts w:ascii="Cambria" w:hAnsi="Cambria"/>
        </w:rPr>
        <w:t xml:space="preserve">ubi et al. </w:t>
      </w:r>
      <w:r>
        <w:rPr>
          <w:rFonts w:ascii="Cambria" w:hAnsi="Cambria"/>
          <w:lang w:val="en-US"/>
        </w:rPr>
        <w:t>(</w:t>
      </w:r>
      <w:r>
        <w:rPr>
          <w:rFonts w:ascii="Cambria" w:hAnsi="Cambria"/>
        </w:rPr>
        <w:t>2017)</w:t>
      </w:r>
      <w:r>
        <w:rPr>
          <w:rFonts w:ascii="Cambria" w:hAnsi="Cambria"/>
          <w:lang w:val="en-US"/>
        </w:rPr>
        <w:t>,</w:t>
      </w:r>
      <w:r>
        <w:rPr>
          <w:rFonts w:ascii="Cambria" w:hAnsi="Cambria"/>
        </w:rPr>
        <w:t xml:space="preserve"> </w:t>
      </w:r>
      <w:r>
        <w:rPr>
          <w:rFonts w:ascii="Cambria" w:hAnsi="Cambria"/>
          <w:lang w:val="en-US"/>
        </w:rPr>
        <w:t>A</w:t>
      </w:r>
      <w:r>
        <w:rPr>
          <w:rFonts w:ascii="Cambria" w:hAnsi="Cambria"/>
        </w:rPr>
        <w:t xml:space="preserve">nwar et al. </w:t>
      </w:r>
      <w:r>
        <w:rPr>
          <w:rFonts w:ascii="Cambria" w:hAnsi="Cambria"/>
          <w:lang w:val="en-US"/>
        </w:rPr>
        <w:t>(</w:t>
      </w:r>
      <w:r>
        <w:rPr>
          <w:rFonts w:ascii="Cambria" w:hAnsi="Cambria"/>
        </w:rPr>
        <w:t>2020)</w:t>
      </w:r>
      <w:r w:rsidRPr="007F45EA">
        <w:rPr>
          <w:rFonts w:ascii="Cambria" w:hAnsi="Cambria"/>
        </w:rPr>
        <w:t xml:space="preserve"> </w:t>
      </w:r>
      <w:r>
        <w:rPr>
          <w:rFonts w:ascii="Cambria" w:hAnsi="Cambria"/>
        </w:rPr>
        <w:t>and Hafizh et al.</w:t>
      </w:r>
      <w:r w:rsidRPr="007F45EA">
        <w:rPr>
          <w:rFonts w:ascii="Cambria" w:hAnsi="Cambria"/>
        </w:rPr>
        <w:t xml:space="preserve"> </w:t>
      </w:r>
      <w:r>
        <w:rPr>
          <w:rFonts w:ascii="Cambria" w:hAnsi="Cambria"/>
          <w:lang w:val="en-US"/>
        </w:rPr>
        <w:t>(</w:t>
      </w:r>
      <w:r w:rsidRPr="007F45EA">
        <w:rPr>
          <w:rFonts w:ascii="Cambria" w:hAnsi="Cambria"/>
        </w:rPr>
        <w:t>2020)</w:t>
      </w:r>
      <w:r>
        <w:rPr>
          <w:rFonts w:ascii="Cambria" w:hAnsi="Cambria" w:cs="Times New Roman"/>
          <w:lang w:val="en-US"/>
        </w:rPr>
        <w:fldChar w:fldCharType="end"/>
      </w:r>
      <w:r w:rsidRPr="007F45EA">
        <w:rPr>
          <w:rFonts w:ascii="Cambria" w:hAnsi="Cambria" w:cs="Times New Roman"/>
          <w:lang w:val="en-US"/>
        </w:rPr>
        <w:t>, but this is one separate finding. There are several logical reasons that can be expressed from this finding, one of which is the preference of Islamic bank customers towards the types of financing in Islamic banks. As is known, custom</w:t>
      </w:r>
      <w:r>
        <w:rPr>
          <w:rFonts w:ascii="Cambria" w:hAnsi="Cambria" w:cs="Times New Roman"/>
          <w:lang w:val="en-US"/>
        </w:rPr>
        <w:t>ers of Islamic banks prefer non profit-</w:t>
      </w:r>
      <w:r w:rsidRPr="007F45EA">
        <w:rPr>
          <w:rFonts w:ascii="Cambria" w:hAnsi="Cambria" w:cs="Times New Roman"/>
          <w:lang w:val="en-US"/>
        </w:rPr>
        <w:t>sharing financing for reasons of convenience and minimal risk. When economic growth increases, the need for working capital will also increase, so it is the type of buying and selling financing that more accommodates this situation. Mean</w:t>
      </w:r>
      <w:r>
        <w:rPr>
          <w:rFonts w:ascii="Cambria" w:hAnsi="Cambria" w:cs="Times New Roman"/>
          <w:lang w:val="en-US"/>
        </w:rPr>
        <w:t>while, profit-</w:t>
      </w:r>
      <w:r w:rsidRPr="007F45EA">
        <w:rPr>
          <w:rFonts w:ascii="Cambria" w:hAnsi="Cambria" w:cs="Times New Roman"/>
          <w:lang w:val="en-US"/>
        </w:rPr>
        <w:t xml:space="preserve">sharing </w:t>
      </w:r>
      <w:r>
        <w:rPr>
          <w:rFonts w:ascii="Cambria" w:hAnsi="Cambria" w:cs="Times New Roman"/>
          <w:lang w:val="en-US"/>
        </w:rPr>
        <w:t xml:space="preserve">financing </w:t>
      </w:r>
      <w:r w:rsidRPr="007F45EA">
        <w:rPr>
          <w:rFonts w:ascii="Cambria" w:hAnsi="Cambria" w:cs="Times New Roman"/>
          <w:lang w:val="en-US"/>
        </w:rPr>
        <w:t>experienced a slowdown.</w:t>
      </w:r>
    </w:p>
    <w:p w14:paraId="3D4F622F" w14:textId="654209C2" w:rsidR="007F45EA" w:rsidRDefault="007F45EA" w:rsidP="00896AE1">
      <w:pPr>
        <w:pStyle w:val="ListParagraph"/>
        <w:spacing w:after="0" w:line="240" w:lineRule="auto"/>
        <w:ind w:left="0" w:firstLine="426"/>
        <w:contextualSpacing w:val="0"/>
        <w:jc w:val="both"/>
        <w:rPr>
          <w:rFonts w:ascii="Cambria" w:hAnsi="Cambria" w:cs="Times New Roman"/>
          <w:lang w:val="en-US"/>
        </w:rPr>
      </w:pPr>
      <w:r w:rsidRPr="007F45EA">
        <w:rPr>
          <w:rFonts w:ascii="Cambria" w:hAnsi="Cambria" w:cs="Times New Roman"/>
          <w:lang w:val="en-US"/>
        </w:rPr>
        <w:t xml:space="preserve">In addition, when viewed from the research observation period (in the long term) economic growth tends to experience a slowdown. As is known in the second and third quarters of 2020, Indonesia experienced a recession with negative economic growth. In difficult times like this, the government has made policy packages to stimulate public productivity, one of which is to encourage the distribution of </w:t>
      </w:r>
      <w:r w:rsidRPr="007F45EA">
        <w:rPr>
          <w:rFonts w:ascii="Cambria" w:hAnsi="Cambria" w:cs="Times New Roman"/>
          <w:lang w:val="en-US"/>
        </w:rPr>
        <w:lastRenderedPageBreak/>
        <w:t>financing. However, the banking world does not necessarily respond quickly to this, given the high risk of default by customers. However, it is believed that gradually this will tend to improve.</w:t>
      </w:r>
    </w:p>
    <w:p w14:paraId="317D458C" w14:textId="2E10CBE7" w:rsidR="007F45EA" w:rsidRDefault="007F45EA" w:rsidP="00896AE1">
      <w:pPr>
        <w:pStyle w:val="ListParagraph"/>
        <w:spacing w:after="0" w:line="240" w:lineRule="auto"/>
        <w:ind w:left="0" w:firstLine="426"/>
        <w:contextualSpacing w:val="0"/>
        <w:jc w:val="both"/>
        <w:rPr>
          <w:rFonts w:ascii="Cambria" w:hAnsi="Cambria" w:cs="Times New Roman"/>
          <w:lang w:val="en-US"/>
        </w:rPr>
      </w:pPr>
      <w:r w:rsidRPr="007F45EA">
        <w:rPr>
          <w:rFonts w:ascii="Cambria" w:hAnsi="Cambria" w:cs="Times New Roman"/>
          <w:lang w:val="en-US"/>
        </w:rPr>
        <w:t xml:space="preserve">During the current economic slowdown, macroprudential policies in response to the inflation rate are not of particular concern. This is one of the reasons that inflation does not affect </w:t>
      </w:r>
      <w:r>
        <w:rPr>
          <w:rFonts w:ascii="Cambria" w:hAnsi="Cambria" w:cs="Times New Roman"/>
          <w:lang w:val="en-US"/>
        </w:rPr>
        <w:t>profit-</w:t>
      </w:r>
      <w:r w:rsidRPr="007F45EA">
        <w:rPr>
          <w:rFonts w:ascii="Cambria" w:hAnsi="Cambria" w:cs="Times New Roman"/>
          <w:lang w:val="en-US"/>
        </w:rPr>
        <w:t>sharing</w:t>
      </w:r>
      <w:r>
        <w:rPr>
          <w:rFonts w:ascii="Cambria" w:hAnsi="Cambria" w:cs="Times New Roman"/>
          <w:lang w:val="en-US"/>
        </w:rPr>
        <w:t xml:space="preserve"> financing</w:t>
      </w:r>
      <w:r w:rsidRPr="007F45EA">
        <w:rPr>
          <w:rFonts w:ascii="Cambria" w:hAnsi="Cambria" w:cs="Times New Roman"/>
          <w:lang w:val="en-US"/>
        </w:rPr>
        <w:t xml:space="preserve">. At this time, inflation will not have a changing impact on </w:t>
      </w:r>
      <w:r>
        <w:rPr>
          <w:rFonts w:ascii="Cambria" w:hAnsi="Cambria" w:cs="Times New Roman"/>
          <w:lang w:val="en-US"/>
        </w:rPr>
        <w:t>profit-</w:t>
      </w:r>
      <w:r w:rsidRPr="007F45EA">
        <w:rPr>
          <w:rFonts w:ascii="Cambria" w:hAnsi="Cambria" w:cs="Times New Roman"/>
          <w:lang w:val="en-US"/>
        </w:rPr>
        <w:t xml:space="preserve">sharing financing. This result is in line with the research of </w:t>
      </w:r>
      <w:r>
        <w:rPr>
          <w:rFonts w:ascii="Cambria" w:hAnsi="Cambria" w:cs="Times New Roman"/>
          <w:lang w:val="en-US"/>
        </w:rPr>
        <w:fldChar w:fldCharType="begin"/>
      </w:r>
      <w:r>
        <w:rPr>
          <w:rFonts w:ascii="Cambria" w:hAnsi="Cambria" w:cs="Times New Roman"/>
          <w:lang w:val="en-US"/>
        </w:rPr>
        <w:instrText xml:space="preserve"> ADDIN ZOTERO_ITEM CSL_CITATION {"citationID":"QNZdTimz","properties":{"formattedCitation":"(Hafizh et al., 2020)","plainCitation":"(Hafizh et al., 2020)","noteIndex":0},"citationItems":[{"id":3117,"uris":["http://zotero.org/groups/2238283/items/X7NXS49I"],"uri":["http://zotero.org/groups/2238283/items/X7NXS49I"],"itemData":{"id":3117,"type":"article-journal","abstract":"Permasalahan utama Dana Pihak Ketiga dan pembiayaan bagi hasil pada perbankan syariah di Indonesia dipengaruhi oleh faktor eksternal yang dikenal dengan istilah makroekonomi. Dana pihak ketiga sebagai variabel intervening inilah yang membedakan penelitian yang dilakukan peneliti dengan penelitian sebelumnya. Metode yang digunakan dalam penelitian ini menggunakan metode analisis jalur dengan model trimming. Hasil penelitian ini menunjukkan bahwa Ekonomi Makro secara simultan mempengaruhi Dana Pihak Ketiga. Secara parsial BI Rate, PDB, dan IHSG berpengaruh terhadap Dana Pihak Ketiga dilihat dari nilai probabilitas 0,000 &lt;0,05, dimana hanya inflasi yang tidak mempengaruhi Dana Pihak Ketiga. Sedangkan secara simultan pengaruh makroekonomi terhadap bagi hasil dimana pengaruhnya secara parsial menunjukkan bahwa inflasi, BI Rate, IHSG dan Dana Pihak Ketiga berpengaruh signifikan terhadap pembiayaan bagi hasil. Dari temuan di atas, secara tidak langsung ekonomi makro melalui Dana Pihak Ketiga lebih baik untuk pembiayaan bagi hasil, karena naik turunnya Dana Pihak Ketiga berpengaruh signifikan terhadap pembiayaan bagi hasil pada perbankan syariah.The main problems of Third Parties Fund and profit and loss sharing financing in Islamic banking in Indonesia are influenced by external factors have known as macroeconomics. Third parties funds as an intervening variable are what distinguish research conducted by researchers from previous research. The method used in this study uses the path analysis method with a trimming model. Processing data using IBM SPSS 25 tools. The results of this study indicate Macroeconomics simultaneously affects Third-Parties Funds. Partially, the BI Rate, GDP, and IHSG have an effect on Third Party Funds seen from the probability value 0.000 &lt;0.05, where only inflation does not affect Third-Parties Funds. Meanwhile, the macroeconomy simultaneously influences the profit-sharing where the effect partially shows that inflation, the BI Rate, IHSG and Third-Parties Funds have a significant effect on profit-sharing financing. From the above findings, the macroeconomy indirectly through Third-Parties Funds is better for profit-sharing financing, because the ups and downs of Third Parties Funds significantly affect profit-sharing financing in Islamic banking.","container-title":"Jurnal Akuntansi dan Keuangan Islam","DOI":"10.35836/jakis.v8i2.183","ISSN":"25493876","issue":"2, Oktober","language":"en","note":"number: 2, Oktober","page":"131-147","source":"journal.sebi.ac.id","title":"Macroeconomics And Profit Sharing Financing In Islamic Banking In Indonesia: The Third Parties Fund As Intervening","title-short":"Macroeconomics And Profit Sharing Financing In Islamic Banking In Indonesia","volume":"8","author":[{"family":"Hafizh","given":"Muhammad"},{"family":"Hidayah","given":"Nur"},{"family":"Silalahi","given":"Purnama Ramadani"}],"issued":{"date-parts":[["2020",10,26]]}}}],"schema":"https://github.com/citation-style-language/schema/raw/master/csl-citation.json"} </w:instrText>
      </w:r>
      <w:r>
        <w:rPr>
          <w:rFonts w:ascii="Cambria" w:hAnsi="Cambria" w:cs="Times New Roman"/>
          <w:lang w:val="en-US"/>
        </w:rPr>
        <w:fldChar w:fldCharType="separate"/>
      </w:r>
      <w:r w:rsidRPr="007F45EA">
        <w:rPr>
          <w:rFonts w:ascii="Cambria" w:hAnsi="Cambria"/>
        </w:rPr>
        <w:t>(Hafizh et al., 2020)</w:t>
      </w:r>
      <w:r>
        <w:rPr>
          <w:rFonts w:ascii="Cambria" w:hAnsi="Cambria" w:cs="Times New Roman"/>
          <w:lang w:val="en-US"/>
        </w:rPr>
        <w:fldChar w:fldCharType="end"/>
      </w:r>
      <w:r w:rsidRPr="007F45EA">
        <w:rPr>
          <w:rFonts w:ascii="Cambria" w:hAnsi="Cambria" w:cs="Times New Roman"/>
          <w:lang w:val="en-US"/>
        </w:rPr>
        <w:t xml:space="preserve">, but not in line with the research of </w:t>
      </w:r>
      <w:r>
        <w:rPr>
          <w:rFonts w:ascii="Cambria" w:hAnsi="Cambria" w:cs="Times New Roman"/>
          <w:lang w:val="en-US"/>
        </w:rPr>
        <w:fldChar w:fldCharType="begin"/>
      </w:r>
      <w:r>
        <w:rPr>
          <w:rFonts w:ascii="Cambria" w:hAnsi="Cambria" w:cs="Times New Roman"/>
          <w:lang w:val="en-US"/>
        </w:rPr>
        <w:instrText xml:space="preserve"> ADDIN ZOTERO_ITEM CSL_CITATION {"citationID":"jATVngE2","properties":{"formattedCitation":"(Nastiti &amp; Kasri, 2019; Priyanto et al., 2016)","plainCitation":"(Nastiti &amp; Kasri, 2019; Priyanto et al., 2016)","noteIndex":0},"citationItems":[{"id":1743,"uris":["http://zotero.org/groups/2238283/items/CD48I2UN"],"uri":["http://zotero.org/groups/2238283/items/CD48I2UN"],"itemData":{"id":1743,"type":"article-journal","abstract":"Purpose The 2015 global economic crisis has triggered the issuance of several banking regulations in Indonesia, including those related to temporary stimulus for Islamic banks and branchless banking (fintech). However, few studies attempt to evaluate the effectiveness of such regulations. Thus, this study aims to determine the role and assess the effectiveness of such banking regulations. Design/methodology/approach The data used cover all 12 Islamic commercial banks in Indonesia during the stimulus period of Q3.2015 to Q2.2017. The variables included were banks’ fundamental factors (Islamic financing, capital adequacy ratio, investment, non-performing financing, return on asset, efficiency, financing deposit ratio and fintech) and macroeconomic variables (inflation, exchange rate and money supply). The model was analyzed by using multiple linear regressions with generalized least square estimation technique. Findings The main finding suggests that the stimulus regulation indeed played a positive role in the acceleration of Islamic bank financing. However, the fintech-related regulation was not yet effective to achieve the goal, at least in the short term. Furthermore, the study found that return of assets, operational efficiency, financing deposit ratio and money supply also influenced Islamic financing. Practical implications For policymakers, the effectiveness of the temporary stimulus in accelerating Islamic banking financing and preventing the possible negative impacts of the external crisis provides indications that the regulator could conduct similar policy in the future. More generally, the findings are also expected to enrich Islamic banking literature. Originality/value This is possibly one of the few studies to investigate the role and effectiveness of banking regulations on Islamic banking financing in Indonesia.","container-title":"International Journal of Islamic and Middle Eastern Finance and Management","DOI":"10.1108/IMEFM-10-2018-0365","ISSN":"1753-8394","issue":"5","note":"publisher: Emerald Publishing Limited","page":"643-662","source":"Emerald Insight","title":"The role of banking regulation in the development of Islamic banking financing in Indonesia","volume":"12","author":[{"family":"Nastiti","given":"Nur Dyah"},{"family":"Kasri","given":"Rahmatina Awaliah"}],"issued":{"date-parts":[["2019",1,1]]}}},{"id":1745,"uris":["http://zotero.org/groups/2238283/items/72T7KMRV"],"uri":["http://zotero.org/groups/2238283/items/72T7KMRV"],"itemData":{"id":1745,"type":"article-journal","abstract":"This study aims to determine the factors that affect the equity financing at the Islamic Banking which covers quantitative financing profit and loss sharing and to formulate policies to be performed by the management in maintaining the financing growth. The study was conducted by utilizing Autoregressive Distributed Lag (ARDL) model with variables including BI rate and inflation as the external factor. The test results of both external factors indicated a negative impact on both financing. BI rate as an indicator of the government's policy becomes the fastest variable affecting the equity financing i.e. at lag 1. Inflation comes as the macroeconomic indicator at lags 2, 9 and 10. All internal factors have a negative impact on both financing types except for the cost of education and training, and autoregressive variables. The fund of the third party influences the sharing of profit and loss (mudharabah) at lag 1 and at 9, meanwhile the capital adequacy ratio affects the profit sharing (mudharabah) at lag 8, and it affects the loss sharing (musyarakah) at lag 6. The cost of education and training has an effect on loss sharing at lag 5, and Islamic banking basic education affects profit financing at lag 2 whereas the trend of financing profit sharing is at lag 8 and loss sharing at lags 1 and 2 and since it autoregressive, it affects each financing of the current period.Keywords: autoregressive, dynamic, mudaraba, musharaka, profit and loss sharing financingABSTRAKPenelitian ini bertujuan mengetahui faktor-faktor yang memengaruhi pembiayaan berbasis bagi hasil pada Bank Syariah yang meliputi pembiayaan mudharabah dan musyarakah secara kuantitatif dan merumuskan kebijakan-kebijakan yang dapat dilakukan manajemen dalam menjaga pertumbuhan pembiayaannya. Penelitian dilakukan menggunakan Autoregressive Distributed Lag (ARDL) Model dengan variabel yang digunakan meliputi BI Rate dan inflasi sebagai faktor eksternal. Hasil pengujian kedua faktor eksternal memberikan pengaruh negatif terhadap kedua pembiayaan tersebut. BI Rate sebagai indikator kebijakan pemerintah menjadi variabel yang paling cepat memengaruhi pembiayaan berbasis bagi hasil yaitu pada lag 1. Berikutnya diikuti oleh inflasi sebagai indikator makroekonomi pada lag 2, 9 dan 10. Seluruh faktor internal memberikan pengaruh negatif terhadap kedua jenis pembiayaan kecuali biaya pendidikan dan pelatihan dan variabel autoregressive. Dana pihak ketiga memengaruhi pembiayaan mudharabah pada lag 1 dan 9. Sementara rasio kecukupan modal pada lag 8 memengaruhi pembiayaan mudharabah dan pada lag 6 memengaruhi pembiayaan musyarakah. Biaya pendidikan dan pelatihan memengaruhi pembiayaan musyarakah pada lag 5, pendidikan dasar perbankan syariah memengaruhi pembiayaan mudharabah pada lag 2. Sementara tren pembiayaan mudharabah pada lag 8 dan pembiayaan musyarakah pada lag 1 dan 2 sebagai autoregressive memengaruhi masing-masing pembiayaan pada periode kini.Kata kunci:    autoregressive, dynamic, mudaraba, musharaka, profit and loss sharing financing","container-title":"Jurnal Aplikasi Bisnis dan Manajemen (JABM)","DOI":"10.17358/jabm.2.3.281","ISSN":"2460-7819","issue":"3","language":"en","page":"281-290","source":"journal.ipb.ac.id","title":"Faktor-Faktor Yang Mempengaruhi Pembiayaan Berbasis Bagi Hasil (Equity Financing) Pada Bank Syariah X","volume":"2","author":[{"family":"Priyanto","given":"Toni"},{"family":"Fahmi","given":"Idqan"},{"family":"Ismal","given":"Rifki"}],"issued":{"date-parts":[["2016",9,1]]}}}],"schema":"https://github.com/citation-style-language/schema/raw/master/csl-citation.json"} </w:instrText>
      </w:r>
      <w:r>
        <w:rPr>
          <w:rFonts w:ascii="Cambria" w:hAnsi="Cambria" w:cs="Times New Roman"/>
          <w:lang w:val="en-US"/>
        </w:rPr>
        <w:fldChar w:fldCharType="separate"/>
      </w:r>
      <w:r w:rsidRPr="007F45EA">
        <w:rPr>
          <w:rFonts w:ascii="Cambria" w:hAnsi="Cambria"/>
        </w:rPr>
        <w:t>Priya</w:t>
      </w:r>
      <w:r>
        <w:rPr>
          <w:rFonts w:ascii="Cambria" w:hAnsi="Cambria"/>
        </w:rPr>
        <w:t>nto et al.</w:t>
      </w:r>
      <w:r w:rsidRPr="007F45EA">
        <w:rPr>
          <w:rFonts w:ascii="Cambria" w:hAnsi="Cambria"/>
        </w:rPr>
        <w:t xml:space="preserve"> </w:t>
      </w:r>
      <w:r>
        <w:rPr>
          <w:rFonts w:ascii="Cambria" w:hAnsi="Cambria"/>
          <w:lang w:val="en-US"/>
        </w:rPr>
        <w:t>(</w:t>
      </w:r>
      <w:r w:rsidRPr="007F45EA">
        <w:rPr>
          <w:rFonts w:ascii="Cambria" w:hAnsi="Cambria"/>
        </w:rPr>
        <w:t>2016</w:t>
      </w:r>
      <w:r>
        <w:rPr>
          <w:rFonts w:ascii="Cambria" w:hAnsi="Cambria"/>
          <w:lang w:val="en-US"/>
        </w:rPr>
        <w:t xml:space="preserve">) and </w:t>
      </w:r>
      <w:r>
        <w:rPr>
          <w:rFonts w:ascii="Cambria" w:hAnsi="Cambria"/>
        </w:rPr>
        <w:t xml:space="preserve">Nastiti &amp; Kasri </w:t>
      </w:r>
      <w:r>
        <w:rPr>
          <w:rFonts w:ascii="Cambria" w:hAnsi="Cambria"/>
          <w:lang w:val="en-US"/>
        </w:rPr>
        <w:t>(</w:t>
      </w:r>
      <w:r>
        <w:rPr>
          <w:rFonts w:ascii="Cambria" w:hAnsi="Cambria"/>
        </w:rPr>
        <w:t>2019</w:t>
      </w:r>
      <w:r w:rsidRPr="007F45EA">
        <w:rPr>
          <w:rFonts w:ascii="Cambria" w:hAnsi="Cambria"/>
        </w:rPr>
        <w:t>)</w:t>
      </w:r>
      <w:r>
        <w:rPr>
          <w:rFonts w:ascii="Cambria" w:hAnsi="Cambria" w:cs="Times New Roman"/>
          <w:lang w:val="en-US"/>
        </w:rPr>
        <w:fldChar w:fldCharType="end"/>
      </w:r>
      <w:r w:rsidRPr="007F45EA">
        <w:rPr>
          <w:rFonts w:ascii="Cambria" w:hAnsi="Cambria" w:cs="Times New Roman"/>
          <w:lang w:val="en-US"/>
        </w:rPr>
        <w:t xml:space="preserve">. The level of inflation will not reduce or increase the growth of </w:t>
      </w:r>
      <w:r>
        <w:rPr>
          <w:rFonts w:ascii="Cambria" w:hAnsi="Cambria" w:cs="Times New Roman"/>
          <w:lang w:val="en-US"/>
        </w:rPr>
        <w:t>profit-</w:t>
      </w:r>
      <w:r w:rsidRPr="007F45EA">
        <w:rPr>
          <w:rFonts w:ascii="Cambria" w:hAnsi="Cambria" w:cs="Times New Roman"/>
          <w:lang w:val="en-US"/>
        </w:rPr>
        <w:t>sharing financing.</w:t>
      </w:r>
    </w:p>
    <w:p w14:paraId="29F6302B" w14:textId="5CE9BA21" w:rsidR="00FD7993" w:rsidRPr="00896AE1" w:rsidRDefault="00FD7993" w:rsidP="00896AE1">
      <w:pPr>
        <w:pStyle w:val="ListParagraph"/>
        <w:spacing w:after="0" w:line="240" w:lineRule="auto"/>
        <w:ind w:left="0" w:firstLine="426"/>
        <w:contextualSpacing w:val="0"/>
        <w:jc w:val="both"/>
        <w:rPr>
          <w:rFonts w:ascii="Cambria" w:hAnsi="Cambria" w:cs="Times New Roman"/>
          <w:color w:val="0070C0"/>
          <w:lang w:val="en-US"/>
        </w:rPr>
      </w:pPr>
    </w:p>
    <w:p w14:paraId="44CC4353" w14:textId="77777777" w:rsidR="00AD4D9D" w:rsidRPr="00005EA2" w:rsidRDefault="00AD4D9D" w:rsidP="00FB0B5B">
      <w:pPr>
        <w:spacing w:after="0" w:line="240" w:lineRule="auto"/>
        <w:jc w:val="both"/>
        <w:rPr>
          <w:rFonts w:ascii="Cambria" w:hAnsi="Cambria" w:cs="Times New Roman"/>
          <w:b/>
        </w:rPr>
      </w:pPr>
    </w:p>
    <w:p w14:paraId="64F8934A" w14:textId="32B28B09" w:rsidR="004B3306" w:rsidRPr="001029A9" w:rsidRDefault="00D16CD7" w:rsidP="001029A9">
      <w:pPr>
        <w:spacing w:after="120" w:line="240" w:lineRule="auto"/>
        <w:jc w:val="both"/>
        <w:rPr>
          <w:rFonts w:cstheme="minorHAnsi"/>
          <w:b/>
          <w:sz w:val="24"/>
          <w:szCs w:val="24"/>
        </w:rPr>
      </w:pPr>
      <w:r w:rsidRPr="001029A9">
        <w:rPr>
          <w:rFonts w:cstheme="minorHAnsi"/>
          <w:b/>
          <w:sz w:val="24"/>
          <w:szCs w:val="24"/>
          <w:lang w:val="en-US"/>
        </w:rPr>
        <w:t xml:space="preserve">6. </w:t>
      </w:r>
      <w:r w:rsidRPr="001029A9">
        <w:rPr>
          <w:rFonts w:cstheme="minorHAnsi"/>
          <w:b/>
          <w:sz w:val="24"/>
          <w:szCs w:val="24"/>
        </w:rPr>
        <w:t>Conclusion</w:t>
      </w:r>
    </w:p>
    <w:p w14:paraId="2E7DDB34" w14:textId="119E6A2A" w:rsidR="00E6345E" w:rsidRPr="00E6345E" w:rsidRDefault="00E6345E" w:rsidP="00E6345E">
      <w:pPr>
        <w:spacing w:after="0" w:line="240" w:lineRule="auto"/>
        <w:ind w:firstLine="426"/>
        <w:jc w:val="both"/>
        <w:rPr>
          <w:rFonts w:ascii="Cambria" w:hAnsi="Cambria" w:cs="Times New Roman"/>
        </w:rPr>
      </w:pPr>
      <w:r w:rsidRPr="00E6345E">
        <w:rPr>
          <w:rFonts w:ascii="Cambria" w:hAnsi="Cambria" w:cs="Times New Roman"/>
        </w:rPr>
        <w:t xml:space="preserve">Based on the results and discussion previously described regarding the optimization of profit-sharing financing at Islamic banks in Indonesia using cointegation and error correction models, it is concluded that mudharabah deposits have a significant positive effect on profit-sharing financing, which means that the higher the growth of mudharabah deposits, the more also high growth of </w:t>
      </w:r>
      <w:r>
        <w:rPr>
          <w:rFonts w:ascii="Cambria" w:hAnsi="Cambria" w:cs="Times New Roman"/>
          <w:lang w:val="en-US"/>
        </w:rPr>
        <w:t>profit-</w:t>
      </w:r>
      <w:r w:rsidRPr="00E6345E">
        <w:rPr>
          <w:rFonts w:ascii="Cambria" w:hAnsi="Cambria" w:cs="Times New Roman"/>
        </w:rPr>
        <w:t xml:space="preserve">sharing financing. Meanwhile, non-performing financing, equivalent rate and efficiency have a significant negative effect on profit-sharing financing. If the non-performing financing and equivalent rate decreased, the growth in profit-sharing financing would increase. Meanwhile, if efficiency of Islamic banks </w:t>
      </w:r>
      <w:r>
        <w:rPr>
          <w:rFonts w:ascii="Cambria" w:hAnsi="Cambria" w:cs="Times New Roman"/>
        </w:rPr>
        <w:t>increases, the growth in profit-</w:t>
      </w:r>
      <w:r w:rsidRPr="00E6345E">
        <w:rPr>
          <w:rFonts w:ascii="Cambria" w:hAnsi="Cambria" w:cs="Times New Roman"/>
        </w:rPr>
        <w:t>sharing financing will also increase.</w:t>
      </w:r>
    </w:p>
    <w:p w14:paraId="2D4F1A2E" w14:textId="5D51FAF3" w:rsidR="00E6345E" w:rsidRPr="00E6345E" w:rsidRDefault="00E6345E" w:rsidP="00E6345E">
      <w:pPr>
        <w:spacing w:after="0" w:line="240" w:lineRule="auto"/>
        <w:ind w:firstLine="426"/>
        <w:jc w:val="both"/>
        <w:rPr>
          <w:rFonts w:ascii="Cambria" w:hAnsi="Cambria" w:cs="Times New Roman"/>
        </w:rPr>
      </w:pPr>
      <w:r w:rsidRPr="00E6345E">
        <w:rPr>
          <w:rFonts w:ascii="Cambria" w:hAnsi="Cambria" w:cs="Times New Roman"/>
        </w:rPr>
        <w:t xml:space="preserve">Economic growth as one of the macroeconomic indicators has an inverse effect during the economic slowdown. The slowing pace of economic growth has even spurred the growth of </w:t>
      </w:r>
      <w:r>
        <w:rPr>
          <w:rFonts w:ascii="Cambria" w:hAnsi="Cambria" w:cs="Times New Roman"/>
          <w:lang w:val="en-US"/>
        </w:rPr>
        <w:t>profit-</w:t>
      </w:r>
      <w:r w:rsidRPr="00E6345E">
        <w:rPr>
          <w:rFonts w:ascii="Cambria" w:hAnsi="Cambria" w:cs="Times New Roman"/>
        </w:rPr>
        <w:t>sharing financing. Meanwhile, inflation does not have a significant</w:t>
      </w:r>
      <w:r>
        <w:rPr>
          <w:rFonts w:ascii="Cambria" w:hAnsi="Cambria" w:cs="Times New Roman"/>
        </w:rPr>
        <w:t xml:space="preserve"> impact on the growth of profit-</w:t>
      </w:r>
      <w:r w:rsidRPr="00E6345E">
        <w:rPr>
          <w:rFonts w:ascii="Cambria" w:hAnsi="Cambria" w:cs="Times New Roman"/>
        </w:rPr>
        <w:t>sharing financing.</w:t>
      </w:r>
    </w:p>
    <w:p w14:paraId="4EAC2AB4" w14:textId="6FC03C13" w:rsidR="00E6345E" w:rsidRPr="00E6345E" w:rsidRDefault="00E6345E" w:rsidP="00E6345E">
      <w:pPr>
        <w:spacing w:after="0" w:line="240" w:lineRule="auto"/>
        <w:ind w:firstLine="426"/>
        <w:jc w:val="both"/>
        <w:rPr>
          <w:rFonts w:ascii="Cambria" w:hAnsi="Cambria" w:cs="Times New Roman"/>
        </w:rPr>
      </w:pPr>
      <w:r w:rsidRPr="00E6345E">
        <w:rPr>
          <w:rFonts w:ascii="Cambria" w:hAnsi="Cambria" w:cs="Times New Roman"/>
        </w:rPr>
        <w:t xml:space="preserve">Management of Islamic banks in Indonesia can optimize the proportion of profit-sharing financing by utilizing internal and industrial data processing, to make </w:t>
      </w:r>
      <w:r>
        <w:rPr>
          <w:rFonts w:ascii="Cambria" w:hAnsi="Cambria" w:cs="Times New Roman"/>
        </w:rPr>
        <w:t>expansion decisions. The mudhara</w:t>
      </w:r>
      <w:r w:rsidRPr="00E6345E">
        <w:rPr>
          <w:rFonts w:ascii="Cambria" w:hAnsi="Cambria" w:cs="Times New Roman"/>
        </w:rPr>
        <w:t>bah deposit rate can be used as a reference for short and medium term risk considerations for aggressive, moderate or low expansion decisions considering that the mudharobah deposit rate is a reflection of time deposits whose maturity level can be measured to ensure the availability of funds to finance expansion.</w:t>
      </w:r>
    </w:p>
    <w:p w14:paraId="3DEF2CFB" w14:textId="4AEB9DB4" w:rsidR="00E6345E" w:rsidRPr="00E6345E" w:rsidRDefault="00E6345E" w:rsidP="00E6345E">
      <w:pPr>
        <w:spacing w:after="0" w:line="240" w:lineRule="auto"/>
        <w:ind w:firstLine="426"/>
        <w:jc w:val="both"/>
        <w:rPr>
          <w:rFonts w:ascii="Cambria" w:hAnsi="Cambria" w:cs="Times New Roman"/>
        </w:rPr>
      </w:pPr>
      <w:r w:rsidRPr="00E6345E">
        <w:rPr>
          <w:rFonts w:ascii="Cambria" w:hAnsi="Cambria" w:cs="Times New Roman"/>
        </w:rPr>
        <w:t>Furthermore, from the results of research related to the negative effect of non-performing financing on the growth of profit-sharing financing, the non-performing financing indicator can be used as a reference for expansion decisions as well as an early warning indicator for management to not only be expansive in financing but also pay attention to monitoring the qual</w:t>
      </w:r>
      <w:r w:rsidR="00A53046">
        <w:rPr>
          <w:rFonts w:ascii="Cambria" w:hAnsi="Cambria" w:cs="Times New Roman"/>
        </w:rPr>
        <w:t>ity of financing and keep it up</w:t>
      </w:r>
      <w:r w:rsidRPr="00E6345E">
        <w:rPr>
          <w:rFonts w:ascii="Cambria" w:hAnsi="Cambria" w:cs="Times New Roman"/>
        </w:rPr>
        <w:t xml:space="preserve"> make strict remedial and recovery efforts on each given financing asset.</w:t>
      </w:r>
    </w:p>
    <w:p w14:paraId="1B9D811D" w14:textId="56FF82B6" w:rsidR="00E6345E" w:rsidRPr="00E6345E" w:rsidRDefault="00E6345E" w:rsidP="00E6345E">
      <w:pPr>
        <w:spacing w:after="0" w:line="240" w:lineRule="auto"/>
        <w:ind w:firstLine="426"/>
        <w:jc w:val="both"/>
        <w:rPr>
          <w:rFonts w:ascii="Cambria" w:hAnsi="Cambria" w:cs="Times New Roman"/>
        </w:rPr>
      </w:pPr>
      <w:r w:rsidRPr="00E6345E">
        <w:rPr>
          <w:rFonts w:ascii="Cambria" w:hAnsi="Cambria" w:cs="Times New Roman"/>
        </w:rPr>
        <w:t>In addition, Islamic banks should be more careful in determining the profit sharing ratio by always considering the calculation of internal funds costs, operational overhead costs and considering the Islamic banking market equivalent rate, conventional banking interest rates and the BI rate reference interest. Finally, from the internal side of the bank, it is a must for Islamic banks to maintain their level of efficiency. Because the level of operational efficiency is consistent which will have a long-term</w:t>
      </w:r>
      <w:r w:rsidR="00A53046">
        <w:rPr>
          <w:rFonts w:ascii="Cambria" w:hAnsi="Cambria" w:cs="Times New Roman"/>
        </w:rPr>
        <w:t xml:space="preserve"> impact on the growth of profit-</w:t>
      </w:r>
      <w:r w:rsidRPr="00E6345E">
        <w:rPr>
          <w:rFonts w:ascii="Cambria" w:hAnsi="Cambria" w:cs="Times New Roman"/>
        </w:rPr>
        <w:t>sharing financing.</w:t>
      </w:r>
    </w:p>
    <w:p w14:paraId="0E637B47" w14:textId="5FAD7E61" w:rsidR="00896AE1" w:rsidRPr="00E6345E" w:rsidRDefault="00E6345E" w:rsidP="001E6073">
      <w:pPr>
        <w:spacing w:after="120" w:line="240" w:lineRule="auto"/>
        <w:ind w:firstLine="425"/>
        <w:jc w:val="both"/>
        <w:rPr>
          <w:rFonts w:ascii="Cambria" w:hAnsi="Cambria" w:cs="Times New Roman"/>
          <w:lang w:val="en-US"/>
        </w:rPr>
      </w:pPr>
      <w:r w:rsidRPr="00E6345E">
        <w:rPr>
          <w:rFonts w:ascii="Cambria" w:hAnsi="Cambria" w:cs="Times New Roman"/>
        </w:rPr>
        <w:t>Based on the results and discussion, there are several things that can be recommended to the bank. Islamic banks should maintain and improve the components that can affect profit-sharing financing, namely (1) mudharabah deposits by providing attractive incentives for profit sharing rates and transparency in financial reports so that people are interested in investing in Islamic banks,</w:t>
      </w:r>
      <w:r w:rsidR="00A53046">
        <w:rPr>
          <w:rFonts w:ascii="Cambria" w:hAnsi="Cambria" w:cs="Times New Roman"/>
        </w:rPr>
        <w:t xml:space="preserve"> (2) non-performing financing (</w:t>
      </w:r>
      <w:r w:rsidRPr="00E6345E">
        <w:rPr>
          <w:rFonts w:ascii="Cambria" w:hAnsi="Cambria" w:cs="Times New Roman"/>
        </w:rPr>
        <w:t>NPF) through prevention and supervision of problematic financing so that the NPF level of Islamic banks is in a safe position, (3) the equivalent rate is careful in determining the ratio by taking into account several internal and external aspects, (4) consistent and maintained efficiency, not fluctuating by reducing unnecessary costs. Finally, (5) always pay attention to macroeconomic conditions in every policy making.</w:t>
      </w:r>
    </w:p>
    <w:p w14:paraId="363503F3" w14:textId="77777777" w:rsidR="001029A9" w:rsidRPr="00E6345E" w:rsidRDefault="001029A9" w:rsidP="00896AE1">
      <w:pPr>
        <w:spacing w:after="0" w:line="240" w:lineRule="auto"/>
        <w:ind w:firstLine="426"/>
        <w:jc w:val="both"/>
        <w:rPr>
          <w:rFonts w:ascii="Cambria" w:hAnsi="Cambria" w:cs="Times New Roman"/>
        </w:rPr>
      </w:pPr>
    </w:p>
    <w:p w14:paraId="6C00DF01" w14:textId="6ACDC5E5" w:rsidR="001029A9" w:rsidRPr="001029A9" w:rsidRDefault="001029A9" w:rsidP="001029A9">
      <w:pPr>
        <w:pStyle w:val="Bibliography"/>
        <w:spacing w:after="120" w:line="240" w:lineRule="auto"/>
        <w:rPr>
          <w:rFonts w:cstheme="minorHAnsi"/>
          <w:b/>
          <w:sz w:val="24"/>
          <w:szCs w:val="24"/>
          <w:lang w:val="en-US"/>
        </w:rPr>
      </w:pPr>
      <w:r w:rsidRPr="001029A9">
        <w:rPr>
          <w:rFonts w:cstheme="minorHAnsi"/>
          <w:b/>
          <w:sz w:val="24"/>
          <w:szCs w:val="24"/>
          <w:lang w:val="en-US"/>
        </w:rPr>
        <w:t>References</w:t>
      </w:r>
    </w:p>
    <w:p w14:paraId="41743AAB" w14:textId="77777777" w:rsidR="001E6073" w:rsidRPr="001E6073" w:rsidRDefault="001E6073" w:rsidP="001E6073">
      <w:pPr>
        <w:pStyle w:val="Bibliography"/>
        <w:spacing w:line="240" w:lineRule="auto"/>
        <w:jc w:val="both"/>
        <w:rPr>
          <w:rFonts w:ascii="Cambria" w:hAnsi="Cambria"/>
        </w:rPr>
      </w:pPr>
      <w:r>
        <w:rPr>
          <w:rFonts w:ascii="Cambria" w:hAnsi="Cambria"/>
        </w:rPr>
        <w:fldChar w:fldCharType="begin"/>
      </w:r>
      <w:r>
        <w:rPr>
          <w:rFonts w:ascii="Cambria" w:hAnsi="Cambria"/>
        </w:rPr>
        <w:instrText xml:space="preserve"> ADDIN ZOTERO_BIBL {"uncited":[],"omitted":[],"custom":[]} CSL_BIBLIOGRAPHY </w:instrText>
      </w:r>
      <w:r>
        <w:rPr>
          <w:rFonts w:ascii="Cambria" w:hAnsi="Cambria"/>
        </w:rPr>
        <w:fldChar w:fldCharType="separate"/>
      </w:r>
      <w:r w:rsidRPr="001E6073">
        <w:rPr>
          <w:rFonts w:ascii="Cambria" w:hAnsi="Cambria"/>
        </w:rPr>
        <w:t xml:space="preserve">Abdul-Rahman, A., &amp; Nor, S. M. (2016). Challenges Of Profit-And-Loss Sharing Financing In Malaysian Islamic Banking. </w:t>
      </w:r>
      <w:r w:rsidRPr="001E6073">
        <w:rPr>
          <w:rFonts w:ascii="Cambria" w:hAnsi="Cambria"/>
          <w:i/>
          <w:iCs/>
        </w:rPr>
        <w:t>Geografia-Malaysian Journal of Society and Space</w:t>
      </w:r>
      <w:r w:rsidRPr="001E6073">
        <w:rPr>
          <w:rFonts w:ascii="Cambria" w:hAnsi="Cambria"/>
        </w:rPr>
        <w:t xml:space="preserve">, </w:t>
      </w:r>
      <w:r w:rsidRPr="001E6073">
        <w:rPr>
          <w:rFonts w:ascii="Cambria" w:hAnsi="Cambria"/>
          <w:i/>
          <w:iCs/>
        </w:rPr>
        <w:t>12</w:t>
      </w:r>
      <w:r w:rsidRPr="001E6073">
        <w:rPr>
          <w:rFonts w:ascii="Cambria" w:hAnsi="Cambria"/>
        </w:rPr>
        <w:t>(2), 39–46.</w:t>
      </w:r>
    </w:p>
    <w:p w14:paraId="22FB90E8"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lastRenderedPageBreak/>
        <w:t xml:space="preserve">Allison, P. (2012, September 10). When Can You Safely Ignore Multicollinearity? </w:t>
      </w:r>
      <w:r w:rsidRPr="001E6073">
        <w:rPr>
          <w:rFonts w:ascii="Cambria" w:hAnsi="Cambria"/>
          <w:i/>
          <w:iCs/>
        </w:rPr>
        <w:t>Statistical Horizons</w:t>
      </w:r>
      <w:r w:rsidRPr="001E6073">
        <w:rPr>
          <w:rFonts w:ascii="Cambria" w:hAnsi="Cambria"/>
        </w:rPr>
        <w:t>. https://statisticalhorizons.com/multicollinearity</w:t>
      </w:r>
    </w:p>
    <w:p w14:paraId="27F2E581"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Amelia, E., &amp; Hardini, E. F. (2017). Determinant of Mudharabah Financing: A Study at Indonesian Islamic Rural Banking. </w:t>
      </w:r>
      <w:r w:rsidRPr="001E6073">
        <w:rPr>
          <w:rFonts w:ascii="Cambria" w:hAnsi="Cambria"/>
          <w:i/>
          <w:iCs/>
        </w:rPr>
        <w:t>Etikonomi</w:t>
      </w:r>
      <w:r w:rsidRPr="001E6073">
        <w:rPr>
          <w:rFonts w:ascii="Cambria" w:hAnsi="Cambria"/>
        </w:rPr>
        <w:t xml:space="preserve">, </w:t>
      </w:r>
      <w:r w:rsidRPr="001E6073">
        <w:rPr>
          <w:rFonts w:ascii="Cambria" w:hAnsi="Cambria"/>
          <w:i/>
          <w:iCs/>
        </w:rPr>
        <w:t>16</w:t>
      </w:r>
      <w:r w:rsidRPr="001E6073">
        <w:rPr>
          <w:rFonts w:ascii="Cambria" w:hAnsi="Cambria"/>
        </w:rPr>
        <w:t>(1), 43–52. https://doi.org/10.15408/etk.v16i1.4638</w:t>
      </w:r>
    </w:p>
    <w:p w14:paraId="2C5B5BCF"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Annisa, L. N., &amp; Yaya, R. (2015). Pengaruh Dana Pihak Ketiga, Tingkat Bagi Hasil dan Non Performing Financing terhadap Volume dan Porsi Pembiayaan Berbasis Bagi Hasil pada Perbankan Syariah di Indonesia. </w:t>
      </w:r>
      <w:r w:rsidRPr="001E6073">
        <w:rPr>
          <w:rFonts w:ascii="Cambria" w:hAnsi="Cambria"/>
          <w:i/>
          <w:iCs/>
        </w:rPr>
        <w:t>Share: Jurnal Ekonomi dan Keuangan Islam</w:t>
      </w:r>
      <w:r w:rsidRPr="001E6073">
        <w:rPr>
          <w:rFonts w:ascii="Cambria" w:hAnsi="Cambria"/>
        </w:rPr>
        <w:t xml:space="preserve">, </w:t>
      </w:r>
      <w:r w:rsidRPr="001E6073">
        <w:rPr>
          <w:rFonts w:ascii="Cambria" w:hAnsi="Cambria"/>
          <w:i/>
          <w:iCs/>
        </w:rPr>
        <w:t>4</w:t>
      </w:r>
      <w:r w:rsidRPr="001E6073">
        <w:rPr>
          <w:rFonts w:ascii="Cambria" w:hAnsi="Cambria"/>
        </w:rPr>
        <w:t>(1), 79–104. https://doi.org/10.22373/share.v4i1.754</w:t>
      </w:r>
    </w:p>
    <w:p w14:paraId="47DDD4CA"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Anwar, S. M., Junaidi, J., Salju, S., Wicaksono, R., &amp; Mispiyanti, M. (2020). Islamic bank contribution to Indonesian economic growth. </w:t>
      </w:r>
      <w:r w:rsidRPr="001E6073">
        <w:rPr>
          <w:rFonts w:ascii="Cambria" w:hAnsi="Cambria"/>
          <w:i/>
          <w:iCs/>
        </w:rPr>
        <w:t>International Journal of Islamic and Middle Eastern Finance and Management</w:t>
      </w:r>
      <w:r w:rsidRPr="001E6073">
        <w:rPr>
          <w:rFonts w:ascii="Cambria" w:hAnsi="Cambria"/>
        </w:rPr>
        <w:t xml:space="preserve">, </w:t>
      </w:r>
      <w:r w:rsidRPr="001E6073">
        <w:rPr>
          <w:rFonts w:ascii="Cambria" w:hAnsi="Cambria"/>
          <w:i/>
          <w:iCs/>
        </w:rPr>
        <w:t>13</w:t>
      </w:r>
      <w:r w:rsidRPr="001E6073">
        <w:rPr>
          <w:rFonts w:ascii="Cambria" w:hAnsi="Cambria"/>
        </w:rPr>
        <w:t>(3), 519–532. https://doi.org/10.1108/IMEFM-02-2018-0071</w:t>
      </w:r>
    </w:p>
    <w:p w14:paraId="243912E4"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Arnan, S. G., &amp; Kurniawasih, I. (2014). Pengaruh Jumlah Dana Pihak Ketiga Dan Tingkat Non- Performing Financing Terhadap Pembiayaan Mudharabah Pada Bank Umum Syariah Di Indonesia. </w:t>
      </w:r>
      <w:r w:rsidRPr="001E6073">
        <w:rPr>
          <w:rFonts w:ascii="Cambria" w:hAnsi="Cambria"/>
          <w:i/>
          <w:iCs/>
        </w:rPr>
        <w:t>Seminar Nasional Ekonomi dan Bisnis</w:t>
      </w:r>
      <w:r w:rsidRPr="001E6073">
        <w:rPr>
          <w:rFonts w:ascii="Cambria" w:hAnsi="Cambria"/>
        </w:rPr>
        <w:t>, 1–6.</w:t>
      </w:r>
    </w:p>
    <w:p w14:paraId="3C966F93"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Ayyubi, S. E., Anggraeni, L., &amp; Mahiswari, A. D. (2017). Pengaruh Bank Syariah terhadap Pertumbuhan Ekonomi di Indonesia. </w:t>
      </w:r>
      <w:r w:rsidRPr="001E6073">
        <w:rPr>
          <w:rFonts w:ascii="Cambria" w:hAnsi="Cambria"/>
          <w:i/>
          <w:iCs/>
        </w:rPr>
        <w:t>Al-Muzara’ah</w:t>
      </w:r>
      <w:r w:rsidRPr="001E6073">
        <w:rPr>
          <w:rFonts w:ascii="Cambria" w:hAnsi="Cambria"/>
        </w:rPr>
        <w:t xml:space="preserve">, </w:t>
      </w:r>
      <w:r w:rsidRPr="001E6073">
        <w:rPr>
          <w:rFonts w:ascii="Cambria" w:hAnsi="Cambria"/>
          <w:i/>
          <w:iCs/>
        </w:rPr>
        <w:t>5</w:t>
      </w:r>
      <w:r w:rsidRPr="001E6073">
        <w:rPr>
          <w:rFonts w:ascii="Cambria" w:hAnsi="Cambria"/>
        </w:rPr>
        <w:t>(2), 88–106. https://doi.org/10.29244/jam.5.2.88-106</w:t>
      </w:r>
    </w:p>
    <w:p w14:paraId="72431D76"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Bougatef, K., Nakhli, M. S., &amp; Mnari, O. (2020). The nexus between Islamic banking and industrial production: Empirical evidence from Malaysia. </w:t>
      </w:r>
      <w:r w:rsidRPr="001E6073">
        <w:rPr>
          <w:rFonts w:ascii="Cambria" w:hAnsi="Cambria"/>
          <w:i/>
          <w:iCs/>
        </w:rPr>
        <w:t>ISRA International Journal of Islamic Finance</w:t>
      </w:r>
      <w:r w:rsidRPr="001E6073">
        <w:rPr>
          <w:rFonts w:ascii="Cambria" w:hAnsi="Cambria"/>
        </w:rPr>
        <w:t xml:space="preserve">, </w:t>
      </w:r>
      <w:r w:rsidRPr="001E6073">
        <w:rPr>
          <w:rFonts w:ascii="Cambria" w:hAnsi="Cambria"/>
          <w:i/>
          <w:iCs/>
        </w:rPr>
        <w:t>12</w:t>
      </w:r>
      <w:r w:rsidRPr="001E6073">
        <w:rPr>
          <w:rFonts w:ascii="Cambria" w:hAnsi="Cambria"/>
        </w:rPr>
        <w:t>(1), 103–114. https://doi.org/10.1108/IJIF-05-2018-0052</w:t>
      </w:r>
    </w:p>
    <w:p w14:paraId="13CE2783"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Chowdhury, M. A. F., Akbar, C. S., &amp; Shoyeb, M. (2018). Nexus between risk sharing vs non-risk sharing financing and economic growth of Bangladesh: ARDL bound testing and continuous wavelet transform (CWT) approach. </w:t>
      </w:r>
      <w:r w:rsidRPr="001E6073">
        <w:rPr>
          <w:rFonts w:ascii="Cambria" w:hAnsi="Cambria"/>
          <w:i/>
          <w:iCs/>
        </w:rPr>
        <w:t>Managerial Finance</w:t>
      </w:r>
      <w:r w:rsidRPr="001E6073">
        <w:rPr>
          <w:rFonts w:ascii="Cambria" w:hAnsi="Cambria"/>
        </w:rPr>
        <w:t xml:space="preserve">, </w:t>
      </w:r>
      <w:r w:rsidRPr="001E6073">
        <w:rPr>
          <w:rFonts w:ascii="Cambria" w:hAnsi="Cambria"/>
          <w:i/>
          <w:iCs/>
        </w:rPr>
        <w:t>44</w:t>
      </w:r>
      <w:r w:rsidRPr="001E6073">
        <w:rPr>
          <w:rFonts w:ascii="Cambria" w:hAnsi="Cambria"/>
        </w:rPr>
        <w:t>(6), 739–758. https://doi.org/10.1108/MF-12-2016-0371</w:t>
      </w:r>
    </w:p>
    <w:p w14:paraId="66CE98F1"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Destiana, R. (2016). Analisis Dana Pihak Ketiga dan Risiko Terhadap Pembiayaan Mudharabah dan Musyarakah Pada Bank Syariah di Indonesia. </w:t>
      </w:r>
      <w:r w:rsidRPr="001E6073">
        <w:rPr>
          <w:rFonts w:ascii="Cambria" w:hAnsi="Cambria"/>
          <w:i/>
          <w:iCs/>
        </w:rPr>
        <w:t>LOGIKA: Jurnal Ilmiah Lemlit Unswagati Cirebon</w:t>
      </w:r>
      <w:r w:rsidRPr="001E6073">
        <w:rPr>
          <w:rFonts w:ascii="Cambria" w:hAnsi="Cambria"/>
        </w:rPr>
        <w:t xml:space="preserve">, </w:t>
      </w:r>
      <w:r w:rsidRPr="001E6073">
        <w:rPr>
          <w:rFonts w:ascii="Cambria" w:hAnsi="Cambria"/>
          <w:i/>
          <w:iCs/>
        </w:rPr>
        <w:t>17</w:t>
      </w:r>
      <w:r w:rsidRPr="001E6073">
        <w:rPr>
          <w:rFonts w:ascii="Cambria" w:hAnsi="Cambria"/>
        </w:rPr>
        <w:t>(2), 42–54.</w:t>
      </w:r>
    </w:p>
    <w:p w14:paraId="1ECE32EA"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Dyatama, A. N., &amp; Yuliadi, I. (2015). DETERMINAN JUMLAH PEMBIAYAAN BANK SYARIAH DI INDONESIA. </w:t>
      </w:r>
      <w:r w:rsidRPr="001E6073">
        <w:rPr>
          <w:rFonts w:ascii="Cambria" w:hAnsi="Cambria"/>
          <w:i/>
          <w:iCs/>
        </w:rPr>
        <w:t>Jurnal Ekonomi &amp; Studi Pembangunan</w:t>
      </w:r>
      <w:r w:rsidRPr="001E6073">
        <w:rPr>
          <w:rFonts w:ascii="Cambria" w:hAnsi="Cambria"/>
        </w:rPr>
        <w:t xml:space="preserve">, </w:t>
      </w:r>
      <w:r w:rsidRPr="001E6073">
        <w:rPr>
          <w:rFonts w:ascii="Cambria" w:hAnsi="Cambria"/>
          <w:i/>
          <w:iCs/>
        </w:rPr>
        <w:t>16</w:t>
      </w:r>
      <w:r w:rsidRPr="001E6073">
        <w:rPr>
          <w:rFonts w:ascii="Cambria" w:hAnsi="Cambria"/>
        </w:rPr>
        <w:t>(1), 73–83. https://doi.org/10.18196/jesp.2015.0043.73-83</w:t>
      </w:r>
    </w:p>
    <w:p w14:paraId="6783FAEB"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Engle, R. F., &amp; Granger, C. W. J. (1987). Co-Integration and Error Correction: Representation, Estimation, and Testing. </w:t>
      </w:r>
      <w:r w:rsidRPr="001E6073">
        <w:rPr>
          <w:rFonts w:ascii="Cambria" w:hAnsi="Cambria"/>
          <w:i/>
          <w:iCs/>
        </w:rPr>
        <w:t>Econometrica</w:t>
      </w:r>
      <w:r w:rsidRPr="001E6073">
        <w:rPr>
          <w:rFonts w:ascii="Cambria" w:hAnsi="Cambria"/>
        </w:rPr>
        <w:t xml:space="preserve">, </w:t>
      </w:r>
      <w:r w:rsidRPr="001E6073">
        <w:rPr>
          <w:rFonts w:ascii="Cambria" w:hAnsi="Cambria"/>
          <w:i/>
          <w:iCs/>
        </w:rPr>
        <w:t>55</w:t>
      </w:r>
      <w:r w:rsidRPr="001E6073">
        <w:rPr>
          <w:rFonts w:ascii="Cambria" w:hAnsi="Cambria"/>
        </w:rPr>
        <w:t>(2), 251–276. https://doi.org/10.2307/1913236</w:t>
      </w:r>
    </w:p>
    <w:p w14:paraId="4D3E0740"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Febianto, I. (2012). Adapting Risk Management for Profit and Loss Sharing Financing of Islamic Banks. </w:t>
      </w:r>
      <w:r w:rsidRPr="001E6073">
        <w:rPr>
          <w:rFonts w:ascii="Cambria" w:hAnsi="Cambria"/>
          <w:i/>
          <w:iCs/>
        </w:rPr>
        <w:t>Modern Economy</w:t>
      </w:r>
      <w:r w:rsidRPr="001E6073">
        <w:rPr>
          <w:rFonts w:ascii="Cambria" w:hAnsi="Cambria"/>
        </w:rPr>
        <w:t xml:space="preserve">, </w:t>
      </w:r>
      <w:r w:rsidRPr="001E6073">
        <w:rPr>
          <w:rFonts w:ascii="Cambria" w:hAnsi="Cambria"/>
          <w:i/>
          <w:iCs/>
        </w:rPr>
        <w:t>03</w:t>
      </w:r>
      <w:r w:rsidRPr="001E6073">
        <w:rPr>
          <w:rFonts w:ascii="Cambria" w:hAnsi="Cambria"/>
        </w:rPr>
        <w:t>(01), 73–80. https://doi.org/10.4236/me.2012.31011</w:t>
      </w:r>
    </w:p>
    <w:p w14:paraId="5FA90215"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Giannini, N. G. (2013). Faktor Yang Mempengaruhi Pembiayaan Mudharabah Pada Bank Umum Syariah Di Indonesia. </w:t>
      </w:r>
      <w:r w:rsidRPr="001E6073">
        <w:rPr>
          <w:rFonts w:ascii="Cambria" w:hAnsi="Cambria"/>
          <w:i/>
          <w:iCs/>
        </w:rPr>
        <w:t>Accounting Analysis Journal</w:t>
      </w:r>
      <w:r w:rsidRPr="001E6073">
        <w:rPr>
          <w:rFonts w:ascii="Cambria" w:hAnsi="Cambria"/>
        </w:rPr>
        <w:t xml:space="preserve">, </w:t>
      </w:r>
      <w:r w:rsidRPr="001E6073">
        <w:rPr>
          <w:rFonts w:ascii="Cambria" w:hAnsi="Cambria"/>
          <w:i/>
          <w:iCs/>
        </w:rPr>
        <w:t>2</w:t>
      </w:r>
      <w:r w:rsidRPr="001E6073">
        <w:rPr>
          <w:rFonts w:ascii="Cambria" w:hAnsi="Cambria"/>
        </w:rPr>
        <w:t>(1), 97–103. https://doi.org/10.15294/aaj.v2i1.1178</w:t>
      </w:r>
    </w:p>
    <w:p w14:paraId="71C1C5AE"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Gujarati, D., Porter, D., &amp; Gunasekar, S. (2017). </w:t>
      </w:r>
      <w:r w:rsidRPr="001E6073">
        <w:rPr>
          <w:rFonts w:ascii="Cambria" w:hAnsi="Cambria"/>
          <w:i/>
          <w:iCs/>
        </w:rPr>
        <w:t>Basic Econometrics</w:t>
      </w:r>
      <w:r w:rsidRPr="001E6073">
        <w:rPr>
          <w:rFonts w:ascii="Cambria" w:hAnsi="Cambria"/>
        </w:rPr>
        <w:t xml:space="preserve"> (5th edition). Mcgraw.</w:t>
      </w:r>
    </w:p>
    <w:p w14:paraId="31C98D30"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Hadiyati, P. (2013). Pengaruh Non Performing Financing Pembiayaan Mudharabah Dan Musyarakah Pada Bank Muamalat Indonesia. </w:t>
      </w:r>
      <w:r w:rsidRPr="001E6073">
        <w:rPr>
          <w:rFonts w:ascii="Cambria" w:hAnsi="Cambria"/>
          <w:i/>
          <w:iCs/>
        </w:rPr>
        <w:t>e-Jurnal Manajemen dan Bisnis</w:t>
      </w:r>
      <w:r w:rsidRPr="001E6073">
        <w:rPr>
          <w:rFonts w:ascii="Cambria" w:hAnsi="Cambria"/>
        </w:rPr>
        <w:t xml:space="preserve">, </w:t>
      </w:r>
      <w:r w:rsidRPr="001E6073">
        <w:rPr>
          <w:rFonts w:ascii="Cambria" w:hAnsi="Cambria"/>
          <w:i/>
          <w:iCs/>
        </w:rPr>
        <w:t>1</w:t>
      </w:r>
      <w:r w:rsidRPr="001E6073">
        <w:rPr>
          <w:rFonts w:ascii="Cambria" w:hAnsi="Cambria"/>
        </w:rPr>
        <w:t>(1), 1–14.</w:t>
      </w:r>
    </w:p>
    <w:p w14:paraId="1C3A3059"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Hafizh, M., Hidayah, N., &amp; Silalahi, P. R. (2020). Macroeconomics And Profit Sharing Financing In Islamic Banking In Indonesia: The Third Parties Fund As Intervening. </w:t>
      </w:r>
      <w:r w:rsidRPr="001E6073">
        <w:rPr>
          <w:rFonts w:ascii="Cambria" w:hAnsi="Cambria"/>
          <w:i/>
          <w:iCs/>
        </w:rPr>
        <w:t>Jurnal Akuntansi Dan Keuangan Islam</w:t>
      </w:r>
      <w:r w:rsidRPr="001E6073">
        <w:rPr>
          <w:rFonts w:ascii="Cambria" w:hAnsi="Cambria"/>
        </w:rPr>
        <w:t xml:space="preserve">, </w:t>
      </w:r>
      <w:r w:rsidRPr="001E6073">
        <w:rPr>
          <w:rFonts w:ascii="Cambria" w:hAnsi="Cambria"/>
          <w:i/>
          <w:iCs/>
        </w:rPr>
        <w:t>8</w:t>
      </w:r>
      <w:r w:rsidRPr="001E6073">
        <w:rPr>
          <w:rFonts w:ascii="Cambria" w:hAnsi="Cambria"/>
        </w:rPr>
        <w:t>(2, Oktober), 131–147. https://doi.org/10.35836/jakis.v8i2.183</w:t>
      </w:r>
    </w:p>
    <w:p w14:paraId="7F5D8BDD"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Hair, J. F., Babin, B. J., Anderson, R. E., &amp; Black, W. C. (2018). </w:t>
      </w:r>
      <w:r w:rsidRPr="001E6073">
        <w:rPr>
          <w:rFonts w:ascii="Cambria" w:hAnsi="Cambria"/>
          <w:i/>
          <w:iCs/>
        </w:rPr>
        <w:t>Multivariate Data Analysis</w:t>
      </w:r>
      <w:r w:rsidRPr="001E6073">
        <w:rPr>
          <w:rFonts w:ascii="Cambria" w:hAnsi="Cambria"/>
        </w:rPr>
        <w:t xml:space="preserve"> (8th edition). CENGAGE INDIA.</w:t>
      </w:r>
    </w:p>
    <w:p w14:paraId="42CB8CB4"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Ispad, A. N. B. (2019). Pengaruh Capital Adequacy Ratio (CAR), Non Performing Financing (NPF), dan Dana Pihak Ketiga (DPK), terhadap Penyaluran Pembiayaan Mudharabah pada Bank Umum Syariah di Indonesia Periode 2015-2017. </w:t>
      </w:r>
      <w:r w:rsidRPr="001E6073">
        <w:rPr>
          <w:rFonts w:ascii="Cambria" w:hAnsi="Cambria"/>
          <w:i/>
          <w:iCs/>
        </w:rPr>
        <w:t>Prosiding Ilmu Ekonomi</w:t>
      </w:r>
      <w:r w:rsidRPr="001E6073">
        <w:rPr>
          <w:rFonts w:ascii="Cambria" w:hAnsi="Cambria"/>
        </w:rPr>
        <w:t xml:space="preserve">, </w:t>
      </w:r>
      <w:r w:rsidRPr="001E6073">
        <w:rPr>
          <w:rFonts w:ascii="Cambria" w:hAnsi="Cambria"/>
          <w:i/>
          <w:iCs/>
        </w:rPr>
        <w:t>5</w:t>
      </w:r>
      <w:r w:rsidRPr="001E6073">
        <w:rPr>
          <w:rFonts w:ascii="Cambria" w:hAnsi="Cambria"/>
        </w:rPr>
        <w:t>, 83–90. http://karyailmiah.unisba.ac.id/index.php/ekonomi/article/view/15193</w:t>
      </w:r>
    </w:p>
    <w:p w14:paraId="15E1B321"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Jamilah. (2016). Faktor-faktor yang Mempengaruhi Pembiayaan Mudharabah pada Bank Umum Syariah di Indonesia. </w:t>
      </w:r>
      <w:r w:rsidRPr="001E6073">
        <w:rPr>
          <w:rFonts w:ascii="Cambria" w:hAnsi="Cambria"/>
          <w:i/>
          <w:iCs/>
        </w:rPr>
        <w:t>Jurnal Ilmu Dan Riset Akuntansi</w:t>
      </w:r>
      <w:r w:rsidRPr="001E6073">
        <w:rPr>
          <w:rFonts w:ascii="Cambria" w:hAnsi="Cambria"/>
        </w:rPr>
        <w:t xml:space="preserve">, </w:t>
      </w:r>
      <w:r w:rsidRPr="001E6073">
        <w:rPr>
          <w:rFonts w:ascii="Cambria" w:hAnsi="Cambria"/>
          <w:i/>
          <w:iCs/>
        </w:rPr>
        <w:t>5</w:t>
      </w:r>
      <w:r w:rsidRPr="001E6073">
        <w:rPr>
          <w:rFonts w:ascii="Cambria" w:hAnsi="Cambria"/>
        </w:rPr>
        <w:t>(4), 1–20.</w:t>
      </w:r>
    </w:p>
    <w:p w14:paraId="0EA1B562"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Kalkarina, S., Rahayu, S., &amp; Nurbaiti, A. (2016). Faktor-faktor Yang Mempengaruhi Pembiayaan Berbasis Bagi Hasil Pada Bank Syariah Di Indonesia (studi Kasus Pada Bank Umum Syariah Yang Terdaftar Di Bei). </w:t>
      </w:r>
      <w:r w:rsidRPr="001E6073">
        <w:rPr>
          <w:rFonts w:ascii="Cambria" w:hAnsi="Cambria"/>
          <w:i/>
          <w:iCs/>
        </w:rPr>
        <w:t>eProceedings of Management</w:t>
      </w:r>
      <w:r w:rsidRPr="001E6073">
        <w:rPr>
          <w:rFonts w:ascii="Cambria" w:hAnsi="Cambria"/>
        </w:rPr>
        <w:t xml:space="preserve">, </w:t>
      </w:r>
      <w:r w:rsidRPr="001E6073">
        <w:rPr>
          <w:rFonts w:ascii="Cambria" w:hAnsi="Cambria"/>
          <w:i/>
          <w:iCs/>
        </w:rPr>
        <w:t>3</w:t>
      </w:r>
      <w:r w:rsidRPr="001E6073">
        <w:rPr>
          <w:rFonts w:ascii="Cambria" w:hAnsi="Cambria"/>
        </w:rPr>
        <w:t>(3), 3389–3395.</w:t>
      </w:r>
    </w:p>
    <w:p w14:paraId="6CB83383"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Karim, A. A. (2016). </w:t>
      </w:r>
      <w:r w:rsidRPr="001E6073">
        <w:rPr>
          <w:rFonts w:ascii="Cambria" w:hAnsi="Cambria"/>
          <w:i/>
          <w:iCs/>
        </w:rPr>
        <w:t>Bank Islam: Analisis Fiqih dan Keuangan</w:t>
      </w:r>
      <w:r w:rsidRPr="001E6073">
        <w:rPr>
          <w:rFonts w:ascii="Cambria" w:hAnsi="Cambria"/>
        </w:rPr>
        <w:t xml:space="preserve"> (kelima). PT RajaGrafindo Persada.</w:t>
      </w:r>
    </w:p>
    <w:p w14:paraId="719D0A4B"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Kasmir. (2016). </w:t>
      </w:r>
      <w:r w:rsidRPr="001E6073">
        <w:rPr>
          <w:rFonts w:ascii="Cambria" w:hAnsi="Cambria"/>
          <w:i/>
          <w:iCs/>
        </w:rPr>
        <w:t>Dasar-Dasar Perbankan</w:t>
      </w:r>
      <w:r w:rsidRPr="001E6073">
        <w:rPr>
          <w:rFonts w:ascii="Cambria" w:hAnsi="Cambria"/>
        </w:rPr>
        <w:t xml:space="preserve"> (Revisi 2014). Rajawali Pers.</w:t>
      </w:r>
    </w:p>
    <w:p w14:paraId="30A0DA0E"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lastRenderedPageBreak/>
        <w:t xml:space="preserve">Kiswanto, W. A. W. (2013). Faktor-Faktor yang Mempengaruhi Pembiayaan Berbasis Bagi Hasil (Profit And Loss Sharing). </w:t>
      </w:r>
      <w:r w:rsidRPr="001E6073">
        <w:rPr>
          <w:rFonts w:ascii="Cambria" w:hAnsi="Cambria"/>
          <w:i/>
          <w:iCs/>
        </w:rPr>
        <w:t>Jurnal Reviu Akuntansi Dan Keuangan</w:t>
      </w:r>
      <w:r w:rsidRPr="001E6073">
        <w:rPr>
          <w:rFonts w:ascii="Cambria" w:hAnsi="Cambria"/>
        </w:rPr>
        <w:t xml:space="preserve">, </w:t>
      </w:r>
      <w:r w:rsidRPr="001E6073">
        <w:rPr>
          <w:rFonts w:ascii="Cambria" w:hAnsi="Cambria"/>
          <w:i/>
          <w:iCs/>
        </w:rPr>
        <w:t>3</w:t>
      </w:r>
      <w:r w:rsidRPr="001E6073">
        <w:rPr>
          <w:rFonts w:ascii="Cambria" w:hAnsi="Cambria"/>
        </w:rPr>
        <w:t>(2), 437–446.</w:t>
      </w:r>
    </w:p>
    <w:p w14:paraId="25DA19D6"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Kurniawanti, A., &amp; Zulfikar. (2014). Analisis Faktor-Faktor yang Mempengaruhi Volume Pembiayaan Berbasis Bagi Hasil Pada Bank Umum Syariah di Indonesia. </w:t>
      </w:r>
      <w:r w:rsidRPr="001E6073">
        <w:rPr>
          <w:rFonts w:ascii="Cambria" w:hAnsi="Cambria"/>
          <w:i/>
          <w:iCs/>
        </w:rPr>
        <w:t>Proceeding Call for Syariah Paper</w:t>
      </w:r>
      <w:r w:rsidRPr="001E6073">
        <w:rPr>
          <w:rFonts w:ascii="Cambria" w:hAnsi="Cambria"/>
        </w:rPr>
        <w:t>, 145–164. http://publikasiilmiah.ums.ac.id/handle/11617/4718</w:t>
      </w:r>
    </w:p>
    <w:p w14:paraId="3B1DFCE9"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Mohd Nor, A., &amp; Ismail, S. (2020). Profit and Loss Sharing (PLS) and Non-PLS Financing in Malaysia: Which One Should Be the One? </w:t>
      </w:r>
      <w:r w:rsidRPr="001E6073">
        <w:rPr>
          <w:rFonts w:ascii="Cambria" w:hAnsi="Cambria"/>
          <w:i/>
          <w:iCs/>
        </w:rPr>
        <w:t>KnE Social Sciences</w:t>
      </w:r>
      <w:r w:rsidRPr="001E6073">
        <w:rPr>
          <w:rFonts w:ascii="Cambria" w:hAnsi="Cambria"/>
        </w:rPr>
        <w:t>, 14–25. https://doi.org/10.18502/kss.v4i6.6585</w:t>
      </w:r>
    </w:p>
    <w:p w14:paraId="087C4C24"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Mubarok, F., Hamid, A., &amp; Arif, M. N. R. A. (2020). Macroeconomics fluctuations and its impact on musharaka financing. </w:t>
      </w:r>
      <w:r w:rsidRPr="001E6073">
        <w:rPr>
          <w:rFonts w:ascii="Cambria" w:hAnsi="Cambria"/>
          <w:i/>
          <w:iCs/>
        </w:rPr>
        <w:t>Jurnal Keuangan Dan Perbankan</w:t>
      </w:r>
      <w:r w:rsidRPr="001E6073">
        <w:rPr>
          <w:rFonts w:ascii="Cambria" w:hAnsi="Cambria"/>
        </w:rPr>
        <w:t xml:space="preserve">, </w:t>
      </w:r>
      <w:r w:rsidRPr="001E6073">
        <w:rPr>
          <w:rFonts w:ascii="Cambria" w:hAnsi="Cambria"/>
          <w:i/>
          <w:iCs/>
        </w:rPr>
        <w:t>24</w:t>
      </w:r>
      <w:r w:rsidRPr="001E6073">
        <w:rPr>
          <w:rFonts w:ascii="Cambria" w:hAnsi="Cambria"/>
        </w:rPr>
        <w:t>(2), 164–174. https://doi.org/10.26905/jkdp.v24i2.4061</w:t>
      </w:r>
    </w:p>
    <w:p w14:paraId="2381BE39"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Murni, Y., Astuti, T., &amp; Nisa, C. (2018). Determinants of Profit Sharing Financing and Zakat Distribution Based on CAMEL Analysis. </w:t>
      </w:r>
      <w:r w:rsidRPr="001E6073">
        <w:rPr>
          <w:rFonts w:ascii="Cambria" w:hAnsi="Cambria"/>
          <w:i/>
          <w:iCs/>
        </w:rPr>
        <w:t>Jurnal Keuangan Dan Perbankan</w:t>
      </w:r>
      <w:r w:rsidRPr="001E6073">
        <w:rPr>
          <w:rFonts w:ascii="Cambria" w:hAnsi="Cambria"/>
        </w:rPr>
        <w:t xml:space="preserve">, </w:t>
      </w:r>
      <w:r w:rsidRPr="001E6073">
        <w:rPr>
          <w:rFonts w:ascii="Cambria" w:hAnsi="Cambria"/>
          <w:i/>
          <w:iCs/>
        </w:rPr>
        <w:t>22</w:t>
      </w:r>
      <w:r w:rsidRPr="001E6073">
        <w:rPr>
          <w:rFonts w:ascii="Cambria" w:hAnsi="Cambria"/>
        </w:rPr>
        <w:t>(4). https://doi.org/10.26905/jkdp.v22i4.1994</w:t>
      </w:r>
    </w:p>
    <w:p w14:paraId="436B4C93"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Nastiti, N. D., &amp; Kasri, R. A. (2019). The role of banking regulation in the development of Islamic banking financing in Indonesia. </w:t>
      </w:r>
      <w:r w:rsidRPr="001E6073">
        <w:rPr>
          <w:rFonts w:ascii="Cambria" w:hAnsi="Cambria"/>
          <w:i/>
          <w:iCs/>
        </w:rPr>
        <w:t>International Journal of Islamic and Middle Eastern Finance and Management</w:t>
      </w:r>
      <w:r w:rsidRPr="001E6073">
        <w:rPr>
          <w:rFonts w:ascii="Cambria" w:hAnsi="Cambria"/>
        </w:rPr>
        <w:t xml:space="preserve">, </w:t>
      </w:r>
      <w:r w:rsidRPr="001E6073">
        <w:rPr>
          <w:rFonts w:ascii="Cambria" w:hAnsi="Cambria"/>
          <w:i/>
          <w:iCs/>
        </w:rPr>
        <w:t>12</w:t>
      </w:r>
      <w:r w:rsidRPr="001E6073">
        <w:rPr>
          <w:rFonts w:ascii="Cambria" w:hAnsi="Cambria"/>
        </w:rPr>
        <w:t>(5), 643–662. https://doi.org/10.1108/IMEFM-10-2018-0365</w:t>
      </w:r>
    </w:p>
    <w:p w14:paraId="06658244"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Pramono, N. H. (2013). Optimalisasi Pembiayaan Berbasis Bagi Hasil Pada Bank Syariah Di Indonesia. </w:t>
      </w:r>
      <w:r w:rsidRPr="001E6073">
        <w:rPr>
          <w:rFonts w:ascii="Cambria" w:hAnsi="Cambria"/>
          <w:i/>
          <w:iCs/>
        </w:rPr>
        <w:t>Accounting Analysis Journal</w:t>
      </w:r>
      <w:r w:rsidRPr="001E6073">
        <w:rPr>
          <w:rFonts w:ascii="Cambria" w:hAnsi="Cambria"/>
        </w:rPr>
        <w:t xml:space="preserve">, </w:t>
      </w:r>
      <w:r w:rsidRPr="001E6073">
        <w:rPr>
          <w:rFonts w:ascii="Cambria" w:hAnsi="Cambria"/>
          <w:i/>
          <w:iCs/>
        </w:rPr>
        <w:t>2</w:t>
      </w:r>
      <w:r w:rsidRPr="001E6073">
        <w:rPr>
          <w:rFonts w:ascii="Cambria" w:hAnsi="Cambria"/>
        </w:rPr>
        <w:t>(2), 154–162. https://doi.org/10.15294/aaj.v2i2.1437</w:t>
      </w:r>
    </w:p>
    <w:p w14:paraId="7F431C87"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Priyanto, T., Fahmi, I., &amp; Ismal, R. (2016). Faktor-Faktor Yang Mempengaruhi Pembiayaan Berbasis Bagi Hasil (Equity Financing) Pada Bank Syariah X. </w:t>
      </w:r>
      <w:r w:rsidRPr="001E6073">
        <w:rPr>
          <w:rFonts w:ascii="Cambria" w:hAnsi="Cambria"/>
          <w:i/>
          <w:iCs/>
        </w:rPr>
        <w:t>Jurnal Aplikasi Bisnis Dan Manajemen (JABM)</w:t>
      </w:r>
      <w:r w:rsidRPr="001E6073">
        <w:rPr>
          <w:rFonts w:ascii="Cambria" w:hAnsi="Cambria"/>
        </w:rPr>
        <w:t xml:space="preserve">, </w:t>
      </w:r>
      <w:r w:rsidRPr="001E6073">
        <w:rPr>
          <w:rFonts w:ascii="Cambria" w:hAnsi="Cambria"/>
          <w:i/>
          <w:iCs/>
        </w:rPr>
        <w:t>2</w:t>
      </w:r>
      <w:r w:rsidRPr="001E6073">
        <w:rPr>
          <w:rFonts w:ascii="Cambria" w:hAnsi="Cambria"/>
        </w:rPr>
        <w:t>(3), 281–290. https://doi.org/10.17358/jabm.2.3.281</w:t>
      </w:r>
    </w:p>
    <w:p w14:paraId="4CAA5F3A"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Rahmawati, F. N. (2017). </w:t>
      </w:r>
      <w:r w:rsidRPr="001E6073">
        <w:rPr>
          <w:rFonts w:ascii="Cambria" w:hAnsi="Cambria"/>
          <w:i/>
          <w:iCs/>
        </w:rPr>
        <w:t>Analisis Pengaruh Tingkat Suku Bunga, Tingkat Bagi Hasil, Dan Financing To Deposit Ratio (FDR) Terhadap Pembiayaan Mudharabah Studi Pada Bank Umum Syariah Di Indonesia Periode 2014-2016</w:t>
      </w:r>
      <w:r w:rsidRPr="001E6073">
        <w:rPr>
          <w:rFonts w:ascii="Cambria" w:hAnsi="Cambria"/>
        </w:rPr>
        <w:t xml:space="preserve"> [Thesis]. Institut Agama Islam Negeri Surakarta.</w:t>
      </w:r>
    </w:p>
    <w:p w14:paraId="3F141B66"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Riyadi, S. (2017). </w:t>
      </w:r>
      <w:r w:rsidRPr="001E6073">
        <w:rPr>
          <w:rFonts w:ascii="Cambria" w:hAnsi="Cambria"/>
          <w:i/>
          <w:iCs/>
        </w:rPr>
        <w:t>Manajemen Perbankan Indonesia</w:t>
      </w:r>
      <w:r w:rsidRPr="001E6073">
        <w:rPr>
          <w:rFonts w:ascii="Cambria" w:hAnsi="Cambria"/>
        </w:rPr>
        <w:t>. Raja Grafindo.</w:t>
      </w:r>
    </w:p>
    <w:p w14:paraId="016BDE0B"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Riyanto, H. (2016). Optimalisasi Pembiayaan Berbasis Bagi Hasil Pada Bank Devisa Syariah Di Indonesia. </w:t>
      </w:r>
      <w:r w:rsidRPr="001E6073">
        <w:rPr>
          <w:rFonts w:ascii="Cambria" w:hAnsi="Cambria"/>
          <w:i/>
          <w:iCs/>
        </w:rPr>
        <w:t>Jurnal Ekonomi &amp; Bisnis</w:t>
      </w:r>
      <w:r w:rsidRPr="001E6073">
        <w:rPr>
          <w:rFonts w:ascii="Cambria" w:hAnsi="Cambria"/>
        </w:rPr>
        <w:t xml:space="preserve">, </w:t>
      </w:r>
      <w:r w:rsidRPr="001E6073">
        <w:rPr>
          <w:rFonts w:ascii="Cambria" w:hAnsi="Cambria"/>
          <w:i/>
          <w:iCs/>
        </w:rPr>
        <w:t>17</w:t>
      </w:r>
      <w:r w:rsidRPr="001E6073">
        <w:rPr>
          <w:rFonts w:ascii="Cambria" w:hAnsi="Cambria"/>
        </w:rPr>
        <w:t>(1), 54–65. https://doi.org/10.30659/ekobis.17.1.54-65</w:t>
      </w:r>
    </w:p>
    <w:p w14:paraId="2231F223"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Susana, E., &amp; Prasetyanti, A. (2011). Pelaksanaan Dan Sistem Bagi Hasil Pembiayaan Al-Mudharabah Pada Bank Syariah. </w:t>
      </w:r>
      <w:r w:rsidRPr="001E6073">
        <w:rPr>
          <w:rFonts w:ascii="Cambria" w:hAnsi="Cambria"/>
          <w:i/>
          <w:iCs/>
        </w:rPr>
        <w:t>Jurnal Keuangan dan Perbankan</w:t>
      </w:r>
      <w:r w:rsidRPr="001E6073">
        <w:rPr>
          <w:rFonts w:ascii="Cambria" w:hAnsi="Cambria"/>
        </w:rPr>
        <w:t xml:space="preserve">, </w:t>
      </w:r>
      <w:r w:rsidRPr="001E6073">
        <w:rPr>
          <w:rFonts w:ascii="Cambria" w:hAnsi="Cambria"/>
          <w:i/>
          <w:iCs/>
        </w:rPr>
        <w:t>15</w:t>
      </w:r>
      <w:r w:rsidRPr="001E6073">
        <w:rPr>
          <w:rFonts w:ascii="Cambria" w:hAnsi="Cambria"/>
        </w:rPr>
        <w:t>(3), 466–478.</w:t>
      </w:r>
    </w:p>
    <w:p w14:paraId="7122EDA6"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Syarief, M. E., Setiawan, S., &amp; Khairina, N. N. (2020). Peran Perbankan Syariah dalam Penyerapan Tenaga Kerja pada Sektor Riil. </w:t>
      </w:r>
      <w:r w:rsidRPr="001E6073">
        <w:rPr>
          <w:rFonts w:ascii="Cambria" w:hAnsi="Cambria"/>
          <w:i/>
          <w:iCs/>
        </w:rPr>
        <w:t>Human Falah: Jurnal Ekonomi dan Bisnis Islam</w:t>
      </w:r>
      <w:r w:rsidRPr="001E6073">
        <w:rPr>
          <w:rFonts w:ascii="Cambria" w:hAnsi="Cambria"/>
        </w:rPr>
        <w:t xml:space="preserve">, </w:t>
      </w:r>
      <w:r w:rsidRPr="001E6073">
        <w:rPr>
          <w:rFonts w:ascii="Cambria" w:hAnsi="Cambria"/>
          <w:i/>
          <w:iCs/>
        </w:rPr>
        <w:t>7</w:t>
      </w:r>
      <w:r w:rsidRPr="001E6073">
        <w:rPr>
          <w:rFonts w:ascii="Cambria" w:hAnsi="Cambria"/>
        </w:rPr>
        <w:t>(1), 117–137.</w:t>
      </w:r>
    </w:p>
    <w:p w14:paraId="6403E2D7" w14:textId="77777777" w:rsidR="001E6073" w:rsidRPr="001E6073" w:rsidRDefault="001E6073" w:rsidP="001E6073">
      <w:pPr>
        <w:pStyle w:val="Bibliography"/>
        <w:spacing w:line="240" w:lineRule="auto"/>
        <w:jc w:val="both"/>
        <w:rPr>
          <w:rFonts w:ascii="Cambria" w:hAnsi="Cambria"/>
        </w:rPr>
      </w:pPr>
      <w:r w:rsidRPr="001E6073">
        <w:rPr>
          <w:rFonts w:ascii="Cambria" w:hAnsi="Cambria"/>
        </w:rPr>
        <w:t xml:space="preserve">Widarjono, A. (2017). </w:t>
      </w:r>
      <w:r w:rsidRPr="001E6073">
        <w:rPr>
          <w:rFonts w:ascii="Cambria" w:hAnsi="Cambria"/>
          <w:i/>
          <w:iCs/>
        </w:rPr>
        <w:t>Ekonometrika: Pengantar dan Aplikasinya disertai Panduan EViews</w:t>
      </w:r>
      <w:r w:rsidRPr="001E6073">
        <w:rPr>
          <w:rFonts w:ascii="Cambria" w:hAnsi="Cambria"/>
        </w:rPr>
        <w:t xml:space="preserve"> (5th ed.). UPP STIM YKPN.</w:t>
      </w:r>
    </w:p>
    <w:p w14:paraId="5C71F189" w14:textId="2FF69DD3" w:rsidR="001029A9" w:rsidRPr="001029A9" w:rsidRDefault="001E6073" w:rsidP="001E6073">
      <w:pPr>
        <w:pStyle w:val="Bibliography"/>
        <w:spacing w:line="240" w:lineRule="auto"/>
        <w:jc w:val="both"/>
        <w:rPr>
          <w:rFonts w:ascii="Cambria" w:hAnsi="Cambria"/>
        </w:rPr>
      </w:pPr>
      <w:r>
        <w:rPr>
          <w:rFonts w:ascii="Cambria" w:hAnsi="Cambria"/>
        </w:rPr>
        <w:fldChar w:fldCharType="end"/>
      </w:r>
    </w:p>
    <w:p w14:paraId="01BBA4A3" w14:textId="383C5976" w:rsidR="001029A9" w:rsidRPr="001029A9" w:rsidRDefault="001029A9" w:rsidP="001029A9">
      <w:pPr>
        <w:pStyle w:val="Bibliography"/>
        <w:rPr>
          <w:rFonts w:ascii="Cambria" w:hAnsi="Cambria"/>
        </w:rPr>
      </w:pPr>
    </w:p>
    <w:p w14:paraId="2786C245" w14:textId="353B6141" w:rsidR="007E2F77" w:rsidRPr="00005EA2" w:rsidRDefault="007E2F77" w:rsidP="00FB0B5B">
      <w:pPr>
        <w:pStyle w:val="Bibliography"/>
        <w:spacing w:line="240" w:lineRule="auto"/>
        <w:ind w:left="0" w:firstLine="0"/>
        <w:jc w:val="both"/>
        <w:rPr>
          <w:rFonts w:ascii="Cambria" w:hAnsi="Cambria" w:cs="Times New Roman"/>
        </w:rPr>
      </w:pPr>
    </w:p>
    <w:sectPr w:rsidR="007E2F77" w:rsidRPr="00005EA2" w:rsidSect="00D57A8D">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029F4" w14:textId="77777777" w:rsidR="002133C2" w:rsidRDefault="002133C2" w:rsidP="004B02FA">
      <w:pPr>
        <w:spacing w:after="0" w:line="240" w:lineRule="auto"/>
      </w:pPr>
      <w:r>
        <w:separator/>
      </w:r>
    </w:p>
  </w:endnote>
  <w:endnote w:type="continuationSeparator" w:id="0">
    <w:p w14:paraId="06E237C2" w14:textId="77777777" w:rsidR="002133C2" w:rsidRDefault="002133C2" w:rsidP="004B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3813A" w14:textId="77777777" w:rsidR="002133C2" w:rsidRDefault="002133C2" w:rsidP="004B02FA">
      <w:pPr>
        <w:spacing w:after="0" w:line="240" w:lineRule="auto"/>
      </w:pPr>
      <w:r>
        <w:separator/>
      </w:r>
    </w:p>
  </w:footnote>
  <w:footnote w:type="continuationSeparator" w:id="0">
    <w:p w14:paraId="252DFDE1" w14:textId="77777777" w:rsidR="002133C2" w:rsidRDefault="002133C2" w:rsidP="004B0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F7FEE"/>
    <w:multiLevelType w:val="hybridMultilevel"/>
    <w:tmpl w:val="2AB017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0D275E"/>
    <w:multiLevelType w:val="hybridMultilevel"/>
    <w:tmpl w:val="E6945994"/>
    <w:lvl w:ilvl="0" w:tplc="C406D1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A8"/>
    <w:rsid w:val="00003308"/>
    <w:rsid w:val="0000378C"/>
    <w:rsid w:val="00005EA2"/>
    <w:rsid w:val="00006F6B"/>
    <w:rsid w:val="00075EFF"/>
    <w:rsid w:val="00080354"/>
    <w:rsid w:val="00091229"/>
    <w:rsid w:val="00097462"/>
    <w:rsid w:val="00097E2C"/>
    <w:rsid w:val="000A73D2"/>
    <w:rsid w:val="000C2436"/>
    <w:rsid w:val="000C738B"/>
    <w:rsid w:val="000E416B"/>
    <w:rsid w:val="000F06F2"/>
    <w:rsid w:val="000F280B"/>
    <w:rsid w:val="000F396A"/>
    <w:rsid w:val="001029A9"/>
    <w:rsid w:val="00120274"/>
    <w:rsid w:val="00120E40"/>
    <w:rsid w:val="001263DC"/>
    <w:rsid w:val="00132D9C"/>
    <w:rsid w:val="00145BC8"/>
    <w:rsid w:val="00147A5A"/>
    <w:rsid w:val="001562F6"/>
    <w:rsid w:val="00165C81"/>
    <w:rsid w:val="00167BE7"/>
    <w:rsid w:val="00182B9E"/>
    <w:rsid w:val="00192D10"/>
    <w:rsid w:val="0019484D"/>
    <w:rsid w:val="001A3BF9"/>
    <w:rsid w:val="001A50DD"/>
    <w:rsid w:val="001B4CA4"/>
    <w:rsid w:val="001B6003"/>
    <w:rsid w:val="001D530D"/>
    <w:rsid w:val="001E0A5D"/>
    <w:rsid w:val="001E0C21"/>
    <w:rsid w:val="001E6073"/>
    <w:rsid w:val="001F710C"/>
    <w:rsid w:val="00200CA7"/>
    <w:rsid w:val="00203D3B"/>
    <w:rsid w:val="00207025"/>
    <w:rsid w:val="002133C2"/>
    <w:rsid w:val="002144ED"/>
    <w:rsid w:val="002156EE"/>
    <w:rsid w:val="00226345"/>
    <w:rsid w:val="00226B8D"/>
    <w:rsid w:val="0023201F"/>
    <w:rsid w:val="0023393B"/>
    <w:rsid w:val="00237923"/>
    <w:rsid w:val="00237D26"/>
    <w:rsid w:val="00254912"/>
    <w:rsid w:val="00256ED8"/>
    <w:rsid w:val="00264869"/>
    <w:rsid w:val="002651E8"/>
    <w:rsid w:val="00286057"/>
    <w:rsid w:val="00296FBE"/>
    <w:rsid w:val="002A6835"/>
    <w:rsid w:val="002B13E7"/>
    <w:rsid w:val="002B79C8"/>
    <w:rsid w:val="002D28D3"/>
    <w:rsid w:val="002F068F"/>
    <w:rsid w:val="002F5589"/>
    <w:rsid w:val="002F703F"/>
    <w:rsid w:val="0030164D"/>
    <w:rsid w:val="0030605C"/>
    <w:rsid w:val="0032152B"/>
    <w:rsid w:val="0032570F"/>
    <w:rsid w:val="00337597"/>
    <w:rsid w:val="00347207"/>
    <w:rsid w:val="00355F93"/>
    <w:rsid w:val="00356B76"/>
    <w:rsid w:val="00363245"/>
    <w:rsid w:val="00367E49"/>
    <w:rsid w:val="0037009F"/>
    <w:rsid w:val="00375431"/>
    <w:rsid w:val="0039020B"/>
    <w:rsid w:val="00390F0B"/>
    <w:rsid w:val="003A4D32"/>
    <w:rsid w:val="003A53E4"/>
    <w:rsid w:val="003A5671"/>
    <w:rsid w:val="003B0C6A"/>
    <w:rsid w:val="003C13FE"/>
    <w:rsid w:val="003C28E0"/>
    <w:rsid w:val="003D27F6"/>
    <w:rsid w:val="003D5D91"/>
    <w:rsid w:val="00403E73"/>
    <w:rsid w:val="00404CD4"/>
    <w:rsid w:val="00405B8D"/>
    <w:rsid w:val="00430715"/>
    <w:rsid w:val="00431BED"/>
    <w:rsid w:val="004322EF"/>
    <w:rsid w:val="00440992"/>
    <w:rsid w:val="00450874"/>
    <w:rsid w:val="00457803"/>
    <w:rsid w:val="00470B89"/>
    <w:rsid w:val="00475FB2"/>
    <w:rsid w:val="00484666"/>
    <w:rsid w:val="00486701"/>
    <w:rsid w:val="004915F8"/>
    <w:rsid w:val="00492795"/>
    <w:rsid w:val="00497B66"/>
    <w:rsid w:val="004A01F2"/>
    <w:rsid w:val="004A0600"/>
    <w:rsid w:val="004A1E90"/>
    <w:rsid w:val="004A2DD5"/>
    <w:rsid w:val="004A2E4D"/>
    <w:rsid w:val="004A3213"/>
    <w:rsid w:val="004A7B3F"/>
    <w:rsid w:val="004B02FA"/>
    <w:rsid w:val="004B0AB4"/>
    <w:rsid w:val="004B234F"/>
    <w:rsid w:val="004B29A9"/>
    <w:rsid w:val="004B3306"/>
    <w:rsid w:val="004B72DF"/>
    <w:rsid w:val="004C0561"/>
    <w:rsid w:val="004C1E3E"/>
    <w:rsid w:val="004D2CB0"/>
    <w:rsid w:val="004D71F5"/>
    <w:rsid w:val="004F4A4F"/>
    <w:rsid w:val="0050048F"/>
    <w:rsid w:val="005040A0"/>
    <w:rsid w:val="00506523"/>
    <w:rsid w:val="00507FE3"/>
    <w:rsid w:val="005138B3"/>
    <w:rsid w:val="005277C4"/>
    <w:rsid w:val="005301A8"/>
    <w:rsid w:val="00543BBE"/>
    <w:rsid w:val="0054498C"/>
    <w:rsid w:val="00545EE3"/>
    <w:rsid w:val="00547BE0"/>
    <w:rsid w:val="00560B3E"/>
    <w:rsid w:val="00566062"/>
    <w:rsid w:val="00567D7A"/>
    <w:rsid w:val="00576C66"/>
    <w:rsid w:val="00576DF1"/>
    <w:rsid w:val="00593A95"/>
    <w:rsid w:val="005B22BD"/>
    <w:rsid w:val="005B3C39"/>
    <w:rsid w:val="005D08E3"/>
    <w:rsid w:val="005D110D"/>
    <w:rsid w:val="005E0B89"/>
    <w:rsid w:val="005E3A3A"/>
    <w:rsid w:val="005E3CB0"/>
    <w:rsid w:val="005E50B7"/>
    <w:rsid w:val="006053CF"/>
    <w:rsid w:val="00606192"/>
    <w:rsid w:val="00606C55"/>
    <w:rsid w:val="00616DDA"/>
    <w:rsid w:val="00623A2D"/>
    <w:rsid w:val="0062652B"/>
    <w:rsid w:val="00627E0C"/>
    <w:rsid w:val="00631171"/>
    <w:rsid w:val="00632D28"/>
    <w:rsid w:val="006336D0"/>
    <w:rsid w:val="00634FCF"/>
    <w:rsid w:val="00635687"/>
    <w:rsid w:val="0064271E"/>
    <w:rsid w:val="00650568"/>
    <w:rsid w:val="00657386"/>
    <w:rsid w:val="00664F01"/>
    <w:rsid w:val="0066682B"/>
    <w:rsid w:val="00671245"/>
    <w:rsid w:val="006758B0"/>
    <w:rsid w:val="006866FE"/>
    <w:rsid w:val="00686F34"/>
    <w:rsid w:val="00691224"/>
    <w:rsid w:val="00692F87"/>
    <w:rsid w:val="006B6D67"/>
    <w:rsid w:val="006C10F3"/>
    <w:rsid w:val="006C7FFA"/>
    <w:rsid w:val="006D0E3F"/>
    <w:rsid w:val="006D33C6"/>
    <w:rsid w:val="006D5236"/>
    <w:rsid w:val="006E10A7"/>
    <w:rsid w:val="006E356E"/>
    <w:rsid w:val="0070073B"/>
    <w:rsid w:val="00716AB9"/>
    <w:rsid w:val="00720E58"/>
    <w:rsid w:val="00722DDD"/>
    <w:rsid w:val="00727D82"/>
    <w:rsid w:val="00735E61"/>
    <w:rsid w:val="00737B59"/>
    <w:rsid w:val="00742508"/>
    <w:rsid w:val="0074347C"/>
    <w:rsid w:val="00744BC8"/>
    <w:rsid w:val="007614F0"/>
    <w:rsid w:val="00761C2C"/>
    <w:rsid w:val="00767C41"/>
    <w:rsid w:val="00772B76"/>
    <w:rsid w:val="00773961"/>
    <w:rsid w:val="00776B09"/>
    <w:rsid w:val="007771C2"/>
    <w:rsid w:val="00790A16"/>
    <w:rsid w:val="007A616F"/>
    <w:rsid w:val="007A62AE"/>
    <w:rsid w:val="007B18B7"/>
    <w:rsid w:val="007B3242"/>
    <w:rsid w:val="007D685A"/>
    <w:rsid w:val="007E2F77"/>
    <w:rsid w:val="007E7821"/>
    <w:rsid w:val="007E7EFA"/>
    <w:rsid w:val="007F3169"/>
    <w:rsid w:val="007F45EA"/>
    <w:rsid w:val="00800086"/>
    <w:rsid w:val="008055DA"/>
    <w:rsid w:val="0081060B"/>
    <w:rsid w:val="00827D0C"/>
    <w:rsid w:val="008306C6"/>
    <w:rsid w:val="00845D48"/>
    <w:rsid w:val="00852558"/>
    <w:rsid w:val="00852CB5"/>
    <w:rsid w:val="00853D89"/>
    <w:rsid w:val="00855334"/>
    <w:rsid w:val="00856D2F"/>
    <w:rsid w:val="00863F55"/>
    <w:rsid w:val="00867A2B"/>
    <w:rsid w:val="008811BB"/>
    <w:rsid w:val="008825EC"/>
    <w:rsid w:val="00896AE1"/>
    <w:rsid w:val="008B2908"/>
    <w:rsid w:val="008B471F"/>
    <w:rsid w:val="008C2031"/>
    <w:rsid w:val="008F5AA5"/>
    <w:rsid w:val="00900A56"/>
    <w:rsid w:val="009012D8"/>
    <w:rsid w:val="00904861"/>
    <w:rsid w:val="0091310A"/>
    <w:rsid w:val="009137C6"/>
    <w:rsid w:val="00916688"/>
    <w:rsid w:val="009223FD"/>
    <w:rsid w:val="009238B0"/>
    <w:rsid w:val="0092792C"/>
    <w:rsid w:val="009373D7"/>
    <w:rsid w:val="00941C62"/>
    <w:rsid w:val="00945623"/>
    <w:rsid w:val="00961530"/>
    <w:rsid w:val="009651C1"/>
    <w:rsid w:val="00967C98"/>
    <w:rsid w:val="009748E4"/>
    <w:rsid w:val="00994E50"/>
    <w:rsid w:val="00995165"/>
    <w:rsid w:val="009C2597"/>
    <w:rsid w:val="009D6C3E"/>
    <w:rsid w:val="00A07778"/>
    <w:rsid w:val="00A14B66"/>
    <w:rsid w:val="00A15118"/>
    <w:rsid w:val="00A213BB"/>
    <w:rsid w:val="00A25823"/>
    <w:rsid w:val="00A4374A"/>
    <w:rsid w:val="00A47D0F"/>
    <w:rsid w:val="00A51494"/>
    <w:rsid w:val="00A53046"/>
    <w:rsid w:val="00A57C3D"/>
    <w:rsid w:val="00A6043C"/>
    <w:rsid w:val="00A644B2"/>
    <w:rsid w:val="00A65244"/>
    <w:rsid w:val="00A71848"/>
    <w:rsid w:val="00A810FD"/>
    <w:rsid w:val="00A94246"/>
    <w:rsid w:val="00AA3EB9"/>
    <w:rsid w:val="00AA5DB2"/>
    <w:rsid w:val="00AA679C"/>
    <w:rsid w:val="00AB3372"/>
    <w:rsid w:val="00AB6F0E"/>
    <w:rsid w:val="00AD4D11"/>
    <w:rsid w:val="00AD4D9D"/>
    <w:rsid w:val="00AE3BEA"/>
    <w:rsid w:val="00AF6B88"/>
    <w:rsid w:val="00AF7F0F"/>
    <w:rsid w:val="00B1029E"/>
    <w:rsid w:val="00B1169B"/>
    <w:rsid w:val="00B1353C"/>
    <w:rsid w:val="00B20648"/>
    <w:rsid w:val="00B223D0"/>
    <w:rsid w:val="00B24D5E"/>
    <w:rsid w:val="00B30991"/>
    <w:rsid w:val="00B328B6"/>
    <w:rsid w:val="00B4090C"/>
    <w:rsid w:val="00B52AF7"/>
    <w:rsid w:val="00B56FF5"/>
    <w:rsid w:val="00B57C81"/>
    <w:rsid w:val="00B63000"/>
    <w:rsid w:val="00B76EEB"/>
    <w:rsid w:val="00B83016"/>
    <w:rsid w:val="00B8490B"/>
    <w:rsid w:val="00B87199"/>
    <w:rsid w:val="00B95CC0"/>
    <w:rsid w:val="00BA07CF"/>
    <w:rsid w:val="00BA13EC"/>
    <w:rsid w:val="00BA2EB3"/>
    <w:rsid w:val="00BA576E"/>
    <w:rsid w:val="00BB431E"/>
    <w:rsid w:val="00BC5D32"/>
    <w:rsid w:val="00BE61EA"/>
    <w:rsid w:val="00BE7318"/>
    <w:rsid w:val="00BF4BD0"/>
    <w:rsid w:val="00BF62B5"/>
    <w:rsid w:val="00BF69CA"/>
    <w:rsid w:val="00C0194A"/>
    <w:rsid w:val="00C07863"/>
    <w:rsid w:val="00C12D9F"/>
    <w:rsid w:val="00C30C4F"/>
    <w:rsid w:val="00C3400E"/>
    <w:rsid w:val="00C37A1A"/>
    <w:rsid w:val="00C41630"/>
    <w:rsid w:val="00C706F2"/>
    <w:rsid w:val="00C72031"/>
    <w:rsid w:val="00C73459"/>
    <w:rsid w:val="00C76793"/>
    <w:rsid w:val="00C92214"/>
    <w:rsid w:val="00CA160D"/>
    <w:rsid w:val="00CB06FA"/>
    <w:rsid w:val="00CC6EE5"/>
    <w:rsid w:val="00CD3357"/>
    <w:rsid w:val="00CE012A"/>
    <w:rsid w:val="00CF39F4"/>
    <w:rsid w:val="00D02924"/>
    <w:rsid w:val="00D03B61"/>
    <w:rsid w:val="00D159C4"/>
    <w:rsid w:val="00D16CD7"/>
    <w:rsid w:val="00D25A2D"/>
    <w:rsid w:val="00D27BBA"/>
    <w:rsid w:val="00D31152"/>
    <w:rsid w:val="00D45324"/>
    <w:rsid w:val="00D53B9F"/>
    <w:rsid w:val="00D57A8D"/>
    <w:rsid w:val="00D61A93"/>
    <w:rsid w:val="00D74262"/>
    <w:rsid w:val="00D76BB6"/>
    <w:rsid w:val="00D7709B"/>
    <w:rsid w:val="00D80380"/>
    <w:rsid w:val="00D91BFF"/>
    <w:rsid w:val="00DA6A11"/>
    <w:rsid w:val="00DB1248"/>
    <w:rsid w:val="00DC6564"/>
    <w:rsid w:val="00DD2AD2"/>
    <w:rsid w:val="00DD547E"/>
    <w:rsid w:val="00DD7907"/>
    <w:rsid w:val="00DE3F24"/>
    <w:rsid w:val="00DE604C"/>
    <w:rsid w:val="00DF2A18"/>
    <w:rsid w:val="00DF6FE5"/>
    <w:rsid w:val="00E07B07"/>
    <w:rsid w:val="00E12B83"/>
    <w:rsid w:val="00E21755"/>
    <w:rsid w:val="00E25A7C"/>
    <w:rsid w:val="00E31885"/>
    <w:rsid w:val="00E348D0"/>
    <w:rsid w:val="00E36A7C"/>
    <w:rsid w:val="00E37048"/>
    <w:rsid w:val="00E42846"/>
    <w:rsid w:val="00E53C3B"/>
    <w:rsid w:val="00E54414"/>
    <w:rsid w:val="00E6345E"/>
    <w:rsid w:val="00E66CB1"/>
    <w:rsid w:val="00E84020"/>
    <w:rsid w:val="00E847E6"/>
    <w:rsid w:val="00EA0629"/>
    <w:rsid w:val="00EA56B0"/>
    <w:rsid w:val="00EB06D1"/>
    <w:rsid w:val="00EB0A13"/>
    <w:rsid w:val="00EB5594"/>
    <w:rsid w:val="00EC49E8"/>
    <w:rsid w:val="00EC6036"/>
    <w:rsid w:val="00EC6A27"/>
    <w:rsid w:val="00ED07E2"/>
    <w:rsid w:val="00F11B01"/>
    <w:rsid w:val="00F13341"/>
    <w:rsid w:val="00F16A54"/>
    <w:rsid w:val="00F22BF1"/>
    <w:rsid w:val="00F2541D"/>
    <w:rsid w:val="00F271E1"/>
    <w:rsid w:val="00F31EA9"/>
    <w:rsid w:val="00F640EA"/>
    <w:rsid w:val="00F64BE4"/>
    <w:rsid w:val="00F65785"/>
    <w:rsid w:val="00F676A5"/>
    <w:rsid w:val="00F679D3"/>
    <w:rsid w:val="00F702B5"/>
    <w:rsid w:val="00F74AF0"/>
    <w:rsid w:val="00F842B7"/>
    <w:rsid w:val="00F9746D"/>
    <w:rsid w:val="00FA6A7D"/>
    <w:rsid w:val="00FB0B5B"/>
    <w:rsid w:val="00FB3001"/>
    <w:rsid w:val="00FB5EDA"/>
    <w:rsid w:val="00FC0057"/>
    <w:rsid w:val="00FD6464"/>
    <w:rsid w:val="00FD7993"/>
    <w:rsid w:val="00FF54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F739"/>
  <w15:docId w15:val="{9BD445E6-B59E-4BAC-A082-69A0E55D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06C6"/>
    <w:pPr>
      <w:ind w:left="720"/>
      <w:contextualSpacing/>
    </w:pPr>
  </w:style>
  <w:style w:type="character" w:customStyle="1" w:styleId="ListParagraphChar">
    <w:name w:val="List Paragraph Char"/>
    <w:link w:val="ListParagraph"/>
    <w:uiPriority w:val="34"/>
    <w:rsid w:val="008306C6"/>
  </w:style>
  <w:style w:type="table" w:styleId="TableGrid">
    <w:name w:val="Table Grid"/>
    <w:basedOn w:val="TableNormal"/>
    <w:uiPriority w:val="59"/>
    <w:rsid w:val="00830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92795"/>
    <w:rPr>
      <w:color w:val="808080"/>
    </w:rPr>
  </w:style>
  <w:style w:type="paragraph" w:styleId="BalloonText">
    <w:name w:val="Balloon Text"/>
    <w:basedOn w:val="Normal"/>
    <w:link w:val="BalloonTextChar"/>
    <w:uiPriority w:val="99"/>
    <w:semiHidden/>
    <w:unhideWhenUsed/>
    <w:rsid w:val="00492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795"/>
    <w:rPr>
      <w:rFonts w:ascii="Tahoma" w:hAnsi="Tahoma" w:cs="Tahoma"/>
      <w:sz w:val="16"/>
      <w:szCs w:val="16"/>
    </w:rPr>
  </w:style>
  <w:style w:type="paragraph" w:styleId="Bibliography">
    <w:name w:val="Bibliography"/>
    <w:basedOn w:val="Normal"/>
    <w:next w:val="Normal"/>
    <w:uiPriority w:val="37"/>
    <w:unhideWhenUsed/>
    <w:rsid w:val="007E2F77"/>
    <w:pPr>
      <w:spacing w:after="0" w:line="480" w:lineRule="auto"/>
      <w:ind w:left="720" w:hanging="720"/>
    </w:pPr>
  </w:style>
  <w:style w:type="character" w:styleId="Hyperlink">
    <w:name w:val="Hyperlink"/>
    <w:basedOn w:val="DefaultParagraphFont"/>
    <w:uiPriority w:val="99"/>
    <w:unhideWhenUsed/>
    <w:rsid w:val="00BE61EA"/>
    <w:rPr>
      <w:color w:val="0000FF" w:themeColor="hyperlink"/>
      <w:u w:val="single"/>
    </w:rPr>
  </w:style>
  <w:style w:type="character" w:customStyle="1" w:styleId="UnresolvedMention">
    <w:name w:val="Unresolved Mention"/>
    <w:basedOn w:val="DefaultParagraphFont"/>
    <w:uiPriority w:val="99"/>
    <w:semiHidden/>
    <w:unhideWhenUsed/>
    <w:rsid w:val="00BE61EA"/>
    <w:rPr>
      <w:color w:val="605E5C"/>
      <w:shd w:val="clear" w:color="auto" w:fill="E1DFDD"/>
    </w:rPr>
  </w:style>
  <w:style w:type="paragraph" w:styleId="FootnoteText">
    <w:name w:val="footnote text"/>
    <w:basedOn w:val="Normal"/>
    <w:link w:val="FootnoteTextChar"/>
    <w:uiPriority w:val="99"/>
    <w:semiHidden/>
    <w:unhideWhenUsed/>
    <w:rsid w:val="004B02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2FA"/>
    <w:rPr>
      <w:sz w:val="20"/>
      <w:szCs w:val="20"/>
    </w:rPr>
  </w:style>
  <w:style w:type="character" w:styleId="FootnoteReference">
    <w:name w:val="footnote reference"/>
    <w:basedOn w:val="DefaultParagraphFont"/>
    <w:uiPriority w:val="99"/>
    <w:semiHidden/>
    <w:unhideWhenUsed/>
    <w:rsid w:val="004B0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45529">
      <w:bodyDiv w:val="1"/>
      <w:marLeft w:val="0"/>
      <w:marRight w:val="0"/>
      <w:marTop w:val="0"/>
      <w:marBottom w:val="0"/>
      <w:divBdr>
        <w:top w:val="none" w:sz="0" w:space="0" w:color="auto"/>
        <w:left w:val="none" w:sz="0" w:space="0" w:color="auto"/>
        <w:bottom w:val="none" w:sz="0" w:space="0" w:color="auto"/>
        <w:right w:val="none" w:sz="0" w:space="0" w:color="auto"/>
      </w:divBdr>
    </w:div>
    <w:div w:id="1496266163">
      <w:bodyDiv w:val="1"/>
      <w:marLeft w:val="0"/>
      <w:marRight w:val="0"/>
      <w:marTop w:val="0"/>
      <w:marBottom w:val="0"/>
      <w:divBdr>
        <w:top w:val="none" w:sz="0" w:space="0" w:color="auto"/>
        <w:left w:val="none" w:sz="0" w:space="0" w:color="auto"/>
        <w:bottom w:val="none" w:sz="0" w:space="0" w:color="auto"/>
        <w:right w:val="none" w:sz="0" w:space="0" w:color="auto"/>
      </w:divBdr>
      <w:divsChild>
        <w:div w:id="1953004765">
          <w:marLeft w:val="0"/>
          <w:marRight w:val="0"/>
          <w:marTop w:val="0"/>
          <w:marBottom w:val="0"/>
          <w:divBdr>
            <w:top w:val="none" w:sz="0" w:space="0" w:color="auto"/>
            <w:left w:val="none" w:sz="0" w:space="0" w:color="auto"/>
            <w:bottom w:val="none" w:sz="0" w:space="0" w:color="auto"/>
            <w:right w:val="none" w:sz="0" w:space="0" w:color="auto"/>
          </w:divBdr>
          <w:divsChild>
            <w:div w:id="1469854753">
              <w:marLeft w:val="0"/>
              <w:marRight w:val="0"/>
              <w:marTop w:val="0"/>
              <w:marBottom w:val="0"/>
              <w:divBdr>
                <w:top w:val="none" w:sz="0" w:space="0" w:color="auto"/>
                <w:left w:val="none" w:sz="0" w:space="0" w:color="auto"/>
                <w:bottom w:val="none" w:sz="0" w:space="0" w:color="auto"/>
                <w:right w:val="none" w:sz="0" w:space="0" w:color="auto"/>
              </w:divBdr>
              <w:divsChild>
                <w:div w:id="581720182">
                  <w:marLeft w:val="0"/>
                  <w:marRight w:val="0"/>
                  <w:marTop w:val="0"/>
                  <w:marBottom w:val="0"/>
                  <w:divBdr>
                    <w:top w:val="none" w:sz="0" w:space="0" w:color="auto"/>
                    <w:left w:val="none" w:sz="0" w:space="0" w:color="auto"/>
                    <w:bottom w:val="none" w:sz="0" w:space="0" w:color="auto"/>
                    <w:right w:val="none" w:sz="0" w:space="0" w:color="auto"/>
                  </w:divBdr>
                  <w:divsChild>
                    <w:div w:id="1229996751">
                      <w:marLeft w:val="0"/>
                      <w:marRight w:val="0"/>
                      <w:marTop w:val="0"/>
                      <w:marBottom w:val="0"/>
                      <w:divBdr>
                        <w:top w:val="none" w:sz="0" w:space="0" w:color="auto"/>
                        <w:left w:val="none" w:sz="0" w:space="0" w:color="auto"/>
                        <w:bottom w:val="none" w:sz="0" w:space="0" w:color="auto"/>
                        <w:right w:val="none" w:sz="0" w:space="0" w:color="auto"/>
                      </w:divBdr>
                      <w:divsChild>
                        <w:div w:id="1244604951">
                          <w:marLeft w:val="0"/>
                          <w:marRight w:val="0"/>
                          <w:marTop w:val="0"/>
                          <w:marBottom w:val="0"/>
                          <w:divBdr>
                            <w:top w:val="none" w:sz="0" w:space="0" w:color="auto"/>
                            <w:left w:val="none" w:sz="0" w:space="0" w:color="auto"/>
                            <w:bottom w:val="none" w:sz="0" w:space="0" w:color="auto"/>
                            <w:right w:val="none" w:sz="0" w:space="0" w:color="auto"/>
                          </w:divBdr>
                          <w:divsChild>
                            <w:div w:id="794367737">
                              <w:marLeft w:val="0"/>
                              <w:marRight w:val="300"/>
                              <w:marTop w:val="180"/>
                              <w:marBottom w:val="0"/>
                              <w:divBdr>
                                <w:top w:val="none" w:sz="0" w:space="0" w:color="auto"/>
                                <w:left w:val="none" w:sz="0" w:space="0" w:color="auto"/>
                                <w:bottom w:val="none" w:sz="0" w:space="0" w:color="auto"/>
                                <w:right w:val="none" w:sz="0" w:space="0" w:color="auto"/>
                              </w:divBdr>
                              <w:divsChild>
                                <w:div w:id="5845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83027">
          <w:marLeft w:val="0"/>
          <w:marRight w:val="0"/>
          <w:marTop w:val="0"/>
          <w:marBottom w:val="0"/>
          <w:divBdr>
            <w:top w:val="none" w:sz="0" w:space="0" w:color="auto"/>
            <w:left w:val="none" w:sz="0" w:space="0" w:color="auto"/>
            <w:bottom w:val="none" w:sz="0" w:space="0" w:color="auto"/>
            <w:right w:val="none" w:sz="0" w:space="0" w:color="auto"/>
          </w:divBdr>
          <w:divsChild>
            <w:div w:id="1417170766">
              <w:marLeft w:val="0"/>
              <w:marRight w:val="0"/>
              <w:marTop w:val="0"/>
              <w:marBottom w:val="0"/>
              <w:divBdr>
                <w:top w:val="none" w:sz="0" w:space="0" w:color="auto"/>
                <w:left w:val="none" w:sz="0" w:space="0" w:color="auto"/>
                <w:bottom w:val="none" w:sz="0" w:space="0" w:color="auto"/>
                <w:right w:val="none" w:sz="0" w:space="0" w:color="auto"/>
              </w:divBdr>
              <w:divsChild>
                <w:div w:id="1412121947">
                  <w:marLeft w:val="0"/>
                  <w:marRight w:val="0"/>
                  <w:marTop w:val="0"/>
                  <w:marBottom w:val="0"/>
                  <w:divBdr>
                    <w:top w:val="none" w:sz="0" w:space="0" w:color="auto"/>
                    <w:left w:val="none" w:sz="0" w:space="0" w:color="auto"/>
                    <w:bottom w:val="none" w:sz="0" w:space="0" w:color="auto"/>
                    <w:right w:val="none" w:sz="0" w:space="0" w:color="auto"/>
                  </w:divBdr>
                  <w:divsChild>
                    <w:div w:id="247740369">
                      <w:marLeft w:val="0"/>
                      <w:marRight w:val="0"/>
                      <w:marTop w:val="0"/>
                      <w:marBottom w:val="0"/>
                      <w:divBdr>
                        <w:top w:val="none" w:sz="0" w:space="0" w:color="auto"/>
                        <w:left w:val="none" w:sz="0" w:space="0" w:color="auto"/>
                        <w:bottom w:val="none" w:sz="0" w:space="0" w:color="auto"/>
                        <w:right w:val="none" w:sz="0" w:space="0" w:color="auto"/>
                      </w:divBdr>
                      <w:divsChild>
                        <w:div w:id="11657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6ED08-C6E3-4CB1-B443-68074807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40166</Words>
  <Characters>228948</Characters>
  <Application>Microsoft Office Word</Application>
  <DocSecurity>0</DocSecurity>
  <Lines>1907</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Arifah</dc:creator>
  <cp:keywords/>
  <dc:description/>
  <cp:lastModifiedBy>Selamet Riyadi</cp:lastModifiedBy>
  <cp:revision>3</cp:revision>
  <dcterms:created xsi:type="dcterms:W3CDTF">2021-02-17T03:54:00Z</dcterms:created>
  <dcterms:modified xsi:type="dcterms:W3CDTF">2021-02-17T03:56:00Z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id="5jutLEgj"/&gt;&lt;style id="http://www.zotero.org/styles/apa" locale="en-GB" hasBibliography="1" bibliographyStyleHasBeenSet="1"/&gt;&lt;prefs&gt;&lt;pref name="fieldType" value="Field"/&gt;&lt;/prefs&gt;&lt;/data&gt;</vt:lpwstr>
  </property>
</Properties>
</file>