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5D7" w:rsidRDefault="002165D7" w:rsidP="002165D7">
      <w:pPr>
        <w:pStyle w:val="BodyText"/>
        <w:rPr>
          <w:rFonts w:ascii="Times New Roman"/>
          <w:sz w:val="20"/>
        </w:rPr>
      </w:pPr>
    </w:p>
    <w:p w:rsidR="002165D7" w:rsidRDefault="002165D7" w:rsidP="002165D7">
      <w:pPr>
        <w:pStyle w:val="BodyText"/>
        <w:rPr>
          <w:rFonts w:ascii="Times New Roman"/>
          <w:sz w:val="20"/>
        </w:rPr>
      </w:pPr>
    </w:p>
    <w:p w:rsidR="002165D7" w:rsidRDefault="002165D7" w:rsidP="002165D7">
      <w:pPr>
        <w:pStyle w:val="BodyText"/>
        <w:rPr>
          <w:rFonts w:ascii="Times New Roman"/>
          <w:sz w:val="20"/>
        </w:rPr>
      </w:pPr>
    </w:p>
    <w:p w:rsidR="002165D7" w:rsidRDefault="002165D7" w:rsidP="002165D7">
      <w:pPr>
        <w:pStyle w:val="BodyText"/>
        <w:spacing w:before="10"/>
        <w:rPr>
          <w:rFonts w:ascii="Times New Roman"/>
          <w:sz w:val="20"/>
        </w:rPr>
      </w:pPr>
    </w:p>
    <w:p w:rsidR="002165D7" w:rsidRDefault="002165D7" w:rsidP="002165D7">
      <w:pPr>
        <w:pStyle w:val="BodyText"/>
        <w:ind w:left="105"/>
        <w:rPr>
          <w:rFonts w:ascii="Times New Roman"/>
          <w:sz w:val="20"/>
        </w:rPr>
      </w:pPr>
      <w:r>
        <w:rPr>
          <w:rFonts w:ascii="Times New Roman"/>
          <w:noProof/>
          <w:sz w:val="20"/>
          <w:lang w:bidi="ar-SA"/>
        </w:rPr>
        <w:drawing>
          <wp:inline distT="0" distB="0" distL="0" distR="0" wp14:anchorId="1E82ACF2" wp14:editId="16317770">
            <wp:extent cx="1224637" cy="10728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24637" cy="1072896"/>
                    </a:xfrm>
                    <a:prstGeom prst="rect">
                      <a:avLst/>
                    </a:prstGeom>
                  </pic:spPr>
                </pic:pic>
              </a:graphicData>
            </a:graphic>
          </wp:inline>
        </w:drawing>
      </w:r>
    </w:p>
    <w:p w:rsidR="002165D7" w:rsidRDefault="002165D7" w:rsidP="002165D7">
      <w:pPr>
        <w:pStyle w:val="BodyText"/>
        <w:rPr>
          <w:rFonts w:ascii="Times New Roman"/>
          <w:sz w:val="20"/>
        </w:rPr>
      </w:pPr>
    </w:p>
    <w:p w:rsidR="002165D7" w:rsidRDefault="002165D7" w:rsidP="002165D7">
      <w:pPr>
        <w:spacing w:line="242" w:lineRule="exact"/>
        <w:ind w:left="174"/>
        <w:rPr>
          <w:rFonts w:ascii="Calibri"/>
          <w:b/>
          <w:sz w:val="20"/>
        </w:rPr>
      </w:pPr>
      <w:r>
        <w:rPr>
          <w:rFonts w:ascii="Calibri"/>
          <w:b/>
          <w:color w:val="231F20"/>
          <w:sz w:val="20"/>
        </w:rPr>
        <w:t>Sejarah artikel:</w:t>
      </w:r>
    </w:p>
    <w:p w:rsidR="002165D7" w:rsidRDefault="002165D7" w:rsidP="002165D7">
      <w:pPr>
        <w:spacing w:line="240" w:lineRule="exact"/>
        <w:ind w:left="174"/>
        <w:rPr>
          <w:rFonts w:ascii="Calibri"/>
          <w:sz w:val="20"/>
        </w:rPr>
      </w:pPr>
      <w:r>
        <w:rPr>
          <w:rFonts w:ascii="Calibri"/>
          <w:color w:val="231F20"/>
          <w:sz w:val="20"/>
        </w:rPr>
        <w:t xml:space="preserve">Diterima: </w:t>
      </w:r>
    </w:p>
    <w:p w:rsidR="002165D7" w:rsidRDefault="002165D7" w:rsidP="002165D7">
      <w:pPr>
        <w:spacing w:line="240" w:lineRule="exact"/>
        <w:ind w:left="174"/>
        <w:rPr>
          <w:rFonts w:ascii="Calibri"/>
          <w:sz w:val="20"/>
        </w:rPr>
      </w:pPr>
      <w:r>
        <w:rPr>
          <w:rFonts w:ascii="Calibri"/>
          <w:color w:val="231F20"/>
          <w:sz w:val="20"/>
        </w:rPr>
        <w:t xml:space="preserve">Diperbaiki: </w:t>
      </w:r>
    </w:p>
    <w:p w:rsidR="002165D7" w:rsidRDefault="002165D7" w:rsidP="002165D7">
      <w:pPr>
        <w:spacing w:line="242" w:lineRule="exact"/>
        <w:ind w:left="174"/>
        <w:rPr>
          <w:rFonts w:ascii="Calibri"/>
          <w:sz w:val="20"/>
        </w:rPr>
      </w:pPr>
      <w:r>
        <w:rPr>
          <w:rFonts w:ascii="Calibri"/>
          <w:color w:val="231F20"/>
          <w:sz w:val="20"/>
        </w:rPr>
        <w:t xml:space="preserve">Disetujui: </w:t>
      </w:r>
    </w:p>
    <w:p w:rsidR="002165D7" w:rsidRDefault="002165D7" w:rsidP="002165D7">
      <w:pPr>
        <w:pStyle w:val="BodyText"/>
        <w:rPr>
          <w:rFonts w:ascii="Calibri"/>
          <w:sz w:val="20"/>
        </w:rPr>
      </w:pPr>
    </w:p>
    <w:p w:rsidR="002165D7" w:rsidRDefault="002165D7" w:rsidP="002165D7">
      <w:pPr>
        <w:pStyle w:val="BodyText"/>
        <w:spacing w:before="7"/>
        <w:rPr>
          <w:rFonts w:ascii="Calibri"/>
          <w:sz w:val="18"/>
        </w:rPr>
      </w:pPr>
    </w:p>
    <w:p w:rsidR="002165D7" w:rsidRDefault="002165D7" w:rsidP="002165D7">
      <w:pPr>
        <w:spacing w:line="242" w:lineRule="exact"/>
        <w:ind w:left="174"/>
        <w:rPr>
          <w:rFonts w:ascii="Calibri"/>
          <w:sz w:val="20"/>
        </w:rPr>
      </w:pPr>
      <w:r>
        <w:rPr>
          <w:rFonts w:ascii="Calibri"/>
          <w:b/>
          <w:color w:val="231F20"/>
          <w:sz w:val="20"/>
        </w:rPr>
        <w:t>Keywords</w:t>
      </w:r>
      <w:r>
        <w:rPr>
          <w:rFonts w:ascii="Calibri"/>
          <w:color w:val="231F20"/>
          <w:sz w:val="20"/>
        </w:rPr>
        <w:t>:</w:t>
      </w:r>
    </w:p>
    <w:p w:rsidR="002165D7" w:rsidRPr="0014660E" w:rsidRDefault="002165D7" w:rsidP="002165D7">
      <w:pPr>
        <w:spacing w:before="2" w:line="235" w:lineRule="auto"/>
        <w:ind w:left="174"/>
        <w:rPr>
          <w:rFonts w:ascii="Calibri"/>
          <w:i/>
          <w:sz w:val="20"/>
        </w:rPr>
      </w:pPr>
      <w:proofErr w:type="gramStart"/>
      <w:r w:rsidRPr="0014660E">
        <w:rPr>
          <w:rFonts w:ascii="Calibri"/>
          <w:i/>
          <w:color w:val="231F20"/>
          <w:sz w:val="20"/>
        </w:rPr>
        <w:t>Managerial Ownership, Institutional Ownership, Independent Commissioner, Audit Committee, CSR Disclosure, Leverage, Firm Size, Profit Quality and Stock Return.</w:t>
      </w:r>
      <w:proofErr w:type="gramEnd"/>
    </w:p>
    <w:p w:rsidR="002165D7" w:rsidRDefault="002165D7" w:rsidP="002165D7">
      <w:pPr>
        <w:pStyle w:val="BodyText"/>
        <w:rPr>
          <w:rFonts w:ascii="Calibri"/>
          <w:sz w:val="20"/>
        </w:rPr>
      </w:pPr>
    </w:p>
    <w:p w:rsidR="002165D7" w:rsidRDefault="002165D7" w:rsidP="002165D7">
      <w:pPr>
        <w:pStyle w:val="BodyText"/>
        <w:spacing w:before="2"/>
        <w:rPr>
          <w:rFonts w:ascii="Calibri"/>
        </w:rPr>
      </w:pPr>
    </w:p>
    <w:p w:rsidR="002165D7" w:rsidRDefault="002165D7" w:rsidP="002165D7">
      <w:pPr>
        <w:spacing w:line="242" w:lineRule="exact"/>
        <w:ind w:left="190"/>
        <w:rPr>
          <w:rFonts w:ascii="Calibri"/>
          <w:sz w:val="20"/>
        </w:rPr>
      </w:pPr>
      <w:r>
        <w:rPr>
          <w:rFonts w:ascii="Calibri"/>
          <w:b/>
          <w:color w:val="231F20"/>
          <w:sz w:val="20"/>
        </w:rPr>
        <w:t>JEL Classification</w:t>
      </w:r>
      <w:r>
        <w:rPr>
          <w:rFonts w:ascii="Calibri"/>
          <w:color w:val="231F20"/>
          <w:sz w:val="20"/>
        </w:rPr>
        <w:t>:</w:t>
      </w:r>
    </w:p>
    <w:p w:rsidR="002165D7" w:rsidRDefault="002165D7" w:rsidP="002165D7">
      <w:pPr>
        <w:spacing w:line="242" w:lineRule="exact"/>
        <w:ind w:left="190"/>
        <w:rPr>
          <w:rFonts w:ascii="Calibri"/>
          <w:sz w:val="20"/>
        </w:rPr>
      </w:pPr>
      <w:r>
        <w:rPr>
          <w:rFonts w:ascii="Calibri"/>
          <w:color w:val="231F20"/>
          <w:sz w:val="20"/>
        </w:rPr>
        <w:t>G3, G12, M14, M21</w:t>
      </w:r>
    </w:p>
    <w:p w:rsidR="002165D7" w:rsidRDefault="002165D7" w:rsidP="002165D7">
      <w:pPr>
        <w:pStyle w:val="BodyText"/>
        <w:rPr>
          <w:rFonts w:ascii="Calibri"/>
          <w:sz w:val="20"/>
        </w:rPr>
      </w:pPr>
    </w:p>
    <w:p w:rsidR="002165D7" w:rsidRDefault="002165D7" w:rsidP="002165D7">
      <w:pPr>
        <w:pStyle w:val="BodyText"/>
        <w:rPr>
          <w:rFonts w:ascii="Calibri"/>
          <w:sz w:val="20"/>
        </w:rPr>
      </w:pPr>
    </w:p>
    <w:p w:rsidR="002165D7" w:rsidRDefault="002165D7" w:rsidP="002165D7">
      <w:pPr>
        <w:pStyle w:val="BodyText"/>
        <w:rPr>
          <w:rFonts w:ascii="Calibri"/>
          <w:sz w:val="20"/>
        </w:rPr>
      </w:pPr>
    </w:p>
    <w:p w:rsidR="002165D7" w:rsidRDefault="002165D7" w:rsidP="002165D7">
      <w:pPr>
        <w:pStyle w:val="BodyText"/>
        <w:rPr>
          <w:rFonts w:ascii="Calibri"/>
          <w:sz w:val="20"/>
        </w:rPr>
      </w:pPr>
    </w:p>
    <w:p w:rsidR="002165D7" w:rsidRPr="0014660E" w:rsidRDefault="002165D7" w:rsidP="002165D7">
      <w:pPr>
        <w:spacing w:before="152" w:line="242" w:lineRule="exact"/>
        <w:ind w:left="190"/>
        <w:rPr>
          <w:rFonts w:ascii="Calibri"/>
          <w:sz w:val="20"/>
        </w:rPr>
      </w:pPr>
      <w:r w:rsidRPr="0014660E">
        <w:rPr>
          <w:rFonts w:ascii="Calibri"/>
          <w:b/>
          <w:color w:val="231F20"/>
          <w:sz w:val="20"/>
        </w:rPr>
        <w:t>Kata Kunci</w:t>
      </w:r>
      <w:r w:rsidRPr="0014660E">
        <w:rPr>
          <w:rFonts w:ascii="Calibri"/>
          <w:color w:val="231F20"/>
          <w:sz w:val="20"/>
        </w:rPr>
        <w:t>:</w:t>
      </w:r>
    </w:p>
    <w:p w:rsidR="002165D7" w:rsidRDefault="002165D7" w:rsidP="002165D7">
      <w:pPr>
        <w:spacing w:before="2" w:line="235" w:lineRule="auto"/>
        <w:ind w:left="190" w:right="1"/>
        <w:rPr>
          <w:rFonts w:ascii="Calibri"/>
          <w:sz w:val="20"/>
        </w:rPr>
      </w:pPr>
      <w:r w:rsidRPr="0014660E">
        <w:rPr>
          <w:rFonts w:ascii="Calibri"/>
          <w:color w:val="231F20"/>
          <w:sz w:val="20"/>
        </w:rPr>
        <w:t xml:space="preserve">Kepemilikan Manajerial, Kepemilikan Institusional, Dewan Komisaris Independen, Komite Audit, Pengungkapan CSR, </w:t>
      </w:r>
      <w:r w:rsidRPr="0014660E">
        <w:rPr>
          <w:rFonts w:ascii="Calibri"/>
          <w:i/>
          <w:color w:val="231F20"/>
          <w:sz w:val="20"/>
        </w:rPr>
        <w:t>Leverage, Firm Size</w:t>
      </w:r>
      <w:r w:rsidRPr="0014660E">
        <w:rPr>
          <w:rFonts w:ascii="Calibri"/>
          <w:color w:val="231F20"/>
          <w:sz w:val="20"/>
        </w:rPr>
        <w:t xml:space="preserve">,  Kualitas Laba dan </w:t>
      </w:r>
      <w:r w:rsidRPr="0014660E">
        <w:rPr>
          <w:rFonts w:ascii="Calibri"/>
          <w:i/>
          <w:color w:val="231F20"/>
          <w:sz w:val="20"/>
        </w:rPr>
        <w:t>Return</w:t>
      </w:r>
      <w:r w:rsidRPr="0014660E">
        <w:rPr>
          <w:rFonts w:ascii="Calibri"/>
          <w:color w:val="231F20"/>
          <w:sz w:val="20"/>
        </w:rPr>
        <w:t xml:space="preserve"> Saham.</w:t>
      </w:r>
    </w:p>
    <w:p w:rsidR="002165D7" w:rsidRDefault="002165D7" w:rsidP="002165D7">
      <w:pPr>
        <w:pStyle w:val="BodyText"/>
        <w:rPr>
          <w:rFonts w:ascii="Calibri"/>
          <w:sz w:val="20"/>
        </w:rPr>
      </w:pPr>
    </w:p>
    <w:p w:rsidR="002165D7" w:rsidRDefault="002165D7" w:rsidP="002165D7">
      <w:pPr>
        <w:pStyle w:val="BodyText"/>
        <w:rPr>
          <w:rFonts w:ascii="Calibri"/>
          <w:sz w:val="20"/>
        </w:rPr>
      </w:pPr>
    </w:p>
    <w:p w:rsidR="002165D7" w:rsidRDefault="002165D7" w:rsidP="002165D7">
      <w:pPr>
        <w:spacing w:before="152" w:line="237" w:lineRule="auto"/>
        <w:ind w:left="174" w:right="9" w:hanging="1"/>
        <w:rPr>
          <w:rFonts w:ascii="Calibri"/>
          <w:b/>
          <w:color w:val="231F20"/>
          <w:sz w:val="20"/>
        </w:rPr>
      </w:pPr>
      <w:r>
        <w:rPr>
          <w:noProof/>
          <w:lang w:bidi="ar-SA"/>
        </w:rPr>
        <w:drawing>
          <wp:inline distT="0" distB="0" distL="0" distR="0">
            <wp:extent cx="133350" cy="95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Pr>
          <w:rFonts w:ascii="Times New Roman"/>
          <w:spacing w:val="-21"/>
          <w:sz w:val="20"/>
        </w:rPr>
        <w:t xml:space="preserve"> </w:t>
      </w:r>
      <w:r>
        <w:rPr>
          <w:rFonts w:ascii="Calibri"/>
          <w:color w:val="231F20"/>
          <w:sz w:val="20"/>
        </w:rPr>
        <w:t xml:space="preserve">Corresponding Author: </w:t>
      </w:r>
    </w:p>
    <w:p w:rsidR="002165D7" w:rsidRDefault="002165D7" w:rsidP="002165D7">
      <w:pPr>
        <w:spacing w:line="237" w:lineRule="auto"/>
        <w:ind w:left="174" w:right="9" w:hanging="1"/>
        <w:rPr>
          <w:rFonts w:ascii="Calibri"/>
          <w:color w:val="231F20"/>
          <w:sz w:val="20"/>
        </w:rPr>
      </w:pPr>
      <w:r>
        <w:rPr>
          <w:rFonts w:ascii="Calibri"/>
          <w:b/>
          <w:color w:val="231F20"/>
          <w:sz w:val="20"/>
        </w:rPr>
        <w:t>Diah Permata Sari</w:t>
      </w:r>
      <w:r>
        <w:rPr>
          <w:rFonts w:ascii="Calibri"/>
          <w:color w:val="231F20"/>
          <w:sz w:val="20"/>
        </w:rPr>
        <w:t xml:space="preserve">: </w:t>
      </w:r>
    </w:p>
    <w:p w:rsidR="002165D7" w:rsidRDefault="002165D7" w:rsidP="002165D7">
      <w:pPr>
        <w:spacing w:line="237" w:lineRule="auto"/>
        <w:ind w:left="174" w:right="9" w:hanging="1"/>
        <w:rPr>
          <w:rFonts w:ascii="Calibri"/>
          <w:sz w:val="20"/>
        </w:rPr>
      </w:pPr>
      <w:r>
        <w:rPr>
          <w:rFonts w:ascii="Calibri"/>
          <w:color w:val="231F20"/>
          <w:spacing w:val="-5"/>
          <w:sz w:val="20"/>
        </w:rPr>
        <w:t xml:space="preserve">Tel. </w:t>
      </w:r>
      <w:r>
        <w:rPr>
          <w:rFonts w:ascii="Calibri"/>
          <w:color w:val="231F20"/>
          <w:sz w:val="20"/>
        </w:rPr>
        <w:t>+62 81287070433</w:t>
      </w:r>
    </w:p>
    <w:p w:rsidR="002165D7" w:rsidRDefault="002165D7" w:rsidP="002165D7">
      <w:pPr>
        <w:spacing w:line="240" w:lineRule="exact"/>
        <w:ind w:left="174"/>
        <w:rPr>
          <w:rFonts w:ascii="Calibri"/>
          <w:sz w:val="20"/>
        </w:rPr>
      </w:pPr>
      <w:r>
        <w:rPr>
          <w:rFonts w:ascii="Calibri"/>
          <w:color w:val="231F20"/>
          <w:sz w:val="20"/>
        </w:rPr>
        <w:t xml:space="preserve">E-mail: </w:t>
      </w:r>
      <w:r w:rsidRPr="00B47D61">
        <w:rPr>
          <w:rFonts w:ascii="Calibri"/>
          <w:color w:val="007CB2"/>
          <w:sz w:val="18"/>
          <w:szCs w:val="18"/>
        </w:rPr>
        <w:t>diahpermatasari854@gmail.com</w:t>
      </w:r>
    </w:p>
    <w:p w:rsidR="002165D7" w:rsidRDefault="002165D7" w:rsidP="002165D7">
      <w:pPr>
        <w:pStyle w:val="BodyText"/>
        <w:rPr>
          <w:rFonts w:ascii="Calibri"/>
          <w:sz w:val="15"/>
        </w:rPr>
      </w:pPr>
      <w:r>
        <w:rPr>
          <w:noProof/>
          <w:lang w:bidi="ar-SA"/>
        </w:rPr>
        <w:drawing>
          <wp:anchor distT="0" distB="0" distL="0" distR="0" simplePos="0" relativeHeight="251659264" behindDoc="0" locked="0" layoutInCell="1" allowOverlap="1" wp14:anchorId="75846255" wp14:editId="72BD42FF">
            <wp:simplePos x="0" y="0"/>
            <wp:positionH relativeFrom="page">
              <wp:posOffset>726249</wp:posOffset>
            </wp:positionH>
            <wp:positionV relativeFrom="paragraph">
              <wp:posOffset>141614</wp:posOffset>
            </wp:positionV>
            <wp:extent cx="658636" cy="233267"/>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658636" cy="233267"/>
                    </a:xfrm>
                    <a:prstGeom prst="rect">
                      <a:avLst/>
                    </a:prstGeom>
                  </pic:spPr>
                </pic:pic>
              </a:graphicData>
            </a:graphic>
          </wp:anchor>
        </w:drawing>
      </w:r>
    </w:p>
    <w:p w:rsidR="002165D7" w:rsidRDefault="002165D7" w:rsidP="002165D7">
      <w:pPr>
        <w:spacing w:line="180" w:lineRule="exact"/>
        <w:ind w:left="174"/>
        <w:rPr>
          <w:rFonts w:ascii="Calibri"/>
          <w:sz w:val="16"/>
        </w:rPr>
      </w:pPr>
      <w:r>
        <w:rPr>
          <w:rFonts w:ascii="Calibri"/>
          <w:color w:val="231F20"/>
          <w:sz w:val="16"/>
        </w:rPr>
        <w:t>This is an open access</w:t>
      </w:r>
    </w:p>
    <w:p w:rsidR="002165D7" w:rsidRDefault="002165D7" w:rsidP="002165D7">
      <w:pPr>
        <w:spacing w:line="194" w:lineRule="exact"/>
        <w:ind w:left="174"/>
        <w:rPr>
          <w:rFonts w:ascii="Calibri" w:hAnsi="Calibri"/>
          <w:sz w:val="16"/>
        </w:rPr>
      </w:pPr>
      <w:proofErr w:type="gramStart"/>
      <w:r>
        <w:rPr>
          <w:rFonts w:ascii="Calibri" w:hAnsi="Calibri"/>
          <w:color w:val="231F20"/>
          <w:sz w:val="16"/>
        </w:rPr>
        <w:t>article</w:t>
      </w:r>
      <w:proofErr w:type="gramEnd"/>
      <w:r>
        <w:rPr>
          <w:rFonts w:ascii="Calibri" w:hAnsi="Calibri"/>
          <w:color w:val="231F20"/>
          <w:sz w:val="16"/>
        </w:rPr>
        <w:t xml:space="preserve"> under the CC–BY-SA license</w:t>
      </w:r>
    </w:p>
    <w:p w:rsidR="002165D7" w:rsidRDefault="002165D7" w:rsidP="002165D7">
      <w:pPr>
        <w:spacing w:before="39" w:line="242" w:lineRule="exact"/>
        <w:ind w:left="83" w:right="2862"/>
        <w:jc w:val="center"/>
        <w:rPr>
          <w:rFonts w:ascii="Calibri" w:hAnsi="Calibri"/>
          <w:b/>
          <w:sz w:val="20"/>
        </w:rPr>
      </w:pPr>
      <w:r>
        <w:br w:type="column"/>
      </w:r>
      <w:r>
        <w:rPr>
          <w:rFonts w:ascii="Calibri" w:hAnsi="Calibri"/>
          <w:b/>
          <w:color w:val="231F20"/>
          <w:sz w:val="20"/>
        </w:rPr>
        <w:lastRenderedPageBreak/>
        <w:t>Jurnal Keuangan dan Perbankan,</w:t>
      </w:r>
    </w:p>
    <w:p w:rsidR="002165D7" w:rsidRDefault="002165D7" w:rsidP="002165D7">
      <w:pPr>
        <w:spacing w:line="242" w:lineRule="exact"/>
        <w:ind w:left="81" w:right="2862"/>
        <w:jc w:val="center"/>
        <w:rPr>
          <w:rFonts w:ascii="Calibri"/>
          <w:sz w:val="20"/>
        </w:rPr>
      </w:pPr>
      <w:hyperlink r:id="rId10">
        <w:r>
          <w:rPr>
            <w:rFonts w:ascii="Calibri"/>
            <w:color w:val="007CB2"/>
            <w:sz w:val="20"/>
          </w:rPr>
          <w:t>http://jurnal.unmer.ac.id/index.php/jkdp</w:t>
        </w:r>
      </w:hyperlink>
    </w:p>
    <w:p w:rsidR="002165D7" w:rsidRDefault="002165D7" w:rsidP="002165D7">
      <w:pPr>
        <w:pStyle w:val="BodyText"/>
        <w:spacing w:before="9"/>
        <w:rPr>
          <w:rFonts w:ascii="Calibri"/>
          <w:sz w:val="28"/>
        </w:rPr>
      </w:pPr>
    </w:p>
    <w:p w:rsidR="002165D7" w:rsidRDefault="002165D7" w:rsidP="002165D7">
      <w:pPr>
        <w:spacing w:before="1"/>
        <w:ind w:left="481" w:right="99"/>
        <w:rPr>
          <w:b/>
          <w:color w:val="231F20"/>
          <w:sz w:val="28"/>
          <w:szCs w:val="28"/>
        </w:rPr>
      </w:pPr>
      <w:r>
        <w:rPr>
          <w:noProof/>
          <w:sz w:val="28"/>
          <w:szCs w:val="28"/>
          <w:lang w:bidi="ar-SA"/>
        </w:rPr>
        <mc:AlternateContent>
          <mc:Choice Requires="wps">
            <w:drawing>
              <wp:anchor distT="0" distB="0" distL="114300" distR="114300" simplePos="0" relativeHeight="251660288" behindDoc="0" locked="0" layoutInCell="1" allowOverlap="1">
                <wp:simplePos x="0" y="0"/>
                <wp:positionH relativeFrom="page">
                  <wp:posOffset>2581275</wp:posOffset>
                </wp:positionH>
                <wp:positionV relativeFrom="paragraph">
                  <wp:posOffset>36195</wp:posOffset>
                </wp:positionV>
                <wp:extent cx="0" cy="7501890"/>
                <wp:effectExtent l="9525" t="13335" r="9525" b="95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01890"/>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3.25pt,2.85pt" to="203.25pt,59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" strokecolor="#231f20" strokeweight=".48pt">
                <w10:wrap anchorx="page"/>
              </v:line>
            </w:pict>
          </mc:Fallback>
        </mc:AlternateContent>
      </w:r>
      <w:r>
        <w:rPr>
          <w:b/>
          <w:color w:val="231F20"/>
          <w:sz w:val="28"/>
          <w:szCs w:val="28"/>
        </w:rPr>
        <w:t xml:space="preserve">Dampak Kualitas Laba Pada </w:t>
      </w:r>
      <w:r w:rsidRPr="00A65EFC">
        <w:rPr>
          <w:b/>
          <w:i/>
          <w:color w:val="231F20"/>
          <w:sz w:val="28"/>
          <w:szCs w:val="28"/>
        </w:rPr>
        <w:t>Return</w:t>
      </w:r>
      <w:r>
        <w:rPr>
          <w:b/>
          <w:color w:val="231F20"/>
          <w:sz w:val="28"/>
          <w:szCs w:val="28"/>
        </w:rPr>
        <w:t xml:space="preserve"> </w:t>
      </w:r>
      <w:proofErr w:type="gramStart"/>
      <w:r>
        <w:rPr>
          <w:b/>
          <w:color w:val="231F20"/>
          <w:sz w:val="28"/>
          <w:szCs w:val="28"/>
        </w:rPr>
        <w:t>Saham :</w:t>
      </w:r>
      <w:proofErr w:type="gramEnd"/>
      <w:r>
        <w:rPr>
          <w:b/>
          <w:color w:val="231F20"/>
          <w:sz w:val="28"/>
          <w:szCs w:val="28"/>
        </w:rPr>
        <w:t xml:space="preserve"> GCG dan CSR </w:t>
      </w:r>
    </w:p>
    <w:p w:rsidR="002165D7" w:rsidRPr="00F75D02" w:rsidRDefault="002165D7" w:rsidP="002165D7">
      <w:pPr>
        <w:spacing w:before="1"/>
        <w:ind w:left="481" w:right="99"/>
        <w:rPr>
          <w:b/>
          <w:sz w:val="28"/>
          <w:szCs w:val="28"/>
        </w:rPr>
      </w:pPr>
    </w:p>
    <w:p w:rsidR="002165D7" w:rsidRPr="009D0351" w:rsidRDefault="002165D7" w:rsidP="002165D7">
      <w:pPr>
        <w:ind w:left="481"/>
        <w:jc w:val="center"/>
        <w:rPr>
          <w:b/>
          <w:color w:val="231F20"/>
          <w:sz w:val="20"/>
          <w:vertAlign w:val="superscript"/>
        </w:rPr>
      </w:pPr>
      <w:r w:rsidRPr="009D0351">
        <w:rPr>
          <w:b/>
          <w:color w:val="231F20"/>
          <w:sz w:val="20"/>
        </w:rPr>
        <w:t>Diah Permata Sari</w:t>
      </w:r>
      <w:r w:rsidRPr="009D0351">
        <w:rPr>
          <w:b/>
          <w:color w:val="231F20"/>
          <w:sz w:val="20"/>
          <w:vertAlign w:val="superscript"/>
        </w:rPr>
        <w:t>1</w:t>
      </w:r>
      <w:r w:rsidRPr="009D0351">
        <w:rPr>
          <w:b/>
          <w:color w:val="231F20"/>
          <w:sz w:val="20"/>
        </w:rPr>
        <w:t>, Hari Setiyawati</w:t>
      </w:r>
      <w:r w:rsidRPr="009D0351">
        <w:rPr>
          <w:b/>
          <w:color w:val="231F20"/>
          <w:sz w:val="20"/>
          <w:vertAlign w:val="superscript"/>
        </w:rPr>
        <w:t>2</w:t>
      </w:r>
    </w:p>
    <w:p w:rsidR="002165D7" w:rsidRPr="009D0351" w:rsidRDefault="002165D7" w:rsidP="002165D7">
      <w:pPr>
        <w:ind w:left="481"/>
        <w:jc w:val="center"/>
        <w:rPr>
          <w:b/>
          <w:color w:val="231F20"/>
          <w:sz w:val="20"/>
        </w:rPr>
      </w:pPr>
    </w:p>
    <w:p w:rsidR="002165D7" w:rsidRPr="009D0351" w:rsidRDefault="002165D7" w:rsidP="002165D7">
      <w:pPr>
        <w:ind w:left="481"/>
        <w:jc w:val="center"/>
        <w:rPr>
          <w:color w:val="231F20"/>
          <w:sz w:val="20"/>
        </w:rPr>
      </w:pPr>
      <w:r>
        <w:rPr>
          <w:color w:val="231F20"/>
          <w:sz w:val="20"/>
        </w:rPr>
        <w:t>Departemen Akuntansi</w:t>
      </w:r>
      <w:r w:rsidRPr="009D0351">
        <w:rPr>
          <w:color w:val="231F20"/>
          <w:sz w:val="20"/>
        </w:rPr>
        <w:t>, Universitas Mercu Buana, Jakarta, Indonesia</w:t>
      </w:r>
    </w:p>
    <w:p w:rsidR="002165D7" w:rsidRPr="009D0351" w:rsidRDefault="002165D7" w:rsidP="002165D7">
      <w:pPr>
        <w:ind w:left="481" w:right="99"/>
        <w:jc w:val="center"/>
        <w:rPr>
          <w:color w:val="231F20"/>
          <w:sz w:val="20"/>
          <w:szCs w:val="20"/>
        </w:rPr>
      </w:pPr>
      <w:r w:rsidRPr="009D0351">
        <w:rPr>
          <w:color w:val="231F20"/>
          <w:sz w:val="20"/>
          <w:szCs w:val="20"/>
          <w:vertAlign w:val="superscript"/>
        </w:rPr>
        <w:t>1</w:t>
      </w:r>
      <w:r w:rsidRPr="009D0351">
        <w:rPr>
          <w:color w:val="231F20"/>
          <w:sz w:val="20"/>
          <w:szCs w:val="20"/>
        </w:rPr>
        <w:t>diahpermatasari854@gmail.com</w:t>
      </w:r>
    </w:p>
    <w:p w:rsidR="002165D7" w:rsidRDefault="002165D7" w:rsidP="002165D7">
      <w:pPr>
        <w:ind w:left="481"/>
        <w:jc w:val="center"/>
        <w:rPr>
          <w:b/>
          <w:color w:val="231F20"/>
          <w:sz w:val="20"/>
        </w:rPr>
      </w:pPr>
      <w:r w:rsidRPr="009D0351">
        <w:rPr>
          <w:color w:val="231F20"/>
          <w:sz w:val="20"/>
          <w:szCs w:val="20"/>
          <w:vertAlign w:val="superscript"/>
        </w:rPr>
        <w:t>2</w:t>
      </w:r>
      <w:r w:rsidRPr="009D0351">
        <w:rPr>
          <w:color w:val="231F20"/>
          <w:sz w:val="20"/>
          <w:szCs w:val="20"/>
        </w:rPr>
        <w:t>hari_setiyawati@mercubuana.ac.id</w:t>
      </w:r>
    </w:p>
    <w:p w:rsidR="002165D7" w:rsidRPr="004502BF" w:rsidRDefault="002165D7" w:rsidP="002165D7">
      <w:pPr>
        <w:ind w:left="481" w:right="99"/>
        <w:rPr>
          <w:i/>
          <w:color w:val="231F20"/>
          <w:sz w:val="17"/>
        </w:rPr>
      </w:pPr>
    </w:p>
    <w:p w:rsidR="002165D7" w:rsidRDefault="002165D7" w:rsidP="002165D7">
      <w:pPr>
        <w:pStyle w:val="BodyText"/>
        <w:spacing w:before="9"/>
        <w:rPr>
          <w:i/>
          <w:sz w:val="25"/>
        </w:rPr>
      </w:pPr>
    </w:p>
    <w:p w:rsidR="002165D7" w:rsidRDefault="002165D7" w:rsidP="002165D7">
      <w:pPr>
        <w:ind w:left="481" w:right="168"/>
        <w:jc w:val="both"/>
        <w:rPr>
          <w:b/>
          <w:i/>
          <w:color w:val="231F20"/>
          <w:sz w:val="18"/>
        </w:rPr>
      </w:pPr>
    </w:p>
    <w:p w:rsidR="002165D7" w:rsidRPr="00CF67F5" w:rsidRDefault="002165D7" w:rsidP="002165D7">
      <w:pPr>
        <w:ind w:left="481"/>
        <w:rPr>
          <w:b/>
          <w:sz w:val="18"/>
        </w:rPr>
      </w:pPr>
      <w:r w:rsidRPr="00CF67F5">
        <w:rPr>
          <w:b/>
          <w:color w:val="231F20"/>
          <w:sz w:val="18"/>
        </w:rPr>
        <w:t>Abstrak</w:t>
      </w:r>
    </w:p>
    <w:p w:rsidR="002165D7" w:rsidRDefault="002165D7" w:rsidP="002165D7">
      <w:pPr>
        <w:pStyle w:val="BodyText"/>
        <w:spacing w:before="9"/>
        <w:rPr>
          <w:b/>
          <w:i/>
          <w:sz w:val="18"/>
        </w:rPr>
      </w:pPr>
    </w:p>
    <w:p w:rsidR="002165D7" w:rsidRPr="00F75D02" w:rsidRDefault="002165D7" w:rsidP="002165D7">
      <w:pPr>
        <w:spacing w:line="237" w:lineRule="auto"/>
        <w:ind w:left="481" w:right="164"/>
        <w:jc w:val="both"/>
        <w:rPr>
          <w:sz w:val="18"/>
        </w:rPr>
      </w:pPr>
      <w:proofErr w:type="gramStart"/>
      <w:r w:rsidRPr="00774726">
        <w:rPr>
          <w:color w:val="231F20"/>
          <w:sz w:val="18"/>
        </w:rPr>
        <w:t>Informasi laba yang diungkapkan oleh perusahaan tidak menjamin bahwa laba tersebut berkualitas.</w:t>
      </w:r>
      <w:proofErr w:type="gramEnd"/>
      <w:r w:rsidRPr="00774726">
        <w:rPr>
          <w:color w:val="231F20"/>
          <w:sz w:val="18"/>
        </w:rPr>
        <w:t xml:space="preserve"> </w:t>
      </w:r>
      <w:proofErr w:type="gramStart"/>
      <w:r w:rsidRPr="00774726">
        <w:rPr>
          <w:color w:val="231F20"/>
          <w:sz w:val="18"/>
        </w:rPr>
        <w:t>Laba dapat dikatakan berkualitas jika laba yang dilaporkan dapat digunakan oleh pengguna laporan keuangan untuk mengambil keputusan terbaik dan memenuhi karakteristik kualitatif laporan keuangan yang relevan dan dapat diandalkan.</w:t>
      </w:r>
      <w:proofErr w:type="gramEnd"/>
      <w:r w:rsidRPr="00774726">
        <w:rPr>
          <w:color w:val="231F20"/>
          <w:sz w:val="18"/>
        </w:rPr>
        <w:t xml:space="preserve"> Tujuan yang ingin dicapai dalam penelitian ini adalah menguji bagaimana pengaruh Mekanisme GCG</w:t>
      </w:r>
      <w:proofErr w:type="gramStart"/>
      <w:r w:rsidRPr="00774726">
        <w:rPr>
          <w:color w:val="231F20"/>
          <w:sz w:val="18"/>
        </w:rPr>
        <w:t>,  pengungkapan</w:t>
      </w:r>
      <w:proofErr w:type="gramEnd"/>
      <w:r w:rsidRPr="00774726">
        <w:rPr>
          <w:color w:val="231F20"/>
          <w:sz w:val="18"/>
        </w:rPr>
        <w:t xml:space="preserve"> CSR, terhadap kualitas laba dan dampaknya pada Return saham perusahaan, dengan variabel kontrol adalah </w:t>
      </w:r>
      <w:r w:rsidRPr="00513DA7">
        <w:rPr>
          <w:i/>
          <w:color w:val="231F20"/>
          <w:sz w:val="18"/>
        </w:rPr>
        <w:t xml:space="preserve">Leverage </w:t>
      </w:r>
      <w:r w:rsidRPr="00513DA7">
        <w:rPr>
          <w:color w:val="231F20"/>
          <w:sz w:val="18"/>
        </w:rPr>
        <w:t>dan</w:t>
      </w:r>
      <w:r w:rsidRPr="00513DA7">
        <w:rPr>
          <w:i/>
          <w:color w:val="231F20"/>
          <w:sz w:val="18"/>
        </w:rPr>
        <w:t xml:space="preserve"> Firm Size</w:t>
      </w:r>
      <w:r w:rsidRPr="00774726">
        <w:rPr>
          <w:color w:val="231F20"/>
          <w:sz w:val="18"/>
        </w:rPr>
        <w:t xml:space="preserve">. Populasi </w:t>
      </w:r>
      <w:proofErr w:type="gramStart"/>
      <w:r w:rsidRPr="00774726">
        <w:rPr>
          <w:color w:val="231F20"/>
          <w:sz w:val="18"/>
        </w:rPr>
        <w:t>dalam  penelitian</w:t>
      </w:r>
      <w:proofErr w:type="gramEnd"/>
      <w:r w:rsidRPr="00774726">
        <w:rPr>
          <w:color w:val="231F20"/>
          <w:sz w:val="18"/>
        </w:rPr>
        <w:t xml:space="preserve"> ini adalah  perusahaan sektor pertambangan yang terdaftar di Bursa Efek Indonesia.. Sampel diambil menggunakan metode </w:t>
      </w:r>
      <w:r w:rsidRPr="0049774A">
        <w:rPr>
          <w:i/>
          <w:color w:val="231F20"/>
          <w:sz w:val="18"/>
        </w:rPr>
        <w:t xml:space="preserve">Purposive </w:t>
      </w:r>
      <w:proofErr w:type="gramStart"/>
      <w:r w:rsidRPr="0049774A">
        <w:rPr>
          <w:i/>
          <w:color w:val="231F20"/>
          <w:sz w:val="18"/>
        </w:rPr>
        <w:t>Sampling</w:t>
      </w:r>
      <w:r w:rsidRPr="00774726">
        <w:rPr>
          <w:color w:val="231F20"/>
          <w:sz w:val="18"/>
        </w:rPr>
        <w:t xml:space="preserve">  .</w:t>
      </w:r>
      <w:proofErr w:type="gramEnd"/>
      <w:r w:rsidRPr="00774726">
        <w:rPr>
          <w:color w:val="231F20"/>
          <w:sz w:val="18"/>
        </w:rPr>
        <w:t xml:space="preserve"> Hasil Penelitian ini menunjukkan bahwa Kepemilikan Manajerial, Kepemilikan Institusional, Dewan Komisaris Independen, dan  Pengungkapan </w:t>
      </w:r>
      <w:r>
        <w:rPr>
          <w:color w:val="231F20"/>
          <w:sz w:val="18"/>
        </w:rPr>
        <w:t xml:space="preserve">CSR tidak berpengaruh </w:t>
      </w:r>
      <w:r w:rsidRPr="00774726">
        <w:rPr>
          <w:color w:val="231F20"/>
          <w:sz w:val="18"/>
        </w:rPr>
        <w:t xml:space="preserve"> terhadap kualitas laba, sedangkan Komite Audit dan </w:t>
      </w:r>
      <w:r w:rsidRPr="0049774A">
        <w:rPr>
          <w:i/>
          <w:color w:val="231F20"/>
          <w:sz w:val="18"/>
        </w:rPr>
        <w:t>Return</w:t>
      </w:r>
      <w:r w:rsidRPr="00774726">
        <w:rPr>
          <w:color w:val="231F20"/>
          <w:sz w:val="18"/>
        </w:rPr>
        <w:t xml:space="preserve"> Saham   berpengaruh signifikan terhadap Kualitas Laba</w:t>
      </w:r>
    </w:p>
    <w:p w:rsidR="002165D7" w:rsidRDefault="002165D7" w:rsidP="002165D7">
      <w:pPr>
        <w:pStyle w:val="BodyText"/>
        <w:spacing w:before="6"/>
        <w:rPr>
          <w:i/>
          <w:sz w:val="18"/>
        </w:rPr>
      </w:pPr>
    </w:p>
    <w:p w:rsidR="002165D7" w:rsidRDefault="002165D7" w:rsidP="002165D7">
      <w:pPr>
        <w:spacing w:line="235" w:lineRule="auto"/>
        <w:ind w:left="1616" w:right="99" w:hanging="1136"/>
        <w:rPr>
          <w:sz w:val="17"/>
        </w:rPr>
      </w:pPr>
      <w:r>
        <w:rPr>
          <w:b/>
          <w:color w:val="231F20"/>
          <w:sz w:val="17"/>
        </w:rPr>
        <w:t xml:space="preserve">How to Cite: </w:t>
      </w:r>
      <w:r>
        <w:rPr>
          <w:color w:val="231F20"/>
          <w:sz w:val="17"/>
        </w:rPr>
        <w:t xml:space="preserve">Diah Permata Sari. Dampak Kualitas Laba Pada </w:t>
      </w:r>
      <w:r w:rsidRPr="002B68D8">
        <w:rPr>
          <w:i/>
          <w:color w:val="231F20"/>
          <w:sz w:val="17"/>
        </w:rPr>
        <w:t>Return</w:t>
      </w:r>
      <w:r>
        <w:rPr>
          <w:color w:val="231F20"/>
          <w:sz w:val="17"/>
        </w:rPr>
        <w:t xml:space="preserve"> </w:t>
      </w:r>
      <w:proofErr w:type="gramStart"/>
      <w:r>
        <w:rPr>
          <w:color w:val="231F20"/>
          <w:sz w:val="17"/>
        </w:rPr>
        <w:t>Saham :</w:t>
      </w:r>
      <w:proofErr w:type="gramEnd"/>
      <w:r>
        <w:rPr>
          <w:color w:val="231F20"/>
          <w:sz w:val="17"/>
        </w:rPr>
        <w:t xml:space="preserve"> GCG dan CSR. </w:t>
      </w:r>
      <w:r>
        <w:rPr>
          <w:i/>
          <w:color w:val="231F20"/>
          <w:sz w:val="17"/>
        </w:rPr>
        <w:t>Jurnal Keuangan dan Perbankan</w:t>
      </w:r>
      <w:proofErr w:type="gramStart"/>
      <w:r>
        <w:rPr>
          <w:i/>
          <w:color w:val="231F20"/>
          <w:sz w:val="17"/>
        </w:rPr>
        <w:t>,</w:t>
      </w:r>
      <w:r>
        <w:rPr>
          <w:color w:val="231F20"/>
          <w:sz w:val="17"/>
        </w:rPr>
        <w:t>.</w:t>
      </w:r>
      <w:proofErr w:type="gramEnd"/>
      <w:r>
        <w:rPr>
          <w:color w:val="231F20"/>
          <w:sz w:val="17"/>
        </w:rPr>
        <w:t xml:space="preserve"> </w:t>
      </w:r>
    </w:p>
    <w:p w:rsidR="002165D7" w:rsidRDefault="002165D7" w:rsidP="002165D7">
      <w:pPr>
        <w:spacing w:line="235" w:lineRule="auto"/>
        <w:rPr>
          <w:sz w:val="17"/>
        </w:rPr>
        <w:sectPr w:rsidR="002165D7" w:rsidSect="002165D7">
          <w:headerReference w:type="even" r:id="rId11"/>
          <w:footerReference w:type="even" r:id="rId12"/>
          <w:footerReference w:type="default" r:id="rId13"/>
          <w:pgSz w:w="12190" w:h="15880"/>
          <w:pgMar w:top="1040" w:right="960" w:bottom="280" w:left="960" w:header="720" w:footer="720" w:gutter="0"/>
          <w:cols w:num="2" w:space="720" w:equalWidth="0">
            <w:col w:w="2742" w:space="40"/>
            <w:col w:w="7488"/>
          </w:cols>
        </w:sectPr>
      </w:pPr>
    </w:p>
    <w:p w:rsidR="002165D7" w:rsidRDefault="002165D7" w:rsidP="002165D7">
      <w:pPr>
        <w:pStyle w:val="BodyText"/>
        <w:rPr>
          <w:sz w:val="20"/>
        </w:rPr>
      </w:pPr>
    </w:p>
    <w:p w:rsidR="002165D7" w:rsidRDefault="002165D7" w:rsidP="002165D7">
      <w:pPr>
        <w:pStyle w:val="BodyText"/>
        <w:rPr>
          <w:sz w:val="20"/>
        </w:rPr>
      </w:pPr>
    </w:p>
    <w:p w:rsidR="002165D7" w:rsidRDefault="002165D7" w:rsidP="002165D7">
      <w:pPr>
        <w:rPr>
          <w:sz w:val="20"/>
        </w:rPr>
        <w:sectPr w:rsidR="002165D7">
          <w:type w:val="continuous"/>
          <w:pgSz w:w="12190" w:h="15880"/>
          <w:pgMar w:top="1040" w:right="960" w:bottom="280" w:left="960" w:header="720" w:footer="720" w:gutter="0"/>
          <w:cols w:space="720"/>
        </w:sectPr>
      </w:pPr>
    </w:p>
    <w:p w:rsidR="002165D7" w:rsidRDefault="002165D7" w:rsidP="002165D7">
      <w:pPr>
        <w:pStyle w:val="BodyText"/>
        <w:spacing w:before="8"/>
        <w:rPr>
          <w:sz w:val="19"/>
        </w:rPr>
      </w:pPr>
    </w:p>
    <w:p w:rsidR="002165D7" w:rsidRDefault="002165D7" w:rsidP="002165D7">
      <w:pPr>
        <w:spacing w:before="64" w:line="218" w:lineRule="exact"/>
        <w:ind w:right="166"/>
        <w:jc w:val="right"/>
      </w:pPr>
    </w:p>
    <w:p w:rsidR="002165D7" w:rsidRDefault="002165D7" w:rsidP="002165D7">
      <w:pPr>
        <w:spacing w:before="64" w:line="218" w:lineRule="exact"/>
        <w:ind w:right="166"/>
        <w:jc w:val="right"/>
      </w:pPr>
    </w:p>
    <w:p w:rsidR="002165D7" w:rsidRDefault="002165D7" w:rsidP="002165D7">
      <w:pPr>
        <w:spacing w:before="64" w:line="218" w:lineRule="exact"/>
        <w:ind w:right="166"/>
        <w:jc w:val="right"/>
      </w:pPr>
    </w:p>
    <w:p w:rsidR="002165D7" w:rsidRDefault="002165D7" w:rsidP="002165D7">
      <w:pPr>
        <w:spacing w:before="64" w:line="218" w:lineRule="exact"/>
        <w:ind w:right="166"/>
        <w:jc w:val="right"/>
        <w:rPr>
          <w:rFonts w:ascii="Calibri"/>
          <w:sz w:val="18"/>
        </w:rPr>
      </w:pPr>
      <w:r>
        <w:br w:type="column"/>
      </w:r>
      <w:r>
        <w:rPr>
          <w:rFonts w:ascii="Calibri"/>
          <w:color w:val="231F20"/>
          <w:spacing w:val="3"/>
          <w:sz w:val="18"/>
        </w:rPr>
        <w:lastRenderedPageBreak/>
        <w:t xml:space="preserve">ISSN:  </w:t>
      </w:r>
      <w:r>
        <w:rPr>
          <w:rFonts w:ascii="Calibri"/>
          <w:b/>
          <w:color w:val="231F20"/>
          <w:spacing w:val="3"/>
          <w:sz w:val="18"/>
        </w:rPr>
        <w:t>2443-2687</w:t>
      </w:r>
      <w:r>
        <w:rPr>
          <w:rFonts w:ascii="Calibri"/>
          <w:b/>
          <w:color w:val="231F20"/>
          <w:spacing w:val="18"/>
          <w:sz w:val="18"/>
        </w:rPr>
        <w:t xml:space="preserve"> </w:t>
      </w:r>
      <w:r>
        <w:rPr>
          <w:rFonts w:ascii="Calibri"/>
          <w:color w:val="231F20"/>
          <w:spacing w:val="4"/>
          <w:sz w:val="18"/>
        </w:rPr>
        <w:t>(Online)</w:t>
      </w:r>
    </w:p>
    <w:p w:rsidR="002165D7" w:rsidRDefault="002165D7" w:rsidP="002165D7">
      <w:pPr>
        <w:spacing w:line="218" w:lineRule="exact"/>
        <w:ind w:right="168"/>
        <w:jc w:val="right"/>
        <w:rPr>
          <w:rFonts w:ascii="Calibri"/>
          <w:sz w:val="18"/>
        </w:rPr>
      </w:pPr>
      <w:r>
        <w:rPr>
          <w:rFonts w:ascii="Calibri"/>
          <w:color w:val="231F20"/>
          <w:sz w:val="18"/>
        </w:rPr>
        <w:t xml:space="preserve">ISSN:  </w:t>
      </w:r>
      <w:r>
        <w:rPr>
          <w:rFonts w:ascii="Calibri"/>
          <w:b/>
          <w:color w:val="231F20"/>
          <w:sz w:val="18"/>
        </w:rPr>
        <w:t>1410-</w:t>
      </w:r>
      <w:proofErr w:type="gramStart"/>
      <w:r>
        <w:rPr>
          <w:rFonts w:ascii="Calibri"/>
          <w:b/>
          <w:color w:val="231F20"/>
          <w:sz w:val="18"/>
        </w:rPr>
        <w:t xml:space="preserve">8089 </w:t>
      </w:r>
      <w:r>
        <w:rPr>
          <w:rFonts w:ascii="Calibri"/>
          <w:b/>
          <w:color w:val="231F20"/>
          <w:spacing w:val="8"/>
          <w:sz w:val="18"/>
        </w:rPr>
        <w:t xml:space="preserve"> </w:t>
      </w:r>
      <w:r>
        <w:rPr>
          <w:rFonts w:ascii="Calibri"/>
          <w:color w:val="231F20"/>
          <w:sz w:val="18"/>
        </w:rPr>
        <w:t>(</w:t>
      </w:r>
      <w:proofErr w:type="gramEnd"/>
      <w:r>
        <w:rPr>
          <w:rFonts w:ascii="Calibri"/>
          <w:color w:val="231F20"/>
          <w:sz w:val="18"/>
        </w:rPr>
        <w:t>Print)</w:t>
      </w:r>
    </w:p>
    <w:p w:rsidR="002165D7" w:rsidRDefault="002165D7" w:rsidP="002165D7">
      <w:pPr>
        <w:spacing w:line="218" w:lineRule="exact"/>
        <w:rPr>
          <w:rFonts w:ascii="Calibri"/>
          <w:sz w:val="18"/>
        </w:rPr>
        <w:sectPr w:rsidR="002165D7">
          <w:type w:val="continuous"/>
          <w:pgSz w:w="12190" w:h="15880"/>
          <w:pgMar w:top="1040" w:right="960" w:bottom="280" w:left="960" w:header="720" w:footer="720" w:gutter="0"/>
          <w:cols w:num="2" w:space="720" w:equalWidth="0">
            <w:col w:w="5428" w:space="40"/>
            <w:col w:w="4802"/>
          </w:cols>
        </w:sectPr>
      </w:pPr>
    </w:p>
    <w:p w:rsidR="002165D7" w:rsidRDefault="002165D7" w:rsidP="002165D7">
      <w:pPr>
        <w:pStyle w:val="Heading1"/>
        <w:tabs>
          <w:tab w:val="left" w:pos="679"/>
          <w:tab w:val="left" w:pos="680"/>
        </w:tabs>
        <w:spacing w:before="91"/>
        <w:ind w:left="0"/>
        <w:rPr>
          <w:spacing w:val="4"/>
        </w:rPr>
        <w:sectPr w:rsidR="002165D7" w:rsidSect="002165D7">
          <w:footerReference w:type="even" r:id="rId14"/>
          <w:footerReference w:type="default" r:id="rId15"/>
          <w:type w:val="continuous"/>
          <w:pgSz w:w="12190" w:h="15880"/>
          <w:pgMar w:top="1040" w:right="1020" w:bottom="280" w:left="1020" w:header="720" w:footer="720" w:gutter="0"/>
          <w:cols w:space="720"/>
        </w:sectPr>
      </w:pPr>
      <w:r>
        <w:rPr>
          <w:spacing w:val="4"/>
        </w:rPr>
        <w:lastRenderedPageBreak/>
        <w:t>1. Pendahuluan</w:t>
      </w:r>
    </w:p>
    <w:p w:rsidR="002165D7" w:rsidRDefault="002165D7" w:rsidP="002165D7">
      <w:pPr>
        <w:pStyle w:val="BodyText"/>
        <w:tabs>
          <w:tab w:val="left" w:pos="8789"/>
        </w:tabs>
        <w:spacing w:before="9"/>
        <w:ind w:firstLine="709"/>
        <w:jc w:val="both"/>
        <w:rPr>
          <w:w w:val="105"/>
        </w:rPr>
      </w:pPr>
      <w:r>
        <w:rPr>
          <w:w w:val="105"/>
        </w:rPr>
        <w:lastRenderedPageBreak/>
        <w:t xml:space="preserve">Tujuan utama bagi perusahaan yang berorientasi pada laba adalah </w:t>
      </w:r>
      <w:proofErr w:type="gramStart"/>
      <w:r>
        <w:rPr>
          <w:w w:val="105"/>
        </w:rPr>
        <w:t>meningkatkan  nilai</w:t>
      </w:r>
      <w:proofErr w:type="gramEnd"/>
      <w:r>
        <w:rPr>
          <w:w w:val="105"/>
        </w:rPr>
        <w:t xml:space="preserve"> perusahaan. </w:t>
      </w:r>
      <w:proofErr w:type="gramStart"/>
      <w:r>
        <w:rPr>
          <w:w w:val="105"/>
        </w:rPr>
        <w:t>Laba sebagai bagian dari laporan keuangan menjadi salah satu indikator kinerja yang dapat mempengaruhi keputusan ekonomi bagi pengguna laporan keuangan.</w:t>
      </w:r>
      <w:proofErr w:type="gramEnd"/>
      <w:r>
        <w:rPr>
          <w:w w:val="105"/>
        </w:rPr>
        <w:t xml:space="preserve"> </w:t>
      </w:r>
      <w:proofErr w:type="gramStart"/>
      <w:r>
        <w:rPr>
          <w:w w:val="105"/>
        </w:rPr>
        <w:t xml:space="preserve">Informasi </w:t>
      </w:r>
      <w:r w:rsidRPr="00901868">
        <w:rPr>
          <w:w w:val="105"/>
        </w:rPr>
        <w:t>laba yang diungkapkan oleh perusahaan tidak menjamin bahwa laba tersebut berkualitas.</w:t>
      </w:r>
      <w:proofErr w:type="gramEnd"/>
      <w:r w:rsidRPr="00901868">
        <w:rPr>
          <w:w w:val="105"/>
        </w:rPr>
        <w:t xml:space="preserve"> Laba dapat dikatakan berkualitas jika laba yang dilaporkan dapat digunakan oleh pengguna laporan keuangan untuk membuat keputusan terbaik dan memenuhi karakteristik kualitatif laporan keuangan yang relevan dan reliable</w:t>
      </w:r>
      <w:r>
        <w:rPr>
          <w:w w:val="105"/>
        </w:rPr>
        <w:t xml:space="preserve"> </w:t>
      </w:r>
      <w:r>
        <w:rPr>
          <w:w w:val="105"/>
        </w:rPr>
        <w:fldChar w:fldCharType="begin" w:fldLock="1"/>
      </w:r>
      <w:r>
        <w:rPr>
          <w:w w:val="105"/>
        </w:rPr>
        <w:instrText>ADDIN CSL_CITATION {"citationItems":[{"id":"ITEM-1","itemData":{"DOI":"10.24002/modus.v26i1.575","ISSN":"0852-1875","abstract":"The purpose of this study was to determine the efect of frm size, capital structure, liquidity and investment opportunity set (IOS) simultaneously and partially on the quality of earnings. Population in the study was all manufacturing companies listed on the Stock Exchange in 2008-2012. Sampling using purposive sampling technique that is specifc sample selection criteria, so that in can be sampled in this study were 360 companies manufacturing (72 per company). The analytical method used was the multiple linear regression. Te result shows simultaneous testing showed that the size of the company, capital structure, liquidity and investment opportunity set (IOS) efect on earnings quality. Partially, company size and liquidity signifcant positive efect on the quality of earnings. Capital structure and investment opportunity set (IOS) signifcant negative efect on the quality of earnings.Keywords: company size, capital structure, liquidity, investment opportunity set (IOS) and the quality of earnings.","author":[{"dropping-particle":"","family":"Warianto","given":"Paulina","non-dropping-particle":"","parse-names":false,"suffix":""},{"dropping-particle":"","family":"Rusiti","given":"Ch","non-dropping-particle":"","parse-names":false,"suffix":""}],"container-title":"Modus Jurnal Ekonomi dan Bisnis","id":"ITEM-1","issue":"1","issued":{"date-parts":[["2014"]]},"page":"19","title":"Pengaruh Ukuran Perusahaan, Struktur Modal, Likuiditas Dan Investment Opportunity Set (Ios) Terhadap Kualitas Laba Pada Perusahaan Manufaktur Yang Terdaftar Di Bei","type":"article-journal","volume":"26"},"uris":["http://www.mendeley.com/documents/?uuid=7a2decc6-574f-4aba-9ef0-e00591c9c637"]}],"mendeley":{"formattedCitation":"(Warianto &amp; Rusiti, 2014)","plainTextFormattedCitation":"(Warianto &amp; Rusiti, 2014)","previouslyFormattedCitation":"(Warianto &amp; Rusiti, 2014)"},"properties":{"noteIndex":0},"schema":"https://github.com/citation-style-language/schema/raw/master/csl-citation.json"}</w:instrText>
      </w:r>
      <w:r>
        <w:rPr>
          <w:w w:val="105"/>
        </w:rPr>
        <w:fldChar w:fldCharType="separate"/>
      </w:r>
      <w:r w:rsidRPr="004A07C6">
        <w:rPr>
          <w:noProof/>
          <w:w w:val="105"/>
        </w:rPr>
        <w:t>(Warianto &amp; Rusiti, 2014)</w:t>
      </w:r>
      <w:r>
        <w:rPr>
          <w:w w:val="105"/>
        </w:rPr>
        <w:fldChar w:fldCharType="end"/>
      </w:r>
      <w:r w:rsidRPr="00901868">
        <w:rPr>
          <w:w w:val="105"/>
        </w:rPr>
        <w:t>.</w:t>
      </w:r>
      <w:r>
        <w:rPr>
          <w:w w:val="105"/>
        </w:rPr>
        <w:t xml:space="preserve"> Pihak-pihak yang membutuhkan laporan keuangan tediri dari 2 kelompok yaitu pertama, pihak internal yaitu perusahaan tersebut seperti manajer atau manajemen dan kedua, dari</w:t>
      </w:r>
      <w:r w:rsidRPr="00901868">
        <w:rPr>
          <w:w w:val="105"/>
        </w:rPr>
        <w:t xml:space="preserve"> </w:t>
      </w:r>
      <w:r>
        <w:rPr>
          <w:w w:val="105"/>
        </w:rPr>
        <w:t xml:space="preserve">pihak eksternal yaitu pihak diluar perusahaan seperti investor, kreditor dan pemerintah. </w:t>
      </w:r>
      <w:proofErr w:type="gramStart"/>
      <w:r>
        <w:rPr>
          <w:w w:val="105"/>
        </w:rPr>
        <w:t>Dalam teori keagenan menggambarkan hubungan antara pemegang saham sebagai pemegang saham (</w:t>
      </w:r>
      <w:r w:rsidRPr="00D97D4B">
        <w:rPr>
          <w:i/>
          <w:w w:val="105"/>
        </w:rPr>
        <w:t>principal</w:t>
      </w:r>
      <w:r>
        <w:rPr>
          <w:w w:val="105"/>
        </w:rPr>
        <w:t>) dan manajemen sebagai agen (</w:t>
      </w:r>
      <w:r w:rsidRPr="00D97D4B">
        <w:rPr>
          <w:i/>
          <w:w w:val="105"/>
        </w:rPr>
        <w:t>agent</w:t>
      </w:r>
      <w:r>
        <w:rPr>
          <w:w w:val="105"/>
        </w:rPr>
        <w:t>).</w:t>
      </w:r>
      <w:proofErr w:type="gramEnd"/>
      <w:r>
        <w:rPr>
          <w:w w:val="105"/>
        </w:rPr>
        <w:t xml:space="preserve"> </w:t>
      </w:r>
      <w:proofErr w:type="gramStart"/>
      <w:r>
        <w:rPr>
          <w:w w:val="105"/>
        </w:rPr>
        <w:t>Pemisahan antara kepemilikan dan manajemen dapat menimbulkan konflik yang disebut dengan konflik keagenan.</w:t>
      </w:r>
      <w:proofErr w:type="gramEnd"/>
      <w:r>
        <w:rPr>
          <w:w w:val="105"/>
        </w:rPr>
        <w:t xml:space="preserve"> Teori akuntansi positif </w:t>
      </w:r>
      <w:r>
        <w:rPr>
          <w:w w:val="105"/>
        </w:rPr>
        <w:fldChar w:fldCharType="begin" w:fldLock="1"/>
      </w:r>
      <w:r>
        <w:rPr>
          <w:w w:val="105"/>
        </w:rPr>
        <w:instrText>ADDIN CSL_CITATION {"citationItems":[{"id":"ITEM-1","itemData":{"author":[{"dropping-particle":"","family":"Watts, Ross L: Zimmerman","given":"Jerold L","non-dropping-particle":"","parse-names":false,"suffix":""}],"id":"ITEM-1","issued":{"date-parts":[["1986"]]},"title":"Positive Accounting Theory, Prentice Hall, Inc. Chapter 1, 2, 14, dan 15.","type":"book"},"uris":["http://www.mendeley.com/documents/?uuid=54cec6e2-c82a-404f-806e-4a4a96130a0d"]}],"mendeley":{"formattedCitation":"(Watts, Ross L: Zimmerman, 1986)","plainTextFormattedCitation":"(Watts, Ross L: Zimmerman, 1986)","previouslyFormattedCitation":"(Watts, Ross L: Zimmerman, 1986)"},"properties":{"noteIndex":0},"schema":"https://github.com/citation-style-language/schema/raw/master/csl-citation.json"}</w:instrText>
      </w:r>
      <w:r>
        <w:rPr>
          <w:w w:val="105"/>
        </w:rPr>
        <w:fldChar w:fldCharType="separate"/>
      </w:r>
      <w:r w:rsidRPr="00EC5289">
        <w:rPr>
          <w:noProof/>
          <w:w w:val="105"/>
        </w:rPr>
        <w:t>(Watts, Ross L: Zimmerman, 1986)</w:t>
      </w:r>
      <w:r>
        <w:rPr>
          <w:w w:val="105"/>
        </w:rPr>
        <w:fldChar w:fldCharType="end"/>
      </w:r>
      <w:r>
        <w:rPr>
          <w:w w:val="105"/>
        </w:rPr>
        <w:t xml:space="preserve"> menyatakan ada 3 bentuk keagenen yaitu antara pemilik dan manajemen, kreditor dengan manajemen dan pemerintah dengan adminstrasi. </w:t>
      </w:r>
      <w:proofErr w:type="gramStart"/>
      <w:r>
        <w:rPr>
          <w:w w:val="105"/>
        </w:rPr>
        <w:t xml:space="preserve">Jadi secara luas </w:t>
      </w:r>
      <w:r w:rsidRPr="00253297">
        <w:rPr>
          <w:i/>
          <w:w w:val="105"/>
        </w:rPr>
        <w:t>principal</w:t>
      </w:r>
      <w:r>
        <w:rPr>
          <w:w w:val="105"/>
        </w:rPr>
        <w:t xml:space="preserve"> bukan hanya pemiliki perusahaan tetapi dapat juga pemegang saham, kreditur atau pemerintah.</w:t>
      </w:r>
      <w:proofErr w:type="gramEnd"/>
    </w:p>
    <w:p w:rsidR="002165D7" w:rsidRDefault="002165D7" w:rsidP="002165D7">
      <w:pPr>
        <w:pStyle w:val="BodyText"/>
        <w:tabs>
          <w:tab w:val="left" w:pos="8789"/>
        </w:tabs>
        <w:spacing w:before="9" w:line="249" w:lineRule="auto"/>
        <w:ind w:firstLine="676"/>
        <w:jc w:val="both"/>
        <w:rPr>
          <w:w w:val="105"/>
        </w:rPr>
      </w:pPr>
      <w:r w:rsidRPr="00901868">
        <w:rPr>
          <w:w w:val="105"/>
        </w:rPr>
        <w:t xml:space="preserve">Di Indonesia permasalahan perusahan yang melaporkan laporan keuangan fiktif  masih </w:t>
      </w:r>
      <w:r>
        <w:rPr>
          <w:w w:val="105"/>
        </w:rPr>
        <w:t xml:space="preserve">saja </w:t>
      </w:r>
      <w:r w:rsidRPr="00901868">
        <w:rPr>
          <w:w w:val="105"/>
        </w:rPr>
        <w:t>terjadi, salah satunya  perusahaan yang bergerak pada sektor pertambangan yaitu PT. Timah Tbk</w:t>
      </w:r>
      <w:r>
        <w:rPr>
          <w:w w:val="105"/>
        </w:rPr>
        <w:t>,</w:t>
      </w:r>
      <w:r w:rsidRPr="00901868">
        <w:rPr>
          <w:w w:val="105"/>
        </w:rPr>
        <w:t xml:space="preserve"> dimana pada tahun 2015 melakukan kebohongan publik, dengan merelease laporan keuangan semester I -2015 yang mengatakan bahwa efisiensi dan strategi  telah membuahkan kinerja keuangan yang positif. </w:t>
      </w:r>
      <w:proofErr w:type="gramStart"/>
      <w:r w:rsidRPr="00901868">
        <w:rPr>
          <w:w w:val="105"/>
        </w:rPr>
        <w:t>Pada kenyataannya laporan keuangan semester I – 2015 laba operasi rugi sebesar Rp 59 miliar.</w:t>
      </w:r>
      <w:proofErr w:type="gramEnd"/>
      <w:r w:rsidRPr="00901868">
        <w:rPr>
          <w:w w:val="105"/>
        </w:rPr>
        <w:t xml:space="preserve"> Melihat kondisi ini Ikatan Karyawan Timah (IKT) menyampaikan tuntutan agar jajaran komisaris dan direksi segera mengundurkan diri, diharapkan dengan jajaran direksi yang baru dapat memperbaiki kinerja per</w:t>
      </w:r>
      <w:r>
        <w:rPr>
          <w:w w:val="105"/>
        </w:rPr>
        <w:t>usahaan (</w:t>
      </w:r>
      <w:proofErr w:type="gramStart"/>
      <w:r>
        <w:rPr>
          <w:w w:val="105"/>
        </w:rPr>
        <w:t>tambang.co.id.,</w:t>
      </w:r>
      <w:proofErr w:type="gramEnd"/>
      <w:r>
        <w:rPr>
          <w:w w:val="105"/>
        </w:rPr>
        <w:t xml:space="preserve"> 2016). Benturan </w:t>
      </w:r>
      <w:r>
        <w:rPr>
          <w:w w:val="105"/>
        </w:rPr>
        <w:lastRenderedPageBreak/>
        <w:t xml:space="preserve">kepentingan yang terjadi pada kasus PT. Timah Tbk terjadi karena lemahnya implementasi </w:t>
      </w:r>
      <w:r w:rsidRPr="00D77C81">
        <w:rPr>
          <w:i/>
          <w:w w:val="105"/>
        </w:rPr>
        <w:t>Good Corporate Governance</w:t>
      </w:r>
      <w:r>
        <w:rPr>
          <w:w w:val="105"/>
        </w:rPr>
        <w:t xml:space="preserve"> pada perusahaan yang ditandai dengan kurangnya transparansi dalam pengelolaan perusahaan yang berakibat gugupnya pengendalian umum dan intervensi pemegang saham mayoritas dalam pengelolaan perusahaan yang menimbulkan benturan yang signifikan </w:t>
      </w:r>
      <w:r>
        <w:rPr>
          <w:w w:val="105"/>
        </w:rPr>
        <w:fldChar w:fldCharType="begin" w:fldLock="1"/>
      </w:r>
      <w:r>
        <w:rPr>
          <w:w w:val="105"/>
        </w:rPr>
        <w:instrText>ADDIN CSL_CITATION {"citationItems":[{"id":"ITEM-1","itemData":{"DOI":"10.36713/epra2013","ISSN":"2455-3662","abstract":"ANNOTATION Practice shows that the lack or late receipt of information with special conditions for the use of territories often has a negative impact not only on the budget and time frame for the construction of a real estate facility, but also on the fate of the built facility in general. The protection areas of underground and above-ground engineering communications play an important role for the future in land use. And also, when using these lands for agricultural needs, with the correct organization of cadastral relations represents the relevance of the issue under study. In the present, as an example, a section of high-voltage power transmission lines (power lines) of 1 km length is presented.","author":[{"dropping-particle":"","family":"Listyaningsih","given":"","non-dropping-particle":"","parse-names":false,"suffix":""},{"dropping-particle":"","family":"Fransisca","given":"","non-dropping-particle":"","parse-names":false,"suffix":""}],"container-title":"EPRA International Journal of Multidisciplinary Research (IJMR)-Peer Reviewed Journal","id":"ITEM-1","issue":"2","issued":{"date-parts":[["2020"]]},"page":"242-251","title":"Investment Opportunity Set and Good Corporate Governance To Earnings quality","type":"article-journal"},"uris":["http://www.mendeley.com/documents/?uuid=e685aefb-41be-4506-845a-b17bcee0fb06"]}],"mendeley":{"formattedCitation":"(Listyaningsih &amp; Fransisca, 2020)","manualFormatting":"(Susanti et al, 2010 dalam Listyaningsih, 2020)","plainTextFormattedCitation":"(Listyaningsih &amp; Fransisca, 2020)","previouslyFormattedCitation":"(Listyaningsih &amp; Fransisca, 2020)"},"properties":{"noteIndex":0},"schema":"https://github.com/citation-style-language/schema/raw/master/csl-citation.json"}</w:instrText>
      </w:r>
      <w:r>
        <w:rPr>
          <w:w w:val="105"/>
        </w:rPr>
        <w:fldChar w:fldCharType="separate"/>
      </w:r>
      <w:r w:rsidRPr="00D77C81">
        <w:rPr>
          <w:noProof/>
          <w:w w:val="105"/>
        </w:rPr>
        <w:t>(</w:t>
      </w:r>
      <w:r>
        <w:rPr>
          <w:noProof/>
          <w:w w:val="105"/>
        </w:rPr>
        <w:t>Susanti et al, 2010 dalam Listyaningsih</w:t>
      </w:r>
      <w:r w:rsidRPr="00D77C81">
        <w:rPr>
          <w:noProof/>
          <w:w w:val="105"/>
        </w:rPr>
        <w:t>, 2020)</w:t>
      </w:r>
      <w:r>
        <w:rPr>
          <w:w w:val="105"/>
        </w:rPr>
        <w:fldChar w:fldCharType="end"/>
      </w:r>
      <w:r>
        <w:rPr>
          <w:w w:val="105"/>
        </w:rPr>
        <w:t xml:space="preserve">. Konflik keagenen mengakibatkan pengelolaan yang bersifat opportunistik yang menyebabkan </w:t>
      </w:r>
      <w:proofErr w:type="gramStart"/>
      <w:r>
        <w:rPr>
          <w:w w:val="105"/>
        </w:rPr>
        <w:t>laba  berkualitas</w:t>
      </w:r>
      <w:proofErr w:type="gramEnd"/>
      <w:r>
        <w:rPr>
          <w:w w:val="105"/>
        </w:rPr>
        <w:t xml:space="preserve"> buruk. Kualitas laba yang rendah menyebabkan kesalahan dalam pengambilan keputusan para pengguna seperti investor dan kreditor sehingga nilai perusahaan akan berkurang </w:t>
      </w:r>
      <w:r>
        <w:rPr>
          <w:w w:val="105"/>
        </w:rPr>
        <w:fldChar w:fldCharType="begin" w:fldLock="1"/>
      </w:r>
      <w:r>
        <w:rPr>
          <w:w w:val="105"/>
        </w:rPr>
        <w:instrText>ADDIN CSL_CITATION {"citationItems":[{"id":"ITEM-1","itemData":{"author":[{"dropping-particle":"","family":"Siallagan","given":"Hamonangan","non-dropping-particle":"","parse-names":false,"suffix":""},{"dropping-particle":"","family":"Machfoedz","given":"Mas’ud","non-dropping-particle":"","parse-names":false,"suffix":""}],"container-title":"Simposium Nasional Akuntansi IX Padang.","id":"ITEM-1","issued":{"date-parts":[["2006"]]},"title":"“Mekanisme Good Corporate Governance, Kualitas Laba dan Nilai Perusahaan\"","type":"article-journal"},"uris":["http://www.mendeley.com/documents/?uuid=cbdd5b75-4218-4ceb-a8e8-0e7f2e84ad27"]}],"mendeley":{"formattedCitation":"(Siallagan &amp; Machfoedz, 2006)","plainTextFormattedCitation":"(Siallagan &amp; Machfoedz, 2006)","previouslyFormattedCitation":"(Siallagan &amp; Machfoedz, 2006)"},"properties":{"noteIndex":0},"schema":"https://github.com/citation-style-language/schema/raw/master/csl-citation.json"}</w:instrText>
      </w:r>
      <w:r>
        <w:rPr>
          <w:w w:val="105"/>
        </w:rPr>
        <w:fldChar w:fldCharType="separate"/>
      </w:r>
      <w:r w:rsidRPr="002E6060">
        <w:rPr>
          <w:noProof/>
          <w:w w:val="105"/>
        </w:rPr>
        <w:t>(Siallagan &amp; Machfoedz, 2006)</w:t>
      </w:r>
      <w:r>
        <w:rPr>
          <w:w w:val="105"/>
        </w:rPr>
        <w:fldChar w:fldCharType="end"/>
      </w:r>
      <w:r>
        <w:rPr>
          <w:w w:val="105"/>
        </w:rPr>
        <w:t xml:space="preserve">. Peneltian sebelumnya yang dilakukan oleh </w:t>
      </w:r>
      <w:r>
        <w:rPr>
          <w:w w:val="105"/>
        </w:rPr>
        <w:fldChar w:fldCharType="begin" w:fldLock="1"/>
      </w:r>
      <w:r>
        <w:rPr>
          <w:w w:val="105"/>
        </w:rPr>
        <w:instrText>ADDIN CSL_CITATION {"citationItems":[{"id":"ITEM-1","itemData":{"author":[{"dropping-particle":"","family":"Mahdi Obaid","given":"Mohammed","non-dropping-particle":"","parse-names":false,"suffix":""},{"dropping-particle":"","family":"Rajab Amrah","given":"Muneer","non-dropping-particle":"","parse-names":false,"suffix":""}],"container-title":"Internasional Journal Of Research Business and Social Science (IJRBS)","id":"ITEM-1","issue":"3","issued":{"date-parts":[["2020"]]},"page":"157-164","title":"Research in Business &amp; Social Science Emerging policies and the effectiveness of corporate governance mechanisms on earning quality : A conceptual framework for Gulf cooperation council","type":"article-journal","volume":"9"},"uris":["http://www.mendeley.com/documents/?uuid=d688a54a-798e-4cd7-8d10-c56f2754013f"]}],"mendeley":{"formattedCitation":"(Mahdi Obaid &amp; Rajab Amrah, 2020)","plainTextFormattedCitation":"(Mahdi Obaid &amp; Rajab Amrah, 2020)","previouslyFormattedCitation":"(Mahdi Obaid &amp; Rajab Amrah, 2020)"},"properties":{"noteIndex":0},"schema":"https://github.com/citation-style-language/schema/raw/master/csl-citation.json"}</w:instrText>
      </w:r>
      <w:r>
        <w:rPr>
          <w:w w:val="105"/>
        </w:rPr>
        <w:fldChar w:fldCharType="separate"/>
      </w:r>
      <w:r w:rsidRPr="002E6060">
        <w:rPr>
          <w:noProof/>
          <w:w w:val="105"/>
        </w:rPr>
        <w:t>(Mahdi Obaid &amp; Rajab Amrah, 2020)</w:t>
      </w:r>
      <w:r>
        <w:rPr>
          <w:w w:val="105"/>
        </w:rPr>
        <w:fldChar w:fldCharType="end"/>
      </w:r>
      <w:r>
        <w:rPr>
          <w:w w:val="105"/>
        </w:rPr>
        <w:t xml:space="preserve"> menyatakan bahwa komite audit dan dewan komisaris independen berpengaruh terhadap kualitas laba, begitu juga dengan </w:t>
      </w:r>
      <w:r>
        <w:rPr>
          <w:w w:val="105"/>
        </w:rPr>
        <w:fldChar w:fldCharType="begin" w:fldLock="1"/>
      </w:r>
      <w:r>
        <w:rPr>
          <w:w w:val="105"/>
        </w:rPr>
        <w:instrText>ADDIN CSL_CITATION {"citationItems":[{"id":"ITEM-1","itemData":{"DOI":"10.28932/jam.v12i2.2305","ISSN":"2085-8698","abstract":"Financial statements reflect the state of the company where in a financial statement a person can get various kinds of information where one of them is profit. Before investors make an investment they will use information about earnings for their consideration. This causes earnings quality to be one of the most important aspects because it is used in evaluation materials to measure the performance of a company because investors expect quality earnings. Earnings quality is one of the driving factors used by investors before making investment decisions. This study wants to see whether the variables contained in good corporate governance which are divided into managerial ownership, institutional ownership, the size of the public accounting firm, audit committee and committee board have an influence on the quality of corporate earnings. This study conducted a study of companies listed on the Indonesia Stock Exchange in the period 2016-2018 where the number of observations was 60 observations and examined using the calculation of the coefficient of determination and multiple regression. The results found are managerial ownership and audit committee have an influence on earnings quality while other variables have no influence.\r  Keywords: Good Corporate Governance, Earning Quality","author":[{"dropping-particle":"","family":"Polimpung","given":"Lisa J. C.","non-dropping-particle":"","parse-names":false,"suffix":""}],"container-title":"Jurnal Akuntansi","id":"ITEM-1","issue":"2","issued":{"date-parts":[["2020"]]},"page":"215-222","title":"Pengaruh Good Corporate Governance Terhadap Kualitas Laba Perusahaan (Studi pada Perusahaan Sektor Consumer Goods dalam Bursa Efek Indonesia Periode 2016-2018)","type":"article-journal","volume":"12"},"uris":["http://www.mendeley.com/documents/?uuid=8abb2427-19bf-444b-8327-4ab72e357908"]}],"mendeley":{"formattedCitation":"(Polimpung, 2020)","plainTextFormattedCitation":"(Polimpung, 2020)","previouslyFormattedCitation":"(Polimpung, 2020)"},"properties":{"noteIndex":0},"schema":"https://github.com/citation-style-language/schema/raw/master/csl-citation.json"}</w:instrText>
      </w:r>
      <w:r>
        <w:rPr>
          <w:w w:val="105"/>
        </w:rPr>
        <w:fldChar w:fldCharType="separate"/>
      </w:r>
      <w:r w:rsidRPr="00061D0F">
        <w:rPr>
          <w:noProof/>
          <w:w w:val="105"/>
        </w:rPr>
        <w:t>(Polimpung, 2020)</w:t>
      </w:r>
      <w:r>
        <w:rPr>
          <w:w w:val="105"/>
        </w:rPr>
        <w:fldChar w:fldCharType="end"/>
      </w:r>
      <w:r>
        <w:rPr>
          <w:w w:val="105"/>
        </w:rPr>
        <w:t xml:space="preserve"> dan </w:t>
      </w:r>
      <w:r>
        <w:rPr>
          <w:w w:val="105"/>
        </w:rPr>
        <w:fldChar w:fldCharType="begin" w:fldLock="1"/>
      </w:r>
      <w:r>
        <w:rPr>
          <w:w w:val="105"/>
        </w:rPr>
        <w:instrText>ADDIN CSL_CITATION {"citationItems":[{"id":"ITEM-1","itemData":{"author":[{"dropping-particle":"","family":"Ismail","given":"","non-dropping-particle":"","parse-names":false,"suffix":""}],"container-title":"Bongaya Journal for Research in Accounting","id":"ITEM-1","issue":"1","issued":{"date-parts":[["2018"]]},"page":"1-7","title":"Pengaruh Prinsip Konservatisme Akuntansi Terhadap Mekanisme Good Corporate Governance dan Kualitas Laba Perusahaan","type":"article-journal","volume":"1"},"uris":["http://www.mendeley.com/documents/?uuid=855ae7d9-42db-4477-8a14-e7125e9c2435"]}],"mendeley":{"formattedCitation":"(Ismail, 2018)","plainTextFormattedCitation":"(Ismail, 2018)","previouslyFormattedCitation":"(Ismail, 2018)"},"properties":{"noteIndex":0},"schema":"https://github.com/citation-style-language/schema/raw/master/csl-citation.json"}</w:instrText>
      </w:r>
      <w:r>
        <w:rPr>
          <w:w w:val="105"/>
        </w:rPr>
        <w:fldChar w:fldCharType="separate"/>
      </w:r>
      <w:r w:rsidRPr="00061D0F">
        <w:rPr>
          <w:noProof/>
          <w:w w:val="105"/>
        </w:rPr>
        <w:t>(Ismail, 2018)</w:t>
      </w:r>
      <w:r>
        <w:rPr>
          <w:w w:val="105"/>
        </w:rPr>
        <w:fldChar w:fldCharType="end"/>
      </w:r>
      <w:r>
        <w:rPr>
          <w:w w:val="105"/>
        </w:rPr>
        <w:t xml:space="preserve"> menyatakan bahwa kepemilkan manajerial berpengaruh terhadap kualitas laba. Penelitian yang dilakukan oleh </w:t>
      </w:r>
      <w:r>
        <w:rPr>
          <w:w w:val="105"/>
        </w:rPr>
        <w:fldChar w:fldCharType="begin" w:fldLock="1"/>
      </w:r>
      <w:r>
        <w:rPr>
          <w:w w:val="105"/>
        </w:rPr>
        <w:instrText>ADDIN CSL_CITATION {"citationItems":[{"id":"ITEM-1","itemData":{"author":[{"dropping-particle":"","family":"Barkadehi","given":"Hamed K","non-dropping-particle":"","parse-names":false,"suffix":""},{"dropping-particle":"","family":"Mirbargkar","given":"Seyed M","non-dropping-particle":"","parse-names":false,"suffix":""}],"container-title":"International Journal of Economic Perspective","id":"ITEM-1","issue":"1","issued":{"date-parts":[["2017"]]},"page":"1109-1118","title":"The Role of Ownership in the Earning Quality : Evidence from Listed Firms of Tehran Stock Exchange","type":"article-journal","volume":"11"},"uris":["http://www.mendeley.com/documents/?uuid=c3ffd655-58aa-4bc6-84ed-30dfacb4f3e4"]}],"mendeley":{"formattedCitation":"(Barkadehi &amp; Mirbargkar, 2017)","plainTextFormattedCitation":"(Barkadehi &amp; Mirbargkar, 2017)","previouslyFormattedCitation":"(Barkadehi &amp; Mirbargkar, 2017)"},"properties":{"noteIndex":0},"schema":"https://github.com/citation-style-language/schema/raw/master/csl-citation.json"}</w:instrText>
      </w:r>
      <w:r>
        <w:rPr>
          <w:w w:val="105"/>
        </w:rPr>
        <w:fldChar w:fldCharType="separate"/>
      </w:r>
      <w:r w:rsidRPr="002E6060">
        <w:rPr>
          <w:noProof/>
          <w:w w:val="105"/>
        </w:rPr>
        <w:t>(Barkadehi &amp; Mirbargkar, 2017)</w:t>
      </w:r>
      <w:r>
        <w:rPr>
          <w:w w:val="105"/>
        </w:rPr>
        <w:fldChar w:fldCharType="end"/>
      </w:r>
      <w:r>
        <w:rPr>
          <w:w w:val="105"/>
        </w:rPr>
        <w:t xml:space="preserve"> dan </w:t>
      </w:r>
      <w:r>
        <w:rPr>
          <w:w w:val="105"/>
        </w:rPr>
        <w:fldChar w:fldCharType="begin" w:fldLock="1"/>
      </w:r>
      <w:r>
        <w:rPr>
          <w:w w:val="105"/>
        </w:rPr>
        <w:instrText>ADDIN CSL_CITATION {"citationItems":[{"id":"ITEM-1","itemData":{"DOI":"10.1080/1540496X.2016.1145114","ISSN":"15580938","abstract":"Institutional ownership is an important factor in corporate governance. Institutional investors play important roles in firms because of their substantial shareholdings and their capability to monitor managers. However, the question is whether they are capable of monitoring the managers. The literature has provided different evidence for the monitoring role of institutional investors. This study attempts to provide insights into the monitoring roles of institutional investors by examining the relationship between institutional ownership and earnings quality on the Tehran Stock Exchange. Institutional investors are classified into two groups, namely active institutional investors and passive institutional investors, based on their monitoring power in Iran. A multidimensional method is used to measure the various aspects of earnings quality, such as earnings response coefficient, predictive value of earnings, discretionary accruals, conservatism, and real earnings management. The results show that institutional ownership has a positive effect on earnings quality. Similar to total institutional ownership, active institutional ownership has positive effects on proxies of earnings quality. Nonetheless, passive institutional ownership does not have any power to affect earnings quality. Moreover, lead-lag tests of the direction of causality suggest that institutional ownership leads to more earnings quality and not the reverse.","author":[{"dropping-particle":"","family":"Mehrani","given":"Sasan","non-dropping-particle":"","parse-names":false,"suffix":""},{"dropping-particle":"","family":"Moradi","given":"Mohammad","non-dropping-particle":"","parse-names":false,"suffix":""},{"dropping-particle":"","family":"Eskandar","given":"Hoda","non-dropping-particle":"","parse-names":false,"suffix":""}],"container-title":"Journal of Emerging Markets Finance and Trade","id":"ITEM-1","issue":"1","issued":{"date-parts":[["2017"]]},"page":"54-73","title":"Institutional Ownership Type and Earnings Quality: Evidence from Iran","type":"article-journal","volume":"53"},"uris":["http://www.mendeley.com/documents/?uuid=a3ddc058-78c2-4dd4-b66a-ed95b640a274"]}],"mendeley":{"formattedCitation":"(Mehrani, Moradi, &amp; Eskandar, 2017)","plainTextFormattedCitation":"(Mehrani, Moradi, &amp; Eskandar, 2017)","previouslyFormattedCitation":"(Mehrani, Moradi, &amp; Eskandar, 2017)"},"properties":{"noteIndex":0},"schema":"https://github.com/citation-style-language/schema/raw/master/csl-citation.json"}</w:instrText>
      </w:r>
      <w:r>
        <w:rPr>
          <w:w w:val="105"/>
        </w:rPr>
        <w:fldChar w:fldCharType="separate"/>
      </w:r>
      <w:r w:rsidRPr="002E6060">
        <w:rPr>
          <w:noProof/>
          <w:w w:val="105"/>
        </w:rPr>
        <w:t>(Mehrani, Moradi, &amp; Eskandar, 2017)</w:t>
      </w:r>
      <w:r>
        <w:rPr>
          <w:w w:val="105"/>
        </w:rPr>
        <w:fldChar w:fldCharType="end"/>
      </w:r>
      <w:r>
        <w:rPr>
          <w:w w:val="105"/>
        </w:rPr>
        <w:t xml:space="preserve"> menyatakan bahwa kepemilikan institusional berpengaruh terhadap kualitas laba. Berbeda dengan penelitian yang dilakukan oleh </w:t>
      </w:r>
      <w:r>
        <w:rPr>
          <w:w w:val="105"/>
        </w:rPr>
        <w:fldChar w:fldCharType="begin" w:fldLock="1"/>
      </w:r>
      <w:r>
        <w:rPr>
          <w:w w:val="105"/>
        </w:rPr>
        <w:instrText>ADDIN CSL_CITATION {"citationItems":[{"id":"ITEM-1","itemData":{"DOI":"10.36713/epra2013","ISSN":"2455-3662","abstract":"ANNOTATION Practice shows that the lack or late receipt of information with special conditions for the use of territories often has a negative impact not only on the budget and time frame for the construction of a real estate facility, but also on the fate of the built facility in general. The protection areas of underground and above-ground engineering communications play an important role for the future in land use. And also, when using these lands for agricultural needs, with the correct organization of cadastral relations represents the relevance of the issue under study. In the present, as an example, a section of high-voltage power transmission lines (power lines) of 1 km length is presented.","author":[{"dropping-particle":"","family":"Listyaningsih","given":"","non-dropping-particle":"","parse-names":false,"suffix":""},{"dropping-particle":"","family":"Fransisca","given":"","non-dropping-particle":"","parse-names":false,"suffix":""}],"container-title":"EPRA International Journal of Multidisciplinary Research (IJMR)-Peer Reviewed Journal","id":"ITEM-1","issue":"2","issued":{"date-parts":[["2020"]]},"page":"242-251","title":"Investment Opportunity Set and Good Corporate Governance To Earnings quality","type":"article-journal"},"uris":["http://www.mendeley.com/documents/?uuid=e685aefb-41be-4506-845a-b17bcee0fb06"]}],"mendeley":{"formattedCitation":"(Listyaningsih &amp; Fransisca, 2020)","manualFormatting":"(Listyaningsih, 2020)","plainTextFormattedCitation":"(Listyaningsih &amp; Fransisca, 2020)","previouslyFormattedCitation":"(Listyaningsih &amp; Fransisca, 2020)"},"properties":{"noteIndex":0},"schema":"https://github.com/citation-style-language/schema/raw/master/csl-citation.json"}</w:instrText>
      </w:r>
      <w:r>
        <w:rPr>
          <w:w w:val="105"/>
        </w:rPr>
        <w:fldChar w:fldCharType="separate"/>
      </w:r>
      <w:r>
        <w:rPr>
          <w:noProof/>
          <w:w w:val="105"/>
        </w:rPr>
        <w:t>(Listyaningsih</w:t>
      </w:r>
      <w:r w:rsidRPr="00F34557">
        <w:rPr>
          <w:noProof/>
          <w:w w:val="105"/>
        </w:rPr>
        <w:t>, 2020)</w:t>
      </w:r>
      <w:r>
        <w:rPr>
          <w:w w:val="105"/>
        </w:rPr>
        <w:fldChar w:fldCharType="end"/>
      </w:r>
      <w:r>
        <w:rPr>
          <w:w w:val="105"/>
        </w:rPr>
        <w:t xml:space="preserve"> menyatakan kepemilikan manajerial dan kepemilikan institusional tidak berpengaruh terhadap kualitas laba. </w:t>
      </w:r>
      <w:r>
        <w:rPr>
          <w:w w:val="105"/>
        </w:rPr>
        <w:fldChar w:fldCharType="begin" w:fldLock="1"/>
      </w:r>
      <w:r>
        <w:rPr>
          <w:w w:val="105"/>
        </w:rPr>
        <w:instrText>ADDIN CSL_CITATION {"citationItems":[{"id":"ITEM-1","itemData":{"DOI":"10.9770/jesi.2019.7.1(15)","ISSN":"23450282","abstract":"The general objective of this research is to explore the model of earnings quality monitoring and to examine the effect of auditor independence on the relationship between corporate governance mechanism and earnings quality. Specifically, this research is aimed to investigate the impact of ownership structure, commissioner board structure, audit committee structure, internal audit function, and internal control activity, on earnings quality by involving an interaction of these variables with auditor independence. Earnings quality is measured with two proxies. The first proxy is performance-adjusted discretionary accruals or also called Total Accrual, while the second utilizes Total Current Accrual. Achieving all objectives above, the author develops a model and analyses this model in two stages. In the first stage, the model is explored using analysis technique of correlation and regression. Second, fittingness of model is attested using regression analysis with a variety of variable controls and sample controls. Research object is the manufacture companies listed in Indonesia Stock Exchange in period 2011-2015. The Sample includes 112 companies with 560 data of research. After conducting outlier test, the suitable amount of data is 553. The Result of hypothesis test indicates that the model of earnings quality monitoring is constructed from the interaction of many variables. Corporate governance mechanism consists of variables such as ownership structure (managerial ownership and institutional ownership), commissioner board structure, audit committee structure, internal audit function, and internal control activity. Adjusted R-Square value is reaching for 3.3% with significance-value of 0.001. Partially, commissioner board structure, internal audit function, and internal control activity have a significant effect on earnings quality. Auditor independence does not moderate the impact of corporate governance components on earnings quality.","author":[{"dropping-particle":"","family":"Arniati","given":"Tutik","non-dropping-particle":"","parse-names":false,"suffix":""},{"dropping-particle":"","family":"Puspita","given":"Dyah Aruning","non-dropping-particle":"","parse-names":false,"suffix":""},{"dropping-particle":"","family":"Amin","given":"Aminul","non-dropping-particle":"","parse-names":false,"suffix":""},{"dropping-particle":"","family":"Pirzada","given":"Kashan","non-dropping-particle":"","parse-names":false,"suffix":""}],"container-title":"Entrepreneurship and Sustainability Issues","id":"ITEM-1","issue":"1","issued":{"date-parts":[["2019"]]},"page":"188-200","title":"The implementation of good corporate governance model and auditor independence in earnings' quality improvement","type":"article-journal","volume":"7"},"uris":["http://www.mendeley.com/documents/?uuid=e6e3f526-2ccf-44c4-940f-cc3600351fbc"]}],"mendeley":{"formattedCitation":"(Arniati, Puspita, Amin, &amp; Pirzada, 2019)","plainTextFormattedCitation":"(Arniati, Puspita, Amin, &amp; Pirzada, 2019)","previouslyFormattedCitation":"(Arniati, Puspita, Amin, &amp; Pirzada, 2019)"},"properties":{"noteIndex":0},"schema":"https://github.com/citation-style-language/schema/raw/master/csl-citation.json"}</w:instrText>
      </w:r>
      <w:r>
        <w:rPr>
          <w:w w:val="105"/>
        </w:rPr>
        <w:fldChar w:fldCharType="separate"/>
      </w:r>
      <w:r w:rsidRPr="002E6060">
        <w:rPr>
          <w:noProof/>
          <w:w w:val="105"/>
        </w:rPr>
        <w:t>(Arniati, Puspita, Amin, &amp; Pirzada, 2019)</w:t>
      </w:r>
      <w:r>
        <w:rPr>
          <w:w w:val="105"/>
        </w:rPr>
        <w:fldChar w:fldCharType="end"/>
      </w:r>
      <w:r>
        <w:rPr>
          <w:w w:val="105"/>
        </w:rPr>
        <w:t xml:space="preserve"> menyatakan dewan komisaris independen tidak berpengaruh terhadap kualitas laba dan </w:t>
      </w:r>
      <w:r>
        <w:rPr>
          <w:w w:val="105"/>
        </w:rPr>
        <w:fldChar w:fldCharType="begin" w:fldLock="1"/>
      </w:r>
      <w:r>
        <w:rPr>
          <w:w w:val="105"/>
        </w:rPr>
        <w:instrText>ADDIN CSL_CITATION {"citationItems":[{"id":"ITEM-1","itemData":{"DOI":"10.35940/ijrte.e6817.018520","abstract":"Management understands that earnings information is very important for the company's future. Sometimes management does everything to maintain the company's profit trends, even by manipulating financial information. Some methods use by management can be divided into earning management and fraud. One of the common method uses is income smoothing. Income smoothing is a management action in reducing fluctuations in corporate profits. The purpose of this research is to examine factors influencing income smoothing. Populations in this research are companies in the sector of: property, real estate and building construction listed in Indonesia Stock Exchange period 2014-2018. The sampling method used was purposive sampling. Selected samples were 33 companies for 5 years, in total, there are 165 research data. The income smoothing variable is measured by eckel index. The result shows that all independent variables: audit firm size, firm size, audit committee, leverage and managerial ownership do not influence income smoothing","author":[{"dropping-particle":"","family":"Handoko","given":"Bambang Leo","non-dropping-particle":"","parse-names":false,"suffix":""},{"dropping-particle":"","family":"Horison","given":"Ronaldo","non-dropping-particle":"","parse-names":false,"suffix":""}],"container-title":"International Journal of Recent Technology and Engineering","id":"ITEM-1","issue":"5","issued":{"date-parts":[["2020"]]},"page":"4510-4516","title":"The Effect of Firm Size, Audit Committee, Leverage and Institutional Ownership on Earnings Quality","type":"article-journal","volume":"8"},"uris":["http://www.mendeley.com/documents/?uuid=c4442676-aec5-4529-826c-38efaa24f249"]}],"mendeley":{"formattedCitation":"(Handoko &amp; Horison, 2020)","plainTextFormattedCitation":"(Handoko &amp; Horison, 2020)","previouslyFormattedCitation":"(Handoko &amp; Horison, 2020)"},"properties":{"noteIndex":0},"schema":"https://github.com/citation-style-language/schema/raw/master/csl-citation.json"}</w:instrText>
      </w:r>
      <w:r>
        <w:rPr>
          <w:w w:val="105"/>
        </w:rPr>
        <w:fldChar w:fldCharType="separate"/>
      </w:r>
      <w:r w:rsidRPr="002E6060">
        <w:rPr>
          <w:noProof/>
          <w:w w:val="105"/>
        </w:rPr>
        <w:t>(Handoko &amp; Horison, 2020)</w:t>
      </w:r>
      <w:r>
        <w:rPr>
          <w:w w:val="105"/>
        </w:rPr>
        <w:fldChar w:fldCharType="end"/>
      </w:r>
      <w:r>
        <w:rPr>
          <w:w w:val="105"/>
        </w:rPr>
        <w:t xml:space="preserve"> menyatakan komite audit tidak berpengaruh terhadap kualitas laba.</w:t>
      </w:r>
    </w:p>
    <w:p w:rsidR="002165D7" w:rsidRDefault="002165D7" w:rsidP="002165D7">
      <w:pPr>
        <w:pStyle w:val="BodyText"/>
        <w:spacing w:before="9"/>
        <w:ind w:firstLine="720"/>
        <w:jc w:val="both"/>
        <w:rPr>
          <w:w w:val="105"/>
        </w:rPr>
      </w:pPr>
      <w:r>
        <w:rPr>
          <w:w w:val="105"/>
        </w:rPr>
        <w:t xml:space="preserve">Pengungkapan </w:t>
      </w:r>
      <w:r w:rsidRPr="009631F4">
        <w:rPr>
          <w:i/>
          <w:w w:val="105"/>
        </w:rPr>
        <w:t>Corporate Social Responsibility</w:t>
      </w:r>
      <w:r>
        <w:rPr>
          <w:w w:val="105"/>
        </w:rPr>
        <w:t xml:space="preserve"> merupakan salah satu faktor yang dapat mempengaruhi kualitas laba perusahaan dimana banyak perusahaan  menggunakan laporan tanggung sosial sebagai strategi dalam manajemen laba </w:t>
      </w:r>
      <w:r>
        <w:rPr>
          <w:w w:val="105"/>
        </w:rPr>
        <w:fldChar w:fldCharType="begin" w:fldLock="1"/>
      </w:r>
      <w:r>
        <w:rPr>
          <w:w w:val="105"/>
        </w:rPr>
        <w:instrText>ADDIN CSL_CITATION {"citationItems":[{"id":"ITEM-1","itemData":{"DOI":"10.1108/MAJ-02-2014-0997","ISSN":"02686902","abstract":"Purpose – This paper aims to explore the relationship between corporate social responsibility (CSR) disclosures and earnings quality proxied by earnings accruals. Specifically, we examine whether CSR disclosures are context-specific, that is, whether companies dominated by powerful stakeholders are obliged to behave in a responsible manner to constrain earnings management, thereby reporting higher-quality earnings to investors. Design/methodology/approach – This paper explores the relationship between CSR disclosures and earnings quality proxied by earnings accruals. Specifically, we examine whether CSR disclosures are context-specific, that is, whether companies dominated by powerful stakeholders are obliged to behave in a responsible manner to constrain earnings management, thereby reporting higher-quality earnings to investors. Findings – Results show that managers in an emerging economy manage earnings when they provide more CSR disclosures. Such earnings management is achieved through income increasing discretionary accruals. Furthermore, companies from export-oriented industries dominated by powerful stakeholders (international buyers) disclosing more CSR activities, provide transparent financial reports through constraining earnings management. Originality/value – The findings of this study are significant for both investors and policymakers. Investors should not take for granted that firms engage in CSR activities, behave ethically and provide transparent financial reports. As we document that firms might manipulate earnings through discretionary accruals and provide less transparent financial reports to shareholders, the credibility of firms’ CSR policies should be assessed with caution. Policies directing at promoting socially responsible practices instead of motivating the desired behaviour, may provide managers with additional incentives to utilise CSR for opportunistic behaviour. Thus, policymakers need to be cautious about this opportunistic behaviour and enhance monitoring to enforce social compliance. Possibly, some guidelines can be introduced to confirm that CSR disclosures are based on actual practice and not just a “green wash” statement to deceive stakeholders.","author":[{"dropping-particle":"","family":"Muttakin","given":"Mohammad Badrul","non-dropping-particle":"","parse-names":false,"suffix":""},{"dropping-particle":"","family":"Khan","given":"Arifur","non-dropping-particle":"","parse-names":false,"suffix":""},{"dropping-particle":"","family":"Azim","given":"Mohammad I.","non-dropping-particle":"","parse-names":false,"suffix":""}],"container-title":"Managerial Auditing Journal","id":"ITEM-1","issue":"3","issued":{"date-parts":[["2015"]]},"page":"277-298","title":"Corporate social responsibility disclosures and earnings quality: Are they a reflection of managers’ opportunistic behavior?","type":"article-journal","volume":"30"},"uris":["http://www.mendeley.com/documents/?uuid=8af1939f-1de6-4ce0-95ac-66b5e59a32f0"]}],"mendeley":{"formattedCitation":"(Muttakin, Khan, &amp; Azim, 2015)","plainTextFormattedCitation":"(Muttakin, Khan, &amp; Azim, 2015)","previouslyFormattedCitation":"(Muttakin, Khan, &amp; Azim, 2015)"},"properties":{"noteIndex":0},"schema":"https://github.com/citation-style-language/schema/raw/master/csl-citation.json"}</w:instrText>
      </w:r>
      <w:r>
        <w:rPr>
          <w:w w:val="105"/>
        </w:rPr>
        <w:fldChar w:fldCharType="separate"/>
      </w:r>
      <w:r w:rsidRPr="002E6060">
        <w:rPr>
          <w:noProof/>
          <w:w w:val="105"/>
        </w:rPr>
        <w:t>(Muttakin, Khan, &amp; Azim, 2015)</w:t>
      </w:r>
      <w:r>
        <w:rPr>
          <w:w w:val="105"/>
        </w:rPr>
        <w:fldChar w:fldCharType="end"/>
      </w:r>
      <w:r>
        <w:rPr>
          <w:w w:val="105"/>
        </w:rPr>
        <w:t xml:space="preserve">. Hal ini dikarenakan perusahaan yang melakukan CSR dengan baik lebih mungkin melaporkan kualitas laba yang diinginkan oleh investor daripada perusahaan lain. Pengungkapan aktivitas CSR oleh perusahaan menjadi tolak ukur </w:t>
      </w:r>
      <w:r>
        <w:rPr>
          <w:w w:val="105"/>
        </w:rPr>
        <w:lastRenderedPageBreak/>
        <w:t xml:space="preserve">transparansi pelaporan keuangan dan merupakan salah satu bentuk pertanggungjawaban perusahaan terhadap </w:t>
      </w:r>
      <w:r w:rsidRPr="009E7F0A">
        <w:rPr>
          <w:i/>
          <w:w w:val="105"/>
        </w:rPr>
        <w:t>stakeholder</w:t>
      </w:r>
      <w:r>
        <w:rPr>
          <w:w w:val="105"/>
        </w:rPr>
        <w:t xml:space="preserve"> </w:t>
      </w:r>
      <w:r>
        <w:rPr>
          <w:w w:val="105"/>
        </w:rPr>
        <w:fldChar w:fldCharType="begin" w:fldLock="1"/>
      </w:r>
      <w:r>
        <w:rPr>
          <w:w w:val="105"/>
        </w:rPr>
        <w:instrText>ADDIN CSL_CITATION {"citationItems":[{"id":"ITEM-1","itemData":{"author":[{"dropping-particle":"","family":"Hutasoit","given":"Supriani","non-dropping-particle":"","parse-names":false,"suffix":""},{"dropping-particle":"","family":"Harahap","given":"Khairunnisa","non-dropping-particle":"","parse-names":false,"suffix":""},{"dropping-particle":"","family":"Nst","given":"Akmal Huda","non-dropping-particle":"","parse-names":false,"suffix":""},{"dropping-particle":"","family":"Teori","given":"Landasan","non-dropping-particle":"","parse-names":false,"suffix":""},{"dropping-particle":"","family":"Pengembangan","given":"Dan","non-dropping-particle":"","parse-names":false,"suffix":""}],"container-title":"Jurnal Akuntansi, Keuangan dan Perpajakan Indonesia (JAKPI)","id":"ITEM-1","issued":{"date-parts":[["2020"]]},"page":"0-10","title":"Pengaruh Corporate Social Responsibility Terhadap Earning Quality Pada Perusahaan Pertambangan Yang Terdaftar Di Bursa Efek Indonesia Tahun 2015 - 2017","type":"article-journal"},"uris":["http://www.mendeley.com/documents/?uuid=2698de63-bb05-4377-9af8-7953cfd8402f"]}],"mendeley":{"formattedCitation":"(Hutasoit, Harahap, Nst, Teori, &amp; Pengembangan, 2020)","plainTextFormattedCitation":"(Hutasoit, Harahap, Nst, Teori, &amp; Pengembangan, 2020)","previouslyFormattedCitation":"(Hutasoit, Harahap, Nst, Teori, &amp; Pengembangan, 2020)"},"properties":{"noteIndex":0},"schema":"https://github.com/citation-style-language/schema/raw/master/csl-citation.json"}</w:instrText>
      </w:r>
      <w:r>
        <w:rPr>
          <w:w w:val="105"/>
        </w:rPr>
        <w:fldChar w:fldCharType="separate"/>
      </w:r>
      <w:r w:rsidRPr="002E6060">
        <w:rPr>
          <w:noProof/>
          <w:w w:val="105"/>
        </w:rPr>
        <w:t>(Hutasoit, Harahap, Nst, Teori, &amp; Pengembangan, 2020)</w:t>
      </w:r>
      <w:r>
        <w:rPr>
          <w:w w:val="105"/>
        </w:rPr>
        <w:fldChar w:fldCharType="end"/>
      </w:r>
      <w:r>
        <w:rPr>
          <w:w w:val="105"/>
        </w:rPr>
        <w:t xml:space="preserve">. Penelitian sebelumnya yang dilakukan oleh </w:t>
      </w:r>
      <w:r>
        <w:rPr>
          <w:w w:val="105"/>
        </w:rPr>
        <w:fldChar w:fldCharType="begin" w:fldLock="1"/>
      </w:r>
      <w:r>
        <w:rPr>
          <w:w w:val="105"/>
        </w:rPr>
        <w:instrText>ADDIN CSL_CITATION {"citationItems":[{"id":"ITEM-1","itemData":{"DOI":"10.1002/csr.1922","ISSN":"15353966","abstract":"The objective of this study was to investigate the association between corporate social responsibility (CSR) and earnings transparency of Korean companies. Transparency is one of key principles of CSR activities. We will focus on accounting transparency as accounting provides fundamental financial information about a company. Our results showed that companies with superior CSR activities had higher earnings transparency. This suggests that the more a company performs CSR, the more it gets trust from market participants on earnings information. We tested whether continuance of CSR commitments could affect the level of transparency. Our results revealed found that a company with a longer period of CSR activities had higher earnings transparency. This implies that CSR activities on ongoing-basis encourage a company to disclose its information to outside stockholders in an open way.","author":[{"dropping-particle":"","family":"Park","given":"Hee Jin","non-dropping-particle":"","parse-names":false,"suffix":""},{"dropping-particle":"","family":"Ha","given":"Mi Hye","non-dropping-particle":"","parse-names":false,"suffix":""}],"container-title":"Corporate Social Responsibility and Environmental Management","id":"ITEM-1","issue":"3","issued":{"date-parts":[["2020"]]},"page":"1498-1508","title":"Corporate social responsibility and earnings transparency: Evidence from Korea","type":"article-journal","volume":"27"},"uris":["http://www.mendeley.com/documents/?uuid=2b07f64e-6410-43c9-bcc7-80364771adf6"]}],"mendeley":{"formattedCitation":"(Park &amp; Ha, 2020)","plainTextFormattedCitation":"(Park &amp; Ha, 2020)","previouslyFormattedCitation":"(Park &amp; Ha, 2020)"},"properties":{"noteIndex":0},"schema":"https://github.com/citation-style-language/schema/raw/master/csl-citation.json"}</w:instrText>
      </w:r>
      <w:r>
        <w:rPr>
          <w:w w:val="105"/>
        </w:rPr>
        <w:fldChar w:fldCharType="separate"/>
      </w:r>
      <w:r w:rsidRPr="002E6060">
        <w:rPr>
          <w:noProof/>
          <w:w w:val="105"/>
        </w:rPr>
        <w:t>(Park &amp; Ha, 2020)</w:t>
      </w:r>
      <w:r>
        <w:rPr>
          <w:w w:val="105"/>
        </w:rPr>
        <w:fldChar w:fldCharType="end"/>
      </w:r>
      <w:r>
        <w:rPr>
          <w:w w:val="105"/>
        </w:rPr>
        <w:t>;</w:t>
      </w:r>
      <w:r>
        <w:rPr>
          <w:w w:val="105"/>
        </w:rPr>
        <w:fldChar w:fldCharType="begin" w:fldLock="1"/>
      </w:r>
      <w:r>
        <w:rPr>
          <w:w w:val="105"/>
        </w:rPr>
        <w:instrText>ADDIN CSL_CITATION {"citationItems":[{"id":"ITEM-1","itemData":{"author":[{"dropping-particle":"","family":"Suwarno","given":"Suwarno","non-dropping-particle":"","parse-names":false,"suffix":""},{"dropping-particle":"","family":"Rahmawati","given":"Rahmawati","non-dropping-particle":"","parse-names":false,"suffix":""},{"dropping-particle":"","family":"Djuminah","given":"Djuminah","non-dropping-particle":"","parse-names":false,"suffix":""},{"dropping-particle":"","family":"Muthmainah","given":"Muthmainah","non-dropping-particle":"","parse-names":false,"suffix":""}],"container-title":"Journal of Southwest Jiaotong University","id":"ITEM-1","issue":"2","issued":{"date-parts":[["2020"]]},"title":"Is Corporate Social Responsibility Disclosure Good for Accrual Profit and Real Manipulative Profit Managements ?","type":"article-journal","volume":"55"},"uris":["http://www.mendeley.com/documents/?uuid=07f757d3-0305-43b6-9e23-83eb06c87e1b"]}],"mendeley":{"formattedCitation":"(Suwarno, Rahmawati, Djuminah, &amp; Muthmainah, 2020)","plainTextFormattedCitation":"(Suwarno, Rahmawati, Djuminah, &amp; Muthmainah, 2020)","previouslyFormattedCitation":"(Suwarno, Rahmawati, Djuminah, &amp; Muthmainah, 2020)"},"properties":{"noteIndex":0},"schema":"https://github.com/citation-style-language/schema/raw/master/csl-citation.json"}</w:instrText>
      </w:r>
      <w:r>
        <w:rPr>
          <w:w w:val="105"/>
        </w:rPr>
        <w:fldChar w:fldCharType="separate"/>
      </w:r>
      <w:r w:rsidRPr="002E6060">
        <w:rPr>
          <w:noProof/>
          <w:w w:val="105"/>
        </w:rPr>
        <w:t>(Suwarno, Rahmawati, Djuminah, &amp; Muthmainah, 2020)</w:t>
      </w:r>
      <w:r>
        <w:rPr>
          <w:w w:val="105"/>
        </w:rPr>
        <w:fldChar w:fldCharType="end"/>
      </w:r>
      <w:r>
        <w:rPr>
          <w:w w:val="105"/>
        </w:rPr>
        <w:t>;</w:t>
      </w:r>
      <w:r>
        <w:rPr>
          <w:w w:val="105"/>
        </w:rPr>
        <w:fldChar w:fldCharType="begin" w:fldLock="1"/>
      </w:r>
      <w:r>
        <w:rPr>
          <w:w w:val="105"/>
        </w:rPr>
        <w:instrText>ADDIN CSL_CITATION {"citationItems":[{"id":"ITEM-1","itemData":{"DOI":"10.1016/j.gfj.2019.05.002","ISSN":"10440283","abstract":"We examine the association between corporate social responsibility (CSR)and earnings quality using CSR ranking data from Rankins (RKS)and four measures of earnings quality. Using a sample of 2580 Chinese listed firms for fiscal years 2009–2015, with 14,807 firm-year observations, we find that CSR firms and those with higher CSR ratings are less likely to engage in earnings management than non-CSR firms and those with lower CSR ratings, and their earnings are more persistent and more accurately predict future cash flows from operations. State ownership and marketization moderate the relationship between CSR disclosures and earnings quality.","author":[{"dropping-particle":"","family":"Rezaee","given":"Zabihollah","non-dropping-particle":"","parse-names":false,"suffix":""},{"dropping-particle":"","family":"Dou","given":"Huan","non-dropping-particle":"","parse-names":false,"suffix":""},{"dropping-particle":"","family":"Zhang","given":"Huili","non-dropping-particle":"","parse-names":false,"suffix":""}],"container-title":"Global Finance Journal","id":"ITEM-1","issue":"April","issued":{"date-parts":[["2019"]]},"page":"100473","publisher":"Elsevier","title":"Corporate social responsibility and earnings quality: Evidence from China","type":"article-journal"},"uris":["http://www.mendeley.com/documents/?uuid=fbe9a4b8-5836-446c-91d0-90694b7c9d3c"]}],"mendeley":{"formattedCitation":"(Rezaee, Dou, &amp; Zhang, 2019)","plainTextFormattedCitation":"(Rezaee, Dou, &amp; Zhang, 2019)","previouslyFormattedCitation":"(Rezaee, Dou, &amp; Zhang, 2019)"},"properties":{"noteIndex":0},"schema":"https://github.com/citation-style-language/schema/raw/master/csl-citation.json"}</w:instrText>
      </w:r>
      <w:r>
        <w:rPr>
          <w:w w:val="105"/>
        </w:rPr>
        <w:fldChar w:fldCharType="separate"/>
      </w:r>
      <w:r w:rsidRPr="002E6060">
        <w:rPr>
          <w:noProof/>
          <w:w w:val="105"/>
        </w:rPr>
        <w:t>(Rezaee, Dou, &amp; Zhang, 2019)</w:t>
      </w:r>
      <w:r>
        <w:rPr>
          <w:w w:val="105"/>
        </w:rPr>
        <w:fldChar w:fldCharType="end"/>
      </w:r>
      <w:r>
        <w:rPr>
          <w:w w:val="105"/>
        </w:rPr>
        <w:t>;</w:t>
      </w:r>
      <w:r>
        <w:rPr>
          <w:w w:val="105"/>
        </w:rPr>
        <w:fldChar w:fldCharType="begin" w:fldLock="1"/>
      </w:r>
      <w:r>
        <w:rPr>
          <w:w w:val="105"/>
        </w:rPr>
        <w:instrText>ADDIN CSL_CITATION {"citationItems":[{"id":"ITEM-1","itemData":{"DOI":"10.1108/jgr-04-2019-0041","ISSN":"2041-2568","abstract":"Purpose This paper aims to examine whether corporate social\nresponsibility (CSR) is associated with firms' earnings quality (EQ) and\nhow this association is context-specific. The authors consider specific\ninstitutional differences in strength of corporate governance (CG)\nattributes, quality of law enforcement and level of investor protection\nfound between Anglo-American, European and South-Eastern Asian CG models\nto test the impact of above country-level factors on this association.\nDesign/methodology/approach To test the association between CSR and EQ,\nthe authors consider EIRIS (Ethical Investment Research Service) (2018)\nCSR issues of sustainability indicators as proxy to capture CSR.\nFollowing Rezaee and Tuo's (2019) study, the authors classify EQ into\ninnate earnings quality (IEQ) and discretionary earnings quality (DEQ).\nThe authors investigate the innate (discretionary) EQ as to refer to\nfirm's inherent operating uncertainty (earnings management). Several\ndependency models for panel data applying the generalized method of\nmoment (GMM) estimator of Arellano and Bond (1991) are ruled based on\narchival data of 4,206 non-financial international listed firms over the\nperiod 2012-2017. Findings Univariate and GMM multivariate cross-country\nanalyses show that CSR is positively associated with EQ and that this\nassociation is more pronounced for firms within countries where good CG\ntools and higher investor right protection are preserved. The authors\ninterpret the findings as evidence that the CSR-EQ association is shaped\nby the degree of monitoring role played by institutional features at the\ncountry level. The results are robust to a battery of robustness tests.\nOriginality/value The originality of this research is twice. On the one\nhand, it examines whether CSR is a reflection of manager's ethical\nopportunistic behavior resultant on earnings quality derived from a\nfirm's innate traits. On the second hand, it tests whether CSR is a\nreflection of discretionary earnings quality manifested by earnings\nmanagement behavior. This paper is the first to support that\ninstitutional features significantly matter when investigating the\nassociation between CSR and EQ.","author":[{"dropping-particle":"","family":"Jouber","given":"Habib","non-dropping-particle":"","parse-names":false,"suffix":""}],"container-title":"Journal of Global Responsibility","id":"ITEM-1","issue":"1","issued":{"date-parts":[["2019"]]},"page":"54-92","title":"Corporate social responsibility and earnings quality: do institutional features matter?","type":"article-journal","volume":"11"},"uris":["http://www.mendeley.com/documents/?uuid=a8f31a97-8a53-4cf6-8333-f20ad90f6c7e"]}],"mendeley":{"formattedCitation":"(Jouber, 2019)","plainTextFormattedCitation":"(Jouber, 2019)","previouslyFormattedCitation":"(Jouber, 2019)"},"properties":{"noteIndex":0},"schema":"https://github.com/citation-style-language/schema/raw/master/csl-citation.json"}</w:instrText>
      </w:r>
      <w:r>
        <w:rPr>
          <w:w w:val="105"/>
        </w:rPr>
        <w:fldChar w:fldCharType="separate"/>
      </w:r>
      <w:r w:rsidRPr="00E975F2">
        <w:rPr>
          <w:noProof/>
          <w:w w:val="105"/>
        </w:rPr>
        <w:t>(Jouber, 2019)</w:t>
      </w:r>
      <w:r>
        <w:rPr>
          <w:w w:val="105"/>
        </w:rPr>
        <w:fldChar w:fldCharType="end"/>
      </w:r>
      <w:r>
        <w:rPr>
          <w:w w:val="105"/>
        </w:rPr>
        <w:t xml:space="preserve"> dan </w:t>
      </w:r>
      <w:r>
        <w:rPr>
          <w:w w:val="105"/>
        </w:rPr>
        <w:fldChar w:fldCharType="begin" w:fldLock="1"/>
      </w:r>
      <w:r>
        <w:rPr>
          <w:w w:val="105"/>
        </w:rPr>
        <w:instrText>ADDIN CSL_CITATION {"citationItems":[{"id":"ITEM-1","itemData":{"abstract":"Tujuan penelitian ini adalah untuk mengetahui valuasi kesadaran lingkungan dan Corporate Social Responsbility dengan moderasi komite audit. Penelitian ini menggunakan metode survei. Populasi 135 BUMN bidang kontruksi dan industri properti sebanyak 96 BUMN. Pengambilan sampel dengan purposive sampling sebanyak 49 BUMN. Hasil penelitian ini menunjukkan bahwa tidak ada pengaruh yang signifikan antara kesadaran lingkungan terhadap kualitas laba BUMN. Ada pengaruh yang signifikan antara Corporate Social Responsibility terhadap kualitas laba BUMN. Namun Komite Audit independen tidak memoderasi pengaruh CSR terhadap kualitas laba BUMN.Temuan penelitian ini adalah rata-rata industri konstruksi menyajikan kesadaran lingkungan tidak begitu terperinci baik dari aspek akuntansi dan faktor keuangan, litigasi lingkungan, pencegahan polusi lingkungan, dan aspek lainnya, hanya menunjukkan bahwa perusahaan telah melakukan kegiatan sosial yang berkaitan dengan lingkungan dan sebagai voluntary disclosure. Semakin tinggi indeks CSR maka semakin tinggi kualitas laba perusahaan kontruksi dan sebagai mandatory disclosure. Komite audit independen belum berperan dalam meningkatkan kualitas laba, karena masih sebatas memenuhi syarat dari Otoritas Jasa Keuangan","author":[{"dropping-particle":"","family":"Bagus","given":"Ronny","non-dropping-particle":"","parse-names":false,"suffix":""},{"dropping-particle":"","family":"Djaddang","given":"Syahril","non-dropping-particle":"","parse-names":false,"suffix":""}],"container-title":"Jurnal Ekonomi dan Bisnis","id":"ITEM-1","issue":"1","issued":{"date-parts":[["2018"]]},"page":"97-114","title":"Valuasi kesadaran lingkungan , corporate social responsibility terhadap kualitas laba dengan moderasi komite audit","type":"article-journal","volume":"21"},"uris":["http://www.mendeley.com/documents/?uuid=6caa384c-3acb-4da7-b439-d80ccaf6881b"]}],"mendeley":{"formattedCitation":"(Bagus &amp; Djaddang, 2018)","plainTextFormattedCitation":"(Bagus &amp; Djaddang, 2018)","previouslyFormattedCitation":"(Bagus &amp; Djaddang, 2018)"},"properties":{"noteIndex":0},"schema":"https://github.com/citation-style-language/schema/raw/master/csl-citation.json"}</w:instrText>
      </w:r>
      <w:r>
        <w:rPr>
          <w:w w:val="105"/>
        </w:rPr>
        <w:fldChar w:fldCharType="separate"/>
      </w:r>
      <w:r w:rsidRPr="002E6060">
        <w:rPr>
          <w:noProof/>
          <w:w w:val="105"/>
        </w:rPr>
        <w:t>(Bagus &amp; Djaddang, 2018)</w:t>
      </w:r>
      <w:r>
        <w:rPr>
          <w:w w:val="105"/>
        </w:rPr>
        <w:fldChar w:fldCharType="end"/>
      </w:r>
      <w:r>
        <w:rPr>
          <w:w w:val="105"/>
        </w:rPr>
        <w:t xml:space="preserve"> menyatakan bahwa pengungkapan CSR berpengaruh terhadap kualitas laba. Berbeda dengan penelitian yang dilakukan oleh </w:t>
      </w:r>
      <w:r>
        <w:rPr>
          <w:w w:val="105"/>
        </w:rPr>
        <w:fldChar w:fldCharType="begin" w:fldLock="1"/>
      </w:r>
      <w:r>
        <w:rPr>
          <w:w w:val="105"/>
        </w:rPr>
        <w:instrText>ADDIN CSL_CITATION {"citationItems":[{"id":"ITEM-1","itemData":{"author":[{"dropping-particle":"","family":"Hutasoit","given":"Supriani","non-dropping-particle":"","parse-names":false,"suffix":""},{"dropping-particle":"","family":"Harahap","given":"Khairunnisa","non-dropping-particle":"","parse-names":false,"suffix":""},{"dropping-particle":"","family":"Nst","given":"Akmal Huda","non-dropping-particle":"","parse-names":false,"suffix":""},{"dropping-particle":"","family":"Teori","given":"Landasan","non-dropping-particle":"","parse-names":false,"suffix":""},{"dropping-particle":"","family":"Pengembangan","given":"Dan","non-dropping-particle":"","parse-names":false,"suffix":""}],"container-title":"Jurnal Akuntansi, Keuangan dan Perpajakan Indonesia (JAKPI)","id":"ITEM-1","issued":{"date-parts":[["2020"]]},"page":"0-10","title":"Pengaruh Corporate Social Responsibility Terhadap Earning Quality Pada Perusahaan Pertambangan Yang Terdaftar Di Bursa Efek Indonesia Tahun 2015 - 2017","type":"article-journal"},"uris":["http://www.mendeley.com/documents/?uuid=2698de63-bb05-4377-9af8-7953cfd8402f"]}],"mendeley":{"formattedCitation":"(Hutasoit et al., 2020)","plainTextFormattedCitation":"(Hutasoit et al., 2020)","previouslyFormattedCitation":"(Hutasoit et al., 2020)"},"properties":{"noteIndex":0},"schema":"https://github.com/citation-style-language/schema/raw/master/csl-citation.json"}</w:instrText>
      </w:r>
      <w:r>
        <w:rPr>
          <w:w w:val="105"/>
        </w:rPr>
        <w:fldChar w:fldCharType="separate"/>
      </w:r>
      <w:r w:rsidRPr="002E6060">
        <w:rPr>
          <w:noProof/>
          <w:w w:val="105"/>
        </w:rPr>
        <w:t>(Hutasoit et al., 2020)</w:t>
      </w:r>
      <w:r>
        <w:rPr>
          <w:w w:val="105"/>
        </w:rPr>
        <w:fldChar w:fldCharType="end"/>
      </w:r>
      <w:r>
        <w:rPr>
          <w:w w:val="105"/>
        </w:rPr>
        <w:t xml:space="preserve"> menyatakan bahwa pengungkapan CSR tidak berpengaruh terhadap kualitas laba. </w:t>
      </w:r>
      <w:proofErr w:type="gramStart"/>
      <w:r>
        <w:rPr>
          <w:w w:val="105"/>
        </w:rPr>
        <w:t>Informasi laba memberikan peranan bagi investor untuk menanamkan modalnya pada perusahaan.</w:t>
      </w:r>
      <w:proofErr w:type="gramEnd"/>
      <w:r>
        <w:rPr>
          <w:w w:val="105"/>
        </w:rPr>
        <w:t xml:space="preserve"> Jika laba suatu perusahaan tinggi maka </w:t>
      </w:r>
      <w:r>
        <w:rPr>
          <w:i/>
          <w:w w:val="105"/>
        </w:rPr>
        <w:t>R</w:t>
      </w:r>
      <w:r w:rsidRPr="005877B2">
        <w:rPr>
          <w:i/>
          <w:w w:val="105"/>
        </w:rPr>
        <w:t>eturn</w:t>
      </w:r>
      <w:r>
        <w:rPr>
          <w:w w:val="105"/>
        </w:rPr>
        <w:t xml:space="preserve"> yang diperoleh oleh investor cenderung tinggi begitu sebaliknya. Penelitian sebelumnya yang dilakukan oleh </w:t>
      </w:r>
      <w:r>
        <w:rPr>
          <w:w w:val="105"/>
        </w:rPr>
        <w:fldChar w:fldCharType="begin" w:fldLock="1"/>
      </w:r>
      <w:r>
        <w:rPr>
          <w:w w:val="105"/>
        </w:rPr>
        <w:instrText>ADDIN CSL_CITATION {"citationItems":[{"id":"ITEM-1","itemData":{"DOI":"10.14419/ijet.v7i4.9.21089","abstract":"This study was conducted by the firm that included the stock index of IDX (Indonesian stock exchange) consist of the 45 best stocks (LQ45 index companies) that are listed on the Indonesian Securities. This study aims to assess the effect of earnings per share and the firm size on stock prices. The purpose of this study is also to prove that the size of the firm can moderate the relationship between earnings per share and stock prices. By conducting a regression analysis, this study gives evidence that earnings per share and firm size have a significant effect on stock prices. The size of the firm is also able to moderate the relationship between earnings per share and stock prices. The results of this study gave evidence that profit and the size of the company can provide important information for investors in making decisions. ","author":[{"dropping-particle":"","family":"Yuliza","given":"Arma","non-dropping-particle":"","parse-names":false,"suffix":""}],"container-title":"International Journal of Engineering &amp; Technology","id":"ITEM-1","issue":"4.9","issued":{"date-parts":[["2018"]]},"page":"247","title":"The Effects of Earnings Per Share and Firm Size to Stock Price LQ45 Company Listed in Indonesian Securities","type":"article-journal","volume":"7"},"uris":["http://www.mendeley.com/documents/?uuid=65280c2c-7de8-4bba-8bbe-10422b22ebe5"]}],"mendeley":{"formattedCitation":"(Yuliza, 2018)","plainTextFormattedCitation":"(Yuliza, 2018)","previouslyFormattedCitation":"(Yuliza, 2018)"},"properties":{"noteIndex":0},"schema":"https://github.com/citation-style-language/schema/raw/master/csl-citation.json"}</w:instrText>
      </w:r>
      <w:r>
        <w:rPr>
          <w:w w:val="105"/>
        </w:rPr>
        <w:fldChar w:fldCharType="separate"/>
      </w:r>
      <w:r w:rsidRPr="005877B2">
        <w:rPr>
          <w:noProof/>
          <w:w w:val="105"/>
        </w:rPr>
        <w:t>(Yuliza, 2018)</w:t>
      </w:r>
      <w:r>
        <w:rPr>
          <w:w w:val="105"/>
        </w:rPr>
        <w:fldChar w:fldCharType="end"/>
      </w:r>
      <w:r>
        <w:rPr>
          <w:w w:val="105"/>
        </w:rPr>
        <w:t xml:space="preserve"> dan </w:t>
      </w:r>
      <w:r>
        <w:rPr>
          <w:w w:val="105"/>
        </w:rPr>
        <w:fldChar w:fldCharType="begin" w:fldLock="1"/>
      </w:r>
      <w:r>
        <w:rPr>
          <w:w w:val="105"/>
        </w:rPr>
        <w:instrText>ADDIN CSL_CITATION {"citationItems":[{"id":"ITEM-1","itemData":{"DOI":"10.34208/jba.v21i2.616","ISSN":"1410-9875","abstract":"This research aims to know the influence of return on asset, return on equity, and net profit margin on stock return. The population used Minning Company on the BEI with the observation periods during 2013 until 2017 as many as 13 companies. The source of the secondary data has been obtained from Indonesia Stock Exchange. The data analysis technique has been carried out by using multiple linear regressions analysis. Based on the result of the analysis indicate that return on asset, return on equity, and net profit margin significant effect on stock return of banking company. Based on the test results are partially, return on asset has a negative and significant effect on stock returns, return on equity and net profit margin have influence to the stock return of Minning Company.","author":[{"dropping-particle":"","family":"Simorangkir","given":"Rona Tumiur Mauli Carolin","non-dropping-particle":"","parse-names":false,"suffix":""}],"container-title":"Jurnal Bisnis dan Akuntansi","id":"ITEM-1","issue":"2","issued":{"date-parts":[["2019"]]},"page":"155-164","title":"Pengaruh Kinerja Keuangan Terhadap Return Saham Perusahaan Pertambangan","type":"article-journal","volume":"21"},"uris":["http://www.mendeley.com/documents/?uuid=734258ce-54e6-4000-8054-20d0fc7a5afa"]}],"mendeley":{"formattedCitation":"(Simorangkir, 2019)","plainTextFormattedCitation":"(Simorangkir, 2019)","previouslyFormattedCitation":"(Simorangkir, 2019)"},"properties":{"noteIndex":0},"schema":"https://github.com/citation-style-language/schema/raw/master/csl-citation.json"}</w:instrText>
      </w:r>
      <w:r>
        <w:rPr>
          <w:w w:val="105"/>
        </w:rPr>
        <w:fldChar w:fldCharType="separate"/>
      </w:r>
      <w:r w:rsidRPr="005877B2">
        <w:rPr>
          <w:noProof/>
          <w:w w:val="105"/>
        </w:rPr>
        <w:t>(Simorangkir, 2019)</w:t>
      </w:r>
      <w:r>
        <w:rPr>
          <w:w w:val="105"/>
        </w:rPr>
        <w:fldChar w:fldCharType="end"/>
      </w:r>
      <w:r>
        <w:rPr>
          <w:w w:val="105"/>
        </w:rPr>
        <w:t xml:space="preserve"> menyatakan bahwa kualitas laba berpengaruh terhadap </w:t>
      </w:r>
      <w:r>
        <w:rPr>
          <w:i/>
          <w:w w:val="105"/>
        </w:rPr>
        <w:t>R</w:t>
      </w:r>
      <w:r w:rsidRPr="005877B2">
        <w:rPr>
          <w:i/>
          <w:w w:val="105"/>
        </w:rPr>
        <w:t>eturn</w:t>
      </w:r>
      <w:r>
        <w:rPr>
          <w:w w:val="105"/>
        </w:rPr>
        <w:t xml:space="preserve"> saham perusahaan. Berbeda penelitian yang dilakukan oleh </w:t>
      </w:r>
      <w:r>
        <w:rPr>
          <w:w w:val="105"/>
        </w:rPr>
        <w:fldChar w:fldCharType="begin" w:fldLock="1"/>
      </w:r>
      <w:r>
        <w:rPr>
          <w:w w:val="105"/>
        </w:rPr>
        <w:instrText>ADDIN CSL_CITATION {"citationItems":[{"id":"ITEM-1","itemData":{"author":[{"dropping-particle":"","family":"Damanik","given":"Pala Juni","non-dropping-particle":"","parse-names":false,"suffix":""},{"dropping-particle":"","family":"Pancasila","given":"Universitas","non-dropping-particle":"","parse-names":false,"suffix":""},{"dropping-particle":"","family":"Akuntansi","given":"Magister","non-dropping-particle":"","parse-names":false,"suffix":""},{"dropping-particle":"","family":"Pancasila","given":"Universitas","non-dropping-particle":"","parse-names":false,"suffix":""}],"container-title":"Jurnal Riset Akuntansi dan Perpajakan","id":"ITEM-1","issue":"1","issued":{"date-parts":[["2019"]]},"page":"63-74","title":"Kemampuan Net Income , Other Comprehensive Income , Return dan Peran Pemoderasi Kualitas Laba","type":"article-journal","volume":"6"},"uris":["http://www.mendeley.com/documents/?uuid=95480002-3ac1-4251-8528-4c71997bdff7"]}],"mendeley":{"formattedCitation":"(Damanik, Pancasila, Akuntansi, &amp; Pancasila, 2019)","plainTextFormattedCitation":"(Damanik, Pancasila, Akuntansi, &amp; Pancasila, 2019)","previouslyFormattedCitation":"(Damanik, Pancasila, Akuntansi, &amp; Pancasila, 2019)"},"properties":{"noteIndex":0},"schema":"https://github.com/citation-style-language/schema/raw/master/csl-citation.json"}</w:instrText>
      </w:r>
      <w:r>
        <w:rPr>
          <w:w w:val="105"/>
        </w:rPr>
        <w:fldChar w:fldCharType="separate"/>
      </w:r>
      <w:r w:rsidRPr="002E6060">
        <w:rPr>
          <w:noProof/>
          <w:w w:val="105"/>
        </w:rPr>
        <w:t>(Damanik, Pancasila, Akuntansi, &amp; Pancasila, 2019)</w:t>
      </w:r>
      <w:r>
        <w:rPr>
          <w:w w:val="105"/>
        </w:rPr>
        <w:fldChar w:fldCharType="end"/>
      </w:r>
      <w:r>
        <w:rPr>
          <w:w w:val="105"/>
        </w:rPr>
        <w:t xml:space="preserve"> menyatakan bahwa kualita laba tidak berpengaruh terhadap</w:t>
      </w:r>
      <w:r w:rsidRPr="00D97D4B">
        <w:rPr>
          <w:i/>
          <w:w w:val="105"/>
        </w:rPr>
        <w:t xml:space="preserve"> return</w:t>
      </w:r>
      <w:r>
        <w:rPr>
          <w:w w:val="105"/>
        </w:rPr>
        <w:t xml:space="preserve"> saham. </w:t>
      </w:r>
      <w:proofErr w:type="gramStart"/>
      <w:r w:rsidRPr="00901868">
        <w:rPr>
          <w:w w:val="105"/>
        </w:rPr>
        <w:t>Penelitian ini dilakukan pada sektor pertambangan yang terdaftar di Bursa Efek Indonesia</w:t>
      </w:r>
      <w:r>
        <w:rPr>
          <w:w w:val="105"/>
        </w:rPr>
        <w:t xml:space="preserve"> selama periode 2014-2018.</w:t>
      </w:r>
      <w:proofErr w:type="gramEnd"/>
      <w:r>
        <w:rPr>
          <w:w w:val="105"/>
        </w:rPr>
        <w:t xml:space="preserve"> </w:t>
      </w:r>
      <w:proofErr w:type="gramStart"/>
      <w:r>
        <w:rPr>
          <w:w w:val="105"/>
        </w:rPr>
        <w:t>P</w:t>
      </w:r>
      <w:r w:rsidRPr="00901868">
        <w:rPr>
          <w:w w:val="105"/>
        </w:rPr>
        <w:t>emilihan sektor</w:t>
      </w:r>
      <w:r>
        <w:rPr>
          <w:w w:val="105"/>
        </w:rPr>
        <w:t xml:space="preserve"> </w:t>
      </w:r>
      <w:r w:rsidRPr="00901868">
        <w:rPr>
          <w:w w:val="105"/>
        </w:rPr>
        <w:t>ini dikarenakan sektor pertambangan mempunyai pengaruh yang san</w:t>
      </w:r>
      <w:r>
        <w:rPr>
          <w:w w:val="105"/>
        </w:rPr>
        <w:t>gat besar terhadap perekonomian.</w:t>
      </w:r>
      <w:proofErr w:type="gramEnd"/>
      <w:r w:rsidRPr="00901868">
        <w:rPr>
          <w:w w:val="105"/>
        </w:rPr>
        <w:t xml:space="preserve"> </w:t>
      </w:r>
      <w:r>
        <w:rPr>
          <w:w w:val="105"/>
        </w:rPr>
        <w:t xml:space="preserve">Data </w:t>
      </w:r>
      <w:r w:rsidRPr="00901868">
        <w:rPr>
          <w:w w:val="105"/>
        </w:rPr>
        <w:t xml:space="preserve">yang diliris oleh </w:t>
      </w:r>
      <w:r w:rsidRPr="009631F4">
        <w:rPr>
          <w:i/>
          <w:w w:val="105"/>
        </w:rPr>
        <w:t>Indonesian Mining Association</w:t>
      </w:r>
      <w:r w:rsidRPr="00901868">
        <w:rPr>
          <w:w w:val="105"/>
        </w:rPr>
        <w:t xml:space="preserve"> (IMA) pada tahun 2019 menyatakan sumbangan pendapatan negara terbesar diklaim berasal dari sektor pertambangan  sebesar 37  Triliun pada tahun 2017 dan pada tahun</w:t>
      </w:r>
      <w:r>
        <w:rPr>
          <w:w w:val="105"/>
        </w:rPr>
        <w:t xml:space="preserve"> 2018 naik menjadi 46,6 triliun</w:t>
      </w:r>
    </w:p>
    <w:p w:rsidR="002165D7" w:rsidRDefault="002165D7" w:rsidP="002165D7">
      <w:pPr>
        <w:pStyle w:val="BodyText"/>
        <w:ind w:firstLine="720"/>
        <w:jc w:val="both"/>
        <w:rPr>
          <w:w w:val="105"/>
        </w:rPr>
      </w:pPr>
    </w:p>
    <w:p w:rsidR="002165D7" w:rsidRDefault="002165D7" w:rsidP="002165D7">
      <w:pPr>
        <w:pStyle w:val="Heading1"/>
        <w:tabs>
          <w:tab w:val="left" w:pos="679"/>
          <w:tab w:val="left" w:pos="680"/>
        </w:tabs>
        <w:ind w:left="0"/>
      </w:pPr>
      <w:r>
        <w:t>2.  Kajian Pustaka</w:t>
      </w:r>
    </w:p>
    <w:p w:rsidR="002165D7" w:rsidRPr="002574AC" w:rsidRDefault="002165D7" w:rsidP="002165D7">
      <w:pPr>
        <w:pStyle w:val="BodyText"/>
        <w:spacing w:line="256" w:lineRule="auto"/>
        <w:jc w:val="both"/>
        <w:rPr>
          <w:b/>
        </w:rPr>
      </w:pPr>
      <w:r w:rsidRPr="002574AC">
        <w:rPr>
          <w:b/>
        </w:rPr>
        <w:t>Teori Keagenan</w:t>
      </w:r>
    </w:p>
    <w:p w:rsidR="002165D7" w:rsidRDefault="002165D7" w:rsidP="002165D7">
      <w:pPr>
        <w:pStyle w:val="BodyText"/>
        <w:spacing w:line="256" w:lineRule="auto"/>
        <w:jc w:val="both"/>
      </w:pPr>
      <w:r>
        <w:fldChar w:fldCharType="begin" w:fldLock="1"/>
      </w:r>
      <w:r>
        <w:instrText>ADDIN CSL_CITATION {"citationItems":[{"id":"ITEM-1","itemData":{"author":[{"dropping-particle":"","family":"Jensen","given":"Michael","non-dropping-particle":"","parse-names":false,"suffix":""},{"dropping-particle":"","family":"Meckling","given":"William H","non-dropping-particle":"","parse-names":false,"suffix":""}],"container-title":"Journal of Financial Economics","id":"ITEM-1","issue":"4","issued":{"date-parts":[["1976"]]},"page":"305-360","title":"Theory of the firm: Managerial behavior, agency costs and ownership structure","type":"article-journal","volume":"3"},"uris":["http://www.mendeley.com/documents/?uuid=fc7e1725-b446-42cd-b499-a0ab603e7046"]}],"mendeley":{"formattedCitation":"(Jensen &amp; Meckling, 1976)","plainTextFormattedCitation":"(Jensen &amp; Meckling, 1976)","previouslyFormattedCitation":"(Jensen &amp; Meckling, 1976)"},"properties":{"noteIndex":0},"schema":"https://github.com/citation-style-language/schema/raw/master/csl-citation.json"}</w:instrText>
      </w:r>
      <w:r>
        <w:fldChar w:fldCharType="separate"/>
      </w:r>
      <w:r w:rsidRPr="004A07C6">
        <w:rPr>
          <w:noProof/>
        </w:rPr>
        <w:t>(Jensen &amp; Meckling, 1976)</w:t>
      </w:r>
      <w:r>
        <w:fldChar w:fldCharType="end"/>
      </w:r>
      <w:r>
        <w:t xml:space="preserve"> mendefinisikan teori keagenan sebagai berikut </w:t>
      </w:r>
      <w:proofErr w:type="gramStart"/>
      <w:r w:rsidRPr="00455C77">
        <w:rPr>
          <w:i/>
        </w:rPr>
        <w:t>“ We</w:t>
      </w:r>
      <w:proofErr w:type="gramEnd"/>
      <w:r w:rsidRPr="00455C77">
        <w:rPr>
          <w:i/>
        </w:rPr>
        <w:t xml:space="preserve"> define as agency relationship as a contract under which one or more person (the principal) engage another person (the agent) to perform some service on their behalf which involves delegating some decision making authority to the agent”</w:t>
      </w:r>
      <w:r>
        <w:t xml:space="preserve">.  </w:t>
      </w:r>
      <w:r w:rsidRPr="00455C77">
        <w:rPr>
          <w:i/>
        </w:rPr>
        <w:t>Agency Theory</w:t>
      </w:r>
      <w:r>
        <w:t xml:space="preserve"> menjelaskan suatu kondisi, dimana pihak manajemen atau </w:t>
      </w:r>
      <w:r w:rsidRPr="00455C77">
        <w:rPr>
          <w:i/>
        </w:rPr>
        <w:t>agent</w:t>
      </w:r>
      <w:r>
        <w:t xml:space="preserve"> yang ditunjuk oleh pemegang saham (</w:t>
      </w:r>
      <w:r w:rsidRPr="00455C77">
        <w:rPr>
          <w:i/>
        </w:rPr>
        <w:t>principal</w:t>
      </w:r>
      <w:r>
        <w:t xml:space="preserve">) atas </w:t>
      </w:r>
      <w:proofErr w:type="gramStart"/>
      <w:r>
        <w:t>nama</w:t>
      </w:r>
      <w:proofErr w:type="gramEnd"/>
      <w:r>
        <w:t xml:space="preserve"> pemegang saham untuk tanggung jawab dan memastikan terciptanya kekayaan bagi pemegang saham dari waktu ke waktu. </w:t>
      </w:r>
      <w:r>
        <w:fldChar w:fldCharType="begin" w:fldLock="1"/>
      </w:r>
      <w:r>
        <w:instrText>ADDIN CSL_CITATION {"citationItems":[{"id":"ITEM-1","itemData":{"author":[{"dropping-particle":"","family":"Brigham","given":"Eugene dan Joel F. Houston.","non-dropping-particle":"","parse-names":false,"suffix":""}],"id":"ITEM-1","issued":{"date-parts":[["2019"]]},"title":"Dasar-Dasar Manajemen Keuangan. Buku 1. Edisi 14. Penerjemah Ali Akbar Yulianto. Jakarta. Salemba Empat.","type":"book"},"uris":["http://www.mendeley.com/documents/?uuid=b013cf39-8c4d-44b6-85d5-f8c19acb4b8a"]}],"mendeley":{"formattedCitation":"(Brigham, 2019)","plainTextFormattedCitation":"(Brigham, 2019)","previouslyFormattedCitation":"(Brigham, 2019)"},"properties":{"noteIndex":0},"schema":"https://github.com/citation-style-language/schema/raw/master/csl-citation.json"}</w:instrText>
      </w:r>
      <w:r>
        <w:fldChar w:fldCharType="separate"/>
      </w:r>
      <w:r w:rsidRPr="004A07C6">
        <w:rPr>
          <w:noProof/>
        </w:rPr>
        <w:t>(Brigham, 2019)</w:t>
      </w:r>
      <w:r>
        <w:fldChar w:fldCharType="end"/>
      </w:r>
      <w:r>
        <w:t xml:space="preserve"> dalam </w:t>
      </w:r>
      <w:r>
        <w:fldChar w:fldCharType="begin" w:fldLock="1"/>
      </w:r>
      <w:r>
        <w:instrText>ADDIN CSL_CITATION {"citationItems":[{"id":"ITEM-1","itemData":{"DOI":"10.5430/afr.v9n3p53","ISSN":"1927-5986","abstract":"This study aims to analyze the Effect of Dividend Policy, Economic Value Added (EVA), Market β and Firm Size on Stock Return and the existence of Firm Size in moderating these effects of blue-chip stock category listed in Indonesia Stock Exchange (IDX) during 2015 up to 2019 period. This study is a confirmatory research involving secondary data collected from annual report available at IDX website. The sample used is purposive sampling and research object is Dividend Policy, EVA, Market β and Firm Size as independent variables and Stock Return as dependent variable, and Firm Size as moderates variable. The analysis is performed using E-views 11.0 version. The result shows that Dividend Policy has significant negative effects while EVA and Market β has no effect on Stock Return. In addition, Firm Size moderates the relation between Dividend Policy and Stock Return, while having no moderating effect to the relation between EVA, Market β and Stock Return. The findings of this research imply that, for high stock performance like blue-chip stock, Dividend Policy affects the Stock Return and Firm Size moderates this effect.","author":[{"dropping-particle":"","family":"Surjandari","given":"Dwi Asih","non-dropping-particle":"","parse-names":false,"suffix":""},{"dropping-particle":"","family":"Wati","given":"Lela Nurlaela","non-dropping-particle":"","parse-names":false,"suffix":""}],"container-title":"Accounting and Finance Research","id":"ITEM-1","issue":"3","issued":{"date-parts":[["2020"]]},"page":"53","title":"Dividend Policy, Economic Value Added, Market β, Firm Size and Stock Return","type":"article-journal","volume":"9"},"uris":["http://www.mendeley.com/documents/?uuid=48ba8811-47c7-4be8-944b-38f6df01d468"]}],"mendeley":{"formattedCitation":"(Surjandari &amp; Wati, 2020)","plainTextFormattedCitation":"(Surjandari &amp; Wati, 2020)","previouslyFormattedCitation":"(Surjandari &amp; Wati, 2020)"},"properties":{"noteIndex":0},"schema":"https://github.com/citation-style-language/schema/raw/master/csl-citation.json"}</w:instrText>
      </w:r>
      <w:r>
        <w:fldChar w:fldCharType="separate"/>
      </w:r>
      <w:r w:rsidRPr="004A07C6">
        <w:rPr>
          <w:noProof/>
        </w:rPr>
        <w:t>(Surjandari &amp; Wati, 2020)</w:t>
      </w:r>
      <w:r>
        <w:fldChar w:fldCharType="end"/>
      </w:r>
      <w:r>
        <w:t xml:space="preserve">. Pemisahan kepemilikan oleh </w:t>
      </w:r>
      <w:r w:rsidRPr="00455C77">
        <w:rPr>
          <w:i/>
        </w:rPr>
        <w:t>principal</w:t>
      </w:r>
      <w:r>
        <w:t xml:space="preserve"> dengan kontrol </w:t>
      </w:r>
      <w:r w:rsidRPr="00455C77">
        <w:rPr>
          <w:i/>
        </w:rPr>
        <w:t>agent</w:t>
      </w:r>
      <w:r>
        <w:t xml:space="preserve"> dalam suatu organisasi </w:t>
      </w:r>
      <w:r>
        <w:lastRenderedPageBreak/>
        <w:t xml:space="preserve">cenderung menimbulkan konflik keagenan antara </w:t>
      </w:r>
      <w:r w:rsidRPr="00455C77">
        <w:rPr>
          <w:i/>
        </w:rPr>
        <w:t>principal</w:t>
      </w:r>
      <w:r>
        <w:t xml:space="preserve"> dan </w:t>
      </w:r>
      <w:r w:rsidRPr="00455C77">
        <w:rPr>
          <w:i/>
        </w:rPr>
        <w:t>agent</w:t>
      </w:r>
      <w:r>
        <w:t xml:space="preserve">, kontrak perjanjian ini terjadi karena </w:t>
      </w:r>
      <w:r w:rsidRPr="00455C77">
        <w:rPr>
          <w:i/>
        </w:rPr>
        <w:t>agent</w:t>
      </w:r>
      <w:r>
        <w:t xml:space="preserve"> tidak selalu bertindak berdasarkan kepentingan </w:t>
      </w:r>
      <w:r w:rsidRPr="00455C77">
        <w:rPr>
          <w:i/>
        </w:rPr>
        <w:t>principal</w:t>
      </w:r>
      <w:r>
        <w:t xml:space="preserve">, sehingga memicu biaya keagenan </w:t>
      </w:r>
      <w:r>
        <w:fldChar w:fldCharType="begin" w:fldLock="1"/>
      </w:r>
      <w:r>
        <w:instrText>ADDIN CSL_CITATION {"citationItems":[{"id":"ITEM-1","itemData":{"author":[{"dropping-particle":"","family":"Nuryana","given":"Yayan","non-dropping-particle":"","parse-names":false,"suffix":""},{"dropping-particle":"","family":"Surjandari","given":"Dwi Asih","non-dropping-particle":"","parse-names":false,"suffix":""}],"container-title":"Global Journal Of Management and Businessn Research","id":"ITEM-1","issue":"1","issued":{"date-parts":[["2019"]]},"page":"26-39","title":"The Effect Of Goood Corporate Governance Mechanism, and Earning Management on Company Financial Performance","type":"article-journal","volume":"19"},"uris":["http://www.mendeley.com/documents/?uuid=3f2bb37c-f06b-45dd-92a1-23cd104953b4"]}],"mendeley":{"formattedCitation":"(Nuryana &amp; Surjandari, 2019)","plainTextFormattedCitation":"(Nuryana &amp; Surjandari, 2019)","previouslyFormattedCitation":"(Nuryana &amp; Surjandari, 2019)"},"properties":{"noteIndex":0},"schema":"https://github.com/citation-style-language/schema/raw/master/csl-citation.json"}</w:instrText>
      </w:r>
      <w:r>
        <w:fldChar w:fldCharType="separate"/>
      </w:r>
      <w:r w:rsidRPr="004A07C6">
        <w:rPr>
          <w:noProof/>
        </w:rPr>
        <w:t>(Nuryana &amp; Surjandari, 2019)</w:t>
      </w:r>
      <w:r>
        <w:fldChar w:fldCharType="end"/>
      </w:r>
      <w:r>
        <w:t>.</w:t>
      </w:r>
    </w:p>
    <w:p w:rsidR="002165D7" w:rsidRDefault="002165D7" w:rsidP="002165D7">
      <w:pPr>
        <w:pStyle w:val="BodyText"/>
        <w:spacing w:line="256" w:lineRule="auto"/>
        <w:jc w:val="both"/>
        <w:rPr>
          <w:b/>
        </w:rPr>
      </w:pPr>
    </w:p>
    <w:p w:rsidR="002165D7" w:rsidRPr="002574AC" w:rsidRDefault="002165D7" w:rsidP="002165D7">
      <w:pPr>
        <w:pStyle w:val="BodyText"/>
        <w:spacing w:line="256" w:lineRule="auto"/>
        <w:jc w:val="both"/>
        <w:rPr>
          <w:b/>
        </w:rPr>
      </w:pPr>
      <w:r w:rsidRPr="002574AC">
        <w:rPr>
          <w:b/>
        </w:rPr>
        <w:t>Teori Signaling</w:t>
      </w:r>
    </w:p>
    <w:p w:rsidR="002165D7" w:rsidRDefault="002165D7" w:rsidP="002165D7">
      <w:pPr>
        <w:pStyle w:val="BodyText"/>
        <w:spacing w:line="256" w:lineRule="auto"/>
        <w:jc w:val="both"/>
      </w:pPr>
      <w:r w:rsidRPr="00455C77">
        <w:rPr>
          <w:i/>
        </w:rPr>
        <w:t>Signalling Theory</w:t>
      </w:r>
      <w:r>
        <w:t xml:space="preserve"> yang dicetuskan oleh Akerlof (1970) dan kemudian dikembangkan oleh Spece (1973) dan Stiglitz (1985), didasarkan  adanya asimetri informasi antara pihak individu dan organisasi, serta investor dan manajemen, dimana pihak tertentu melakukan tindakan untuk memberikan sinyal tentang situasi tertentu untuk memitigasi kondisi asimetri akibat masalah seleksi sosial dalam kondisi informasi yang tidak sempurna </w:t>
      </w:r>
      <w:r>
        <w:fldChar w:fldCharType="begin" w:fldLock="1"/>
      </w:r>
      <w:r>
        <w:instrText>ADDIN CSL_CITATION {"citationItems":[{"id":"ITEM-1","itemData":{"DOI":"10.1177/0149206310388419","ISSN":"01492063","abstract":"Signaling theory is useful for describing behavior when two parties (individuals or organizations) have access to different information. Typically, one party, the sender, must choose whether and how to communicate (or signal) that information, and the other party, the receiver, must choose how to interpret the signal. Accordingly, signaling theory holds a prominent position in a variety of management literatures, including strategic management, entrepreneurship, and human resource management. While the use of signaling theory has gained momentum in recent years, its central tenets have become blurred as it has been applied to organizational concerns. The authors, therefore, provide a concise synthesis of the theory and its key concepts, review its use in the management literature, and put forward directions for future research that will encourage scholars to use signaling theory in new ways and to develop more complex formulations and nuanced variations of the theory. © The Author(s) 2011.","author":[{"dropping-particle":"","family":"Connelly","given":"Brian L.","non-dropping-particle":"","parse-names":false,"suffix":""},{"dropping-particle":"","family":"Certo","given":"S. Trevis","non-dropping-particle":"","parse-names":false,"suffix":""},{"dropping-particle":"","family":"Ireland","given":"R. Duane","non-dropping-particle":"","parse-names":false,"suffix":""},{"dropping-particle":"","family":"Reutzel","given":"Christopher R.","non-dropping-particle":"","parse-names":false,"suffix":""}],"container-title":"Journal of Management","id":"ITEM-1","issue":"1","issued":{"date-parts":[["2011"]]},"page":"39-67","title":"Signaling theory: A review and assessment","type":"article-journal","volume":"37"},"uris":["http://www.mendeley.com/documents/?uuid=77b64082-edcf-4103-a371-b3c1e81d4ab3"]}],"mendeley":{"formattedCitation":"(Connelly, Certo, Ireland, &amp; Reutzel, 2011)","plainTextFormattedCitation":"(Connelly, Certo, Ireland, &amp; Reutzel, 2011)","previouslyFormattedCitation":"(Connelly, Certo, Ireland, &amp; Reutzel, 2011)"},"properties":{"noteIndex":0},"schema":"https://github.com/citation-style-language/schema/raw/master/csl-citation.json"}</w:instrText>
      </w:r>
      <w:r>
        <w:fldChar w:fldCharType="separate"/>
      </w:r>
      <w:r w:rsidRPr="006A07F6">
        <w:rPr>
          <w:noProof/>
        </w:rPr>
        <w:t>(Connelly, Certo, Ireland, &amp; Reutzel, 2011)</w:t>
      </w:r>
      <w:r>
        <w:fldChar w:fldCharType="end"/>
      </w:r>
      <w:r>
        <w:t xml:space="preserve"> dalam </w:t>
      </w:r>
      <w:r>
        <w:fldChar w:fldCharType="begin" w:fldLock="1"/>
      </w:r>
      <w:r>
        <w:instrText>ADDIN CSL_CITATION {"citationItems":[{"id":"ITEM-1","itemData":{"DOI":"10.5430/afr.v9n3p53","ISSN":"1927-5986","abstract":"This study aims to analyze the Effect of Dividend Policy, Economic Value Added (EVA), Market β and Firm Size on Stock Return and the existence of Firm Size in moderating these effects of blue-chip stock category listed in Indonesia Stock Exchange (IDX) during 2015 up to 2019 period. This study is a confirmatory research involving secondary data collected from annual report available at IDX website. The sample used is purposive sampling and research object is Dividend Policy, EVA, Market β and Firm Size as independent variables and Stock Return as dependent variable, and Firm Size as moderates variable. The analysis is performed using E-views 11.0 version. The result shows that Dividend Policy has significant negative effects while EVA and Market β has no effect on Stock Return. In addition, Firm Size moderates the relation between Dividend Policy and Stock Return, while having no moderating effect to the relation between EVA, Market β and Stock Return. The findings of this research imply that, for high stock performance like blue-chip stock, Dividend Policy affects the Stock Return and Firm Size moderates this effect.","author":[{"dropping-particle":"","family":"Surjandari","given":"Dwi Asih","non-dropping-particle":"","parse-names":false,"suffix":""},{"dropping-particle":"","family":"Wati","given":"Lela Nurlaela","non-dropping-particle":"","parse-names":false,"suffix":""}],"container-title":"Accounting and Finance Research","id":"ITEM-1","issue":"3","issued":{"date-parts":[["2020"]]},"page":"53","title":"Dividend Policy, Economic Value Added, Market β, Firm Size and Stock Return","type":"article-journal","volume":"9"},"uris":["http://www.mendeley.com/documents/?uuid=48ba8811-47c7-4be8-944b-38f6df01d468"]}],"mendeley":{"formattedCitation":"(Surjandari &amp; Wati, 2020)","plainTextFormattedCitation":"(Surjandari &amp; Wati, 2020)","previouslyFormattedCitation":"(Surjandari &amp; Wati, 2020)"},"properties":{"noteIndex":0},"schema":"https://github.com/citation-style-language/schema/raw/master/csl-citation.json"}</w:instrText>
      </w:r>
      <w:r>
        <w:fldChar w:fldCharType="separate"/>
      </w:r>
      <w:r w:rsidRPr="006A07F6">
        <w:rPr>
          <w:noProof/>
        </w:rPr>
        <w:t>(Surjandari &amp; Wati, 2020)</w:t>
      </w:r>
      <w:r>
        <w:fldChar w:fldCharType="end"/>
      </w:r>
      <w:r>
        <w:t xml:space="preserve">. Teori signal menjelaskan bahwa pemberian signal dilakukan oleh manajemen untuk mengurangi informasi asimetris, serta menjelaskan mengapa perusahaan mempunyai dorongan untuk memberikan informasi laporan keuangan kepada pihak eksternal. Kurangnya informasi yang diperoleh pihak luar tentang perusahaan menyebabkan pihak luar melindungi diri dengan memberikan nilai rendah untuk perusahaan tersebut </w:t>
      </w:r>
      <w:r>
        <w:fldChar w:fldCharType="begin" w:fldLock="1"/>
      </w:r>
      <w:r>
        <w:instrText>ADDIN CSL_CITATION {"citationItems":[{"id":"ITEM-1","itemData":{"DOI":"10.34208/jba.v21i2.616","ISSN":"1410-9875","abstract":"This research aims to know the influence of return on asset, return on equity, and net profit margin on stock return. The population used Minning Company on the BEI with the observation periods during 2013 until 2017 as many as 13 companies. The source of the secondary data has been obtained from Indonesia Stock Exchange. The data analysis technique has been carried out by using multiple linear regressions analysis. Based on the result of the analysis indicate that return on asset, return on equity, and net profit margin significant effect on stock return of banking company. Based on the test results are partially, return on asset has a negative and significant effect on stock returns, return on equity and net profit margin have influence to the stock return of Minning Company.","author":[{"dropping-particle":"","family":"Simorangkir","given":"Rona Tumiur Mauli Carolin","non-dropping-particle":"","parse-names":false,"suffix":""}],"container-title":"Jurnal Bisnis dan Akuntansi","id":"ITEM-1","issue":"2","issued":{"date-parts":[["2019"]]},"page":"155-164","title":"Pengaruh Kinerja Keuangan Terhadap Return Saham Perusahaan Pertambangan","type":"article-journal","volume":"21"},"uris":["http://www.mendeley.com/documents/?uuid=734258ce-54e6-4000-8054-20d0fc7a5afa"]}],"mendeley":{"formattedCitation":"(Simorangkir, 2019)","plainTextFormattedCitation":"(Simorangkir, 2019)","previouslyFormattedCitation":"(Simorangkir, 2019)"},"properties":{"noteIndex":0},"schema":"https://github.com/citation-style-language/schema/raw/master/csl-citation.json"}</w:instrText>
      </w:r>
      <w:r>
        <w:fldChar w:fldCharType="separate"/>
      </w:r>
      <w:r w:rsidRPr="006A07F6">
        <w:rPr>
          <w:noProof/>
        </w:rPr>
        <w:t>(Simorangkir, 2019)</w:t>
      </w:r>
      <w:r>
        <w:fldChar w:fldCharType="end"/>
      </w:r>
      <w:r>
        <w:t>.</w:t>
      </w:r>
    </w:p>
    <w:p w:rsidR="002165D7" w:rsidRDefault="002165D7" w:rsidP="002165D7">
      <w:pPr>
        <w:pStyle w:val="BodyText"/>
        <w:jc w:val="both"/>
        <w:rPr>
          <w:b/>
        </w:rPr>
      </w:pPr>
    </w:p>
    <w:p w:rsidR="002165D7" w:rsidRPr="002574AC" w:rsidRDefault="002165D7" w:rsidP="002165D7">
      <w:pPr>
        <w:pStyle w:val="BodyText"/>
        <w:spacing w:line="256" w:lineRule="auto"/>
        <w:jc w:val="both"/>
        <w:rPr>
          <w:b/>
        </w:rPr>
      </w:pPr>
      <w:r w:rsidRPr="002574AC">
        <w:rPr>
          <w:b/>
        </w:rPr>
        <w:t>Kepemilikan Manajerial</w:t>
      </w:r>
    </w:p>
    <w:p w:rsidR="002165D7" w:rsidRDefault="002165D7" w:rsidP="002165D7">
      <w:pPr>
        <w:pStyle w:val="BodyText"/>
        <w:spacing w:line="256" w:lineRule="auto"/>
        <w:jc w:val="both"/>
      </w:pPr>
      <w:r>
        <w:t xml:space="preserve">Kepemilikan Manajerial atau </w:t>
      </w:r>
      <w:r w:rsidRPr="00455C77">
        <w:rPr>
          <w:i/>
        </w:rPr>
        <w:t>Managerial share ownership (MSO) is defined as the percentage of ordinary shares owned by all executive and non-executive directors.</w:t>
      </w:r>
      <w:r>
        <w:t xml:space="preserve"> </w:t>
      </w:r>
      <w:r>
        <w:fldChar w:fldCharType="begin" w:fldLock="1"/>
      </w:r>
      <w:r>
        <w:instrText>ADDIN CSL_CITATION {"citationItems":[{"id":"ITEM-1","itemData":{"DOI":"10.1111/1467-629X.00001","ISSN":"1467629X","abstract":"The agency relationship between managers and shareholders has the potential to influence decision-making in the firm which in turn potentially impacts on firm characteristics such as value and leverage. Prior evidence has demonstrated an association between ownership structure and firm value. This paper extends the literature by examining a further link between ownership structure and capital structure. Using an agency framework, it is argued that the distribution of equity ownership among corporate managers and external blockholders may have a significant relation with leverage. The empirical results provide support for a positive relation between external blockholders and leverage, and non-linear relation between the level of managerial share ownership and leverage. The results also suggest that the relation between external block ownership and leverage varies across the level of managerial share ownership. These results are consistent with active monitoring by blockholders, and the effects of convergence-of-interests and management entrenchment. © AAANZ, 2002.","author":[{"dropping-particle":"","family":"Brailsford","given":"Timothy J.","non-dropping-particle":"","parse-names":false,"suffix":""},{"dropping-particle":"","family":"Oliver","given":"Barry R.","non-dropping-particle":"","parse-names":false,"suffix":""},{"dropping-particle":"","family":"Pua","given":"Sandra L.H.","non-dropping-particle":"","parse-names":false,"suffix":""}],"container-title":"Accounting and Finance","id":"ITEM-1","issue":"1","issued":{"date-parts":[["2002"]]},"page":"1-26","title":"On the relation between ownership structure and capital structure","type":"article-journal","volume":"42"},"uris":["http://www.mendeley.com/documents/?uuid=adb90daa-5c23-46b1-85fe-6f63ca643a0d"]}],"mendeley":{"formattedCitation":"(Brailsford, Oliver, &amp; Pua, 2002)","plainTextFormattedCitation":"(Brailsford, Oliver, &amp; Pua, 2002)","previouslyFormattedCitation":"(Brailsford, Oliver, &amp; Pua, 2002)"},"properties":{"noteIndex":0},"schema":"https://github.com/citation-style-language/schema/raw/master/csl-citation.json"}</w:instrText>
      </w:r>
      <w:r>
        <w:fldChar w:fldCharType="separate"/>
      </w:r>
      <w:r w:rsidRPr="006A07F6">
        <w:rPr>
          <w:noProof/>
        </w:rPr>
        <w:t>(Brailsford, Oliver, &amp; Pua, 2002)</w:t>
      </w:r>
      <w:r>
        <w:fldChar w:fldCharType="end"/>
      </w:r>
      <w:r>
        <w:t xml:space="preserve"> dalam </w:t>
      </w:r>
      <w:r>
        <w:fldChar w:fldCharType="begin" w:fldLock="1"/>
      </w:r>
      <w:r>
        <w:instrText>ADDIN CSL_CITATION {"citationItems":[{"id":"ITEM-1","itemData":{"DOI":"10.32861/jssr.spi1.639.647","ISSN":"24136670","abstract":"The purpose of this study is to test the capability of managerial ownership in moderating the effect of managerial ability on earnings quality. The research sample consists of 41 manufacturing companies in Indonesia Stock Exchange and 53 in Malaysia Stock Exchange within the year of 2014–2016. Partial Least Square (PLS) method used for data analysis. The result shows that managerial ability has a positive and significant effect on earnings persistence, both in Indonesia and Malaysia. Managerial ability also has a positive and significant effect on accrual quality in both countries. Managerial ownership strengthens the effect of managerial ability on earnings persistence, but only in Malaysia. However, managerial ownership strengthens the effect of managerial ability on accrual quality in both countries. The results of this study can help investors and creditors in making decisions. Before investors invest in a company or before creditors lend funds to companies, investors and creditors need to first consider the persistence of earnings, not only see the amount of earnings the company gets to ensure that the company’s earnings quality is good and the company has good prospects in the future.","author":[{"dropping-particle":"","family":"Hapsoro","given":"Dody","non-dropping-particle":"","parse-names":false,"suffix":""},{"dropping-particle":"","family":"Shufia","given":"Aghni Mira","non-dropping-particle":"","parse-names":false,"suffix":""}],"container-title":"The Journal of Social Sciences Research","id":"ITEM-1","issue":"SPI 2","issued":{"date-parts":[["2018"]]},"page":"639-647","title":"Does Managerial Ownership Moderate the Effect of Managerial Ability on Earnings Quality? A comparative Study of Manufacturing Companies in Indonesia and Malaysia","type":"article-journal"},"uris":["http://www.mendeley.com/documents/?uuid=3ad27b39-fc27-4c21-828a-dcb261f03dbf"]}],"mendeley":{"formattedCitation":"(Hapsoro &amp; Shufia, 2018)","plainTextFormattedCitation":"(Hapsoro &amp; Shufia, 2018)","previouslyFormattedCitation":"(Hapsoro &amp; Shufia, 2018)"},"properties":{"noteIndex":0},"schema":"https://github.com/citation-style-language/schema/raw/master/csl-citation.json"}</w:instrText>
      </w:r>
      <w:r>
        <w:fldChar w:fldCharType="separate"/>
      </w:r>
      <w:r w:rsidRPr="006A07F6">
        <w:rPr>
          <w:noProof/>
        </w:rPr>
        <w:t>(Hapsoro &amp; Shufia, 2018)</w:t>
      </w:r>
      <w:r>
        <w:fldChar w:fldCharType="end"/>
      </w:r>
      <w:r>
        <w:t>. Kepemilikan manajerial merupakan alat pengawasan bagi kinerja manajer yang bersifat internal sehingga dapat mengurangi masalah keagenan</w:t>
      </w:r>
      <w:r>
        <w:fldChar w:fldCharType="begin" w:fldLock="1"/>
      </w:r>
      <w:r>
        <w:instrText>ADDIN CSL_CITATION {"citationItems":[{"id":"ITEM-1","itemData":{"DOI":"10.1201/9780367822965-19","author":[{"dropping-particle":"","family":"Wahyudi","given":"W.","non-dropping-particle":"","parse-names":false,"suffix":""},{"dropping-particle":"","family":"Setiany","given":"E.","non-dropping-particle":"","parse-names":false,"suffix":""},{"dropping-particle":"","family":"Utami","given":"W.","non-dropping-particle":"","parse-names":false,"suffix":""}],"container-title":"Public Sector Accountants and Quantum Leap: How Far We Can Survive in Industrial Revolution 4.0?","id":"ITEM-1","issued":{"date-parts":[["2020"]]},"page":"89-94","title":"The good corporate governance mechanism and earnings management: Evidence from Indonesian and Malaysian manufacturing companies","type":"article"},"uris":["http://www.mendeley.com/documents/?uuid=f40871d0-7b4b-4e3a-9ff0-e1887bb69e7f"]}],"mendeley":{"formattedCitation":"(Wahyudi, Setiany, &amp; Utami, 2020)","plainTextFormattedCitation":"(Wahyudi, Setiany, &amp; Utami, 2020)","previouslyFormattedCitation":"(Wahyudi, Setiany, &amp; Utami, 2020)"},"properties":{"noteIndex":0},"schema":"https://github.com/citation-style-language/schema/raw/master/csl-citation.json"}</w:instrText>
      </w:r>
      <w:r>
        <w:fldChar w:fldCharType="separate"/>
      </w:r>
      <w:r w:rsidRPr="006A07F6">
        <w:rPr>
          <w:noProof/>
        </w:rPr>
        <w:t>(Wahyudi, Setiany, &amp; Utami, 2020)</w:t>
      </w:r>
      <w:r>
        <w:fldChar w:fldCharType="end"/>
      </w:r>
      <w:r>
        <w:t xml:space="preserve">. Dalam Undang-undang No. 40 Tahun 2007 tentang Perseroan Terbatas menyatakan bahwa jika komisaris dan direksi memiliki saham diperusahaan atau diperusahaan lain, maka komisaris dan direksi harus melaporkan jumlah kepemilikan saham kepada perusahaan </w:t>
      </w:r>
      <w:r>
        <w:fldChar w:fldCharType="begin" w:fldLock="1"/>
      </w:r>
      <w:r>
        <w:instrText>ADDIN CSL_CITATION {"citationItems":[{"id":"ITEM-1","itemData":{"DOI":"10.32861/jssr.spi1.639.647","ISSN":"24136670","abstract":"The purpose of this study is to test the capability of managerial ownership in moderating the effect of managerial ability on earnings quality. The research sample consists of 41 manufacturing companies in Indonesia Stock Exchange and 53 in Malaysia Stock Exchange within the year of 2014–2016. Partial Least Square (PLS) method used for data analysis. The result shows that managerial ability has a positive and significant effect on earnings persistence, both in Indonesia and Malaysia. Managerial ability also has a positive and significant effect on accrual quality in both countries. Managerial ownership strengthens the effect of managerial ability on earnings persistence, but only in Malaysia. However, managerial ownership strengthens the effect of managerial ability on accrual quality in both countries. The results of this study can help investors and creditors in making decisions. Before investors invest in a company or before creditors lend funds to companies, investors and creditors need to first consider the persistence of earnings, not only see the amount of earnings the company gets to ensure that the company’s earnings quality is good and the company has good prospects in the future.","author":[{"dropping-particle":"","family":"Hapsoro","given":"Dody","non-dropping-particle":"","parse-names":false,"suffix":""},{"dropping-particle":"","family":"Shufia","given":"Aghni Mira","non-dropping-particle":"","parse-names":false,"suffix":""}],"container-title":"The Journal of Social Sciences Research","id":"ITEM-1","issue":"SPI 2","issued":{"date-parts":[["2018"]]},"page":"639-647","title":"Does Managerial Ownership Moderate the Effect of Managerial Ability on Earnings Quality? A comparative Study of Manufacturing Companies in Indonesia and Malaysia","type":"article-journal"},"uris":["http://www.mendeley.com/documents/?uuid=3ad27b39-fc27-4c21-828a-dcb261f03dbf"]}],"mendeley":{"formattedCitation":"(Hapsoro &amp; Shufia, 2018)","plainTextFormattedCitation":"(Hapsoro &amp; Shufia, 2018)","previouslyFormattedCitation":"(Hapsoro &amp; Shufia, 2018)"},"properties":{"noteIndex":0},"schema":"https://github.com/citation-style-language/schema/raw/master/csl-citation.json"}</w:instrText>
      </w:r>
      <w:r>
        <w:fldChar w:fldCharType="separate"/>
      </w:r>
      <w:r w:rsidRPr="006A07F6">
        <w:rPr>
          <w:noProof/>
        </w:rPr>
        <w:t>(Hapsoro &amp; Shufia, 2018)</w:t>
      </w:r>
      <w:r>
        <w:fldChar w:fldCharType="end"/>
      </w:r>
      <w:r>
        <w:t>.</w:t>
      </w:r>
    </w:p>
    <w:p w:rsidR="002165D7" w:rsidRDefault="002165D7" w:rsidP="002165D7">
      <w:pPr>
        <w:pStyle w:val="BodyText"/>
        <w:jc w:val="both"/>
        <w:rPr>
          <w:b/>
        </w:rPr>
      </w:pPr>
    </w:p>
    <w:p w:rsidR="002165D7" w:rsidRPr="002574AC" w:rsidRDefault="002165D7" w:rsidP="002165D7">
      <w:pPr>
        <w:pStyle w:val="BodyText"/>
        <w:spacing w:line="256" w:lineRule="auto"/>
        <w:jc w:val="both"/>
        <w:rPr>
          <w:b/>
        </w:rPr>
      </w:pPr>
      <w:r w:rsidRPr="002574AC">
        <w:rPr>
          <w:b/>
        </w:rPr>
        <w:t>Kepemilikan Institusional</w:t>
      </w:r>
    </w:p>
    <w:p w:rsidR="002165D7" w:rsidRDefault="002165D7" w:rsidP="002165D7">
      <w:pPr>
        <w:pStyle w:val="BodyText"/>
        <w:spacing w:line="256" w:lineRule="auto"/>
        <w:jc w:val="both"/>
      </w:pPr>
      <w:proofErr w:type="gramStart"/>
      <w:r>
        <w:t>Kepemilikan Institusional adalah presentase dari saham lembaga swasta dalam pemerintah dan luar negeri.</w:t>
      </w:r>
      <w:proofErr w:type="gramEnd"/>
      <w:r>
        <w:t xml:space="preserve"> Pengawasan perusahaan akan meningkat seiring dengan naiknya kepemilikan institusional dan manajemen sehingga dapat ditangani sesuai dengan keinginan pemegang saham, diharapkan </w:t>
      </w:r>
      <w:r>
        <w:lastRenderedPageBreak/>
        <w:t xml:space="preserve">meningkatkan serta kinerja keuangan perusahaan  </w:t>
      </w:r>
      <w:r>
        <w:fldChar w:fldCharType="begin" w:fldLock="1"/>
      </w:r>
      <w:r>
        <w:instrText>ADDIN CSL_CITATION {"citationItems":[{"id":"ITEM-1","itemData":{"author":[{"dropping-particle":"","family":"Nuryana","given":"Yayan","non-dropping-particle":"","parse-names":false,"suffix":""},{"dropping-particle":"","family":"Surjandari","given":"Dwi Asih","non-dropping-particle":"","parse-names":false,"suffix":""}],"container-title":"Global Journal Of Management and Businessn Research","id":"ITEM-1","issue":"1","issued":{"date-parts":[["2019"]]},"page":"26-39","title":"The Effect Of Goood Corporate Governance Mechanism, and Earning Management on Company Financial Performance","type":"article-journal","volume":"19"},"uris":["http://www.mendeley.com/documents/?uuid=3f2bb37c-f06b-45dd-92a1-23cd104953b4"]}],"mendeley":{"formattedCitation":"(Nuryana &amp; Surjandari, 2019)","plainTextFormattedCitation":"(Nuryana &amp; Surjandari, 2019)","previouslyFormattedCitation":"(Nuryana &amp; Surjandari, 2019)"},"properties":{"noteIndex":0},"schema":"https://github.com/citation-style-language/schema/raw/master/csl-citation.json"}</w:instrText>
      </w:r>
      <w:r>
        <w:fldChar w:fldCharType="separate"/>
      </w:r>
      <w:r w:rsidRPr="006A07F6">
        <w:rPr>
          <w:noProof/>
        </w:rPr>
        <w:t>(Nuryana &amp; Surjandari, 2019)</w:t>
      </w:r>
      <w:r>
        <w:fldChar w:fldCharType="end"/>
      </w:r>
      <w:r>
        <w:t xml:space="preserve">. Selain itu kepemilikan institusional dipandang sebagai pihak yang memiliki kapabilitas dalam pengawasan pengelolaan sehingga kepemilikan institusional dapat secara optimal mengurangi manajemen laba </w:t>
      </w:r>
      <w:r>
        <w:fldChar w:fldCharType="begin" w:fldLock="1"/>
      </w:r>
      <w:r>
        <w:instrText>ADDIN CSL_CITATION {"citationItems":[{"id":"ITEM-1","itemData":{"DOI":"10.1201/9780367822965-19","author":[{"dropping-particle":"","family":"Wahyudi","given":"W.","non-dropping-particle":"","parse-names":false,"suffix":""},{"dropping-particle":"","family":"Setiany","given":"E.","non-dropping-particle":"","parse-names":false,"suffix":""},{"dropping-particle":"","family":"Utami","given":"W.","non-dropping-particle":"","parse-names":false,"suffix":""}],"container-title":"Public Sector Accountants and Quantum Leap: How Far We Can Survive in Industrial Revolution 4.0?","id":"ITEM-1","issued":{"date-parts":[["2020"]]},"page":"89-94","title":"The good corporate governance mechanism and earnings management: Evidence from Indonesian and Malaysian manufacturing companies","type":"article"},"uris":["http://www.mendeley.com/documents/?uuid=f40871d0-7b4b-4e3a-9ff0-e1887bb69e7f"]}],"mendeley":{"formattedCitation":"(Wahyudi et al., 2020)","plainTextFormattedCitation":"(Wahyudi et al., 2020)","previouslyFormattedCitation":"(Wahyudi et al., 2020)"},"properties":{"noteIndex":0},"schema":"https://github.com/citation-style-language/schema/raw/master/csl-citation.json"}</w:instrText>
      </w:r>
      <w:r>
        <w:fldChar w:fldCharType="separate"/>
      </w:r>
      <w:r w:rsidRPr="006A07F6">
        <w:rPr>
          <w:noProof/>
        </w:rPr>
        <w:t>(Wahyudi et al., 2020)</w:t>
      </w:r>
      <w:r>
        <w:fldChar w:fldCharType="end"/>
      </w:r>
      <w:r>
        <w:t>.</w:t>
      </w:r>
    </w:p>
    <w:p w:rsidR="002165D7" w:rsidRDefault="002165D7" w:rsidP="002165D7">
      <w:pPr>
        <w:pStyle w:val="BodyText"/>
        <w:jc w:val="both"/>
        <w:rPr>
          <w:b/>
        </w:rPr>
      </w:pPr>
    </w:p>
    <w:p w:rsidR="002165D7" w:rsidRPr="002574AC" w:rsidRDefault="002165D7" w:rsidP="002165D7">
      <w:pPr>
        <w:pStyle w:val="BodyText"/>
        <w:spacing w:line="256" w:lineRule="auto"/>
        <w:jc w:val="both"/>
        <w:rPr>
          <w:b/>
        </w:rPr>
      </w:pPr>
      <w:r w:rsidRPr="002574AC">
        <w:rPr>
          <w:b/>
        </w:rPr>
        <w:t>Dewan Komisaris Independen</w:t>
      </w:r>
    </w:p>
    <w:p w:rsidR="002165D7" w:rsidRDefault="002165D7" w:rsidP="002165D7">
      <w:pPr>
        <w:pStyle w:val="BodyText"/>
        <w:spacing w:line="256" w:lineRule="auto"/>
        <w:jc w:val="both"/>
      </w:pPr>
      <w:proofErr w:type="gramStart"/>
      <w:r>
        <w:t>Menurut Peraturan Otoritas Jasa Keuangan Nomor 55/POJK.04/2015 Pasal 1 Nomor 2, Komisaris independen adalah anggota Dewan Komisaris Independen yang berasal dari luar Emiten atau Perusahaan Publik.</w:t>
      </w:r>
      <w:proofErr w:type="gramEnd"/>
      <w:r>
        <w:t xml:space="preserve"> </w:t>
      </w:r>
      <w:proofErr w:type="gramStart"/>
      <w:r>
        <w:t>Dewan Komisaris Independen terdiri dari komisaris yang tidak berasal dari pihak terafiliasi yang dikenal sebagai komisaris independen dan komisaris yang terafiliasi dengan komposisi yang memadai.</w:t>
      </w:r>
      <w:proofErr w:type="gramEnd"/>
    </w:p>
    <w:p w:rsidR="002165D7" w:rsidRDefault="002165D7" w:rsidP="002165D7">
      <w:pPr>
        <w:pStyle w:val="BodyText"/>
        <w:jc w:val="both"/>
        <w:rPr>
          <w:b/>
        </w:rPr>
      </w:pPr>
    </w:p>
    <w:p w:rsidR="002165D7" w:rsidRPr="002574AC" w:rsidRDefault="002165D7" w:rsidP="002165D7">
      <w:pPr>
        <w:pStyle w:val="BodyText"/>
        <w:spacing w:line="256" w:lineRule="auto"/>
        <w:jc w:val="both"/>
        <w:rPr>
          <w:b/>
        </w:rPr>
      </w:pPr>
      <w:r w:rsidRPr="002574AC">
        <w:rPr>
          <w:b/>
        </w:rPr>
        <w:t>Komite Audit</w:t>
      </w:r>
    </w:p>
    <w:p w:rsidR="002165D7" w:rsidRDefault="002165D7" w:rsidP="002165D7">
      <w:pPr>
        <w:pStyle w:val="BodyText"/>
        <w:spacing w:line="256" w:lineRule="auto"/>
        <w:jc w:val="both"/>
      </w:pPr>
      <w:r>
        <w:t xml:space="preserve">Menurut Keputusan Ketua Bapepam dan LK No.Kep-643/BL/2012 menyatakan bahwa Komite Audit adalah komite yang </w:t>
      </w:r>
      <w:proofErr w:type="gramStart"/>
      <w:r>
        <w:t>dibentuk  dan</w:t>
      </w:r>
      <w:proofErr w:type="gramEnd"/>
      <w:r>
        <w:t xml:space="preserve"> bertanggung jawab kepada Dewan Komisaris dalam membantu melaksanakan tugas. Komite audit terdiri dari sekurang-kurangnya satu orang Komisaris Independen dan sekurang-kurangnya 2 (dua) orang anggota lainnya yang berasal dari luar Emiten atau Perusahaan Publik.</w:t>
      </w:r>
    </w:p>
    <w:p w:rsidR="002165D7" w:rsidRDefault="002165D7" w:rsidP="002165D7">
      <w:pPr>
        <w:pStyle w:val="BodyText"/>
        <w:jc w:val="both"/>
        <w:rPr>
          <w:b/>
        </w:rPr>
      </w:pPr>
    </w:p>
    <w:p w:rsidR="002165D7" w:rsidRPr="002574AC" w:rsidRDefault="002165D7" w:rsidP="002165D7">
      <w:pPr>
        <w:pStyle w:val="BodyText"/>
        <w:spacing w:line="256" w:lineRule="auto"/>
        <w:jc w:val="both"/>
        <w:rPr>
          <w:b/>
          <w:i/>
        </w:rPr>
      </w:pPr>
      <w:r w:rsidRPr="002574AC">
        <w:rPr>
          <w:b/>
        </w:rPr>
        <w:t xml:space="preserve">Pengungkapan </w:t>
      </w:r>
      <w:r>
        <w:rPr>
          <w:b/>
          <w:i/>
        </w:rPr>
        <w:t>CSR</w:t>
      </w:r>
    </w:p>
    <w:p w:rsidR="002165D7" w:rsidRDefault="002165D7" w:rsidP="002165D7">
      <w:pPr>
        <w:pStyle w:val="BodyText"/>
        <w:spacing w:line="256" w:lineRule="auto"/>
        <w:jc w:val="both"/>
      </w:pPr>
      <w:r w:rsidRPr="00455C77">
        <w:rPr>
          <w:i/>
        </w:rPr>
        <w:t>Corporate Social Responsibility</w:t>
      </w:r>
      <w:r>
        <w:t xml:space="preserve"> (CSR) merupakan komitmen perusahaan atau dunia bisnis untuk berkontribusi dalam pembangunan ekonomi yang berkelanjutan dengan menitikberatkan pada keseimbangan aspek ekonomi, sosial dan lingkungan </w:t>
      </w:r>
      <w:r>
        <w:fldChar w:fldCharType="begin" w:fldLock="1"/>
      </w:r>
      <w:r>
        <w:instrText>ADDIN CSL_CITATION {"citationItems":[{"id":"ITEM-1","itemData":{"abstract":"This research examined the influence of CSR (Corporate Social Responsibility implementation towards stock return in the companies that are listed in Kompas-100 index, compared tothe companies that are listed in Sri Kehati index. The aim of this research was to examine the extent the implementation of CSR along with the influence of market aspect, financial aspect and macroeconomic aspect on the stock return. Financial aspect consists of Return On Assets (ROA) and Size (Total Asset), Market aspect consists of Market to book ratio (Price to Book Value/PBV) and Beta Stocks, while the Macro Economic aspectconsist of the level of economic growth, and inflation rate. The research was conducted on financial and non-financial companies, which has been consistently included in the Kompas-100 Index in Indonesia Stock Exchange in four-year (2010-2013) range of time. The estimation model being used was regression analysis with panel data regression. The estimation results indicated that company’s stock return is influenced by five factors, which are CSR, ROA, M/B, ratio, inflation rate, and economic growth. Overall, this research has proven the Agency Theory in another form, which states that manager is not only responsible towards shareholder but also responsible towards all stakeholders. Similarly, the results are in favor of Signaling Theory, which argues that CSR is a form of positive signal to investors. Stocks return of the companies registered in Sri Kehati index had higher stock returns than those are not listed anymore in Sri Kehati index","author":[{"dropping-particle":"","family":"Anggraini","given":"Dewi","non-dropping-particle":"","parse-names":false,"suffix":""}],"id":"ITEM-1","issue":"3","issued":{"date-parts":[["2015"]]},"page":"151-160","title":"Proven Again : Corporate Social Responsibility As One Of Influential Factors Towards Stock Return","type":"article-journal","volume":"7"},"uris":["http://www.mendeley.com/documents/?uuid=16dd4049-2bca-4ffa-8409-5699113ab8c1"]}],"mendeley":{"formattedCitation":"(Anggraini, 2015)","plainTextFormattedCitation":"(Anggraini, 2015)","previouslyFormattedCitation":"(Anggraini, 2015)"},"properties":{"noteIndex":0},"schema":"https://github.com/citation-style-language/schema/raw/master/csl-citation.json"}</w:instrText>
      </w:r>
      <w:r>
        <w:fldChar w:fldCharType="separate"/>
      </w:r>
      <w:r w:rsidRPr="006A07F6">
        <w:rPr>
          <w:noProof/>
        </w:rPr>
        <w:t>(Anggraini, 2015)</w:t>
      </w:r>
      <w:r>
        <w:fldChar w:fldCharType="end"/>
      </w:r>
      <w:r>
        <w:t xml:space="preserve">. Pengungkapan sosial yang dilakukan oleh perusahaan umumnya bersifat </w:t>
      </w:r>
      <w:r w:rsidRPr="00527910">
        <w:rPr>
          <w:i/>
        </w:rPr>
        <w:t>voluntary</w:t>
      </w:r>
      <w:r>
        <w:t xml:space="preserve"> (sukarela), </w:t>
      </w:r>
      <w:r w:rsidRPr="00527910">
        <w:rPr>
          <w:i/>
        </w:rPr>
        <w:t xml:space="preserve">unaudit </w:t>
      </w:r>
      <w:r>
        <w:t xml:space="preserve">(belum diaudit), dan </w:t>
      </w:r>
      <w:r w:rsidRPr="00527910">
        <w:rPr>
          <w:i/>
        </w:rPr>
        <w:t>unregulated</w:t>
      </w:r>
      <w:r>
        <w:t xml:space="preserve"> (tidak dipengaruhi oleh peraturan tertentu </w:t>
      </w:r>
      <w:r>
        <w:fldChar w:fldCharType="begin" w:fldLock="1"/>
      </w:r>
      <w:r>
        <w:instrText>ADDIN CSL_CITATION {"citationItems":[{"id":"ITEM-1","itemData":{"DOI":"10.24912/ja.v21i3.266","ISSN":"1410-3591","abstract":"This study aims to see the integration of accounting concepts in expressing corporate social responsibility and implementing good corporate governance, and achieving profitability level. This research is explanatory research intended to explain the causal relationship between variables through hypothesis testing. This analysis is used to determine the magnitude of the influence of independent variables on the dependent variable. This research is an empirical and grounded study conducted based on existing theories which then developed into a model of research where the model in this study is designed to examine the influence of corporate social responsibility disclosure and the implementation of good corporate governance to the level of profitability. This study aims to find and obtain empirical research evidence to obtain answers to research problems on how much influence the disclosure of corporate social responsibility and the implementation of good corporate governance to the level of profitability. The benefits of this research are to contribute scientifically to the science of financial accounting and management accounting and to solve problems for managers in the execution of tasks related to the increase in profitability level. The output of this research is in the form of publications in international journals.","author":[{"dropping-particle":"","family":"Setiyawati","given":"Hari","non-dropping-particle":"","parse-names":false,"suffix":""},{"dropping-particle":"","family":"Basar","given":"Yusuf S.","non-dropping-particle":"","parse-names":false,"suffix":""}],"container-title":"Jurnal Akuntansi","id":"ITEM-1","issue":"3","issued":{"date-parts":[["2017"]]},"page":"351","title":"Pengaruh Pengungkapan Corporate Social Responsibility dan Penerapan Good Corporate Governance Terhadap Tingkat Profitabilitas (Studi Empiris Pada Perusahaan Sektor Pertambangan Yang Terdaftar Di BEI )","type":"article-journal","volume":"21"},"uris":["http://www.mendeley.com/documents/?uuid=fdedf235-5626-4951-b987-212177d276ae"]}],"mendeley":{"formattedCitation":"(Setiyawati &amp; Basar, 2017)","plainTextFormattedCitation":"(Setiyawati &amp; Basar, 2017)","previouslyFormattedCitation":"(Setiyawati &amp; Basar, 2017)"},"properties":{"noteIndex":0},"schema":"https://github.com/citation-style-language/schema/raw/master/csl-citation.json"}</w:instrText>
      </w:r>
      <w:r>
        <w:fldChar w:fldCharType="separate"/>
      </w:r>
      <w:r w:rsidRPr="006A07F6">
        <w:rPr>
          <w:noProof/>
        </w:rPr>
        <w:t>(Setiyawati &amp; Basar, 2017)</w:t>
      </w:r>
      <w:r>
        <w:fldChar w:fldCharType="end"/>
      </w:r>
      <w:r>
        <w:t>.</w:t>
      </w:r>
    </w:p>
    <w:p w:rsidR="002165D7" w:rsidRDefault="002165D7" w:rsidP="002165D7">
      <w:pPr>
        <w:pStyle w:val="BodyText"/>
        <w:jc w:val="both"/>
        <w:rPr>
          <w:b/>
          <w:i/>
        </w:rPr>
      </w:pPr>
    </w:p>
    <w:p w:rsidR="002165D7" w:rsidRPr="002574AC" w:rsidRDefault="002165D7" w:rsidP="002165D7">
      <w:pPr>
        <w:pStyle w:val="BodyText"/>
        <w:jc w:val="both"/>
        <w:rPr>
          <w:b/>
          <w:i/>
        </w:rPr>
      </w:pPr>
      <w:r w:rsidRPr="002574AC">
        <w:rPr>
          <w:b/>
          <w:i/>
        </w:rPr>
        <w:t>Leverage</w:t>
      </w:r>
    </w:p>
    <w:p w:rsidR="002165D7" w:rsidRDefault="002165D7" w:rsidP="002165D7">
      <w:pPr>
        <w:pStyle w:val="BodyText"/>
        <w:spacing w:line="256" w:lineRule="auto"/>
        <w:jc w:val="both"/>
      </w:pPr>
      <w:r>
        <w:fldChar w:fldCharType="begin" w:fldLock="1"/>
      </w:r>
      <w:r>
        <w:instrText>ADDIN CSL_CITATION {"citationItems":[{"id":"ITEM-1","itemData":{"author":[{"dropping-particle":"","family":"Sulistyanto","given":"","non-dropping-particle":"","parse-names":false,"suffix":""},{"dropping-particle":"","family":"Sri","given":"H.","non-dropping-particle":"","parse-names":false,"suffix":""}],"id":"ITEM-1","issued":{"date-parts":[["2014"]]},"publisher":"Jakarta : Grasindo","title":"Manajemen Laba : Teori dan Model Empiris","type":"book"},"uris":["http://www.mendeley.com/documents/?uuid=2f0d34fd-0c8f-43eb-98c9-f4f35a2ca0d4"]}],"mendeley":{"formattedCitation":"(Sulistyanto &amp; Sri, 2014)","plainTextFormattedCitation":"(Sulistyanto &amp; Sri, 2014)","previouslyFormattedCitation":"(Sulistyanto &amp; Sri, 2014)"},"properties":{"noteIndex":0},"schema":"https://github.com/citation-style-language/schema/raw/master/csl-citation.json"}</w:instrText>
      </w:r>
      <w:r>
        <w:fldChar w:fldCharType="separate"/>
      </w:r>
      <w:r w:rsidRPr="006A07F6">
        <w:rPr>
          <w:noProof/>
        </w:rPr>
        <w:t>(Sulistyanto &amp; Sri, 2014)</w:t>
      </w:r>
      <w:r>
        <w:fldChar w:fldCharType="end"/>
      </w:r>
      <w:r>
        <w:t xml:space="preserve"> menyatakan bahwa</w:t>
      </w:r>
      <w:r w:rsidRPr="00455C77">
        <w:rPr>
          <w:i/>
        </w:rPr>
        <w:t xml:space="preserve"> leverage</w:t>
      </w:r>
      <w:r>
        <w:t xml:space="preserve"> merupakan pengorbanan ekonomis yang harus </w:t>
      </w:r>
      <w:proofErr w:type="gramStart"/>
      <w:r>
        <w:t>dilakukan  perusahaan</w:t>
      </w:r>
      <w:proofErr w:type="gramEnd"/>
      <w:r>
        <w:t xml:space="preserve"> dimasa depan dalam bentuk penyerahan barang atau jasa yang disebabkan transaksi atau peristiwa masa lalu. </w:t>
      </w:r>
      <w:r w:rsidRPr="00455C77">
        <w:rPr>
          <w:i/>
        </w:rPr>
        <w:t>Leverage</w:t>
      </w:r>
      <w:r>
        <w:t xml:space="preserve"> diduga memiliki pengaruh terhadap kualitas laba perusahaan, karena </w:t>
      </w:r>
      <w:r w:rsidRPr="00455C77">
        <w:rPr>
          <w:i/>
        </w:rPr>
        <w:t>laverage</w:t>
      </w:r>
      <w:r>
        <w:t xml:space="preserve"> dapat menunjukkan kemampuan perusahaan dalam membayar seluruh </w:t>
      </w:r>
      <w:r>
        <w:lastRenderedPageBreak/>
        <w:t xml:space="preserve">kewajibannya baik jangka pendek maupun jangka panjang. </w:t>
      </w:r>
    </w:p>
    <w:p w:rsidR="002165D7" w:rsidRDefault="002165D7" w:rsidP="002165D7">
      <w:pPr>
        <w:pStyle w:val="BodyText"/>
        <w:jc w:val="both"/>
        <w:rPr>
          <w:b/>
          <w:i/>
        </w:rPr>
      </w:pPr>
    </w:p>
    <w:p w:rsidR="002165D7" w:rsidRPr="002574AC" w:rsidRDefault="002165D7" w:rsidP="002165D7">
      <w:pPr>
        <w:pStyle w:val="BodyText"/>
        <w:spacing w:line="256" w:lineRule="auto"/>
        <w:jc w:val="both"/>
        <w:rPr>
          <w:b/>
          <w:i/>
        </w:rPr>
      </w:pPr>
      <w:r w:rsidRPr="002574AC">
        <w:rPr>
          <w:b/>
          <w:i/>
        </w:rPr>
        <w:t>Firm Size</w:t>
      </w:r>
    </w:p>
    <w:p w:rsidR="002165D7" w:rsidRDefault="002165D7" w:rsidP="002165D7">
      <w:pPr>
        <w:pStyle w:val="BodyText"/>
        <w:spacing w:line="256" w:lineRule="auto"/>
        <w:jc w:val="both"/>
      </w:pPr>
      <w:r>
        <w:fldChar w:fldCharType="begin" w:fldLock="1"/>
      </w:r>
      <w:r>
        <w:instrText>ADDIN CSL_CITATION {"citationItems":[{"id":"ITEM-1","itemData":{"author":[{"dropping-particle":"","family":"Brigham","given":"Eugene dan Joel F. Houston.","non-dropping-particle":"","parse-names":false,"suffix":""}],"id":"ITEM-1","issued":{"date-parts":[["2019"]]},"title":"Dasar-Dasar Manajemen Keuangan. Buku 1. Edisi 14. Penerjemah Ali Akbar Yulianto. Jakarta. Salemba Empat.","type":"book"},"uris":["http://www.mendeley.com/documents/?uuid=b013cf39-8c4d-44b6-85d5-f8c19acb4b8a"]}],"mendeley":{"formattedCitation":"(Brigham, 2019)","plainTextFormattedCitation":"(Brigham, 2019)","previouslyFormattedCitation":"(Brigham, 2019)"},"properties":{"noteIndex":0},"schema":"https://github.com/citation-style-language/schema/raw/master/csl-citation.json"}</w:instrText>
      </w:r>
      <w:r>
        <w:fldChar w:fldCharType="separate"/>
      </w:r>
      <w:r w:rsidRPr="006A07F6">
        <w:rPr>
          <w:noProof/>
        </w:rPr>
        <w:t>(Brigham, 2019)</w:t>
      </w:r>
      <w:r>
        <w:fldChar w:fldCharType="end"/>
      </w:r>
      <w:r>
        <w:t xml:space="preserve"> mendefinisikan </w:t>
      </w:r>
      <w:r w:rsidRPr="00455C77">
        <w:rPr>
          <w:i/>
        </w:rPr>
        <w:t>Firm Size is the size a company that is shown is or valuted by total assets, total sales, generated profits, tax expense and others.</w:t>
      </w:r>
      <w:r>
        <w:t xml:space="preserve"> Ukuran perusahaan dianggap mampu mempengaruhi kualitas laba karena semakin besar skala atau ukuran perusahaan maka akan semakin mudah dalam memperoleh sumber pendanaan yang berarti kualitas laba akan meningkat </w:t>
      </w:r>
      <w:r>
        <w:fldChar w:fldCharType="begin" w:fldLock="1"/>
      </w:r>
      <w:r>
        <w:instrText>ADDIN CSL_CITATION {"citationItems":[{"id":"ITEM-1","itemData":{"author":[{"dropping-particle":"","family":"Putra","given":"R. Aditya Kristamtomo","non-dropping-particle":"","parse-names":false,"suffix":""}],"container-title":"Jurnal Ekonomi dan Bisnis","id":"ITEM-1","issue":"2","issued":{"date-parts":[["2020"]]},"page":"117-125","title":"Analisis Ukuran Perusahaan Dan Peluang Investasi Di Masa Depan","type":"article-journal","volume":"7"},"uris":["http://www.mendeley.com/documents/?uuid=0047e768-ca92-4455-8c8d-95288aef683d"]}],"mendeley":{"formattedCitation":"(Putra, 2020)","plainTextFormattedCitation":"(Putra, 2020)","previouslyFormattedCitation":"(Putra, 2020)"},"properties":{"noteIndex":0},"schema":"https://github.com/citation-style-language/schema/raw/master/csl-citation.json"}</w:instrText>
      </w:r>
      <w:r>
        <w:fldChar w:fldCharType="separate"/>
      </w:r>
      <w:r w:rsidRPr="006A07F6">
        <w:rPr>
          <w:noProof/>
        </w:rPr>
        <w:t>(Putra, 2020)</w:t>
      </w:r>
      <w:r>
        <w:fldChar w:fldCharType="end"/>
      </w:r>
      <w:r>
        <w:t xml:space="preserve">. </w:t>
      </w:r>
    </w:p>
    <w:p w:rsidR="002165D7" w:rsidRDefault="002165D7" w:rsidP="002165D7">
      <w:pPr>
        <w:pStyle w:val="BodyText"/>
        <w:jc w:val="both"/>
        <w:rPr>
          <w:b/>
        </w:rPr>
      </w:pPr>
    </w:p>
    <w:p w:rsidR="002165D7" w:rsidRPr="002574AC" w:rsidRDefault="002165D7" w:rsidP="002165D7">
      <w:pPr>
        <w:pStyle w:val="BodyText"/>
        <w:spacing w:line="256" w:lineRule="auto"/>
        <w:jc w:val="both"/>
        <w:rPr>
          <w:b/>
        </w:rPr>
      </w:pPr>
      <w:r w:rsidRPr="002574AC">
        <w:rPr>
          <w:b/>
        </w:rPr>
        <w:t>Kualitas Laba</w:t>
      </w:r>
    </w:p>
    <w:p w:rsidR="002165D7" w:rsidRDefault="002165D7" w:rsidP="002165D7">
      <w:pPr>
        <w:pStyle w:val="BodyText"/>
        <w:spacing w:line="256" w:lineRule="auto"/>
        <w:jc w:val="both"/>
      </w:pPr>
      <w:r>
        <w:t xml:space="preserve">Laba dapat dikatakan berkualitas jika laba yang dilaporkan dapat digunakan oleh pengguna laporan keuangan untuk membuat keputusan terbaik dan memenuhi karakteristik kualitatif laporan keuangan yang relevan dan reliable </w:t>
      </w:r>
      <w:r>
        <w:fldChar w:fldCharType="begin" w:fldLock="1"/>
      </w:r>
      <w:r>
        <w:instrText>ADDIN CSL_CITATION {"citationItems":[{"id":"ITEM-1","itemData":{"DOI":"10.24002/modus.v26i1.575","ISSN":"0852-1875","abstract":"The purpose of this study was to determine the efect of frm size, capital structure, liquidity and investment opportunity set (IOS) simultaneously and partially on the quality of earnings. Population in the study was all manufacturing companies listed on the Stock Exchange in 2008-2012. Sampling using purposive sampling technique that is specifc sample selection criteria, so that in can be sampled in this study were 360 companies manufacturing (72 per company). The analytical method used was the multiple linear regression. Te result shows simultaneous testing showed that the size of the company, capital structure, liquidity and investment opportunity set (IOS) efect on earnings quality. Partially, company size and liquidity signifcant positive efect on the quality of earnings. Capital structure and investment opportunity set (IOS) signifcant negative efect on the quality of earnings.Keywords: company size, capital structure, liquidity, investment opportunity set (IOS) and the quality of earnings.","author":[{"dropping-particle":"","family":"Warianto","given":"Paulina","non-dropping-particle":"","parse-names":false,"suffix":""},{"dropping-particle":"","family":"Rusiti","given":"Ch","non-dropping-particle":"","parse-names":false,"suffix":""}],"container-title":"Modus Jurnal Ekonomi dan Bisnis","id":"ITEM-1","issue":"1","issued":{"date-parts":[["2014"]]},"page":"19","title":"Pengaruh Ukuran Perusahaan, Struktur Modal, Likuiditas Dan Investment Opportunity Set (Ios) Terhadap Kualitas Laba Pada Perusahaan Manufaktur Yang Terdaftar Di Bei","type":"article-journal","volume":"26"},"uris":["http://www.mendeley.com/documents/?uuid=7a2decc6-574f-4aba-9ef0-e00591c9c637"]}],"mendeley":{"formattedCitation":"(Warianto &amp; Rusiti, 2014)","plainTextFormattedCitation":"(Warianto &amp; Rusiti, 2014)","previouslyFormattedCitation":"(Warianto &amp; Rusiti, 2014)"},"properties":{"noteIndex":0},"schema":"https://github.com/citation-style-language/schema/raw/master/csl-citation.json"}</w:instrText>
      </w:r>
      <w:r>
        <w:fldChar w:fldCharType="separate"/>
      </w:r>
      <w:r w:rsidRPr="006A07F6">
        <w:rPr>
          <w:noProof/>
        </w:rPr>
        <w:t>(Warianto &amp; Rusiti, 2014)</w:t>
      </w:r>
      <w:r>
        <w:fldChar w:fldCharType="end"/>
      </w:r>
      <w:r>
        <w:t xml:space="preserve">. </w:t>
      </w:r>
      <w:r>
        <w:fldChar w:fldCharType="begin" w:fldLock="1"/>
      </w:r>
      <w:r>
        <w:instrText>ADDIN CSL_CITATION {"citationItems":[{"id":"ITEM-1","itemData":{"DOI":"10.1016/j.jacceco.2010.09.001","ISSN":"01654101","abstract":"Researchers have used various measures as indications of \"earnings quality\" including persistence, accruals, smoothness, timeliness, loss avoidance, investor responsiveness, and external indicators such as restatements and SEC enforcement releases. For each measure, we discuss causes of variation in the measure as well as consequences. We reach no single conclusion on what earnings quality is because \"quality\" is contingent on the decision context. We also point out that the \"quality\" of earnings is a function of the firm's fundamental performance. The contribution of a firm's fundamental performance to its earnings quality is suggested as one area for future work. © 2010 Elsevier B.V.","author":[{"dropping-particle":"","family":"Dechow","given":"Patricia","non-dropping-particle":"","parse-names":false,"suffix":""},{"dropping-particle":"","family":"Ge","given":"Weili","non-dropping-particle":"","parse-names":false,"suffix":""},{"dropping-particle":"","family":"Schrand","given":"Catherine","non-dropping-particle":"","parse-names":false,"suffix":""}],"container-title":"Journal of Accounting and Economics","id":"ITEM-1","issue":"2-3","issued":{"date-parts":[["2010"]]},"page":"344-401","publisher":"Elsevier","title":"Understanding earnings quality: A review of the proxies, their determinants and their consequences","type":"article-journal","volume":"50"},"uris":["http://www.mendeley.com/documents/?uuid=1c138fd5-f0d2-4f0a-8f61-f22cc19325dd"]}],"mendeley":{"formattedCitation":"(Dechow, Ge, &amp; Schrand, 2010)","plainTextFormattedCitation":"(Dechow, Ge, &amp; Schrand, 2010)","previouslyFormattedCitation":"(Dechow, Ge, &amp; Schrand, 2010)"},"properties":{"noteIndex":0},"schema":"https://github.com/citation-style-language/schema/raw/master/csl-citation.json"}</w:instrText>
      </w:r>
      <w:r>
        <w:fldChar w:fldCharType="separate"/>
      </w:r>
      <w:r w:rsidRPr="006A07F6">
        <w:rPr>
          <w:noProof/>
        </w:rPr>
        <w:t>(Dechow, Ge, &amp; Schrand, 2010)</w:t>
      </w:r>
      <w:r>
        <w:fldChar w:fldCharType="end"/>
      </w:r>
      <w:r>
        <w:t xml:space="preserve"> peringkat kualitas laba dapat dibagi menjadi tiga (3) kategori yaitu (</w:t>
      </w:r>
      <w:r w:rsidRPr="00455C77">
        <w:rPr>
          <w:i/>
        </w:rPr>
        <w:t>1) The reported earnings should reflect the current performance, (2) The reported earnings should be a good indicator of future performance, and (3) It should annuitize the intrinsic value of the firm</w:t>
      </w:r>
      <w:r>
        <w:t xml:space="preserve">. </w:t>
      </w:r>
    </w:p>
    <w:p w:rsidR="002165D7" w:rsidRDefault="002165D7" w:rsidP="002165D7">
      <w:pPr>
        <w:pStyle w:val="BodyText"/>
        <w:jc w:val="both"/>
        <w:rPr>
          <w:b/>
          <w:i/>
        </w:rPr>
      </w:pPr>
    </w:p>
    <w:p w:rsidR="002165D7" w:rsidRPr="002574AC" w:rsidRDefault="002165D7" w:rsidP="002165D7">
      <w:pPr>
        <w:pStyle w:val="BodyText"/>
        <w:spacing w:line="256" w:lineRule="auto"/>
        <w:jc w:val="both"/>
        <w:rPr>
          <w:b/>
        </w:rPr>
      </w:pPr>
      <w:r w:rsidRPr="002574AC">
        <w:rPr>
          <w:b/>
          <w:i/>
        </w:rPr>
        <w:t>Return</w:t>
      </w:r>
      <w:r w:rsidRPr="002574AC">
        <w:rPr>
          <w:b/>
        </w:rPr>
        <w:t xml:space="preserve"> Saham</w:t>
      </w:r>
    </w:p>
    <w:p w:rsidR="002165D7" w:rsidRDefault="002165D7" w:rsidP="002165D7">
      <w:pPr>
        <w:pStyle w:val="BodyText"/>
        <w:spacing w:line="256" w:lineRule="auto"/>
        <w:jc w:val="both"/>
      </w:pPr>
      <w:proofErr w:type="gramStart"/>
      <w:r>
        <w:t>Tujuan utama dari semua jenis investasi adalah untuk mencapai pengembalian (</w:t>
      </w:r>
      <w:r w:rsidRPr="00455C77">
        <w:rPr>
          <w:i/>
        </w:rPr>
        <w:t>return</w:t>
      </w:r>
      <w:r>
        <w:t>) maksimum.</w:t>
      </w:r>
      <w:proofErr w:type="gramEnd"/>
      <w:r>
        <w:t xml:space="preserve"> </w:t>
      </w:r>
      <w:r>
        <w:fldChar w:fldCharType="begin" w:fldLock="1"/>
      </w:r>
      <w:r>
        <w:instrText>ADDIN CSL_CITATION {"citationItems":[{"id":"ITEM-1","itemData":{"author":[{"dropping-particle":"","family":"Hartono","given":"Jogiyanto","non-dropping-particle":"","parse-names":false,"suffix":""}],"id":"ITEM-1","issued":{"date-parts":[["2017"]]},"publisher":"Yogyakarta : BPFE","title":"Teori Portofolio dan Analisis Investasi, Edisi 11","type":"book"},"uris":["http://www.mendeley.com/documents/?uuid=b0901522-ccbe-4467-b767-7014a96291f1"]}],"mendeley":{"formattedCitation":"(Hartono, 2017)","plainTextFormattedCitation":"(Hartono, 2017)","previouslyFormattedCitation":"(Hartono, 2017)"},"properties":{"noteIndex":0},"schema":"https://github.com/citation-style-language/schema/raw/master/csl-citation.json"}</w:instrText>
      </w:r>
      <w:r>
        <w:fldChar w:fldCharType="separate"/>
      </w:r>
      <w:r w:rsidRPr="006A07F6">
        <w:rPr>
          <w:noProof/>
        </w:rPr>
        <w:t>(Hartono, 2017)</w:t>
      </w:r>
      <w:r>
        <w:fldChar w:fldCharType="end"/>
      </w:r>
      <w:r>
        <w:t xml:space="preserve"> menyatakan </w:t>
      </w:r>
      <w:r w:rsidRPr="00455C77">
        <w:rPr>
          <w:i/>
        </w:rPr>
        <w:t>Return</w:t>
      </w:r>
      <w:r>
        <w:t xml:space="preserve"> saham dapat dibedakan menjadi dua jenis yaitu </w:t>
      </w:r>
      <w:r w:rsidRPr="008E0EA7">
        <w:rPr>
          <w:i/>
        </w:rPr>
        <w:t>return</w:t>
      </w:r>
      <w:r>
        <w:t xml:space="preserve"> realisasi </w:t>
      </w:r>
      <w:r w:rsidRPr="00455C77">
        <w:rPr>
          <w:i/>
        </w:rPr>
        <w:t>(realized return</w:t>
      </w:r>
      <w:r>
        <w:t>) dan</w:t>
      </w:r>
      <w:r w:rsidRPr="008E0EA7">
        <w:rPr>
          <w:i/>
        </w:rPr>
        <w:t xml:space="preserve"> return</w:t>
      </w:r>
      <w:r>
        <w:t xml:space="preserve"> ekspektasi (</w:t>
      </w:r>
      <w:r w:rsidRPr="00455C77">
        <w:rPr>
          <w:i/>
        </w:rPr>
        <w:t>expected return</w:t>
      </w:r>
      <w:r>
        <w:t xml:space="preserve">). </w:t>
      </w:r>
      <w:r w:rsidRPr="008E0EA7">
        <w:rPr>
          <w:i/>
        </w:rPr>
        <w:t>Return</w:t>
      </w:r>
      <w:r>
        <w:t xml:space="preserve"> </w:t>
      </w:r>
      <w:proofErr w:type="gramStart"/>
      <w:r>
        <w:t>realisasi  merupakan</w:t>
      </w:r>
      <w:proofErr w:type="gramEnd"/>
      <w:r>
        <w:t xml:space="preserve"> </w:t>
      </w:r>
      <w:r w:rsidRPr="008E0EA7">
        <w:rPr>
          <w:i/>
        </w:rPr>
        <w:t xml:space="preserve">return </w:t>
      </w:r>
      <w:r>
        <w:t xml:space="preserve">yang telah terjadi. </w:t>
      </w:r>
      <w:r w:rsidRPr="008E0EA7">
        <w:rPr>
          <w:i/>
        </w:rPr>
        <w:t>Return</w:t>
      </w:r>
      <w:r>
        <w:t xml:space="preserve"> realisasi dihitung berdasarkan data historis</w:t>
      </w:r>
      <w:proofErr w:type="gramStart"/>
      <w:r>
        <w:t>..</w:t>
      </w:r>
      <w:proofErr w:type="gramEnd"/>
      <w:r>
        <w:t xml:space="preserve"> </w:t>
      </w:r>
      <w:r w:rsidRPr="008E0EA7">
        <w:rPr>
          <w:i/>
        </w:rPr>
        <w:t>Return</w:t>
      </w:r>
      <w:r>
        <w:t xml:space="preserve"> historis berfungsi sebagai dasar penentuan </w:t>
      </w:r>
      <w:r w:rsidRPr="008E0EA7">
        <w:rPr>
          <w:i/>
        </w:rPr>
        <w:t>return</w:t>
      </w:r>
      <w:r>
        <w:t xml:space="preserve"> </w:t>
      </w:r>
      <w:proofErr w:type="gramStart"/>
      <w:r>
        <w:t>ekspektasi  dan</w:t>
      </w:r>
      <w:proofErr w:type="gramEnd"/>
      <w:r>
        <w:t xml:space="preserve"> risiko di masa yang akan datang. </w:t>
      </w:r>
      <w:r w:rsidRPr="008E0EA7">
        <w:rPr>
          <w:i/>
        </w:rPr>
        <w:t>Return</w:t>
      </w:r>
      <w:r>
        <w:t xml:space="preserve"> ekspektasi adalah </w:t>
      </w:r>
      <w:r w:rsidRPr="008E0EA7">
        <w:rPr>
          <w:i/>
        </w:rPr>
        <w:t xml:space="preserve">return </w:t>
      </w:r>
      <w:r>
        <w:t xml:space="preserve">yang diharapkan </w:t>
      </w:r>
      <w:proofErr w:type="gramStart"/>
      <w:r>
        <w:t>akan</w:t>
      </w:r>
      <w:proofErr w:type="gramEnd"/>
      <w:r>
        <w:t xml:space="preserve"> diperoleh investor di masa yang akan datang. Berbeda dengan </w:t>
      </w:r>
      <w:r w:rsidRPr="008E0EA7">
        <w:rPr>
          <w:i/>
        </w:rPr>
        <w:t>retur</w:t>
      </w:r>
      <w:r>
        <w:t xml:space="preserve">n realisasi yang sifatnya sudah terjadi, </w:t>
      </w:r>
      <w:r w:rsidRPr="008E0EA7">
        <w:rPr>
          <w:i/>
        </w:rPr>
        <w:t>return</w:t>
      </w:r>
      <w:r>
        <w:t xml:space="preserve"> ekspektasi sifatnya belum terjadi</w:t>
      </w:r>
    </w:p>
    <w:p w:rsidR="002165D7" w:rsidRDefault="002165D7" w:rsidP="002165D7">
      <w:pPr>
        <w:pStyle w:val="Heading1"/>
        <w:tabs>
          <w:tab w:val="left" w:pos="679"/>
          <w:tab w:val="left" w:pos="680"/>
        </w:tabs>
        <w:ind w:left="0"/>
      </w:pPr>
    </w:p>
    <w:p w:rsidR="002165D7" w:rsidRDefault="002165D7" w:rsidP="002165D7">
      <w:pPr>
        <w:pStyle w:val="Heading1"/>
        <w:tabs>
          <w:tab w:val="left" w:pos="679"/>
          <w:tab w:val="left" w:pos="680"/>
        </w:tabs>
        <w:ind w:left="0"/>
      </w:pPr>
      <w:r>
        <w:t xml:space="preserve">3.  Rerangka Pemikiran </w:t>
      </w:r>
    </w:p>
    <w:p w:rsidR="002165D7" w:rsidRPr="002574AC" w:rsidRDefault="002165D7" w:rsidP="002165D7">
      <w:pPr>
        <w:tabs>
          <w:tab w:val="left" w:pos="284"/>
          <w:tab w:val="left" w:pos="8789"/>
        </w:tabs>
        <w:jc w:val="both"/>
        <w:rPr>
          <w:rFonts w:eastAsia="Cambria" w:cs="Times New Roman"/>
          <w:b/>
          <w:sz w:val="21"/>
          <w:szCs w:val="21"/>
          <w:lang w:bidi="ar-SA"/>
        </w:rPr>
      </w:pPr>
      <w:r w:rsidRPr="002574AC">
        <w:rPr>
          <w:rFonts w:eastAsia="Cambria" w:cs="Times New Roman"/>
          <w:b/>
          <w:sz w:val="21"/>
          <w:szCs w:val="21"/>
          <w:lang w:bidi="ar-SA"/>
        </w:rPr>
        <w:t>Pengaruh Pengaruh Kepemilikan Manajerial Terhadap Kualitas Laba</w:t>
      </w:r>
    </w:p>
    <w:p w:rsidR="002165D7" w:rsidRPr="002574AC" w:rsidRDefault="002165D7" w:rsidP="002165D7">
      <w:pPr>
        <w:tabs>
          <w:tab w:val="left" w:pos="482"/>
          <w:tab w:val="left" w:pos="8789"/>
        </w:tabs>
        <w:ind w:hanging="284"/>
        <w:jc w:val="both"/>
        <w:rPr>
          <w:rFonts w:eastAsia="Cambria" w:cs="Times New Roman"/>
          <w:b/>
          <w:sz w:val="21"/>
          <w:szCs w:val="21"/>
          <w:lang w:bidi="ar-SA"/>
        </w:rPr>
      </w:pPr>
      <w:r w:rsidRPr="002574AC">
        <w:rPr>
          <w:rFonts w:eastAsia="Cambria" w:cs="Times New Roman"/>
          <w:sz w:val="21"/>
          <w:szCs w:val="21"/>
          <w:lang w:bidi="ar-SA"/>
        </w:rPr>
        <w:tab/>
      </w:r>
      <w:proofErr w:type="gramStart"/>
      <w:r w:rsidRPr="002574AC">
        <w:rPr>
          <w:rFonts w:eastAsia="Cambria" w:cs="Times New Roman"/>
          <w:sz w:val="21"/>
          <w:szCs w:val="21"/>
          <w:lang w:bidi="ar-SA"/>
        </w:rPr>
        <w:t>Kualitas laba yang dilaporkan dapat dipengaruhi oleh kepemilikan manajerial dalam perusahaan.</w:t>
      </w:r>
      <w:proofErr w:type="gramEnd"/>
      <w:r w:rsidRPr="002574AC">
        <w:rPr>
          <w:rFonts w:eastAsia="Cambria" w:cs="Times New Roman"/>
          <w:sz w:val="21"/>
          <w:szCs w:val="21"/>
          <w:lang w:bidi="ar-SA"/>
        </w:rPr>
        <w:t xml:space="preserve"> Konflik keagenan yang menimbulkan sifat opportunistik mengakibatkan kualitas laba yang dihasilkan rendah </w:t>
      </w:r>
      <w:r w:rsidRPr="002574AC">
        <w:rPr>
          <w:rFonts w:eastAsia="Cambria" w:cs="Times New Roman"/>
          <w:sz w:val="21"/>
          <w:szCs w:val="21"/>
          <w:lang w:bidi="ar-SA"/>
        </w:rPr>
        <w:fldChar w:fldCharType="begin" w:fldLock="1"/>
      </w:r>
      <w:r>
        <w:rPr>
          <w:rFonts w:eastAsia="Cambria" w:cs="Times New Roman"/>
          <w:sz w:val="21"/>
          <w:szCs w:val="21"/>
          <w:lang w:bidi="ar-SA"/>
        </w:rPr>
        <w:instrText>ADDIN CSL_CITATION {"citationItems":[{"id":"ITEM-1","itemData":{"abstract":"The companies listed in Indonesia Stock Exchange generally have an organizational structure that separates owners and management. This situation may create a confalict between the owners and the management. However if they share a common goal, it can increase the companies’ values. This research is aimed at identifying the influence of ownership structure (managerial, institutional, foreign, and central) on the prices to book values (PBV). Understanding of the ownership structure is important for the control of a company operation. This research uses secondary data; it is based on the annual financial reports of Indonesia Stock Exchange in 2009 – 2011. A purposive sampling technique is applied, and 32 companies are selected as the sample. The data are analyzed using multiple linear regression and descriptive statistics. The research results show that the ownership structure significantly influences the firms values: (1) the managerial ownership does not have a positive influence on firm value, (2) the institutional ownership has a positive and significant influence on firm vlue, (3) the foreign ownership has a positive and significant influence on firm value, (4) the concentrated ownership does not have a positive influence on firm value. This research is limited to only the ownership structure as the factors influence of firm value.","author":[{"dropping-particle":"","family":"Mukhtaruddin","given":"","non-dropping-particle":"","parse-names":false,"suffix":""},{"dropping-particle":"","family":"Ferina","given":"Ika Sasti","non-dropping-particle":"","parse-names":false,"suffix":""},{"dropping-particle":"","family":"Nurcahaya","given":"Claudya","non-dropping-particle":"","parse-names":false,"suffix":""}],"container-title":"Journal Of Arts, Science &amp; Commerce","id":"ITEM-1","issue":"4","issued":{"date-parts":[["2014"]]},"page":"1-14","title":"Ownership Structure and Firm Values : Empirical Study on Indonesia Manufacturing Listed Companies","type":"article-journal","volume":"V"},"uris":["http://www.mendeley.com/documents/?uuid=5476783f-81e4-4222-8cfa-5f38a4dd505f"]}],"mendeley":{"formattedCitation":"(Mukhtaruddin, Ferina, &amp; Nurcahaya, 2014)","plainTextFormattedCitation":"(Mukhtaruddin, Ferina, &amp; Nurcahaya, 2014)","previouslyFormattedCitation":"(Mukhtaruddin, Ferina, &amp; Nurcahaya, 2014)"},"properties":{"noteIndex":0},"schema":"https://github.com/citation-style-language/schema/raw/master/csl-citation.json"}</w:instrText>
      </w:r>
      <w:r w:rsidRPr="002574AC">
        <w:rPr>
          <w:rFonts w:eastAsia="Cambria" w:cs="Times New Roman"/>
          <w:sz w:val="21"/>
          <w:szCs w:val="21"/>
          <w:lang w:bidi="ar-SA"/>
        </w:rPr>
        <w:fldChar w:fldCharType="separate"/>
      </w:r>
      <w:r w:rsidRPr="002E6060">
        <w:rPr>
          <w:rFonts w:eastAsia="Cambria" w:cs="Times New Roman"/>
          <w:noProof/>
          <w:sz w:val="21"/>
          <w:szCs w:val="21"/>
          <w:lang w:bidi="ar-SA"/>
        </w:rPr>
        <w:t>(Mukhtaruddin, Ferina, &amp; Nurcahaya, 2014)</w:t>
      </w:r>
      <w:r w:rsidRPr="002574AC">
        <w:rPr>
          <w:rFonts w:eastAsia="Cambria" w:cs="Times New Roman"/>
          <w:sz w:val="21"/>
          <w:szCs w:val="21"/>
          <w:lang w:bidi="ar-SA"/>
        </w:rPr>
        <w:fldChar w:fldCharType="end"/>
      </w:r>
      <w:r w:rsidRPr="002574AC">
        <w:rPr>
          <w:rFonts w:eastAsia="Cambria" w:cs="Times New Roman"/>
          <w:sz w:val="21"/>
          <w:szCs w:val="21"/>
          <w:lang w:bidi="ar-SA"/>
        </w:rPr>
        <w:t xml:space="preserve">. </w:t>
      </w:r>
      <w:proofErr w:type="gramStart"/>
      <w:r w:rsidRPr="002574AC">
        <w:rPr>
          <w:rFonts w:eastAsia="Cambria" w:cs="Times New Roman"/>
          <w:sz w:val="21"/>
          <w:szCs w:val="21"/>
          <w:lang w:bidi="ar-SA"/>
        </w:rPr>
        <w:t xml:space="preserve">Hal ini terjadi karena manajemen </w:t>
      </w:r>
      <w:r w:rsidRPr="002574AC">
        <w:rPr>
          <w:rFonts w:eastAsia="Cambria" w:cs="Times New Roman"/>
          <w:sz w:val="21"/>
          <w:szCs w:val="21"/>
          <w:lang w:bidi="ar-SA"/>
        </w:rPr>
        <w:lastRenderedPageBreak/>
        <w:t>bukan pemilik saham sehingga timbul kecenderungan melakukan tindakan yang menguntungkan diri sendiri.</w:t>
      </w:r>
      <w:proofErr w:type="gramEnd"/>
      <w:r w:rsidRPr="002574AC">
        <w:rPr>
          <w:rFonts w:eastAsia="Cambria" w:cs="Times New Roman"/>
          <w:sz w:val="21"/>
          <w:szCs w:val="21"/>
          <w:lang w:bidi="ar-SA"/>
        </w:rPr>
        <w:t xml:space="preserve"> </w:t>
      </w:r>
      <w:proofErr w:type="gramStart"/>
      <w:r w:rsidRPr="002574AC">
        <w:rPr>
          <w:rFonts w:eastAsia="Cambria" w:cs="Times New Roman"/>
          <w:sz w:val="21"/>
          <w:szCs w:val="21"/>
          <w:lang w:bidi="ar-SA"/>
        </w:rPr>
        <w:t>Kepentingan manajer dan pemegang saham dapat diselaraskan bila manajer memiliki saham perusahaan yang lebih besar.</w:t>
      </w:r>
      <w:proofErr w:type="gramEnd"/>
      <w:r w:rsidRPr="002574AC">
        <w:rPr>
          <w:rFonts w:eastAsia="Cambria" w:cs="Times New Roman"/>
          <w:sz w:val="21"/>
          <w:szCs w:val="21"/>
          <w:lang w:bidi="ar-SA"/>
        </w:rPr>
        <w:t xml:space="preserve"> Penelitian </w:t>
      </w:r>
      <w:r>
        <w:rPr>
          <w:rFonts w:eastAsia="Cambria" w:cs="Times New Roman"/>
          <w:sz w:val="21"/>
          <w:szCs w:val="21"/>
          <w:lang w:bidi="ar-SA"/>
        </w:rPr>
        <w:t xml:space="preserve">sebelumnya yang dilakukan oleh </w:t>
      </w:r>
      <w:r w:rsidRPr="002574AC">
        <w:rPr>
          <w:rFonts w:eastAsia="Cambria" w:cs="Times New Roman"/>
          <w:sz w:val="21"/>
          <w:szCs w:val="21"/>
          <w:lang w:bidi="ar-SA"/>
        </w:rPr>
        <w:fldChar w:fldCharType="begin" w:fldLock="1"/>
      </w:r>
      <w:r w:rsidRPr="002574AC">
        <w:rPr>
          <w:rFonts w:eastAsia="Cambria" w:cs="Times New Roman"/>
          <w:sz w:val="21"/>
          <w:szCs w:val="21"/>
          <w:lang w:bidi="ar-SA"/>
        </w:rPr>
        <w:instrText>ADDIN CSL_CITATION {"citationItems":[{"id":"ITEM-1","itemData":{"DOI":"10.28932/jam.v12i2.2305","ISSN":"2085-8698","abstract":"Financial statements reflect the state of the company where in a financial statement a person can get various kinds of information where one of them is profit. Before investors make an investment they will use information about earnings for their consideration. This causes earnings quality to be one of the most important aspects because it is used in evaluation materials to measure the performance of a company because investors expect quality earnings. Earnings quality is one of the driving factors used by investors before making investment decisions. This study wants to see whether the variables contained in good corporate governance which are divided into managerial ownership, institutional ownership, the size of the public accounting firm, audit committee and committee board have an influence on the quality of corporate earnings. This study conducted a study of companies listed on the Indonesia Stock Exchange in the period 2016-2018 where the number of observations was 60 observations and examined using the calculation of the coefficient of determination and multiple regression. The results found are managerial ownership and audit committee have an influence on earnings quality while other variables have no influence.\r  Keywords: Good Corporate Governance, Earning Quality","author":[{"dropping-particle":"","family":"Polimpung","given":"Lisa J. C.","non-dropping-particle":"","parse-names":false,"suffix":""}],"container-title":"Jurnal Akuntansi","id":"ITEM-1","issue":"2","issued":{"date-parts":[["2020"]]},"page":"215-222","title":"Pengaruh Good Corporate Governance Terhadap Kualitas Laba Perusahaan (Studi pada Perusahaan Sektor Consumer Goods dalam Bursa Efek Indonesia Periode 2016-2018)","type":"article-journal","volume":"12"},"uris":["http://www.mendeley.com/documents/?uuid=8abb2427-19bf-444b-8327-4ab72e357908"]}],"mendeley":{"formattedCitation":"(Polimpung, 2020)","plainTextFormattedCitation":"(Polimpung, 2020)","previouslyFormattedCitation":"(Polimpung, 2020)"},"properties":{"noteIndex":0},"schema":"https://github.com/citation-style-language/schema/raw/master/csl-citation.json"}</w:instrText>
      </w:r>
      <w:r w:rsidRPr="002574AC">
        <w:rPr>
          <w:rFonts w:eastAsia="Cambria" w:cs="Times New Roman"/>
          <w:sz w:val="21"/>
          <w:szCs w:val="21"/>
          <w:lang w:bidi="ar-SA"/>
        </w:rPr>
        <w:fldChar w:fldCharType="separate"/>
      </w:r>
      <w:r w:rsidRPr="002574AC">
        <w:rPr>
          <w:rFonts w:eastAsia="Cambria" w:cs="Times New Roman"/>
          <w:noProof/>
          <w:sz w:val="21"/>
          <w:szCs w:val="21"/>
          <w:lang w:bidi="ar-SA"/>
        </w:rPr>
        <w:t>(Polimpung, 2020)</w:t>
      </w:r>
      <w:r w:rsidRPr="002574AC">
        <w:rPr>
          <w:rFonts w:eastAsia="Cambria" w:cs="Times New Roman"/>
          <w:sz w:val="21"/>
          <w:szCs w:val="21"/>
          <w:lang w:bidi="ar-SA"/>
        </w:rPr>
        <w:fldChar w:fldCharType="end"/>
      </w:r>
      <w:r w:rsidRPr="002574AC">
        <w:rPr>
          <w:rFonts w:eastAsia="Cambria" w:cs="Times New Roman"/>
          <w:sz w:val="21"/>
          <w:szCs w:val="21"/>
          <w:lang w:bidi="ar-SA"/>
        </w:rPr>
        <w:t xml:space="preserve">, </w:t>
      </w:r>
      <w:r w:rsidRPr="002574AC">
        <w:rPr>
          <w:rFonts w:eastAsia="Cambria" w:cs="Times New Roman"/>
          <w:sz w:val="21"/>
          <w:szCs w:val="21"/>
          <w:lang w:bidi="ar-SA"/>
        </w:rPr>
        <w:fldChar w:fldCharType="begin" w:fldLock="1"/>
      </w:r>
      <w:r w:rsidRPr="002574AC">
        <w:rPr>
          <w:rFonts w:eastAsia="Cambria" w:cs="Times New Roman"/>
          <w:sz w:val="21"/>
          <w:szCs w:val="21"/>
          <w:lang w:bidi="ar-SA"/>
        </w:rPr>
        <w:instrText>ADDIN CSL_CITATION {"citationItems":[{"id":"ITEM-1","itemData":{"author":[{"dropping-particle":"","family":"Ismail","given":"","non-dropping-particle":"","parse-names":false,"suffix":""}],"container-title":"Bongaya Journal for Research in Accounting","id":"ITEM-1","issue":"1","issued":{"date-parts":[["2018"]]},"page":"1-7","title":"Pengaruh Prinsip Konservatisme Akuntansi Terhadap Mekanisme Good Corporate Governance dan Kualitas Laba Perusahaan","type":"article-journal","volume":"1"},"uris":["http://www.mendeley.com/documents/?uuid=855ae7d9-42db-4477-8a14-e7125e9c2435"]}],"mendeley":{"formattedCitation":"(Ismail, 2018)","plainTextFormattedCitation":"(Ismail, 2018)","previouslyFormattedCitation":"(Ismail, 2018)"},"properties":{"noteIndex":0},"schema":"https://github.com/citation-style-language/schema/raw/master/csl-citation.json"}</w:instrText>
      </w:r>
      <w:r w:rsidRPr="002574AC">
        <w:rPr>
          <w:rFonts w:eastAsia="Cambria" w:cs="Times New Roman"/>
          <w:sz w:val="21"/>
          <w:szCs w:val="21"/>
          <w:lang w:bidi="ar-SA"/>
        </w:rPr>
        <w:fldChar w:fldCharType="separate"/>
      </w:r>
      <w:r w:rsidRPr="002574AC">
        <w:rPr>
          <w:rFonts w:eastAsia="Cambria" w:cs="Times New Roman"/>
          <w:noProof/>
          <w:sz w:val="21"/>
          <w:szCs w:val="21"/>
          <w:lang w:bidi="ar-SA"/>
        </w:rPr>
        <w:t>(Ismail, 2018)</w:t>
      </w:r>
      <w:r w:rsidRPr="002574AC">
        <w:rPr>
          <w:rFonts w:eastAsia="Cambria" w:cs="Times New Roman"/>
          <w:sz w:val="21"/>
          <w:szCs w:val="21"/>
          <w:lang w:bidi="ar-SA"/>
        </w:rPr>
        <w:fldChar w:fldCharType="end"/>
      </w:r>
      <w:r w:rsidRPr="002574AC">
        <w:rPr>
          <w:rFonts w:eastAsia="Cambria" w:cs="Times New Roman"/>
          <w:sz w:val="21"/>
          <w:szCs w:val="21"/>
          <w:lang w:bidi="ar-SA"/>
        </w:rPr>
        <w:t xml:space="preserve">, dan </w:t>
      </w:r>
      <w:r w:rsidRPr="002574AC">
        <w:rPr>
          <w:rFonts w:eastAsia="Cambria" w:cs="Times New Roman"/>
          <w:sz w:val="21"/>
          <w:szCs w:val="21"/>
          <w:lang w:bidi="ar-SA"/>
        </w:rPr>
        <w:fldChar w:fldCharType="begin" w:fldLock="1"/>
      </w:r>
      <w:r>
        <w:rPr>
          <w:rFonts w:eastAsia="Cambria" w:cs="Times New Roman"/>
          <w:sz w:val="21"/>
          <w:szCs w:val="21"/>
          <w:lang w:bidi="ar-SA"/>
        </w:rPr>
        <w:instrText>ADDIN CSL_CITATION {"citationItems":[{"id":"ITEM-1","itemData":{"author":[{"dropping-particle":"","family":"Barkadehi","given":"Hamed K","non-dropping-particle":"","parse-names":false,"suffix":""},{"dropping-particle":"","family":"Mirbargkar","given":"Seyed M","non-dropping-particle":"","parse-names":false,"suffix":""}],"container-title":"International Journal of Economic Perspective","id":"ITEM-1","issue":"1","issued":{"date-parts":[["2017"]]},"page":"1109-1118","title":"The Role of Ownership in the Earning Quality : Evidence from Listed Firms of Tehran Stock Exchange","type":"article-journal","volume":"11"},"uris":["http://www.mendeley.com/documents/?uuid=c3ffd655-58aa-4bc6-84ed-30dfacb4f3e4"]}],"mendeley":{"formattedCitation":"(Barkadehi &amp; Mirbargkar, 2017)","plainTextFormattedCitation":"(Barkadehi &amp; Mirbargkar, 2017)","previouslyFormattedCitation":"(Barkadehi &amp; Mirbargkar, 2017)"},"properties":{"noteIndex":0},"schema":"https://github.com/citation-style-language/schema/raw/master/csl-citation.json"}</w:instrText>
      </w:r>
      <w:r w:rsidRPr="002574AC">
        <w:rPr>
          <w:rFonts w:eastAsia="Cambria" w:cs="Times New Roman"/>
          <w:sz w:val="21"/>
          <w:szCs w:val="21"/>
          <w:lang w:bidi="ar-SA"/>
        </w:rPr>
        <w:fldChar w:fldCharType="separate"/>
      </w:r>
      <w:r w:rsidRPr="002E6060">
        <w:rPr>
          <w:rFonts w:eastAsia="Cambria" w:cs="Times New Roman"/>
          <w:noProof/>
          <w:sz w:val="21"/>
          <w:szCs w:val="21"/>
          <w:lang w:bidi="ar-SA"/>
        </w:rPr>
        <w:t>(Barkadehi &amp; Mirbargkar, 2017)</w:t>
      </w:r>
      <w:r w:rsidRPr="002574AC">
        <w:rPr>
          <w:rFonts w:eastAsia="Cambria" w:cs="Times New Roman"/>
          <w:sz w:val="21"/>
          <w:szCs w:val="21"/>
          <w:lang w:bidi="ar-SA"/>
        </w:rPr>
        <w:fldChar w:fldCharType="end"/>
      </w:r>
      <w:r w:rsidRPr="002574AC">
        <w:rPr>
          <w:rFonts w:eastAsia="Cambria" w:cs="Times New Roman"/>
          <w:sz w:val="21"/>
          <w:szCs w:val="21"/>
          <w:lang w:bidi="ar-SA"/>
        </w:rPr>
        <w:t xml:space="preserve"> dan  menyatakan bahwa kepemilikan manajerial berpengaruh meningkatkan kualitas laba</w:t>
      </w:r>
      <w:r>
        <w:rPr>
          <w:rFonts w:eastAsia="Cambria" w:cs="Times New Roman"/>
          <w:sz w:val="21"/>
          <w:szCs w:val="21"/>
          <w:lang w:bidi="ar-SA"/>
        </w:rPr>
        <w:t>.</w:t>
      </w:r>
    </w:p>
    <w:p w:rsidR="002165D7" w:rsidRDefault="002165D7" w:rsidP="002165D7">
      <w:pPr>
        <w:tabs>
          <w:tab w:val="left" w:pos="482"/>
          <w:tab w:val="left" w:pos="8789"/>
        </w:tabs>
        <w:ind w:hanging="284"/>
        <w:jc w:val="both"/>
        <w:rPr>
          <w:rFonts w:eastAsia="Cambria" w:cs="Times New Roman"/>
          <w:sz w:val="21"/>
          <w:szCs w:val="21"/>
          <w:lang w:bidi="ar-SA"/>
        </w:rPr>
      </w:pPr>
      <w:r w:rsidRPr="002574AC">
        <w:rPr>
          <w:rFonts w:eastAsia="Cambria" w:cs="Times New Roman"/>
          <w:sz w:val="21"/>
          <w:szCs w:val="21"/>
          <w:lang w:bidi="ar-SA"/>
        </w:rPr>
        <w:tab/>
      </w:r>
    </w:p>
    <w:p w:rsidR="002165D7" w:rsidRPr="002574AC" w:rsidRDefault="002165D7" w:rsidP="002165D7">
      <w:pPr>
        <w:tabs>
          <w:tab w:val="left" w:pos="482"/>
          <w:tab w:val="left" w:pos="8789"/>
        </w:tabs>
        <w:ind w:hanging="284"/>
        <w:jc w:val="both"/>
        <w:rPr>
          <w:rFonts w:eastAsia="Cambria" w:cs="Times New Roman"/>
          <w:b/>
          <w:sz w:val="21"/>
          <w:szCs w:val="21"/>
          <w:lang w:bidi="ar-SA"/>
        </w:rPr>
      </w:pPr>
      <w:r>
        <w:rPr>
          <w:rFonts w:eastAsia="Cambria" w:cs="Times New Roman"/>
          <w:sz w:val="21"/>
          <w:szCs w:val="21"/>
          <w:lang w:bidi="ar-SA"/>
        </w:rPr>
        <w:tab/>
      </w:r>
      <w:r w:rsidRPr="002574AC">
        <w:rPr>
          <w:rFonts w:eastAsia="Cambria" w:cs="Times New Roman"/>
          <w:b/>
          <w:sz w:val="21"/>
          <w:szCs w:val="21"/>
          <w:lang w:bidi="ar-SA"/>
        </w:rPr>
        <w:t>Pengaruh Kepemilikan Institusional Terhadap Kualitas Laba</w:t>
      </w:r>
    </w:p>
    <w:p w:rsidR="002165D7" w:rsidRPr="002574AC" w:rsidRDefault="002165D7" w:rsidP="002165D7">
      <w:pPr>
        <w:tabs>
          <w:tab w:val="left" w:pos="482"/>
          <w:tab w:val="left" w:pos="8789"/>
        </w:tabs>
        <w:jc w:val="both"/>
        <w:rPr>
          <w:rFonts w:eastAsia="Cambria" w:cs="Times New Roman"/>
          <w:b/>
          <w:sz w:val="21"/>
          <w:szCs w:val="21"/>
          <w:lang w:bidi="ar-SA"/>
        </w:rPr>
      </w:pPr>
      <w:r w:rsidRPr="002574AC">
        <w:rPr>
          <w:rFonts w:eastAsia="Cambria" w:cs="Times New Roman"/>
          <w:sz w:val="21"/>
          <w:szCs w:val="21"/>
          <w:lang w:bidi="ar-SA"/>
        </w:rPr>
        <w:t xml:space="preserve">Pengawasan perusahaan </w:t>
      </w:r>
      <w:proofErr w:type="gramStart"/>
      <w:r w:rsidRPr="002574AC">
        <w:rPr>
          <w:rFonts w:eastAsia="Cambria" w:cs="Times New Roman"/>
          <w:sz w:val="21"/>
          <w:szCs w:val="21"/>
          <w:lang w:bidi="ar-SA"/>
        </w:rPr>
        <w:t>akan</w:t>
      </w:r>
      <w:proofErr w:type="gramEnd"/>
      <w:r w:rsidRPr="002574AC">
        <w:rPr>
          <w:rFonts w:eastAsia="Cambria" w:cs="Times New Roman"/>
          <w:sz w:val="21"/>
          <w:szCs w:val="21"/>
          <w:lang w:bidi="ar-SA"/>
        </w:rPr>
        <w:t xml:space="preserve"> meningkat seiring dengan naiknya kepemilikan institusional dan manajemen. Hal ini terkait dengan peran investor institusional dalam melakukan pengawasan terhadap kinerja perusahaan dan mencegah terjadinya konflik kepentingan dari pemegang saham minoritas perusahaan dan mengurangi tindakan manajemen laba</w:t>
      </w:r>
      <w:r w:rsidRPr="002574AC">
        <w:rPr>
          <w:rFonts w:eastAsia="Cambria" w:cs="Times New Roman"/>
          <w:sz w:val="21"/>
          <w:szCs w:val="21"/>
          <w:lang w:bidi="ar-SA"/>
        </w:rPr>
        <w:fldChar w:fldCharType="begin" w:fldLock="1"/>
      </w:r>
      <w:r>
        <w:rPr>
          <w:rFonts w:eastAsia="Cambria" w:cs="Times New Roman"/>
          <w:sz w:val="21"/>
          <w:szCs w:val="21"/>
          <w:lang w:bidi="ar-SA"/>
        </w:rPr>
        <w:instrText>ADDIN CSL_CITATION {"citationItems":[{"id":"ITEM-1","itemData":{"author":[{"dropping-particle":"","family":"Nuryana","given":"Yayan","non-dropping-particle":"","parse-names":false,"suffix":""},{"dropping-particle":"","family":"Surjandari","given":"Dwi Asih","non-dropping-particle":"","parse-names":false,"suffix":""}],"container-title":"Global Journal Of Management and Businessn Research","id":"ITEM-1","issue":"1","issued":{"date-parts":[["2019"]]},"page":"26-39","title":"The Effect Of Goood Corporate Governance Mechanism, and Earning Management on Company Financial Performance","type":"article-journal","volume":"19"},"uris":["http://www.mendeley.com/documents/?uuid=3f2bb37c-f06b-45dd-92a1-23cd104953b4"]}],"mendeley":{"formattedCitation":"(Nuryana &amp; Surjandari, 2019)","plainTextFormattedCitation":"(Nuryana &amp; Surjandari, 2019)","previouslyFormattedCitation":"(Nuryana &amp; Surjandari, 2019)"},"properties":{"noteIndex":0},"schema":"https://github.com/citation-style-language/schema/raw/master/csl-citation.json"}</w:instrText>
      </w:r>
      <w:r w:rsidRPr="002574AC">
        <w:rPr>
          <w:rFonts w:eastAsia="Cambria" w:cs="Times New Roman"/>
          <w:sz w:val="21"/>
          <w:szCs w:val="21"/>
          <w:lang w:bidi="ar-SA"/>
        </w:rPr>
        <w:fldChar w:fldCharType="separate"/>
      </w:r>
      <w:r w:rsidRPr="002E6060">
        <w:rPr>
          <w:rFonts w:eastAsia="Cambria" w:cs="Times New Roman"/>
          <w:noProof/>
          <w:sz w:val="21"/>
          <w:szCs w:val="21"/>
          <w:lang w:bidi="ar-SA"/>
        </w:rPr>
        <w:t>(Nuryana &amp; Surjandari, 2019)</w:t>
      </w:r>
      <w:r w:rsidRPr="002574AC">
        <w:rPr>
          <w:rFonts w:eastAsia="Cambria" w:cs="Times New Roman"/>
          <w:sz w:val="21"/>
          <w:szCs w:val="21"/>
          <w:lang w:bidi="ar-SA"/>
        </w:rPr>
        <w:fldChar w:fldCharType="end"/>
      </w:r>
      <w:r w:rsidRPr="002574AC">
        <w:rPr>
          <w:rFonts w:eastAsia="Cambria" w:cs="Times New Roman"/>
          <w:sz w:val="21"/>
          <w:szCs w:val="21"/>
          <w:lang w:bidi="ar-SA"/>
        </w:rPr>
        <w:t xml:space="preserve">. Penelitian mengenai hubungan kepemilikan institusional terhadap kualitas laba dilakukan oleh,  </w:t>
      </w:r>
      <w:r w:rsidRPr="002574AC">
        <w:rPr>
          <w:rFonts w:eastAsia="Cambria" w:cs="Times New Roman"/>
          <w:sz w:val="21"/>
          <w:szCs w:val="21"/>
          <w:lang w:bidi="ar-SA"/>
        </w:rPr>
        <w:fldChar w:fldCharType="begin" w:fldLock="1"/>
      </w:r>
      <w:r>
        <w:rPr>
          <w:rFonts w:eastAsia="Cambria" w:cs="Times New Roman"/>
          <w:sz w:val="21"/>
          <w:szCs w:val="21"/>
          <w:lang w:bidi="ar-SA"/>
        </w:rPr>
        <w:instrText>ADDIN CSL_CITATION {"citationItems":[{"id":"ITEM-1","itemData":{"author":[{"dropping-particle":"","family":"Barkadehi","given":"Hamed K","non-dropping-particle":"","parse-names":false,"suffix":""},{"dropping-particle":"","family":"Mirbargkar","given":"Seyed M","non-dropping-particle":"","parse-names":false,"suffix":""}],"container-title":"International Journal of Economic Perspective","id":"ITEM-1","issue":"1","issued":{"date-parts":[["2017"]]},"page":"1109-1118","title":"The Role of Ownership in the Earning Quality : Evidence from Listed Firms of Tehran Stock Exchange","type":"article-journal","volume":"11"},"uris":["http://www.mendeley.com/documents/?uuid=c3ffd655-58aa-4bc6-84ed-30dfacb4f3e4"]}],"mendeley":{"formattedCitation":"(Barkadehi &amp; Mirbargkar, 2017)","plainTextFormattedCitation":"(Barkadehi &amp; Mirbargkar, 2017)","previouslyFormattedCitation":"(Barkadehi &amp; Mirbargkar, 2017)"},"properties":{"noteIndex":0},"schema":"https://github.com/citation-style-language/schema/raw/master/csl-citation.json"}</w:instrText>
      </w:r>
      <w:r w:rsidRPr="002574AC">
        <w:rPr>
          <w:rFonts w:eastAsia="Cambria" w:cs="Times New Roman"/>
          <w:sz w:val="21"/>
          <w:szCs w:val="21"/>
          <w:lang w:bidi="ar-SA"/>
        </w:rPr>
        <w:fldChar w:fldCharType="separate"/>
      </w:r>
      <w:r w:rsidRPr="002E6060">
        <w:rPr>
          <w:rFonts w:eastAsia="Cambria" w:cs="Times New Roman"/>
          <w:noProof/>
          <w:sz w:val="21"/>
          <w:szCs w:val="21"/>
          <w:lang w:bidi="ar-SA"/>
        </w:rPr>
        <w:t>(Barkadehi &amp; Mirbargkar, 2017)</w:t>
      </w:r>
      <w:r w:rsidRPr="002574AC">
        <w:rPr>
          <w:rFonts w:eastAsia="Cambria" w:cs="Times New Roman"/>
          <w:sz w:val="21"/>
          <w:szCs w:val="21"/>
          <w:lang w:bidi="ar-SA"/>
        </w:rPr>
        <w:fldChar w:fldCharType="end"/>
      </w:r>
      <w:r w:rsidRPr="002574AC">
        <w:rPr>
          <w:rFonts w:eastAsia="Cambria" w:cs="Times New Roman"/>
          <w:sz w:val="21"/>
          <w:szCs w:val="21"/>
          <w:lang w:bidi="ar-SA"/>
        </w:rPr>
        <w:t xml:space="preserve"> menyatakan bahwa kepemilikan institusional menyatakan  kepemilikan institusional berpengaruh meningkatkan kualitas laba. </w:t>
      </w:r>
    </w:p>
    <w:p w:rsidR="002165D7" w:rsidRPr="002574AC" w:rsidRDefault="002165D7" w:rsidP="002165D7">
      <w:pPr>
        <w:tabs>
          <w:tab w:val="left" w:pos="0"/>
          <w:tab w:val="left" w:pos="8789"/>
        </w:tabs>
        <w:jc w:val="both"/>
        <w:rPr>
          <w:rFonts w:eastAsia="Cambria" w:cs="Times New Roman"/>
          <w:b/>
          <w:sz w:val="21"/>
          <w:szCs w:val="21"/>
          <w:lang w:bidi="ar-SA"/>
        </w:rPr>
      </w:pPr>
      <w:r w:rsidRPr="002574AC">
        <w:rPr>
          <w:rFonts w:eastAsia="Cambria" w:cs="Times New Roman"/>
          <w:b/>
          <w:sz w:val="21"/>
          <w:szCs w:val="21"/>
          <w:lang w:bidi="ar-SA"/>
        </w:rPr>
        <w:t>Pengaruh Dewan Komisaris Independen Terhadap Kualitas Laba</w:t>
      </w:r>
    </w:p>
    <w:p w:rsidR="002165D7" w:rsidRPr="002574AC" w:rsidRDefault="002165D7" w:rsidP="002165D7">
      <w:pPr>
        <w:tabs>
          <w:tab w:val="left" w:pos="8789"/>
        </w:tabs>
        <w:jc w:val="both"/>
        <w:rPr>
          <w:rFonts w:eastAsia="Cambria" w:cs="Times New Roman"/>
          <w:sz w:val="21"/>
          <w:szCs w:val="21"/>
          <w:lang w:bidi="ar-SA"/>
        </w:rPr>
      </w:pPr>
      <w:r>
        <w:rPr>
          <w:rFonts w:eastAsia="Cambria" w:cs="Times New Roman"/>
          <w:sz w:val="21"/>
          <w:szCs w:val="21"/>
          <w:lang w:bidi="ar-SA"/>
        </w:rPr>
        <w:t>P</w:t>
      </w:r>
      <w:r w:rsidRPr="002574AC">
        <w:rPr>
          <w:rFonts w:eastAsia="Cambria" w:cs="Times New Roman"/>
          <w:sz w:val="21"/>
          <w:szCs w:val="21"/>
          <w:lang w:bidi="ar-SA"/>
        </w:rPr>
        <w:t>eran dewan komisaris independen dalam menjalankan fungsi pengawa</w:t>
      </w:r>
      <w:r>
        <w:rPr>
          <w:rFonts w:eastAsia="Cambria" w:cs="Times New Roman"/>
          <w:sz w:val="21"/>
          <w:szCs w:val="21"/>
          <w:lang w:bidi="ar-SA"/>
        </w:rPr>
        <w:t>san operasional perusahaan adalah</w:t>
      </w:r>
      <w:r w:rsidRPr="002574AC">
        <w:rPr>
          <w:rFonts w:eastAsia="Cambria" w:cs="Times New Roman"/>
          <w:sz w:val="21"/>
          <w:szCs w:val="21"/>
          <w:lang w:bidi="ar-SA"/>
        </w:rPr>
        <w:t xml:space="preserve"> memberikan kontribusi efektif terhadap hasil penyusunan laporan kualitas dan menghindari manajemen laba sehingga menpengaruhi kualitas laba perusahaan</w:t>
      </w:r>
      <w:r w:rsidRPr="002574AC">
        <w:rPr>
          <w:rFonts w:eastAsia="Cambria" w:cs="Times New Roman"/>
          <w:sz w:val="21"/>
          <w:szCs w:val="21"/>
          <w:lang w:bidi="ar-SA"/>
        </w:rPr>
        <w:fldChar w:fldCharType="begin" w:fldLock="1"/>
      </w:r>
      <w:r w:rsidRPr="002574AC">
        <w:rPr>
          <w:rFonts w:eastAsia="Cambria" w:cs="Times New Roman"/>
          <w:sz w:val="21"/>
          <w:szCs w:val="21"/>
          <w:lang w:bidi="ar-SA"/>
        </w:rPr>
        <w:instrText>ADDIN CSL_CITATION {"citationItems":[{"id":"ITEM-1","itemData":{"abstract":"This research aimed at analyzing the influence of e-learning service quality and academic engagement on academic achievement through student satisfaction as an intervening variable. Only students who had ever used e-learning service could be the research sample and 222 students were sampled using purposive sampling. The data were collected by distributing questionnaire to the research samples. The data were analyzed using path analysis technique. The result indicated that e-learning service quality, academic engagement, and student satisfaction had an influence on accounting students’ academic achievement. From this research finding, it was suggested that university lecturers keep on developing teaching and learning strategies which can improve students’ academic engagement since it has been proven that academic engagement has a dominant influence on students’ academic achievement.","author":[{"dropping-particle":"","family":"Arisanti","given":"Ike","non-dropping-particle":"","parse-names":false,"suffix":""}],"container-title":"Journal Of Accounting and Business Education","id":"ITEM-1","issue":"September","issued":{"date-parts":[["2020"]]},"page":"38-53","title":"Analysis on Earnings Persistence, Independent Commissioner and Herding Behavior on Eraning Quality","type":"article-journal","volume":"5"},"uris":["http://www.mendeley.com/documents/?uuid=452cd439-0dde-4da1-b7e0-f9d0853462b9"]}],"mendeley":{"formattedCitation":"(Arisanti, 2020)","plainTextFormattedCitation":"(Arisanti, 2020)","previouslyFormattedCitation":"(Arisanti, 2020)"},"properties":{"noteIndex":0},"schema":"https://github.com/citation-style-language/schema/raw/master/csl-citation.json"}</w:instrText>
      </w:r>
      <w:r w:rsidRPr="002574AC">
        <w:rPr>
          <w:rFonts w:eastAsia="Cambria" w:cs="Times New Roman"/>
          <w:sz w:val="21"/>
          <w:szCs w:val="21"/>
          <w:lang w:bidi="ar-SA"/>
        </w:rPr>
        <w:fldChar w:fldCharType="separate"/>
      </w:r>
      <w:r w:rsidRPr="002574AC">
        <w:rPr>
          <w:rFonts w:eastAsia="Cambria" w:cs="Times New Roman"/>
          <w:noProof/>
          <w:sz w:val="21"/>
          <w:szCs w:val="21"/>
          <w:lang w:bidi="ar-SA"/>
        </w:rPr>
        <w:t>(Arisanti, 2020)</w:t>
      </w:r>
      <w:r w:rsidRPr="002574AC">
        <w:rPr>
          <w:rFonts w:eastAsia="Cambria" w:cs="Times New Roman"/>
          <w:sz w:val="21"/>
          <w:szCs w:val="21"/>
          <w:lang w:bidi="ar-SA"/>
        </w:rPr>
        <w:fldChar w:fldCharType="end"/>
      </w:r>
      <w:r w:rsidRPr="002574AC">
        <w:rPr>
          <w:rFonts w:eastAsia="Cambria" w:cs="Times New Roman"/>
          <w:sz w:val="21"/>
          <w:szCs w:val="21"/>
          <w:lang w:bidi="ar-SA"/>
        </w:rPr>
        <w:t xml:space="preserve"> .  Penelitian hubungan antara dewan komisaris independen terhadap kualitas laba yang di lakukan oleh </w:t>
      </w:r>
      <w:r w:rsidRPr="002574AC">
        <w:rPr>
          <w:rFonts w:eastAsia="Cambria" w:cs="Times New Roman"/>
          <w:sz w:val="21"/>
          <w:szCs w:val="21"/>
          <w:lang w:bidi="ar-SA"/>
        </w:rPr>
        <w:fldChar w:fldCharType="begin" w:fldLock="1"/>
      </w:r>
      <w:r>
        <w:rPr>
          <w:rFonts w:eastAsia="Cambria" w:cs="Times New Roman"/>
          <w:sz w:val="21"/>
          <w:szCs w:val="21"/>
          <w:lang w:bidi="ar-SA"/>
        </w:rPr>
        <w:instrText>ADDIN CSL_CITATION {"citationItems":[{"id":"ITEM-1","itemData":{"DOI":"10.9770/jesi.2019.7.1(15)","ISSN":"23450282","abstract":"The general objective of this research is to explore the model of earnings quality monitoring and to examine the effect of auditor independence on the relationship between corporate governance mechanism and earnings quality. Specifically, this research is aimed to investigate the impact of ownership structure, commissioner board structure, audit committee structure, internal audit function, and internal control activity, on earnings quality by involving an interaction of these variables with auditor independence. Earnings quality is measured with two proxies. The first proxy is performance-adjusted discretionary accruals or also called Total Accrual, while the second utilizes Total Current Accrual. Achieving all objectives above, the author develops a model and analyses this model in two stages. In the first stage, the model is explored using analysis technique of correlation and regression. Second, fittingness of model is attested using regression analysis with a variety of variable controls and sample controls. Research object is the manufacture companies listed in Indonesia Stock Exchange in period 2011-2015. The Sample includes 112 companies with 560 data of research. After conducting outlier test, the suitable amount of data is 553. The Result of hypothesis test indicates that the model of earnings quality monitoring is constructed from the interaction of many variables. Corporate governance mechanism consists of variables such as ownership structure (managerial ownership and institutional ownership), commissioner board structure, audit committee structure, internal audit function, and internal control activity. Adjusted R-Square value is reaching for 3.3% with significance-value of 0.001. Partially, commissioner board structure, internal audit function, and internal control activity have a significant effect on earnings quality. Auditor independence does not moderate the impact of corporate governance components on earnings quality.","author":[{"dropping-particle":"","family":"Arniati","given":"Tutik","non-dropping-particle":"","parse-names":false,"suffix":""},{"dropping-particle":"","family":"Puspita","given":"Dyah Aruning","non-dropping-particle":"","parse-names":false,"suffix":""},{"dropping-particle":"","family":"Amin","given":"Aminul","non-dropping-particle":"","parse-names":false,"suffix":""},{"dropping-particle":"","family":"Pirzada","given":"Kashan","non-dropping-particle":"","parse-names":false,"suffix":""}],"container-title":"Entrepreneurship and Sustainability Issues","id":"ITEM-1","issue":"1","issued":{"date-parts":[["2019"]]},"page":"188-200","title":"The implementation of good corporate governance model and auditor independence in earnings' quality improvement","type":"article-journal","volume":"7"},"uris":["http://www.mendeley.com/documents/?uuid=e6e3f526-2ccf-44c4-940f-cc3600351fbc"]}],"mendeley":{"formattedCitation":"(Arniati et al., 2019)","plainTextFormattedCitation":"(Arniati et al., 2019)","previouslyFormattedCitation":"(Arniati et al., 2019)"},"properties":{"noteIndex":0},"schema":"https://github.com/citation-style-language/schema/raw/master/csl-citation.json"}</w:instrText>
      </w:r>
      <w:r w:rsidRPr="002574AC">
        <w:rPr>
          <w:rFonts w:eastAsia="Cambria" w:cs="Times New Roman"/>
          <w:sz w:val="21"/>
          <w:szCs w:val="21"/>
          <w:lang w:bidi="ar-SA"/>
        </w:rPr>
        <w:fldChar w:fldCharType="separate"/>
      </w:r>
      <w:r w:rsidRPr="002E6060">
        <w:rPr>
          <w:rFonts w:eastAsia="Cambria" w:cs="Times New Roman"/>
          <w:noProof/>
          <w:sz w:val="21"/>
          <w:szCs w:val="21"/>
          <w:lang w:bidi="ar-SA"/>
        </w:rPr>
        <w:t>(Arniati et al., 2019)</w:t>
      </w:r>
      <w:r w:rsidRPr="002574AC">
        <w:rPr>
          <w:rFonts w:eastAsia="Cambria" w:cs="Times New Roman"/>
          <w:sz w:val="21"/>
          <w:szCs w:val="21"/>
          <w:lang w:bidi="ar-SA"/>
        </w:rPr>
        <w:fldChar w:fldCharType="end"/>
      </w:r>
      <w:r w:rsidRPr="002574AC">
        <w:rPr>
          <w:rFonts w:eastAsia="Cambria" w:cs="Times New Roman"/>
          <w:sz w:val="21"/>
          <w:szCs w:val="21"/>
          <w:lang w:bidi="ar-SA"/>
        </w:rPr>
        <w:t xml:space="preserve">, dan menyatakan bahwa ada hubungan signifikan positif dewan komisaris independen terhadap kualitas laba. </w:t>
      </w:r>
    </w:p>
    <w:p w:rsidR="002165D7" w:rsidRDefault="002165D7" w:rsidP="002165D7">
      <w:pPr>
        <w:tabs>
          <w:tab w:val="left" w:pos="0"/>
          <w:tab w:val="left" w:pos="8789"/>
        </w:tabs>
        <w:jc w:val="both"/>
        <w:rPr>
          <w:rFonts w:eastAsia="Cambria" w:cs="Times New Roman"/>
          <w:b/>
          <w:sz w:val="21"/>
          <w:szCs w:val="21"/>
          <w:lang w:bidi="ar-SA"/>
        </w:rPr>
      </w:pPr>
    </w:p>
    <w:p w:rsidR="002165D7" w:rsidRPr="002574AC" w:rsidRDefault="002165D7" w:rsidP="002165D7">
      <w:pPr>
        <w:tabs>
          <w:tab w:val="left" w:pos="0"/>
          <w:tab w:val="left" w:pos="8789"/>
        </w:tabs>
        <w:jc w:val="both"/>
        <w:rPr>
          <w:rFonts w:eastAsia="Cambria" w:cs="Times New Roman"/>
          <w:b/>
          <w:sz w:val="21"/>
          <w:szCs w:val="21"/>
          <w:lang w:bidi="ar-SA"/>
        </w:rPr>
      </w:pPr>
      <w:r w:rsidRPr="002574AC">
        <w:rPr>
          <w:rFonts w:eastAsia="Cambria" w:cs="Times New Roman"/>
          <w:b/>
          <w:sz w:val="21"/>
          <w:szCs w:val="21"/>
          <w:lang w:bidi="ar-SA"/>
        </w:rPr>
        <w:t>Pengaruh Komite Audit Terhadap Kualitas Laba</w:t>
      </w:r>
    </w:p>
    <w:p w:rsidR="002165D7" w:rsidRPr="002574AC" w:rsidRDefault="002165D7" w:rsidP="002165D7">
      <w:pPr>
        <w:tabs>
          <w:tab w:val="left" w:pos="482"/>
          <w:tab w:val="left" w:pos="8789"/>
        </w:tabs>
        <w:jc w:val="both"/>
        <w:rPr>
          <w:rFonts w:eastAsia="Cambria" w:cs="Times New Roman"/>
          <w:sz w:val="21"/>
          <w:szCs w:val="21"/>
          <w:lang w:bidi="ar-SA"/>
        </w:rPr>
      </w:pPr>
      <w:r w:rsidRPr="002574AC">
        <w:rPr>
          <w:rFonts w:eastAsia="Cambria" w:cs="Times New Roman"/>
          <w:sz w:val="21"/>
          <w:szCs w:val="21"/>
          <w:lang w:bidi="ar-SA"/>
        </w:rPr>
        <w:t xml:space="preserve">Independensi anggota komite audit dianggap sebagai alat untuk mengontrol proses pelaporan </w:t>
      </w:r>
      <w:r w:rsidRPr="002574AC">
        <w:rPr>
          <w:rFonts w:eastAsia="Cambria" w:cs="Times New Roman"/>
          <w:sz w:val="21"/>
          <w:szCs w:val="21"/>
          <w:lang w:bidi="ar-SA"/>
        </w:rPr>
        <w:lastRenderedPageBreak/>
        <w:t>keuangan. Oleh karena it</w:t>
      </w:r>
      <w:r>
        <w:rPr>
          <w:rFonts w:eastAsia="Cambria" w:cs="Times New Roman"/>
          <w:sz w:val="21"/>
          <w:szCs w:val="21"/>
          <w:lang w:bidi="ar-SA"/>
        </w:rPr>
        <w:t xml:space="preserve">u karakteristik </w:t>
      </w:r>
      <w:proofErr w:type="gramStart"/>
      <w:r>
        <w:rPr>
          <w:rFonts w:eastAsia="Cambria" w:cs="Times New Roman"/>
          <w:sz w:val="21"/>
          <w:szCs w:val="21"/>
          <w:lang w:bidi="ar-SA"/>
        </w:rPr>
        <w:t xml:space="preserve">independensi </w:t>
      </w:r>
      <w:r w:rsidRPr="002574AC">
        <w:rPr>
          <w:rFonts w:eastAsia="Cambria" w:cs="Times New Roman"/>
          <w:sz w:val="21"/>
          <w:szCs w:val="21"/>
          <w:lang w:bidi="ar-SA"/>
        </w:rPr>
        <w:t xml:space="preserve"> dapat</w:t>
      </w:r>
      <w:proofErr w:type="gramEnd"/>
      <w:r w:rsidRPr="002574AC">
        <w:rPr>
          <w:rFonts w:eastAsia="Cambria" w:cs="Times New Roman"/>
          <w:sz w:val="21"/>
          <w:szCs w:val="21"/>
          <w:lang w:bidi="ar-SA"/>
        </w:rPr>
        <w:t xml:space="preserve"> digunakan sebagai salah satu indikator untuk mengukur kualitas laba. Penelitian sebelumnya mengenai hubungan pengaruh komite audit terhadap kualitas laba yang dilakukan oleh, </w:t>
      </w:r>
      <w:r w:rsidRPr="002574AC">
        <w:rPr>
          <w:rFonts w:eastAsia="Cambria" w:cs="Times New Roman"/>
          <w:sz w:val="21"/>
          <w:szCs w:val="21"/>
          <w:lang w:bidi="ar-SA"/>
        </w:rPr>
        <w:fldChar w:fldCharType="begin" w:fldLock="1"/>
      </w:r>
      <w:r>
        <w:rPr>
          <w:rFonts w:eastAsia="Cambria" w:cs="Times New Roman"/>
          <w:sz w:val="21"/>
          <w:szCs w:val="21"/>
          <w:lang w:bidi="ar-SA"/>
        </w:rPr>
        <w:instrText>ADDIN CSL_CITATION {"citationItems":[{"id":"ITEM-1","itemData":{"DOI":"10.34218/IJM.11.5.2020.046","ISSN":"09766510","abstract":"Income smoothing has become a phenomenon. It when companies report large profits, people become asked whether this is really real profit or profit that is intentionally made for a particular purpose. Departing from this, we made a study of income smoothing in the mining sector. Mining sector is one sector that is classified as profitable for people; this sector can be called an opportunist and opportunist sector often associated with earnings management and income smoothing. Our research is quantitative research. We use secondary data, financial statements of mining companies for the past five years. We use path analysis for the analysis tools in this study. We use three moderator variables, namely: institutional ownership, managerial ownership and audit committee. We examine the three moderator variables whether they can moderate profitability and leverage on income smoothing. The results of our study state that profitability influences income smoothing. In addition managerial ownership is able to moderate profitability and leverage, while the audit committee is only able to moderate profitability on income smoothing.","author":[{"dropping-particle":"","family":"Handoko","given":"Bambang Leo","non-dropping-particle":"","parse-names":false,"suffix":""},{"dropping-particle":"","family":"Arbi","given":"Daniel Yosia","non-dropping-particle":"","parse-names":false,"suffix":""}],"container-title":"International Journal of Management","id":"ITEM-1","issue":"5","issued":{"date-parts":[["2020"]]},"page":"486-496","title":"How corporate governance able to moderate income smoothing in mining sector","type":"article-journal","volume":"11"},"uris":["http://www.mendeley.com/documents/?uuid=0b77199b-f9f8-4258-9416-6a2967ad243f"]}],"mendeley":{"formattedCitation":"(Handoko &amp; Arbi, 2020)","plainTextFormattedCitation":"(Handoko &amp; Arbi, 2020)","previouslyFormattedCitation":"(Handoko &amp; Arbi, 2020)"},"properties":{"noteIndex":0},"schema":"https://github.com/citation-style-language/schema/raw/master/csl-citation.json"}</w:instrText>
      </w:r>
      <w:r w:rsidRPr="002574AC">
        <w:rPr>
          <w:rFonts w:eastAsia="Cambria" w:cs="Times New Roman"/>
          <w:sz w:val="21"/>
          <w:szCs w:val="21"/>
          <w:lang w:bidi="ar-SA"/>
        </w:rPr>
        <w:fldChar w:fldCharType="separate"/>
      </w:r>
      <w:r w:rsidRPr="002E6060">
        <w:rPr>
          <w:rFonts w:eastAsia="Cambria" w:cs="Times New Roman"/>
          <w:noProof/>
          <w:sz w:val="21"/>
          <w:szCs w:val="21"/>
          <w:lang w:bidi="ar-SA"/>
        </w:rPr>
        <w:t>(Handoko &amp; Arbi, 2020)</w:t>
      </w:r>
      <w:r w:rsidRPr="002574AC">
        <w:rPr>
          <w:rFonts w:eastAsia="Cambria" w:cs="Times New Roman"/>
          <w:sz w:val="21"/>
          <w:szCs w:val="21"/>
          <w:lang w:bidi="ar-SA"/>
        </w:rPr>
        <w:fldChar w:fldCharType="end"/>
      </w:r>
      <w:r w:rsidRPr="002574AC">
        <w:rPr>
          <w:rFonts w:eastAsia="Cambria" w:cs="Times New Roman"/>
          <w:sz w:val="21"/>
          <w:szCs w:val="21"/>
          <w:lang w:bidi="ar-SA"/>
        </w:rPr>
        <w:t xml:space="preserve">, </w:t>
      </w:r>
      <w:r w:rsidRPr="002574AC">
        <w:rPr>
          <w:rFonts w:eastAsia="Cambria" w:cs="Times New Roman"/>
          <w:sz w:val="21"/>
          <w:szCs w:val="21"/>
          <w:lang w:bidi="ar-SA"/>
        </w:rPr>
        <w:fldChar w:fldCharType="begin" w:fldLock="1"/>
      </w:r>
      <w:r>
        <w:rPr>
          <w:rFonts w:eastAsia="Cambria" w:cs="Times New Roman"/>
          <w:sz w:val="21"/>
          <w:szCs w:val="21"/>
          <w:lang w:bidi="ar-SA"/>
        </w:rPr>
        <w:instrText>ADDIN CSL_CITATION {"citationItems":[{"id":"ITEM-1","itemData":{"author":[{"dropping-particle":"","family":"Mahdi Obaid","given":"Mohammed","non-dropping-particle":"","parse-names":false,"suffix":""},{"dropping-particle":"","family":"Rajab Amrah","given":"Muneer","non-dropping-particle":"","parse-names":false,"suffix":""}],"container-title":"Internasional Journal Of Research Business and Social Science (IJRBS)","id":"ITEM-1","issue":"3","issued":{"date-parts":[["2020"]]},"page":"157-164","title":"Research in Business &amp; Social Science Emerging policies and the effectiveness of corporate governance mechanisms on earning quality : A conceptual framework for Gulf cooperation council","type":"article-journal","volume":"9"},"uris":["http://www.mendeley.com/documents/?uuid=d688a54a-798e-4cd7-8d10-c56f2754013f"]}],"mendeley":{"formattedCitation":"(Mahdi Obaid &amp; Rajab Amrah, 2020)","plainTextFormattedCitation":"(Mahdi Obaid &amp; Rajab Amrah, 2020)","previouslyFormattedCitation":"(Mahdi Obaid &amp; Rajab Amrah, 2020)"},"properties":{"noteIndex":0},"schema":"https://github.com/citation-style-language/schema/raw/master/csl-citation.json"}</w:instrText>
      </w:r>
      <w:r w:rsidRPr="002574AC">
        <w:rPr>
          <w:rFonts w:eastAsia="Cambria" w:cs="Times New Roman"/>
          <w:sz w:val="21"/>
          <w:szCs w:val="21"/>
          <w:lang w:bidi="ar-SA"/>
        </w:rPr>
        <w:fldChar w:fldCharType="separate"/>
      </w:r>
      <w:r w:rsidRPr="002E6060">
        <w:rPr>
          <w:rFonts w:eastAsia="Cambria" w:cs="Times New Roman"/>
          <w:noProof/>
          <w:sz w:val="21"/>
          <w:szCs w:val="21"/>
          <w:lang w:bidi="ar-SA"/>
        </w:rPr>
        <w:t>(Mahdi Obaid &amp; Rajab Amrah, 2020)</w:t>
      </w:r>
      <w:r w:rsidRPr="002574AC">
        <w:rPr>
          <w:rFonts w:eastAsia="Cambria" w:cs="Times New Roman"/>
          <w:sz w:val="21"/>
          <w:szCs w:val="21"/>
          <w:lang w:bidi="ar-SA"/>
        </w:rPr>
        <w:fldChar w:fldCharType="end"/>
      </w:r>
      <w:r w:rsidRPr="002574AC">
        <w:rPr>
          <w:rFonts w:eastAsia="Cambria" w:cs="Times New Roman"/>
          <w:sz w:val="21"/>
          <w:szCs w:val="21"/>
          <w:lang w:bidi="ar-SA"/>
        </w:rPr>
        <w:t xml:space="preserve">, dan </w:t>
      </w:r>
      <w:r w:rsidRPr="002574AC">
        <w:rPr>
          <w:rFonts w:eastAsia="Cambria" w:cs="Times New Roman"/>
          <w:sz w:val="21"/>
          <w:szCs w:val="21"/>
          <w:lang w:bidi="ar-SA"/>
        </w:rPr>
        <w:fldChar w:fldCharType="begin" w:fldLock="1"/>
      </w:r>
      <w:r w:rsidRPr="002574AC">
        <w:rPr>
          <w:rFonts w:eastAsia="Cambria" w:cs="Times New Roman"/>
          <w:sz w:val="21"/>
          <w:szCs w:val="21"/>
          <w:lang w:bidi="ar-SA"/>
        </w:rPr>
        <w:instrText>ADDIN CSL_CITATION {"citationItems":[{"id":"ITEM-1","itemData":{"DOI":"10.14254/2071-8330.2020/13-2/9","ISSN":"2306-3483","author":[{"dropping-particle":"","family":"Hamdan","given":"Allam","non-dropping-particle":"","parse-names":false,"suffix":""}],"container-title":"Journal of International Studies","id":"ITEM-1","issue":"2","issued":{"date-parts":[["2020"]]},"page":"127-138","title":"The role of the audit committee in improving earnings quality: The case of industrial companies in GCC","type":"article-journal","volume":"13"},"uris":["http://www.mendeley.com/documents/?uuid=482c1869-50ac-49f1-bcae-b590c9fc1f06"]}],"mendeley":{"formattedCitation":"(Hamdan, 2020)","plainTextFormattedCitation":"(Hamdan, 2020)","previouslyFormattedCitation":"(Hamdan, 2020)"},"properties":{"noteIndex":0},"schema":"https://github.com/citation-style-language/schema/raw/master/csl-citation.json"}</w:instrText>
      </w:r>
      <w:r w:rsidRPr="002574AC">
        <w:rPr>
          <w:rFonts w:eastAsia="Cambria" w:cs="Times New Roman"/>
          <w:sz w:val="21"/>
          <w:szCs w:val="21"/>
          <w:lang w:bidi="ar-SA"/>
        </w:rPr>
        <w:fldChar w:fldCharType="separate"/>
      </w:r>
      <w:r w:rsidRPr="002574AC">
        <w:rPr>
          <w:rFonts w:eastAsia="Cambria" w:cs="Times New Roman"/>
          <w:noProof/>
          <w:sz w:val="21"/>
          <w:szCs w:val="21"/>
          <w:lang w:bidi="ar-SA"/>
        </w:rPr>
        <w:t>(Hamdan, 2020)</w:t>
      </w:r>
      <w:r w:rsidRPr="002574AC">
        <w:rPr>
          <w:rFonts w:eastAsia="Cambria" w:cs="Times New Roman"/>
          <w:sz w:val="21"/>
          <w:szCs w:val="21"/>
          <w:lang w:bidi="ar-SA"/>
        </w:rPr>
        <w:fldChar w:fldCharType="end"/>
      </w:r>
      <w:r w:rsidRPr="002574AC">
        <w:rPr>
          <w:rFonts w:eastAsia="Cambria" w:cs="Times New Roman"/>
          <w:sz w:val="21"/>
          <w:szCs w:val="21"/>
          <w:lang w:bidi="ar-SA"/>
        </w:rPr>
        <w:t xml:space="preserve"> menunjukkan bahwa fungsi komite audit berpengaruh terhadap kualitas laba. </w:t>
      </w:r>
    </w:p>
    <w:p w:rsidR="002165D7" w:rsidRDefault="002165D7" w:rsidP="002165D7">
      <w:pPr>
        <w:tabs>
          <w:tab w:val="left" w:pos="0"/>
          <w:tab w:val="left" w:pos="8789"/>
        </w:tabs>
        <w:jc w:val="both"/>
        <w:rPr>
          <w:rFonts w:eastAsia="Cambria" w:cs="Times New Roman"/>
          <w:b/>
          <w:sz w:val="21"/>
          <w:szCs w:val="21"/>
          <w:lang w:bidi="ar-SA"/>
        </w:rPr>
      </w:pPr>
    </w:p>
    <w:p w:rsidR="002165D7" w:rsidRPr="002574AC" w:rsidRDefault="002165D7" w:rsidP="002165D7">
      <w:pPr>
        <w:tabs>
          <w:tab w:val="left" w:pos="0"/>
          <w:tab w:val="left" w:pos="8789"/>
        </w:tabs>
        <w:jc w:val="both"/>
        <w:rPr>
          <w:rFonts w:eastAsia="Cambria" w:cs="Times New Roman"/>
          <w:b/>
          <w:sz w:val="21"/>
          <w:szCs w:val="21"/>
          <w:lang w:bidi="ar-SA"/>
        </w:rPr>
      </w:pPr>
      <w:r w:rsidRPr="002574AC">
        <w:rPr>
          <w:rFonts w:eastAsia="Cambria" w:cs="Times New Roman"/>
          <w:b/>
          <w:sz w:val="21"/>
          <w:szCs w:val="21"/>
          <w:lang w:bidi="ar-SA"/>
        </w:rPr>
        <w:t>Pengaruh Pengungkapan CSR Terhadap Kualitas Laba</w:t>
      </w:r>
    </w:p>
    <w:p w:rsidR="002165D7" w:rsidRDefault="002165D7" w:rsidP="002165D7">
      <w:pPr>
        <w:tabs>
          <w:tab w:val="left" w:pos="482"/>
          <w:tab w:val="left" w:pos="8789"/>
        </w:tabs>
        <w:jc w:val="both"/>
        <w:rPr>
          <w:rFonts w:eastAsia="Cambria" w:cs="Times New Roman"/>
          <w:sz w:val="21"/>
          <w:szCs w:val="21"/>
          <w:lang w:bidi="ar-SA"/>
        </w:rPr>
      </w:pPr>
      <w:proofErr w:type="gramStart"/>
      <w:r w:rsidRPr="002574AC">
        <w:rPr>
          <w:rFonts w:eastAsia="Cambria" w:cs="Times New Roman"/>
          <w:sz w:val="21"/>
          <w:szCs w:val="21"/>
          <w:lang w:bidi="ar-SA"/>
        </w:rPr>
        <w:t>Dalam laporan tahunan perusahaan, pengungkapan CSR menjadi salah satu strategi bisnis perusahaan untuk meningkatkan kualitas labanya.</w:t>
      </w:r>
      <w:proofErr w:type="gramEnd"/>
      <w:r w:rsidRPr="002574AC">
        <w:rPr>
          <w:rFonts w:eastAsia="Cambria" w:cs="Times New Roman"/>
          <w:sz w:val="21"/>
          <w:szCs w:val="21"/>
          <w:lang w:bidi="ar-SA"/>
        </w:rPr>
        <w:t xml:space="preserve"> Perusahaan yang melakukan CSR dengan baik, lebih mungkin melaporkan kualitas laba yang diinginkan investor daripada perusahaan lain. Penelitian sebelumnya mengenai hubungan pengungkapan CSR terhadap kualitas laba yang dilakukan oleh </w:t>
      </w:r>
      <w:r w:rsidRPr="002574AC">
        <w:rPr>
          <w:rFonts w:eastAsia="Cambria" w:cs="Times New Roman"/>
          <w:sz w:val="21"/>
          <w:szCs w:val="21"/>
          <w:lang w:bidi="ar-SA"/>
        </w:rPr>
        <w:fldChar w:fldCharType="begin" w:fldLock="1"/>
      </w:r>
      <w:r>
        <w:rPr>
          <w:rFonts w:eastAsia="Cambria" w:cs="Times New Roman"/>
          <w:sz w:val="21"/>
          <w:szCs w:val="21"/>
          <w:lang w:bidi="ar-SA"/>
        </w:rPr>
        <w:instrText>ADDIN CSL_CITATION {"citationItems":[{"id":"ITEM-1","itemData":{"DOI":"10.1002/csr.1922","ISSN":"15353966","abstract":"The objective of this study was to investigate the association between corporate social responsibility (CSR) and earnings transparency of Korean companies. Transparency is one of key principles of CSR activities. We will focus on accounting transparency as accounting provides fundamental financial information about a company. Our results showed that companies with superior CSR activities had higher earnings transparency. This suggests that the more a company performs CSR, the more it gets trust from market participants on earnings information. We tested whether continuance of CSR commitments could affect the level of transparency. Our results revealed found that a company with a longer period of CSR activities had higher earnings transparency. This implies that CSR activities on ongoing-basis encourage a company to disclose its information to outside stockholders in an open way.","author":[{"dropping-particle":"","family":"Park","given":"Hee Jin","non-dropping-particle":"","parse-names":false,"suffix":""},{"dropping-particle":"","family":"Ha","given":"Mi Hye","non-dropping-particle":"","parse-names":false,"suffix":""}],"container-title":"Corporate Social Responsibility and Environmental Management","id":"ITEM-1","issue":"3","issued":{"date-parts":[["2020"]]},"page":"1498-1508","title":"Corporate social responsibility and earnings transparency: Evidence from Korea","type":"article-journal","volume":"27"},"uris":["http://www.mendeley.com/documents/?uuid=2b07f64e-6410-43c9-bcc7-80364771adf6"]}],"mendeley":{"formattedCitation":"(Park &amp; Ha, 2020)","plainTextFormattedCitation":"(Park &amp; Ha, 2020)","previouslyFormattedCitation":"(Park &amp; Ha, 2020)"},"properties":{"noteIndex":0},"schema":"https://github.com/citation-style-language/schema/raw/master/csl-citation.json"}</w:instrText>
      </w:r>
      <w:r w:rsidRPr="002574AC">
        <w:rPr>
          <w:rFonts w:eastAsia="Cambria" w:cs="Times New Roman"/>
          <w:sz w:val="21"/>
          <w:szCs w:val="21"/>
          <w:lang w:bidi="ar-SA"/>
        </w:rPr>
        <w:fldChar w:fldCharType="separate"/>
      </w:r>
      <w:r w:rsidRPr="002E6060">
        <w:rPr>
          <w:rFonts w:eastAsia="Cambria" w:cs="Times New Roman"/>
          <w:noProof/>
          <w:sz w:val="21"/>
          <w:szCs w:val="21"/>
          <w:lang w:bidi="ar-SA"/>
        </w:rPr>
        <w:t>(Park &amp; Ha, 2020)</w:t>
      </w:r>
      <w:r w:rsidRPr="002574AC">
        <w:rPr>
          <w:rFonts w:eastAsia="Cambria" w:cs="Times New Roman"/>
          <w:sz w:val="21"/>
          <w:szCs w:val="21"/>
          <w:lang w:bidi="ar-SA"/>
        </w:rPr>
        <w:fldChar w:fldCharType="end"/>
      </w:r>
      <w:r w:rsidRPr="002574AC">
        <w:rPr>
          <w:rFonts w:eastAsia="Cambria" w:cs="Times New Roman"/>
          <w:sz w:val="21"/>
          <w:szCs w:val="21"/>
          <w:lang w:bidi="ar-SA"/>
        </w:rPr>
        <w:t xml:space="preserve">, </w:t>
      </w:r>
      <w:r w:rsidRPr="002574AC">
        <w:rPr>
          <w:rFonts w:eastAsia="Cambria" w:cs="Times New Roman"/>
          <w:sz w:val="21"/>
          <w:szCs w:val="21"/>
          <w:lang w:bidi="ar-SA"/>
        </w:rPr>
        <w:fldChar w:fldCharType="begin" w:fldLock="1"/>
      </w:r>
      <w:r>
        <w:rPr>
          <w:rFonts w:eastAsia="Cambria" w:cs="Times New Roman"/>
          <w:sz w:val="21"/>
          <w:szCs w:val="21"/>
          <w:lang w:bidi="ar-SA"/>
        </w:rPr>
        <w:instrText>ADDIN CSL_CITATION {"citationItems":[{"id":"ITEM-1","itemData":{"author":[{"dropping-particle":"","family":"Suwarno","given":"Suwarno","non-dropping-particle":"","parse-names":false,"suffix":""},{"dropping-particle":"","family":"Rahmawati","given":"Rahmawati","non-dropping-particle":"","parse-names":false,"suffix":""},{"dropping-particle":"","family":"Djuminah","given":"Djuminah","non-dropping-particle":"","parse-names":false,"suffix":""},{"dropping-particle":"","family":"Muthmainah","given":"Muthmainah","non-dropping-particle":"","parse-names":false,"suffix":""}],"container-title":"Journal of Southwest Jiaotong University","id":"ITEM-1","issue":"2","issued":{"date-parts":[["2020"]]},"title":"Is Corporate Social Responsibility Disclosure Good for Accrual Profit and Real Manipulative Profit Managements ?","type":"article-journal","volume":"55"},"uris":["http://www.mendeley.com/documents/?uuid=07f757d3-0305-43b6-9e23-83eb06c87e1b"]}],"mendeley":{"formattedCitation":"(Suwarno et al., 2020)","plainTextFormattedCitation":"(Suwarno et al., 2020)","previouslyFormattedCitation":"(Suwarno et al., 2020)"},"properties":{"noteIndex":0},"schema":"https://github.com/citation-style-language/schema/raw/master/csl-citation.json"}</w:instrText>
      </w:r>
      <w:r w:rsidRPr="002574AC">
        <w:rPr>
          <w:rFonts w:eastAsia="Cambria" w:cs="Times New Roman"/>
          <w:sz w:val="21"/>
          <w:szCs w:val="21"/>
          <w:lang w:bidi="ar-SA"/>
        </w:rPr>
        <w:fldChar w:fldCharType="separate"/>
      </w:r>
      <w:r w:rsidRPr="002E6060">
        <w:rPr>
          <w:rFonts w:eastAsia="Cambria" w:cs="Times New Roman"/>
          <w:noProof/>
          <w:sz w:val="21"/>
          <w:szCs w:val="21"/>
          <w:lang w:bidi="ar-SA"/>
        </w:rPr>
        <w:t>(Suwarno et al., 2020)</w:t>
      </w:r>
      <w:r w:rsidRPr="002574AC">
        <w:rPr>
          <w:rFonts w:eastAsia="Cambria" w:cs="Times New Roman"/>
          <w:sz w:val="21"/>
          <w:szCs w:val="21"/>
          <w:lang w:bidi="ar-SA"/>
        </w:rPr>
        <w:fldChar w:fldCharType="end"/>
      </w:r>
      <w:r w:rsidRPr="002574AC">
        <w:rPr>
          <w:rFonts w:eastAsia="Cambria" w:cs="Times New Roman"/>
          <w:sz w:val="21"/>
          <w:szCs w:val="21"/>
          <w:lang w:bidi="ar-SA"/>
        </w:rPr>
        <w:t xml:space="preserve">, </w:t>
      </w:r>
      <w:r w:rsidRPr="002574AC">
        <w:rPr>
          <w:rFonts w:eastAsia="Cambria" w:cs="Times New Roman"/>
          <w:sz w:val="21"/>
          <w:szCs w:val="21"/>
          <w:lang w:bidi="ar-SA"/>
        </w:rPr>
        <w:fldChar w:fldCharType="begin" w:fldLock="1"/>
      </w:r>
      <w:r>
        <w:rPr>
          <w:rFonts w:eastAsia="Cambria" w:cs="Times New Roman"/>
          <w:sz w:val="21"/>
          <w:szCs w:val="21"/>
          <w:lang w:bidi="ar-SA"/>
        </w:rPr>
        <w:instrText>ADDIN CSL_CITATION {"citationItems":[{"id":"ITEM-1","itemData":{"DOI":"10.1016/j.gfj.2019.05.002","ISSN":"10440283","abstract":"We examine the association between corporate social responsibility (CSR)and earnings quality using CSR ranking data from Rankins (RKS)and four measures of earnings quality. Using a sample of 2580 Chinese listed firms for fiscal years 2009–2015, with 14,807 firm-year observations, we find that CSR firms and those with higher CSR ratings are less likely to engage in earnings management than non-CSR firms and those with lower CSR ratings, and their earnings are more persistent and more accurately predict future cash flows from operations. State ownership and marketization moderate the relationship between CSR disclosures and earnings quality.","author":[{"dropping-particle":"","family":"Rezaee","given":"Zabihollah","non-dropping-particle":"","parse-names":false,"suffix":""},{"dropping-particle":"","family":"Dou","given":"Huan","non-dropping-particle":"","parse-names":false,"suffix":""},{"dropping-particle":"","family":"Zhang","given":"Huili","non-dropping-particle":"","parse-names":false,"suffix":""}],"container-title":"Global Finance Journal","id":"ITEM-1","issue":"April","issued":{"date-parts":[["2019"]]},"page":"100473","publisher":"Elsevier","title":"Corporate social responsibility and earnings quality: Evidence from China","type":"article-journal"},"uris":["http://www.mendeley.com/documents/?uuid=fbe9a4b8-5836-446c-91d0-90694b7c9d3c"]}],"mendeley":{"formattedCitation":"(Rezaee et al., 2019)","plainTextFormattedCitation":"(Rezaee et al., 2019)","previouslyFormattedCitation":"(Rezaee et al., 2019)"},"properties":{"noteIndex":0},"schema":"https://github.com/citation-style-language/schema/raw/master/csl-citation.json"}</w:instrText>
      </w:r>
      <w:r w:rsidRPr="002574AC">
        <w:rPr>
          <w:rFonts w:eastAsia="Cambria" w:cs="Times New Roman"/>
          <w:sz w:val="21"/>
          <w:szCs w:val="21"/>
          <w:lang w:bidi="ar-SA"/>
        </w:rPr>
        <w:fldChar w:fldCharType="separate"/>
      </w:r>
      <w:r w:rsidRPr="002E6060">
        <w:rPr>
          <w:rFonts w:eastAsia="Cambria" w:cs="Times New Roman"/>
          <w:noProof/>
          <w:sz w:val="21"/>
          <w:szCs w:val="21"/>
          <w:lang w:bidi="ar-SA"/>
        </w:rPr>
        <w:t>(Rezaee et al., 2019)</w:t>
      </w:r>
      <w:r w:rsidRPr="002574AC">
        <w:rPr>
          <w:rFonts w:eastAsia="Cambria" w:cs="Times New Roman"/>
          <w:sz w:val="21"/>
          <w:szCs w:val="21"/>
          <w:lang w:bidi="ar-SA"/>
        </w:rPr>
        <w:fldChar w:fldCharType="end"/>
      </w:r>
      <w:r w:rsidRPr="002574AC">
        <w:rPr>
          <w:rFonts w:eastAsia="Cambria" w:cs="Times New Roman"/>
          <w:sz w:val="21"/>
          <w:szCs w:val="21"/>
          <w:lang w:bidi="ar-SA"/>
        </w:rPr>
        <w:t xml:space="preserve">, </w:t>
      </w:r>
      <w:r w:rsidRPr="002574AC">
        <w:rPr>
          <w:rFonts w:eastAsia="Cambria" w:cs="Times New Roman"/>
          <w:sz w:val="21"/>
          <w:szCs w:val="21"/>
          <w:lang w:bidi="ar-SA"/>
        </w:rPr>
        <w:fldChar w:fldCharType="begin" w:fldLock="1"/>
      </w:r>
      <w:r w:rsidRPr="002574AC">
        <w:rPr>
          <w:rFonts w:eastAsia="Cambria" w:cs="Times New Roman"/>
          <w:sz w:val="21"/>
          <w:szCs w:val="21"/>
          <w:lang w:bidi="ar-SA"/>
        </w:rPr>
        <w:instrText>ADDIN CSL_CITATION {"citationItems":[{"id":"ITEM-1","itemData":{"DOI":"10.1108/jgr-04-2019-0041","ISSN":"2041-2568","abstract":"Purpose This paper aims to examine whether corporate social\nresponsibility (CSR) is associated with firms' earnings quality (EQ) and\nhow this association is context-specific. The authors consider specific\ninstitutional differences in strength of corporate governance (CG)\nattributes, quality of law enforcement and level of investor protection\nfound between Anglo-American, European and South-Eastern Asian CG models\nto test the impact of above country-level factors on this association.\nDesign/methodology/approach To test the association between CSR and EQ,\nthe authors consider EIRIS (Ethical Investment Research Service) (2018)\nCSR issues of sustainability indicators as proxy to capture CSR.\nFollowing Rezaee and Tuo's (2019) study, the authors classify EQ into\ninnate earnings quality (IEQ) and discretionary earnings quality (DEQ).\nThe authors investigate the innate (discretionary) EQ as to refer to\nfirm's inherent operating uncertainty (earnings management). Several\ndependency models for panel data applying the generalized method of\nmoment (GMM) estimator of Arellano and Bond (1991) are ruled based on\narchival data of 4,206 non-financial international listed firms over the\nperiod 2012-2017. Findings Univariate and GMM multivariate cross-country\nanalyses show that CSR is positively associated with EQ and that this\nassociation is more pronounced for firms within countries where good CG\ntools and higher investor right protection are preserved. The authors\ninterpret the findings as evidence that the CSR-EQ association is shaped\nby the degree of monitoring role played by institutional features at the\ncountry level. The results are robust to a battery of robustness tests.\nOriginality/value The originality of this research is twice. On the one\nhand, it examines whether CSR is a reflection of manager's ethical\nopportunistic behavior resultant on earnings quality derived from a\nfirm's innate traits. On the second hand, it tests whether CSR is a\nreflection of discretionary earnings quality manifested by earnings\nmanagement behavior. This paper is the first to support that\ninstitutional features significantly matter when investigating the\nassociation between CSR and EQ.","author":[{"dropping-particle":"","family":"Jouber","given":"Habib","non-dropping-particle":"","parse-names":false,"suffix":""}],"container-title":"Journal of Global Responsibility","id":"ITEM-1","issue":"1","issued":{"date-parts":[["2019"]]},"page":"54-92","title":"Corporate social responsibility and earnings quality: do institutional features matter?","type":"article-journal","volume":"11"},"uris":["http://www.mendeley.com/documents/?uuid=a8f31a97-8a53-4cf6-8333-f20ad90f6c7e"]}],"mendeley":{"formattedCitation":"(Jouber, 2019)","plainTextFormattedCitation":"(Jouber, 2019)","previouslyFormattedCitation":"(Jouber, 2019)"},"properties":{"noteIndex":0},"schema":"https://github.com/citation-style-language/schema/raw/master/csl-citation.json"}</w:instrText>
      </w:r>
      <w:r w:rsidRPr="002574AC">
        <w:rPr>
          <w:rFonts w:eastAsia="Cambria" w:cs="Times New Roman"/>
          <w:sz w:val="21"/>
          <w:szCs w:val="21"/>
          <w:lang w:bidi="ar-SA"/>
        </w:rPr>
        <w:fldChar w:fldCharType="separate"/>
      </w:r>
      <w:r w:rsidRPr="002574AC">
        <w:rPr>
          <w:rFonts w:eastAsia="Cambria" w:cs="Times New Roman"/>
          <w:noProof/>
          <w:sz w:val="21"/>
          <w:szCs w:val="21"/>
          <w:lang w:bidi="ar-SA"/>
        </w:rPr>
        <w:t>(Jouber, 2019)</w:t>
      </w:r>
      <w:r w:rsidRPr="002574AC">
        <w:rPr>
          <w:rFonts w:eastAsia="Cambria" w:cs="Times New Roman"/>
          <w:sz w:val="21"/>
          <w:szCs w:val="21"/>
          <w:lang w:bidi="ar-SA"/>
        </w:rPr>
        <w:fldChar w:fldCharType="end"/>
      </w:r>
      <w:r w:rsidRPr="002574AC">
        <w:rPr>
          <w:rFonts w:eastAsia="Cambria" w:cs="Times New Roman"/>
          <w:sz w:val="21"/>
          <w:szCs w:val="21"/>
          <w:lang w:bidi="ar-SA"/>
        </w:rPr>
        <w:t xml:space="preserve"> dan </w:t>
      </w:r>
      <w:r w:rsidRPr="002574AC">
        <w:rPr>
          <w:rFonts w:eastAsia="Cambria" w:cs="Times New Roman"/>
          <w:sz w:val="21"/>
          <w:szCs w:val="21"/>
          <w:lang w:bidi="ar-SA"/>
        </w:rPr>
        <w:fldChar w:fldCharType="begin" w:fldLock="1"/>
      </w:r>
      <w:r>
        <w:rPr>
          <w:rFonts w:eastAsia="Cambria" w:cs="Times New Roman"/>
          <w:sz w:val="21"/>
          <w:szCs w:val="21"/>
          <w:lang w:bidi="ar-SA"/>
        </w:rPr>
        <w:instrText>ADDIN CSL_CITATION {"citationItems":[{"id":"ITEM-1","itemData":{"abstract":"Tujuan penelitian ini adalah untuk mengetahui valuasi kesadaran lingkungan dan Corporate Social Responsbility dengan moderasi komite audit. Penelitian ini menggunakan metode survei. Populasi 135 BUMN bidang kontruksi dan industri properti sebanyak 96 BUMN. Pengambilan sampel dengan purposive sampling sebanyak 49 BUMN. Hasil penelitian ini menunjukkan bahwa tidak ada pengaruh yang signifikan antara kesadaran lingkungan terhadap kualitas laba BUMN. Ada pengaruh yang signifikan antara Corporate Social Responsibility terhadap kualitas laba BUMN. Namun Komite Audit independen tidak memoderasi pengaruh CSR terhadap kualitas laba BUMN.Temuan penelitian ini adalah rata-rata industri konstruksi menyajikan kesadaran lingkungan tidak begitu terperinci baik dari aspek akuntansi dan faktor keuangan, litigasi lingkungan, pencegahan polusi lingkungan, dan aspek lainnya, hanya menunjukkan bahwa perusahaan telah melakukan kegiatan sosial yang berkaitan dengan lingkungan dan sebagai voluntary disclosure. Semakin tinggi indeks CSR maka semakin tinggi kualitas laba perusahaan kontruksi dan sebagai mandatory disclosure. Komite audit independen belum berperan dalam meningkatkan kualitas laba, karena masih sebatas memenuhi syarat dari Otoritas Jasa Keuangan","author":[{"dropping-particle":"","family":"Bagus","given":"Ronny","non-dropping-particle":"","parse-names":false,"suffix":""},{"dropping-particle":"","family":"Djaddang","given":"Syahril","non-dropping-particle":"","parse-names":false,"suffix":""}],"container-title":"Jurnal Ekonomi dan Bisnis","id":"ITEM-1","issue":"1","issued":{"date-parts":[["2018"]]},"page":"97-114","title":"Valuasi kesadaran lingkungan , corporate social responsibility terhadap kualitas laba dengan moderasi komite audit","type":"article-journal","volume":"21"},"uris":["http://www.mendeley.com/documents/?uuid=6caa384c-3acb-4da7-b439-d80ccaf6881b"]}],"mendeley":{"formattedCitation":"(Bagus &amp; Djaddang, 2018)","plainTextFormattedCitation":"(Bagus &amp; Djaddang, 2018)","previouslyFormattedCitation":"(Bagus &amp; Djaddang, 2018)"},"properties":{"noteIndex":0},"schema":"https://github.com/citation-style-language/schema/raw/master/csl-citation.json"}</w:instrText>
      </w:r>
      <w:r w:rsidRPr="002574AC">
        <w:rPr>
          <w:rFonts w:eastAsia="Cambria" w:cs="Times New Roman"/>
          <w:sz w:val="21"/>
          <w:szCs w:val="21"/>
          <w:lang w:bidi="ar-SA"/>
        </w:rPr>
        <w:fldChar w:fldCharType="separate"/>
      </w:r>
      <w:r w:rsidRPr="002E6060">
        <w:rPr>
          <w:rFonts w:eastAsia="Cambria" w:cs="Times New Roman"/>
          <w:noProof/>
          <w:sz w:val="21"/>
          <w:szCs w:val="21"/>
          <w:lang w:bidi="ar-SA"/>
        </w:rPr>
        <w:t>(Bagus &amp; Djaddang, 2018)</w:t>
      </w:r>
      <w:r w:rsidRPr="002574AC">
        <w:rPr>
          <w:rFonts w:eastAsia="Cambria" w:cs="Times New Roman"/>
          <w:sz w:val="21"/>
          <w:szCs w:val="21"/>
          <w:lang w:bidi="ar-SA"/>
        </w:rPr>
        <w:fldChar w:fldCharType="end"/>
      </w:r>
      <w:r w:rsidRPr="002574AC">
        <w:rPr>
          <w:rFonts w:eastAsia="Cambria" w:cs="Times New Roman"/>
          <w:sz w:val="21"/>
          <w:szCs w:val="21"/>
          <w:lang w:bidi="ar-SA"/>
        </w:rPr>
        <w:t xml:space="preserve">, dan menyatakan bahwa perusahaan dengan pengungkapan CSR yang baik akan cenderung memiliki kualitas laba yang lebih baik. </w:t>
      </w:r>
    </w:p>
    <w:p w:rsidR="002165D7" w:rsidRDefault="002165D7" w:rsidP="002165D7">
      <w:pPr>
        <w:tabs>
          <w:tab w:val="left" w:pos="482"/>
          <w:tab w:val="left" w:pos="8789"/>
        </w:tabs>
        <w:jc w:val="both"/>
        <w:rPr>
          <w:rFonts w:eastAsia="Cambria" w:cs="Times New Roman"/>
          <w:b/>
          <w:sz w:val="21"/>
          <w:szCs w:val="21"/>
          <w:lang w:bidi="ar-SA"/>
        </w:rPr>
      </w:pPr>
    </w:p>
    <w:p w:rsidR="002165D7" w:rsidRPr="002574AC" w:rsidRDefault="002165D7" w:rsidP="002165D7">
      <w:pPr>
        <w:tabs>
          <w:tab w:val="left" w:pos="482"/>
          <w:tab w:val="left" w:pos="8789"/>
        </w:tabs>
        <w:jc w:val="both"/>
        <w:rPr>
          <w:rFonts w:eastAsia="Cambria" w:cs="Times New Roman"/>
          <w:b/>
          <w:sz w:val="21"/>
          <w:szCs w:val="21"/>
          <w:lang w:bidi="ar-SA"/>
        </w:rPr>
      </w:pPr>
      <w:r w:rsidRPr="002574AC">
        <w:rPr>
          <w:rFonts w:eastAsia="Cambria" w:cs="Times New Roman"/>
          <w:b/>
          <w:sz w:val="21"/>
          <w:szCs w:val="21"/>
          <w:lang w:bidi="ar-SA"/>
        </w:rPr>
        <w:t>Pengaruh Kualitas Laba Terhadap Return Saham</w:t>
      </w:r>
    </w:p>
    <w:p w:rsidR="002165D7" w:rsidRPr="002574AC" w:rsidRDefault="002165D7" w:rsidP="002165D7">
      <w:pPr>
        <w:tabs>
          <w:tab w:val="left" w:pos="482"/>
          <w:tab w:val="left" w:pos="8789"/>
        </w:tabs>
        <w:jc w:val="both"/>
        <w:rPr>
          <w:rFonts w:eastAsia="Cambria" w:cs="Times New Roman"/>
          <w:b/>
          <w:sz w:val="21"/>
          <w:szCs w:val="21"/>
          <w:lang w:bidi="ar-SA"/>
        </w:rPr>
      </w:pPr>
      <w:r w:rsidRPr="002574AC">
        <w:rPr>
          <w:rFonts w:eastAsia="Cambria" w:cs="Times New Roman"/>
          <w:sz w:val="21"/>
          <w:szCs w:val="21"/>
          <w:lang w:bidi="ar-SA"/>
        </w:rPr>
        <w:fldChar w:fldCharType="begin" w:fldLock="1"/>
      </w:r>
      <w:r>
        <w:rPr>
          <w:rFonts w:eastAsia="Cambria" w:cs="Times New Roman"/>
          <w:sz w:val="21"/>
          <w:szCs w:val="21"/>
          <w:lang w:bidi="ar-SA"/>
        </w:rPr>
        <w:instrText>ADDIN CSL_CITATION {"citationItems":[{"id":"ITEM-1","itemData":{"author":[{"dropping-particle":"","family":"Ray","given":"Ball","non-dropping-particle":"","parse-names":false,"suffix":""},{"dropping-particle":"","family":"Philip","given":"Brown","non-dropping-particle":"","parse-names":false,"suffix":""}],"container-title":"Journal of Accounting Research","id":"ITEM-1","issue":"1929","issued":{"date-parts":[["1968"]]},"page":"p 159-178","title":"Empirical evaluation of accounting income numbers","type":"article-journal","volume":"Vol 6"},"uris":["http://www.mendeley.com/documents/?uuid=c4a8876c-d615-4014-a2b5-798688881ce3"]}],"mendeley":{"formattedCitation":"(Ray &amp; Philip, 1968)","plainTextFormattedCitation":"(Ray &amp; Philip, 1968)","previouslyFormattedCitation":"(Ray &amp; Philip, 1968)"},"properties":{"noteIndex":0},"schema":"https://github.com/citation-style-language/schema/raw/master/csl-citation.json"}</w:instrText>
      </w:r>
      <w:r w:rsidRPr="002574AC">
        <w:rPr>
          <w:rFonts w:eastAsia="Cambria" w:cs="Times New Roman"/>
          <w:sz w:val="21"/>
          <w:szCs w:val="21"/>
          <w:lang w:bidi="ar-SA"/>
        </w:rPr>
        <w:fldChar w:fldCharType="separate"/>
      </w:r>
      <w:r w:rsidRPr="002E6060">
        <w:rPr>
          <w:rFonts w:eastAsia="Cambria" w:cs="Times New Roman"/>
          <w:noProof/>
          <w:sz w:val="21"/>
          <w:szCs w:val="21"/>
          <w:lang w:bidi="ar-SA"/>
        </w:rPr>
        <w:t>(Ray &amp; Philip, 1968)</w:t>
      </w:r>
      <w:r w:rsidRPr="002574AC">
        <w:rPr>
          <w:rFonts w:eastAsia="Cambria" w:cs="Times New Roman"/>
          <w:sz w:val="21"/>
          <w:szCs w:val="21"/>
          <w:lang w:bidi="ar-SA"/>
        </w:rPr>
        <w:fldChar w:fldCharType="end"/>
      </w:r>
      <w:r w:rsidRPr="002574AC">
        <w:rPr>
          <w:rFonts w:eastAsia="Cambria" w:cs="Times New Roman"/>
          <w:sz w:val="21"/>
          <w:szCs w:val="21"/>
          <w:lang w:bidi="ar-SA"/>
        </w:rPr>
        <w:t xml:space="preserve"> menyatakan bahwa angka laba yang dilaporkan </w:t>
      </w:r>
      <w:proofErr w:type="gramStart"/>
      <w:r w:rsidRPr="002574AC">
        <w:rPr>
          <w:rFonts w:eastAsia="Cambria" w:cs="Times New Roman"/>
          <w:sz w:val="21"/>
          <w:szCs w:val="21"/>
          <w:lang w:bidi="ar-SA"/>
        </w:rPr>
        <w:t>akan</w:t>
      </w:r>
      <w:proofErr w:type="gramEnd"/>
      <w:r w:rsidRPr="002574AC">
        <w:rPr>
          <w:rFonts w:eastAsia="Cambria" w:cs="Times New Roman"/>
          <w:sz w:val="21"/>
          <w:szCs w:val="21"/>
          <w:lang w:bidi="ar-SA"/>
        </w:rPr>
        <w:t xml:space="preserve"> bermanfaat apabila pasar bereaksi terhadap pengumuman pelaporan laba tahunan. </w:t>
      </w:r>
      <w:proofErr w:type="gramStart"/>
      <w:r w:rsidRPr="002574AC">
        <w:rPr>
          <w:rFonts w:eastAsia="Cambria" w:cs="Times New Roman"/>
          <w:sz w:val="21"/>
          <w:szCs w:val="21"/>
          <w:lang w:bidi="ar-SA"/>
        </w:rPr>
        <w:t>Mereka menunjukkan bahwa perubahan dalam laba tahunan berhubungan searah dengan perubahan harga saham.</w:t>
      </w:r>
      <w:proofErr w:type="gramEnd"/>
      <w:r w:rsidRPr="002574AC">
        <w:rPr>
          <w:rFonts w:eastAsia="Cambria" w:cs="Times New Roman"/>
          <w:sz w:val="21"/>
          <w:szCs w:val="21"/>
          <w:lang w:bidi="ar-SA"/>
        </w:rPr>
        <w:t xml:space="preserve">  Penelitian sebelumnya mengenai hubungan kualitas laba terhadap return saham yang dilakukan oleh </w:t>
      </w:r>
      <w:r w:rsidRPr="002574AC">
        <w:rPr>
          <w:rFonts w:eastAsia="Cambria" w:cs="Times New Roman"/>
          <w:sz w:val="21"/>
          <w:szCs w:val="21"/>
          <w:lang w:bidi="ar-SA"/>
        </w:rPr>
        <w:fldChar w:fldCharType="begin" w:fldLock="1"/>
      </w:r>
      <w:r w:rsidRPr="002574AC">
        <w:rPr>
          <w:rFonts w:eastAsia="Cambria" w:cs="Times New Roman"/>
          <w:sz w:val="21"/>
          <w:szCs w:val="21"/>
          <w:lang w:bidi="ar-SA"/>
        </w:rPr>
        <w:instrText>ADDIN CSL_CITATION {"citationItems":[{"id":"ITEM-1","itemData":{"DOI":"10.34208/jba.v21i2.616","ISSN":"1410-9875","abstract":"This research aims to know the influence of return on asset, return on equity, and net profit margin on stock return. The population used Minning Company on the BEI with the observation periods during 2013 until 2017 as many as 13 companies. The source of the secondary data has been obtained from Indonesia Stock Exchange. The data analysis technique has been carried out by using multiple linear regressions analysis. Based on the result of the analysis indicate that return on asset, return on equity, and net profit margin significant effect on stock return of banking company. Based on the test results are partially, return on asset has a negative and significant effect on stock returns, return on equity and net profit margin have influence to the stock return of Minning Company.","author":[{"dropping-particle":"","family":"Simorangkir","given":"Rona Tumiur Mauli Carolin","non-dropping-particle":"","parse-names":false,"suffix":""}],"container-title":"Jurnal Bisnis dan Akuntansi","id":"ITEM-1","issue":"2","issued":{"date-parts":[["2019"]]},"page":"155-164","title":"Pengaruh Kinerja Keuangan Terhadap Return Saham Perusahaan Pertambangan","type":"article-journal","volume":"21"},"uris":["http://www.mendeley.com/documents/?uuid=734258ce-54e6-4000-8054-20d0fc7a5afa"]}],"mendeley":{"formattedCitation":"(Simorangkir, 2019)","plainTextFormattedCitation":"(Simorangkir, 2019)","previouslyFormattedCitation":"(Simorangkir, 2019)"},"properties":{"noteIndex":0},"schema":"https://github.com/citation-style-language/schema/raw/master/csl-citation.json"}</w:instrText>
      </w:r>
      <w:r w:rsidRPr="002574AC">
        <w:rPr>
          <w:rFonts w:eastAsia="Cambria" w:cs="Times New Roman"/>
          <w:sz w:val="21"/>
          <w:szCs w:val="21"/>
          <w:lang w:bidi="ar-SA"/>
        </w:rPr>
        <w:fldChar w:fldCharType="separate"/>
      </w:r>
      <w:r w:rsidRPr="002574AC">
        <w:rPr>
          <w:rFonts w:eastAsia="Cambria" w:cs="Times New Roman"/>
          <w:noProof/>
          <w:sz w:val="21"/>
          <w:szCs w:val="21"/>
          <w:lang w:bidi="ar-SA"/>
        </w:rPr>
        <w:t>(Simorangkir, 2019)</w:t>
      </w:r>
      <w:r w:rsidRPr="002574AC">
        <w:rPr>
          <w:rFonts w:eastAsia="Cambria" w:cs="Times New Roman"/>
          <w:sz w:val="21"/>
          <w:szCs w:val="21"/>
          <w:lang w:bidi="ar-SA"/>
        </w:rPr>
        <w:fldChar w:fldCharType="end"/>
      </w:r>
      <w:r w:rsidRPr="002574AC">
        <w:rPr>
          <w:rFonts w:eastAsia="Cambria" w:cs="Times New Roman"/>
          <w:sz w:val="21"/>
          <w:szCs w:val="21"/>
          <w:lang w:bidi="ar-SA"/>
        </w:rPr>
        <w:t xml:space="preserve">, </w:t>
      </w:r>
      <w:r w:rsidRPr="002574AC">
        <w:rPr>
          <w:rFonts w:eastAsia="Cambria" w:cs="Times New Roman"/>
          <w:sz w:val="21"/>
          <w:szCs w:val="21"/>
          <w:lang w:bidi="ar-SA"/>
        </w:rPr>
        <w:fldChar w:fldCharType="begin" w:fldLock="1"/>
      </w:r>
      <w:r>
        <w:rPr>
          <w:rFonts w:eastAsia="Cambria" w:cs="Times New Roman"/>
          <w:sz w:val="21"/>
          <w:szCs w:val="21"/>
          <w:lang w:bidi="ar-SA"/>
        </w:rPr>
        <w:instrText>ADDIN CSL_CITATION {"citationItems":[{"id":"ITEM-1","itemData":{"author":[{"dropping-particle":"","family":"Damanik","given":"Pala Juni","non-dropping-particle":"","parse-names":false,"suffix":""},{"dropping-particle":"","family":"Pancasila","given":"Universitas","non-dropping-particle":"","parse-names":false,"suffix":""},{"dropping-particle":"","family":"Akuntansi","given":"Magister","non-dropping-particle":"","parse-names":false,"suffix":""},{"dropping-particle":"","family":"Pancasila","given":"Universitas","non-dropping-particle":"","parse-names":false,"suffix":""}],"container-title":"Jurnal Riset Akuntansi dan Perpajakan","id":"ITEM-1","issue":"1","issued":{"date-parts":[["2019"]]},"page":"63-74","title":"Kemampuan Net Income , Other Comprehensive Income , Return dan Peran Pemoderasi Kualitas Laba","type":"article-journal","volume":"6"},"uris":["http://www.mendeley.com/documents/?uuid=95480002-3ac1-4251-8528-4c71997bdff7"]}],"mendeley":{"formattedCitation":"(Damanik et al., 2019)","plainTextFormattedCitation":"(Damanik et al., 2019)","previouslyFormattedCitation":"(Damanik et al., 2019)"},"properties":{"noteIndex":0},"schema":"https://github.com/citation-style-language/schema/raw/master/csl-citation.json"}</w:instrText>
      </w:r>
      <w:r w:rsidRPr="002574AC">
        <w:rPr>
          <w:rFonts w:eastAsia="Cambria" w:cs="Times New Roman"/>
          <w:sz w:val="21"/>
          <w:szCs w:val="21"/>
          <w:lang w:bidi="ar-SA"/>
        </w:rPr>
        <w:fldChar w:fldCharType="separate"/>
      </w:r>
      <w:r w:rsidRPr="002E6060">
        <w:rPr>
          <w:rFonts w:eastAsia="Cambria" w:cs="Times New Roman"/>
          <w:noProof/>
          <w:sz w:val="21"/>
          <w:szCs w:val="21"/>
          <w:lang w:bidi="ar-SA"/>
        </w:rPr>
        <w:t>(Damanik et al., 2019)</w:t>
      </w:r>
      <w:r w:rsidRPr="002574AC">
        <w:rPr>
          <w:rFonts w:eastAsia="Cambria" w:cs="Times New Roman"/>
          <w:sz w:val="21"/>
          <w:szCs w:val="21"/>
          <w:lang w:bidi="ar-SA"/>
        </w:rPr>
        <w:fldChar w:fldCharType="end"/>
      </w:r>
      <w:r w:rsidRPr="002574AC">
        <w:rPr>
          <w:rFonts w:eastAsia="Cambria" w:cs="Times New Roman"/>
          <w:sz w:val="21"/>
          <w:szCs w:val="21"/>
          <w:lang w:bidi="ar-SA"/>
        </w:rPr>
        <w:t xml:space="preserve">, dan </w:t>
      </w:r>
      <w:r w:rsidRPr="002574AC">
        <w:rPr>
          <w:rFonts w:eastAsia="Cambria" w:cs="Times New Roman"/>
          <w:sz w:val="21"/>
          <w:szCs w:val="21"/>
          <w:lang w:bidi="ar-SA"/>
        </w:rPr>
        <w:fldChar w:fldCharType="begin" w:fldLock="1"/>
      </w:r>
      <w:r w:rsidRPr="002574AC">
        <w:rPr>
          <w:rFonts w:eastAsia="Cambria" w:cs="Times New Roman"/>
          <w:sz w:val="21"/>
          <w:szCs w:val="21"/>
          <w:lang w:bidi="ar-SA"/>
        </w:rPr>
        <w:instrText>ADDIN CSL_CITATION {"citationItems":[{"id":"ITEM-1","itemData":{"DOI":"10.14419/ijet.v7i4.9.21089","abstract":"This study was conducted by the firm that included the stock index of IDX (Indonesian stock exchange) consist of the 45 best stocks (LQ45 index companies) that are listed on the Indonesian Securities. This study aims to assess the effect of earnings per share and the firm size on stock prices. The purpose of this study is also to prove that the size of the firm can moderate the relationship between earnings per share and stock prices. By conducting a regression analysis, this study gives evidence that earnings per share and firm size have a significant effect on stock prices. The size of the firm is also able to moderate the relationship between earnings per share and stock prices. The results of this study gave evidence that profit and the size of the company can provide important information for investors in making decisions. ","author":[{"dropping-particle":"","family":"Yuliza","given":"Arma","non-dropping-particle":"","parse-names":false,"suffix":""}],"container-title":"International Journal of Engineering &amp; Technology","id":"ITEM-1","issue":"4.9","issued":{"date-parts":[["2018"]]},"page":"247","title":"The Effects of Earnings Per Share and Firm Size to Stock Price LQ45 Company Listed in Indonesian Securities","type":"article-journal","volume":"7"},"uris":["http://www.mendeley.com/documents/?uuid=65280c2c-7de8-4bba-8bbe-10422b22ebe5"]}],"mendeley":{"formattedCitation":"(Yuliza, 2018)","plainTextFormattedCitation":"(Yuliza, 2018)","previouslyFormattedCitation":"(Yuliza, 2018)"},"properties":{"noteIndex":0},"schema":"https://github.com/citation-style-language/schema/raw/master/csl-citation.json"}</w:instrText>
      </w:r>
      <w:r w:rsidRPr="002574AC">
        <w:rPr>
          <w:rFonts w:eastAsia="Cambria" w:cs="Times New Roman"/>
          <w:sz w:val="21"/>
          <w:szCs w:val="21"/>
          <w:lang w:bidi="ar-SA"/>
        </w:rPr>
        <w:fldChar w:fldCharType="separate"/>
      </w:r>
      <w:r w:rsidRPr="002574AC">
        <w:rPr>
          <w:rFonts w:eastAsia="Cambria" w:cs="Times New Roman"/>
          <w:noProof/>
          <w:sz w:val="21"/>
          <w:szCs w:val="21"/>
          <w:lang w:bidi="ar-SA"/>
        </w:rPr>
        <w:t>(Yuliza, 2018)</w:t>
      </w:r>
      <w:r w:rsidRPr="002574AC">
        <w:rPr>
          <w:rFonts w:eastAsia="Cambria" w:cs="Times New Roman"/>
          <w:sz w:val="21"/>
          <w:szCs w:val="21"/>
          <w:lang w:bidi="ar-SA"/>
        </w:rPr>
        <w:fldChar w:fldCharType="end"/>
      </w:r>
      <w:r w:rsidRPr="002574AC">
        <w:rPr>
          <w:rFonts w:eastAsia="Cambria" w:cs="Times New Roman"/>
          <w:sz w:val="21"/>
          <w:szCs w:val="21"/>
          <w:lang w:bidi="ar-SA"/>
        </w:rPr>
        <w:t xml:space="preserve"> menyatakan bahwa return saham perusahaan dapat berefek positif apabila kualitas laba perusahaan juga baik. </w:t>
      </w:r>
    </w:p>
    <w:p w:rsidR="002165D7" w:rsidRDefault="002165D7" w:rsidP="002165D7">
      <w:pPr>
        <w:pStyle w:val="BodyText"/>
        <w:spacing w:before="70" w:line="256" w:lineRule="auto"/>
        <w:jc w:val="both"/>
        <w:rPr>
          <w:rFonts w:eastAsia="SimSun" w:cs="Times New Roman"/>
          <w:lang w:val="en-GB" w:bidi="ar-SA"/>
        </w:rPr>
      </w:pPr>
      <w:r w:rsidRPr="002574AC">
        <w:rPr>
          <w:rFonts w:eastAsia="SimSun" w:cs="Times New Roman"/>
          <w:lang w:val="en-GB" w:bidi="ar-SA"/>
        </w:rPr>
        <w:t>Berdasarkan penjelasan rerangka pemikiran diatas, penelitian menggambarkan hubungan keterkaitan dan tujuan peneltian yaitu:</w:t>
      </w:r>
    </w:p>
    <w:p w:rsidR="002165D7" w:rsidRDefault="002165D7" w:rsidP="002165D7">
      <w:pPr>
        <w:pStyle w:val="ListParagraph"/>
        <w:tabs>
          <w:tab w:val="left" w:pos="482"/>
          <w:tab w:val="left" w:pos="8789"/>
        </w:tabs>
        <w:ind w:left="0" w:right="56" w:firstLine="0"/>
        <w:rPr>
          <w:rFonts w:eastAsia="SimSun" w:cs="Times New Roman"/>
          <w:lang w:val="en-GB" w:bidi="ar-SA"/>
        </w:rPr>
        <w:sectPr w:rsidR="002165D7" w:rsidSect="002165D7">
          <w:type w:val="continuous"/>
          <w:pgSz w:w="12190" w:h="15880"/>
          <w:pgMar w:top="1040" w:right="1020" w:bottom="280" w:left="1020" w:header="720" w:footer="720" w:gutter="0"/>
          <w:cols w:num="2" w:space="284"/>
        </w:sectPr>
      </w:pPr>
    </w:p>
    <w:p w:rsidR="002165D7" w:rsidRPr="002F5765" w:rsidRDefault="002165D7" w:rsidP="002165D7">
      <w:pPr>
        <w:pStyle w:val="ListParagraph"/>
        <w:tabs>
          <w:tab w:val="left" w:pos="284"/>
        </w:tabs>
        <w:spacing w:line="360" w:lineRule="auto"/>
        <w:ind w:left="481" w:firstLine="0"/>
        <w:jc w:val="center"/>
        <w:rPr>
          <w:rFonts w:cs="Times New Roman"/>
          <w:sz w:val="18"/>
          <w:szCs w:val="18"/>
          <w:lang w:val="en-ID"/>
        </w:rPr>
      </w:pPr>
      <w:r>
        <w:rPr>
          <w:noProof/>
          <w:lang w:bidi="ar-SA"/>
        </w:rPr>
        <w:lastRenderedPageBreak/>
        <mc:AlternateContent>
          <mc:Choice Requires="wps">
            <w:drawing>
              <wp:anchor distT="0" distB="0" distL="114300" distR="114300" simplePos="0" relativeHeight="251661312" behindDoc="0" locked="0" layoutInCell="1" allowOverlap="1">
                <wp:simplePos x="0" y="0"/>
                <wp:positionH relativeFrom="column">
                  <wp:posOffset>385445</wp:posOffset>
                </wp:positionH>
                <wp:positionV relativeFrom="paragraph">
                  <wp:posOffset>81915</wp:posOffset>
                </wp:positionV>
                <wp:extent cx="1995805" cy="1532890"/>
                <wp:effectExtent l="0" t="0" r="23495" b="1016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5805" cy="153289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o:spid="_x0000_s1026" style="position:absolute;margin-left:30.35pt;margin-top:6.45pt;width:157.15pt;height:12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" fillcolor="window" strokecolor="windowText" strokeweight="2pt">
                <v:path arrowok="t"/>
              </v:rect>
            </w:pict>
          </mc:Fallback>
        </mc:AlternateContent>
      </w:r>
      <w:r>
        <w:rPr>
          <w:noProof/>
          <w:lang w:bidi="ar-SA"/>
        </w:rPr>
        <mc:AlternateContent>
          <mc:Choice Requires="wps">
            <w:drawing>
              <wp:anchor distT="0" distB="0" distL="114300" distR="114300" simplePos="0" relativeHeight="251662336" behindDoc="0" locked="0" layoutInCell="1" allowOverlap="1">
                <wp:simplePos x="0" y="0"/>
                <wp:positionH relativeFrom="column">
                  <wp:posOffset>504190</wp:posOffset>
                </wp:positionH>
                <wp:positionV relativeFrom="paragraph">
                  <wp:posOffset>170180</wp:posOffset>
                </wp:positionV>
                <wp:extent cx="1799590" cy="856615"/>
                <wp:effectExtent l="0" t="0" r="10160" b="1968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9590" cy="856615"/>
                        </a:xfrm>
                        <a:prstGeom prst="rect">
                          <a:avLst/>
                        </a:prstGeom>
                        <a:solidFill>
                          <a:sysClr val="window" lastClr="FFFFFF"/>
                        </a:solidFill>
                        <a:ln w="25400" cap="flat" cmpd="sng" algn="ctr">
                          <a:solidFill>
                            <a:sysClr val="windowText" lastClr="000000"/>
                          </a:solidFill>
                          <a:prstDash val="solid"/>
                        </a:ln>
                        <a:effectLst/>
                      </wps:spPr>
                      <wps:txbx>
                        <w:txbxContent>
                          <w:p w:rsidR="002165D7" w:rsidRPr="00FE6F68" w:rsidRDefault="002165D7" w:rsidP="002165D7">
                            <w:pPr>
                              <w:rPr>
                                <w:rFonts w:asciiTheme="minorHAnsi" w:hAnsiTheme="minorHAnsi" w:cstheme="minorHAnsi"/>
                                <w:b/>
                                <w:sz w:val="16"/>
                                <w:szCs w:val="16"/>
                                <w:lang w:val="en-ID"/>
                              </w:rPr>
                            </w:pPr>
                            <w:r w:rsidRPr="00FE6F68">
                              <w:rPr>
                                <w:rFonts w:asciiTheme="minorHAnsi" w:hAnsiTheme="minorHAnsi" w:cstheme="minorHAnsi"/>
                                <w:b/>
                                <w:sz w:val="16"/>
                                <w:szCs w:val="16"/>
                                <w:lang w:val="en-ID"/>
                              </w:rPr>
                              <w:t xml:space="preserve">Independent </w:t>
                            </w:r>
                            <w:proofErr w:type="gramStart"/>
                            <w:r w:rsidRPr="00FE6F68">
                              <w:rPr>
                                <w:rFonts w:asciiTheme="minorHAnsi" w:hAnsiTheme="minorHAnsi" w:cstheme="minorHAnsi"/>
                                <w:b/>
                                <w:sz w:val="16"/>
                                <w:szCs w:val="16"/>
                                <w:lang w:val="en-ID"/>
                              </w:rPr>
                              <w:t>Variables :</w:t>
                            </w:r>
                            <w:proofErr w:type="gramEnd"/>
                          </w:p>
                          <w:p w:rsidR="002165D7" w:rsidRPr="00FE6F68" w:rsidRDefault="002165D7" w:rsidP="002165D7">
                            <w:pPr>
                              <w:pStyle w:val="ListParagraph"/>
                              <w:widowControl/>
                              <w:numPr>
                                <w:ilvl w:val="0"/>
                                <w:numId w:val="4"/>
                              </w:numPr>
                              <w:autoSpaceDE/>
                              <w:autoSpaceDN/>
                              <w:ind w:left="284" w:hanging="284"/>
                              <w:contextualSpacing/>
                              <w:rPr>
                                <w:rFonts w:asciiTheme="minorHAnsi" w:hAnsiTheme="minorHAnsi" w:cstheme="minorHAnsi"/>
                                <w:sz w:val="16"/>
                                <w:szCs w:val="16"/>
                                <w:lang w:val="en-ID"/>
                              </w:rPr>
                            </w:pPr>
                            <w:r w:rsidRPr="00FE6F68">
                              <w:rPr>
                                <w:rFonts w:asciiTheme="minorHAnsi" w:hAnsiTheme="minorHAnsi" w:cstheme="minorHAnsi"/>
                                <w:sz w:val="16"/>
                                <w:szCs w:val="16"/>
                                <w:lang w:val="en-ID"/>
                              </w:rPr>
                              <w:t xml:space="preserve">Kepemilikan Manajerial </w:t>
                            </w:r>
                          </w:p>
                          <w:p w:rsidR="002165D7" w:rsidRPr="00FE6F68" w:rsidRDefault="002165D7" w:rsidP="002165D7">
                            <w:pPr>
                              <w:pStyle w:val="ListParagraph"/>
                              <w:widowControl/>
                              <w:numPr>
                                <w:ilvl w:val="0"/>
                                <w:numId w:val="4"/>
                              </w:numPr>
                              <w:autoSpaceDE/>
                              <w:autoSpaceDN/>
                              <w:ind w:left="284" w:hanging="284"/>
                              <w:contextualSpacing/>
                              <w:rPr>
                                <w:rFonts w:asciiTheme="minorHAnsi" w:hAnsiTheme="minorHAnsi" w:cstheme="minorHAnsi"/>
                                <w:sz w:val="16"/>
                                <w:szCs w:val="16"/>
                                <w:lang w:val="en-ID"/>
                              </w:rPr>
                            </w:pPr>
                            <w:r w:rsidRPr="00FE6F68">
                              <w:rPr>
                                <w:rFonts w:asciiTheme="minorHAnsi" w:hAnsiTheme="minorHAnsi" w:cstheme="minorHAnsi"/>
                                <w:sz w:val="16"/>
                                <w:szCs w:val="16"/>
                                <w:lang w:val="en-ID"/>
                              </w:rPr>
                              <w:t xml:space="preserve">Kepemilikan Institusional </w:t>
                            </w:r>
                          </w:p>
                          <w:p w:rsidR="002165D7" w:rsidRPr="00FE6F68" w:rsidRDefault="002165D7" w:rsidP="002165D7">
                            <w:pPr>
                              <w:pStyle w:val="ListParagraph"/>
                              <w:widowControl/>
                              <w:numPr>
                                <w:ilvl w:val="0"/>
                                <w:numId w:val="4"/>
                              </w:numPr>
                              <w:tabs>
                                <w:tab w:val="left" w:pos="284"/>
                              </w:tabs>
                              <w:autoSpaceDE/>
                              <w:autoSpaceDN/>
                              <w:ind w:hanging="720"/>
                              <w:contextualSpacing/>
                              <w:rPr>
                                <w:rFonts w:asciiTheme="minorHAnsi" w:hAnsiTheme="minorHAnsi" w:cstheme="minorHAnsi"/>
                                <w:sz w:val="16"/>
                                <w:szCs w:val="16"/>
                                <w:lang w:val="en-ID"/>
                              </w:rPr>
                            </w:pPr>
                            <w:r w:rsidRPr="00FE6F68">
                              <w:rPr>
                                <w:rFonts w:asciiTheme="minorHAnsi" w:hAnsiTheme="minorHAnsi" w:cstheme="minorHAnsi"/>
                                <w:sz w:val="16"/>
                                <w:szCs w:val="16"/>
                                <w:lang w:val="en-ID"/>
                              </w:rPr>
                              <w:t xml:space="preserve">Dewan Komisaris Independen </w:t>
                            </w:r>
                          </w:p>
                          <w:p w:rsidR="002165D7" w:rsidRPr="00FE6F68" w:rsidRDefault="002165D7" w:rsidP="002165D7">
                            <w:pPr>
                              <w:pStyle w:val="ListParagraph"/>
                              <w:widowControl/>
                              <w:numPr>
                                <w:ilvl w:val="0"/>
                                <w:numId w:val="4"/>
                              </w:numPr>
                              <w:autoSpaceDE/>
                              <w:autoSpaceDN/>
                              <w:ind w:left="284" w:hanging="284"/>
                              <w:contextualSpacing/>
                              <w:rPr>
                                <w:rFonts w:asciiTheme="minorHAnsi" w:hAnsiTheme="minorHAnsi" w:cstheme="minorHAnsi"/>
                                <w:sz w:val="16"/>
                                <w:szCs w:val="16"/>
                                <w:lang w:val="en-ID"/>
                              </w:rPr>
                            </w:pPr>
                            <w:r w:rsidRPr="00FE6F68">
                              <w:rPr>
                                <w:rFonts w:asciiTheme="minorHAnsi" w:hAnsiTheme="minorHAnsi" w:cstheme="minorHAnsi"/>
                                <w:sz w:val="16"/>
                                <w:szCs w:val="16"/>
                                <w:lang w:val="en-ID"/>
                              </w:rPr>
                              <w:t xml:space="preserve">Komite Audit </w:t>
                            </w:r>
                          </w:p>
                          <w:p w:rsidR="002165D7" w:rsidRPr="00FE6F68" w:rsidRDefault="002165D7" w:rsidP="002165D7">
                            <w:pPr>
                              <w:pStyle w:val="ListParagraph"/>
                              <w:widowControl/>
                              <w:numPr>
                                <w:ilvl w:val="0"/>
                                <w:numId w:val="4"/>
                              </w:numPr>
                              <w:autoSpaceDE/>
                              <w:autoSpaceDN/>
                              <w:ind w:left="284" w:hanging="284"/>
                              <w:contextualSpacing/>
                              <w:rPr>
                                <w:rFonts w:asciiTheme="minorHAnsi" w:hAnsiTheme="minorHAnsi" w:cstheme="minorHAnsi"/>
                                <w:sz w:val="16"/>
                                <w:szCs w:val="16"/>
                                <w:lang w:val="en-ID"/>
                              </w:rPr>
                            </w:pPr>
                            <w:r w:rsidRPr="00FE6F68">
                              <w:rPr>
                                <w:rFonts w:asciiTheme="minorHAnsi" w:hAnsiTheme="minorHAnsi" w:cstheme="minorHAnsi"/>
                                <w:sz w:val="16"/>
                                <w:szCs w:val="16"/>
                                <w:lang w:val="en-ID"/>
                              </w:rPr>
                              <w:t>Pengungkapan CSR</w:t>
                            </w:r>
                          </w:p>
                          <w:p w:rsidR="002165D7" w:rsidRDefault="002165D7" w:rsidP="002165D7">
                            <w:pPr>
                              <w:rPr>
                                <w:sz w:val="16"/>
                                <w:szCs w:val="16"/>
                                <w:lang w:val="en-ID"/>
                              </w:rPr>
                            </w:pPr>
                          </w:p>
                          <w:p w:rsidR="002165D7" w:rsidRPr="00EA79BD" w:rsidRDefault="002165D7" w:rsidP="002165D7">
                            <w:pPr>
                              <w:rPr>
                                <w:sz w:val="16"/>
                                <w:szCs w:val="16"/>
                                <w:lang w:val="en-ID"/>
                              </w:rPr>
                            </w:pPr>
                          </w:p>
                          <w:p w:rsidR="002165D7" w:rsidRPr="00DC2AB8" w:rsidRDefault="002165D7" w:rsidP="002165D7">
                            <w:pPr>
                              <w:rPr>
                                <w:sz w:val="16"/>
                                <w:szCs w:val="16"/>
                                <w:lang w:val="en-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o:spid="_x0000_s1026" style="position:absolute;left:0;text-align:left;margin-left:39.7pt;margin-top:13.4pt;width:141.7pt;height:6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" fillcolor="window" strokecolor="windowText" strokeweight="2pt">
                <v:path arrowok="t"/>
                <v:textbox>
                  <w:txbxContent>
                    <w:p w:rsidR="002165D7" w:rsidRPr="00FE6F68" w:rsidRDefault="002165D7" w:rsidP="002165D7">
                      <w:pPr>
                        <w:rPr>
                          <w:rFonts w:asciiTheme="minorHAnsi" w:hAnsiTheme="minorHAnsi" w:cstheme="minorHAnsi"/>
                          <w:b/>
                          <w:sz w:val="16"/>
                          <w:szCs w:val="16"/>
                          <w:lang w:val="en-ID"/>
                        </w:rPr>
                      </w:pPr>
                      <w:r w:rsidRPr="00FE6F68">
                        <w:rPr>
                          <w:rFonts w:asciiTheme="minorHAnsi" w:hAnsiTheme="minorHAnsi" w:cstheme="minorHAnsi"/>
                          <w:b/>
                          <w:sz w:val="16"/>
                          <w:szCs w:val="16"/>
                          <w:lang w:val="en-ID"/>
                        </w:rPr>
                        <w:t xml:space="preserve">Independent </w:t>
                      </w:r>
                      <w:proofErr w:type="gramStart"/>
                      <w:r w:rsidRPr="00FE6F68">
                        <w:rPr>
                          <w:rFonts w:asciiTheme="minorHAnsi" w:hAnsiTheme="minorHAnsi" w:cstheme="minorHAnsi"/>
                          <w:b/>
                          <w:sz w:val="16"/>
                          <w:szCs w:val="16"/>
                          <w:lang w:val="en-ID"/>
                        </w:rPr>
                        <w:t>Variables :</w:t>
                      </w:r>
                      <w:proofErr w:type="gramEnd"/>
                    </w:p>
                    <w:p w:rsidR="002165D7" w:rsidRPr="00FE6F68" w:rsidRDefault="002165D7" w:rsidP="002165D7">
                      <w:pPr>
                        <w:pStyle w:val="ListParagraph"/>
                        <w:widowControl/>
                        <w:numPr>
                          <w:ilvl w:val="0"/>
                          <w:numId w:val="4"/>
                        </w:numPr>
                        <w:autoSpaceDE/>
                        <w:autoSpaceDN/>
                        <w:ind w:left="284" w:hanging="284"/>
                        <w:contextualSpacing/>
                        <w:rPr>
                          <w:rFonts w:asciiTheme="minorHAnsi" w:hAnsiTheme="minorHAnsi" w:cstheme="minorHAnsi"/>
                          <w:sz w:val="16"/>
                          <w:szCs w:val="16"/>
                          <w:lang w:val="en-ID"/>
                        </w:rPr>
                      </w:pPr>
                      <w:r w:rsidRPr="00FE6F68">
                        <w:rPr>
                          <w:rFonts w:asciiTheme="minorHAnsi" w:hAnsiTheme="minorHAnsi" w:cstheme="minorHAnsi"/>
                          <w:sz w:val="16"/>
                          <w:szCs w:val="16"/>
                          <w:lang w:val="en-ID"/>
                        </w:rPr>
                        <w:t xml:space="preserve">Kepemilikan Manajerial </w:t>
                      </w:r>
                    </w:p>
                    <w:p w:rsidR="002165D7" w:rsidRPr="00FE6F68" w:rsidRDefault="002165D7" w:rsidP="002165D7">
                      <w:pPr>
                        <w:pStyle w:val="ListParagraph"/>
                        <w:widowControl/>
                        <w:numPr>
                          <w:ilvl w:val="0"/>
                          <w:numId w:val="4"/>
                        </w:numPr>
                        <w:autoSpaceDE/>
                        <w:autoSpaceDN/>
                        <w:ind w:left="284" w:hanging="284"/>
                        <w:contextualSpacing/>
                        <w:rPr>
                          <w:rFonts w:asciiTheme="minorHAnsi" w:hAnsiTheme="minorHAnsi" w:cstheme="minorHAnsi"/>
                          <w:sz w:val="16"/>
                          <w:szCs w:val="16"/>
                          <w:lang w:val="en-ID"/>
                        </w:rPr>
                      </w:pPr>
                      <w:r w:rsidRPr="00FE6F68">
                        <w:rPr>
                          <w:rFonts w:asciiTheme="minorHAnsi" w:hAnsiTheme="minorHAnsi" w:cstheme="minorHAnsi"/>
                          <w:sz w:val="16"/>
                          <w:szCs w:val="16"/>
                          <w:lang w:val="en-ID"/>
                        </w:rPr>
                        <w:t xml:space="preserve">Kepemilikan Institusional </w:t>
                      </w:r>
                    </w:p>
                    <w:p w:rsidR="002165D7" w:rsidRPr="00FE6F68" w:rsidRDefault="002165D7" w:rsidP="002165D7">
                      <w:pPr>
                        <w:pStyle w:val="ListParagraph"/>
                        <w:widowControl/>
                        <w:numPr>
                          <w:ilvl w:val="0"/>
                          <w:numId w:val="4"/>
                        </w:numPr>
                        <w:tabs>
                          <w:tab w:val="left" w:pos="284"/>
                        </w:tabs>
                        <w:autoSpaceDE/>
                        <w:autoSpaceDN/>
                        <w:ind w:hanging="720"/>
                        <w:contextualSpacing/>
                        <w:rPr>
                          <w:rFonts w:asciiTheme="minorHAnsi" w:hAnsiTheme="minorHAnsi" w:cstheme="minorHAnsi"/>
                          <w:sz w:val="16"/>
                          <w:szCs w:val="16"/>
                          <w:lang w:val="en-ID"/>
                        </w:rPr>
                      </w:pPr>
                      <w:r w:rsidRPr="00FE6F68">
                        <w:rPr>
                          <w:rFonts w:asciiTheme="minorHAnsi" w:hAnsiTheme="minorHAnsi" w:cstheme="minorHAnsi"/>
                          <w:sz w:val="16"/>
                          <w:szCs w:val="16"/>
                          <w:lang w:val="en-ID"/>
                        </w:rPr>
                        <w:t xml:space="preserve">Dewan Komisaris Independen </w:t>
                      </w:r>
                    </w:p>
                    <w:p w:rsidR="002165D7" w:rsidRPr="00FE6F68" w:rsidRDefault="002165D7" w:rsidP="002165D7">
                      <w:pPr>
                        <w:pStyle w:val="ListParagraph"/>
                        <w:widowControl/>
                        <w:numPr>
                          <w:ilvl w:val="0"/>
                          <w:numId w:val="4"/>
                        </w:numPr>
                        <w:autoSpaceDE/>
                        <w:autoSpaceDN/>
                        <w:ind w:left="284" w:hanging="284"/>
                        <w:contextualSpacing/>
                        <w:rPr>
                          <w:rFonts w:asciiTheme="minorHAnsi" w:hAnsiTheme="minorHAnsi" w:cstheme="minorHAnsi"/>
                          <w:sz w:val="16"/>
                          <w:szCs w:val="16"/>
                          <w:lang w:val="en-ID"/>
                        </w:rPr>
                      </w:pPr>
                      <w:r w:rsidRPr="00FE6F68">
                        <w:rPr>
                          <w:rFonts w:asciiTheme="minorHAnsi" w:hAnsiTheme="minorHAnsi" w:cstheme="minorHAnsi"/>
                          <w:sz w:val="16"/>
                          <w:szCs w:val="16"/>
                          <w:lang w:val="en-ID"/>
                        </w:rPr>
                        <w:t xml:space="preserve">Komite Audit </w:t>
                      </w:r>
                    </w:p>
                    <w:p w:rsidR="002165D7" w:rsidRPr="00FE6F68" w:rsidRDefault="002165D7" w:rsidP="002165D7">
                      <w:pPr>
                        <w:pStyle w:val="ListParagraph"/>
                        <w:widowControl/>
                        <w:numPr>
                          <w:ilvl w:val="0"/>
                          <w:numId w:val="4"/>
                        </w:numPr>
                        <w:autoSpaceDE/>
                        <w:autoSpaceDN/>
                        <w:ind w:left="284" w:hanging="284"/>
                        <w:contextualSpacing/>
                        <w:rPr>
                          <w:rFonts w:asciiTheme="minorHAnsi" w:hAnsiTheme="minorHAnsi" w:cstheme="minorHAnsi"/>
                          <w:sz w:val="16"/>
                          <w:szCs w:val="16"/>
                          <w:lang w:val="en-ID"/>
                        </w:rPr>
                      </w:pPr>
                      <w:r w:rsidRPr="00FE6F68">
                        <w:rPr>
                          <w:rFonts w:asciiTheme="minorHAnsi" w:hAnsiTheme="minorHAnsi" w:cstheme="minorHAnsi"/>
                          <w:sz w:val="16"/>
                          <w:szCs w:val="16"/>
                          <w:lang w:val="en-ID"/>
                        </w:rPr>
                        <w:t>Pengungkapan CSR</w:t>
                      </w:r>
                    </w:p>
                    <w:p w:rsidR="002165D7" w:rsidRDefault="002165D7" w:rsidP="002165D7">
                      <w:pPr>
                        <w:rPr>
                          <w:sz w:val="16"/>
                          <w:szCs w:val="16"/>
                          <w:lang w:val="en-ID"/>
                        </w:rPr>
                      </w:pPr>
                    </w:p>
                    <w:p w:rsidR="002165D7" w:rsidRPr="00EA79BD" w:rsidRDefault="002165D7" w:rsidP="002165D7">
                      <w:pPr>
                        <w:rPr>
                          <w:sz w:val="16"/>
                          <w:szCs w:val="16"/>
                          <w:lang w:val="en-ID"/>
                        </w:rPr>
                      </w:pPr>
                    </w:p>
                    <w:p w:rsidR="002165D7" w:rsidRPr="00DC2AB8" w:rsidRDefault="002165D7" w:rsidP="002165D7">
                      <w:pPr>
                        <w:rPr>
                          <w:sz w:val="16"/>
                          <w:szCs w:val="16"/>
                          <w:lang w:val="en-ID"/>
                        </w:rPr>
                      </w:pPr>
                    </w:p>
                  </w:txbxContent>
                </v:textbox>
              </v:rect>
            </w:pict>
          </mc:Fallback>
        </mc:AlternateContent>
      </w:r>
      <w:r>
        <w:rPr>
          <w:sz w:val="18"/>
        </w:rPr>
        <w:tab/>
      </w:r>
      <w:r>
        <w:rPr>
          <w:sz w:val="18"/>
        </w:rPr>
        <w:tab/>
      </w:r>
    </w:p>
    <w:p w:rsidR="002165D7" w:rsidRPr="00B74A0C" w:rsidRDefault="002165D7" w:rsidP="002165D7">
      <w:pPr>
        <w:pStyle w:val="ListParagraph"/>
        <w:tabs>
          <w:tab w:val="left" w:pos="284"/>
        </w:tabs>
        <w:spacing w:line="360" w:lineRule="auto"/>
        <w:ind w:left="481" w:firstLine="0"/>
        <w:rPr>
          <w:rFonts w:ascii="Times New Roman" w:hAnsi="Times New Roman" w:cs="Times New Roman"/>
          <w:b/>
          <w:sz w:val="24"/>
          <w:szCs w:val="24"/>
          <w:lang w:val="en-ID"/>
        </w:rPr>
      </w:pPr>
    </w:p>
    <w:p w:rsidR="002165D7" w:rsidRPr="00FA1E8B" w:rsidRDefault="002165D7" w:rsidP="002165D7">
      <w:pPr>
        <w:pStyle w:val="ListParagraph"/>
        <w:tabs>
          <w:tab w:val="left" w:pos="426"/>
        </w:tabs>
        <w:spacing w:line="360" w:lineRule="auto"/>
        <w:ind w:left="481" w:firstLine="0"/>
        <w:contextualSpacing/>
        <w:rPr>
          <w:rFonts w:ascii="Times New Roman" w:hAnsi="Times New Roman" w:cs="Times New Roman"/>
          <w:sz w:val="24"/>
          <w:szCs w:val="24"/>
          <w:lang w:val="en-ID"/>
        </w:rPr>
      </w:pPr>
      <w:r>
        <w:rPr>
          <w:noProof/>
          <w:lang w:bidi="ar-SA"/>
        </w:rPr>
        <mc:AlternateContent>
          <mc:Choice Requires="wps">
            <w:drawing>
              <wp:anchor distT="0" distB="0" distL="114299" distR="114299" simplePos="0" relativeHeight="251667456" behindDoc="0" locked="0" layoutInCell="1" allowOverlap="1">
                <wp:simplePos x="0" y="0"/>
                <wp:positionH relativeFrom="column">
                  <wp:posOffset>3224530</wp:posOffset>
                </wp:positionH>
                <wp:positionV relativeFrom="paragraph">
                  <wp:posOffset>185420</wp:posOffset>
                </wp:positionV>
                <wp:extent cx="306705" cy="635"/>
                <wp:effectExtent l="91440" t="15875" r="88900" b="29845"/>
                <wp:wrapNone/>
                <wp:docPr id="8" name="Elb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306705" cy="635"/>
                        </a:xfrm>
                        <a:prstGeom prst="bentConnector3">
                          <a:avLst>
                            <a:gd name="adj1" fmla="val 49898"/>
                          </a:avLst>
                        </a:prstGeom>
                        <a:noFill/>
                        <a:ln w="2857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26" type="#_x0000_t34" style="position:absolute;margin-left:253.9pt;margin-top:14.6pt;width:24.15pt;height:.05pt;rotation:90;flip:x;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" adj="10778" strokeweight="2.25pt">
                <v:stroke endarrow="open"/>
                <o:lock v:ext="edit" shapetype="f"/>
              </v:shape>
            </w:pict>
          </mc:Fallback>
        </mc:AlternateContent>
      </w:r>
      <w:r>
        <w:rPr>
          <w:noProof/>
          <w:lang w:bidi="ar-SA"/>
        </w:rPr>
        <mc:AlternateContent>
          <mc:Choice Requires="wps">
            <w:drawing>
              <wp:anchor distT="4294967294" distB="4294967294" distL="114300" distR="114300" simplePos="0" relativeHeight="251666432" behindDoc="0" locked="0" layoutInCell="1" allowOverlap="1">
                <wp:simplePos x="0" y="0"/>
                <wp:positionH relativeFrom="column">
                  <wp:posOffset>2381250</wp:posOffset>
                </wp:positionH>
                <wp:positionV relativeFrom="paragraph">
                  <wp:posOffset>32384</wp:posOffset>
                </wp:positionV>
                <wp:extent cx="995680" cy="0"/>
                <wp:effectExtent l="0" t="19050" r="1397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5680" cy="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7.5pt,2.55pt" to="265.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" strokeweight="2.25pt">
                <o:lock v:ext="edit" shapetype="f"/>
              </v:line>
            </w:pict>
          </mc:Fallback>
        </mc:AlternateContent>
      </w:r>
    </w:p>
    <w:p w:rsidR="002165D7" w:rsidRPr="00FA1E8B" w:rsidRDefault="002165D7" w:rsidP="002165D7">
      <w:pPr>
        <w:pStyle w:val="ListParagraph"/>
        <w:tabs>
          <w:tab w:val="left" w:pos="426"/>
        </w:tabs>
        <w:spacing w:line="360" w:lineRule="auto"/>
        <w:ind w:left="481" w:firstLine="0"/>
        <w:contextualSpacing/>
        <w:rPr>
          <w:rFonts w:ascii="Times New Roman" w:hAnsi="Times New Roman" w:cs="Times New Roman"/>
          <w:sz w:val="24"/>
          <w:szCs w:val="24"/>
          <w:lang w:val="en-ID"/>
        </w:rPr>
      </w:pPr>
      <w:r>
        <w:rPr>
          <w:noProof/>
          <w:lang w:bidi="ar-SA"/>
        </w:rPr>
        <mc:AlternateContent>
          <mc:Choice Requires="wps">
            <w:drawing>
              <wp:anchor distT="4294967294" distB="4294967294" distL="114300" distR="114300" simplePos="0" relativeHeight="251668480" behindDoc="0" locked="0" layoutInCell="1" allowOverlap="1">
                <wp:simplePos x="0" y="0"/>
                <wp:positionH relativeFrom="column">
                  <wp:posOffset>3895090</wp:posOffset>
                </wp:positionH>
                <wp:positionV relativeFrom="paragraph">
                  <wp:posOffset>232409</wp:posOffset>
                </wp:positionV>
                <wp:extent cx="337185" cy="0"/>
                <wp:effectExtent l="0" t="133350" r="0" b="13335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7185" cy="0"/>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0" o:spid="_x0000_s1026" type="#_x0000_t32" style="position:absolute;margin-left:306.7pt;margin-top:18.3pt;width:26.5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" strokeweight="2.25pt">
                <v:stroke endarrow="open"/>
                <o:lock v:ext="edit" shapetype="f"/>
              </v:shape>
            </w:pict>
          </mc:Fallback>
        </mc:AlternateContent>
      </w:r>
      <w:r>
        <w:rPr>
          <w:noProof/>
          <w:lang w:bidi="ar-SA"/>
        </w:rPr>
        <mc:AlternateContent>
          <mc:Choice Requires="wps">
            <w:drawing>
              <wp:anchor distT="0" distB="0" distL="114300" distR="114300" simplePos="0" relativeHeight="251665408" behindDoc="0" locked="0" layoutInCell="1" allowOverlap="1">
                <wp:simplePos x="0" y="0"/>
                <wp:positionH relativeFrom="column">
                  <wp:posOffset>4232275</wp:posOffset>
                </wp:positionH>
                <wp:positionV relativeFrom="paragraph">
                  <wp:posOffset>76200</wp:posOffset>
                </wp:positionV>
                <wp:extent cx="936625" cy="289560"/>
                <wp:effectExtent l="19050" t="19050" r="15875" b="1524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6625" cy="289560"/>
                        </a:xfrm>
                        <a:prstGeom prst="rect">
                          <a:avLst/>
                        </a:prstGeom>
                        <a:solidFill>
                          <a:sysClr val="window" lastClr="FFFFFF"/>
                        </a:solidFill>
                        <a:ln w="28575" cap="flat" cmpd="sng" algn="ctr">
                          <a:solidFill>
                            <a:sysClr val="windowText" lastClr="000000"/>
                          </a:solidFill>
                          <a:prstDash val="solid"/>
                        </a:ln>
                        <a:effectLst/>
                      </wps:spPr>
                      <wps:txbx>
                        <w:txbxContent>
                          <w:p w:rsidR="002165D7" w:rsidRPr="00FE6F68" w:rsidRDefault="002165D7" w:rsidP="002165D7">
                            <w:pPr>
                              <w:jc w:val="center"/>
                              <w:rPr>
                                <w:rFonts w:asciiTheme="minorHAnsi" w:hAnsiTheme="minorHAnsi" w:cstheme="minorHAnsi"/>
                                <w:sz w:val="16"/>
                                <w:szCs w:val="16"/>
                                <w:lang w:val="en-ID"/>
                              </w:rPr>
                            </w:pPr>
                            <w:r w:rsidRPr="00FE6F68">
                              <w:rPr>
                                <w:rFonts w:asciiTheme="minorHAnsi" w:hAnsiTheme="minorHAnsi" w:cstheme="minorHAnsi"/>
                                <w:i/>
                                <w:sz w:val="16"/>
                                <w:szCs w:val="16"/>
                                <w:lang w:val="en-ID"/>
                              </w:rPr>
                              <w:t>Return</w:t>
                            </w:r>
                            <w:r w:rsidRPr="00FE6F68">
                              <w:rPr>
                                <w:rFonts w:asciiTheme="minorHAnsi" w:hAnsiTheme="minorHAnsi" w:cstheme="minorHAnsi"/>
                                <w:sz w:val="16"/>
                                <w:szCs w:val="16"/>
                                <w:lang w:val="en-ID"/>
                              </w:rPr>
                              <w:t xml:space="preserve"> Saham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27" style="position:absolute;left:0;text-align:left;margin-left:333.25pt;margin-top:6pt;width:73.75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" fillcolor="window" strokecolor="windowText" strokeweight="2.25pt">
                <v:path arrowok="t"/>
                <v:textbox>
                  <w:txbxContent>
                    <w:p w:rsidR="002165D7" w:rsidRPr="00FE6F68" w:rsidRDefault="002165D7" w:rsidP="002165D7">
                      <w:pPr>
                        <w:jc w:val="center"/>
                        <w:rPr>
                          <w:rFonts w:asciiTheme="minorHAnsi" w:hAnsiTheme="minorHAnsi" w:cstheme="minorHAnsi"/>
                          <w:sz w:val="16"/>
                          <w:szCs w:val="16"/>
                          <w:lang w:val="en-ID"/>
                        </w:rPr>
                      </w:pPr>
                      <w:r w:rsidRPr="00FE6F68">
                        <w:rPr>
                          <w:rFonts w:asciiTheme="minorHAnsi" w:hAnsiTheme="minorHAnsi" w:cstheme="minorHAnsi"/>
                          <w:i/>
                          <w:sz w:val="16"/>
                          <w:szCs w:val="16"/>
                          <w:lang w:val="en-ID"/>
                        </w:rPr>
                        <w:t>Return</w:t>
                      </w:r>
                      <w:r w:rsidRPr="00FE6F68">
                        <w:rPr>
                          <w:rFonts w:asciiTheme="minorHAnsi" w:hAnsiTheme="minorHAnsi" w:cstheme="minorHAnsi"/>
                          <w:sz w:val="16"/>
                          <w:szCs w:val="16"/>
                          <w:lang w:val="en-ID"/>
                        </w:rPr>
                        <w:t xml:space="preserve"> Saham </w:t>
                      </w:r>
                    </w:p>
                  </w:txbxContent>
                </v:textbox>
              </v:rect>
            </w:pict>
          </mc:Fallback>
        </mc:AlternateContent>
      </w:r>
      <w:r>
        <w:rPr>
          <w:noProof/>
          <w:lang w:bidi="ar-SA"/>
        </w:rPr>
        <mc:AlternateContent>
          <mc:Choice Requires="wps">
            <w:drawing>
              <wp:anchor distT="0" distB="0" distL="114300" distR="114300" simplePos="0" relativeHeight="251664384" behindDoc="0" locked="0" layoutInCell="1" allowOverlap="1">
                <wp:simplePos x="0" y="0"/>
                <wp:positionH relativeFrom="column">
                  <wp:posOffset>2736215</wp:posOffset>
                </wp:positionH>
                <wp:positionV relativeFrom="paragraph">
                  <wp:posOffset>76200</wp:posOffset>
                </wp:positionV>
                <wp:extent cx="1071880" cy="289560"/>
                <wp:effectExtent l="19050" t="19050" r="13970" b="1524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1880" cy="289560"/>
                        </a:xfrm>
                        <a:prstGeom prst="rect">
                          <a:avLst/>
                        </a:prstGeom>
                        <a:solidFill>
                          <a:sysClr val="window" lastClr="FFFFFF"/>
                        </a:solidFill>
                        <a:ln w="28575" cap="flat" cmpd="sng" algn="ctr">
                          <a:solidFill>
                            <a:sysClr val="windowText" lastClr="000000"/>
                          </a:solidFill>
                          <a:prstDash val="solid"/>
                        </a:ln>
                        <a:effectLst/>
                      </wps:spPr>
                      <wps:txbx>
                        <w:txbxContent>
                          <w:p w:rsidR="002165D7" w:rsidRPr="00FE6F68" w:rsidRDefault="002165D7" w:rsidP="002165D7">
                            <w:pPr>
                              <w:jc w:val="center"/>
                              <w:rPr>
                                <w:rFonts w:ascii="Calibri" w:hAnsi="Calibri" w:cs="Calibri"/>
                                <w:sz w:val="16"/>
                                <w:szCs w:val="16"/>
                                <w:lang w:val="en-ID"/>
                              </w:rPr>
                            </w:pPr>
                            <w:r>
                              <w:rPr>
                                <w:sz w:val="18"/>
                                <w:szCs w:val="18"/>
                                <w:lang w:val="en-ID"/>
                              </w:rPr>
                              <w:t xml:space="preserve"> </w:t>
                            </w:r>
                            <w:r w:rsidRPr="00FE6F68">
                              <w:rPr>
                                <w:rFonts w:ascii="Calibri" w:hAnsi="Calibri" w:cs="Calibri"/>
                                <w:sz w:val="16"/>
                                <w:szCs w:val="16"/>
                                <w:lang w:val="en-ID"/>
                              </w:rPr>
                              <w:t xml:space="preserve">Value Relevance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o:spid="_x0000_s1028" style="position:absolute;left:0;text-align:left;margin-left:215.45pt;margin-top:6pt;width:84.4pt;height:2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" fillcolor="window" strokecolor="windowText" strokeweight="2.25pt">
                <v:path arrowok="t"/>
                <v:textbox>
                  <w:txbxContent>
                    <w:p w:rsidR="002165D7" w:rsidRPr="00FE6F68" w:rsidRDefault="002165D7" w:rsidP="002165D7">
                      <w:pPr>
                        <w:jc w:val="center"/>
                        <w:rPr>
                          <w:rFonts w:ascii="Calibri" w:hAnsi="Calibri" w:cs="Calibri"/>
                          <w:sz w:val="16"/>
                          <w:szCs w:val="16"/>
                          <w:lang w:val="en-ID"/>
                        </w:rPr>
                      </w:pPr>
                      <w:r>
                        <w:rPr>
                          <w:sz w:val="18"/>
                          <w:szCs w:val="18"/>
                          <w:lang w:val="en-ID"/>
                        </w:rPr>
                        <w:t xml:space="preserve"> </w:t>
                      </w:r>
                      <w:r w:rsidRPr="00FE6F68">
                        <w:rPr>
                          <w:rFonts w:ascii="Calibri" w:hAnsi="Calibri" w:cs="Calibri"/>
                          <w:sz w:val="16"/>
                          <w:szCs w:val="16"/>
                          <w:lang w:val="en-ID"/>
                        </w:rPr>
                        <w:t xml:space="preserve">Value Relevance </w:t>
                      </w:r>
                    </w:p>
                  </w:txbxContent>
                </v:textbox>
              </v:rect>
            </w:pict>
          </mc:Fallback>
        </mc:AlternateContent>
      </w:r>
    </w:p>
    <w:p w:rsidR="002165D7" w:rsidRPr="00FA1E8B" w:rsidRDefault="002165D7" w:rsidP="002165D7">
      <w:pPr>
        <w:pStyle w:val="ListParagraph"/>
        <w:tabs>
          <w:tab w:val="left" w:pos="426"/>
        </w:tabs>
        <w:spacing w:line="360" w:lineRule="auto"/>
        <w:ind w:left="481" w:firstLine="0"/>
        <w:contextualSpacing/>
        <w:rPr>
          <w:rFonts w:ascii="Times New Roman" w:hAnsi="Times New Roman" w:cs="Times New Roman"/>
          <w:sz w:val="24"/>
          <w:szCs w:val="24"/>
          <w:lang w:val="en-ID"/>
        </w:rPr>
      </w:pPr>
      <w:r>
        <w:rPr>
          <w:noProof/>
          <w:lang w:bidi="ar-SA"/>
        </w:rPr>
        <mc:AlternateContent>
          <mc:Choice Requires="wps">
            <w:drawing>
              <wp:anchor distT="0" distB="0" distL="114300" distR="114300" simplePos="0" relativeHeight="251663360" behindDoc="0" locked="0" layoutInCell="1" allowOverlap="1">
                <wp:simplePos x="0" y="0"/>
                <wp:positionH relativeFrom="column">
                  <wp:posOffset>504190</wp:posOffset>
                </wp:positionH>
                <wp:positionV relativeFrom="paragraph">
                  <wp:posOffset>102870</wp:posOffset>
                </wp:positionV>
                <wp:extent cx="1799590" cy="514350"/>
                <wp:effectExtent l="19050" t="19050" r="10160" b="1905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9590" cy="514350"/>
                        </a:xfrm>
                        <a:prstGeom prst="rect">
                          <a:avLst/>
                        </a:prstGeom>
                        <a:solidFill>
                          <a:sysClr val="window" lastClr="FFFFFF"/>
                        </a:solidFill>
                        <a:ln w="28575" cap="flat" cmpd="sng" algn="ctr">
                          <a:solidFill>
                            <a:sysClr val="windowText" lastClr="000000"/>
                          </a:solidFill>
                          <a:prstDash val="solid"/>
                        </a:ln>
                        <a:effectLst/>
                      </wps:spPr>
                      <wps:txbx>
                        <w:txbxContent>
                          <w:p w:rsidR="002165D7" w:rsidRPr="00FE6F68" w:rsidRDefault="002165D7" w:rsidP="002165D7">
                            <w:pPr>
                              <w:rPr>
                                <w:rFonts w:asciiTheme="minorHAnsi" w:hAnsiTheme="minorHAnsi" w:cstheme="minorHAnsi"/>
                                <w:b/>
                                <w:sz w:val="16"/>
                                <w:szCs w:val="16"/>
                                <w:lang w:val="en-ID"/>
                              </w:rPr>
                            </w:pPr>
                            <w:r w:rsidRPr="00FE6F68">
                              <w:rPr>
                                <w:rFonts w:asciiTheme="minorHAnsi" w:hAnsiTheme="minorHAnsi" w:cstheme="minorHAnsi"/>
                                <w:b/>
                                <w:sz w:val="16"/>
                                <w:szCs w:val="16"/>
                                <w:lang w:val="en-ID"/>
                              </w:rPr>
                              <w:t xml:space="preserve">Control </w:t>
                            </w:r>
                            <w:proofErr w:type="gramStart"/>
                            <w:r w:rsidRPr="00FE6F68">
                              <w:rPr>
                                <w:rFonts w:asciiTheme="minorHAnsi" w:hAnsiTheme="minorHAnsi" w:cstheme="minorHAnsi"/>
                                <w:b/>
                                <w:sz w:val="16"/>
                                <w:szCs w:val="16"/>
                                <w:lang w:val="en-ID"/>
                              </w:rPr>
                              <w:t>Variables :</w:t>
                            </w:r>
                            <w:proofErr w:type="gramEnd"/>
                          </w:p>
                          <w:p w:rsidR="002165D7" w:rsidRPr="00FE6F68" w:rsidRDefault="002165D7" w:rsidP="002165D7">
                            <w:pPr>
                              <w:pStyle w:val="ListParagraph"/>
                              <w:widowControl/>
                              <w:numPr>
                                <w:ilvl w:val="0"/>
                                <w:numId w:val="5"/>
                              </w:numPr>
                              <w:autoSpaceDE/>
                              <w:autoSpaceDN/>
                              <w:spacing w:after="200"/>
                              <w:ind w:left="284" w:hanging="284"/>
                              <w:contextualSpacing/>
                              <w:jc w:val="both"/>
                              <w:rPr>
                                <w:rFonts w:asciiTheme="minorHAnsi" w:hAnsiTheme="minorHAnsi" w:cstheme="minorHAnsi"/>
                                <w:i/>
                                <w:sz w:val="16"/>
                                <w:szCs w:val="16"/>
                                <w:lang w:val="en-ID"/>
                              </w:rPr>
                            </w:pPr>
                            <w:r w:rsidRPr="00FE6F68">
                              <w:rPr>
                                <w:rFonts w:asciiTheme="minorHAnsi" w:hAnsiTheme="minorHAnsi" w:cstheme="minorHAnsi"/>
                                <w:i/>
                                <w:sz w:val="16"/>
                                <w:szCs w:val="16"/>
                                <w:lang w:val="en-ID"/>
                              </w:rPr>
                              <w:t>Leverage</w:t>
                            </w:r>
                          </w:p>
                          <w:p w:rsidR="002165D7" w:rsidRPr="002F5765" w:rsidRDefault="002165D7" w:rsidP="002165D7">
                            <w:pPr>
                              <w:pStyle w:val="ListParagraph"/>
                              <w:widowControl/>
                              <w:numPr>
                                <w:ilvl w:val="0"/>
                                <w:numId w:val="5"/>
                              </w:numPr>
                              <w:autoSpaceDE/>
                              <w:autoSpaceDN/>
                              <w:spacing w:after="200"/>
                              <w:ind w:left="284" w:hanging="284"/>
                              <w:contextualSpacing/>
                              <w:jc w:val="both"/>
                              <w:rPr>
                                <w:rFonts w:cs="Times New Roman"/>
                                <w:i/>
                                <w:sz w:val="20"/>
                                <w:szCs w:val="20"/>
                                <w:lang w:val="en-ID"/>
                              </w:rPr>
                            </w:pPr>
                            <w:r w:rsidRPr="00FE6F68">
                              <w:rPr>
                                <w:rFonts w:asciiTheme="minorHAnsi" w:hAnsiTheme="minorHAnsi" w:cstheme="minorHAnsi"/>
                                <w:i/>
                                <w:sz w:val="16"/>
                                <w:szCs w:val="16"/>
                                <w:lang w:val="en-ID"/>
                              </w:rPr>
                              <w:t>Firm Size</w:t>
                            </w:r>
                          </w:p>
                          <w:p w:rsidR="002165D7" w:rsidRPr="00473E95" w:rsidRDefault="002165D7" w:rsidP="002165D7">
                            <w:pPr>
                              <w:rPr>
                                <w:lang w:val="en-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29" style="position:absolute;left:0;text-align:left;margin-left:39.7pt;margin-top:8.1pt;width:141.7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" fillcolor="window" strokecolor="windowText" strokeweight="2.25pt">
                <v:path arrowok="t"/>
                <v:textbox>
                  <w:txbxContent>
                    <w:p w:rsidR="002165D7" w:rsidRPr="00FE6F68" w:rsidRDefault="002165D7" w:rsidP="002165D7">
                      <w:pPr>
                        <w:rPr>
                          <w:rFonts w:asciiTheme="minorHAnsi" w:hAnsiTheme="minorHAnsi" w:cstheme="minorHAnsi"/>
                          <w:b/>
                          <w:sz w:val="16"/>
                          <w:szCs w:val="16"/>
                          <w:lang w:val="en-ID"/>
                        </w:rPr>
                      </w:pPr>
                      <w:r w:rsidRPr="00FE6F68">
                        <w:rPr>
                          <w:rFonts w:asciiTheme="minorHAnsi" w:hAnsiTheme="minorHAnsi" w:cstheme="minorHAnsi"/>
                          <w:b/>
                          <w:sz w:val="16"/>
                          <w:szCs w:val="16"/>
                          <w:lang w:val="en-ID"/>
                        </w:rPr>
                        <w:t xml:space="preserve">Control </w:t>
                      </w:r>
                      <w:proofErr w:type="gramStart"/>
                      <w:r w:rsidRPr="00FE6F68">
                        <w:rPr>
                          <w:rFonts w:asciiTheme="minorHAnsi" w:hAnsiTheme="minorHAnsi" w:cstheme="minorHAnsi"/>
                          <w:b/>
                          <w:sz w:val="16"/>
                          <w:szCs w:val="16"/>
                          <w:lang w:val="en-ID"/>
                        </w:rPr>
                        <w:t>Variables :</w:t>
                      </w:r>
                      <w:proofErr w:type="gramEnd"/>
                    </w:p>
                    <w:p w:rsidR="002165D7" w:rsidRPr="00FE6F68" w:rsidRDefault="002165D7" w:rsidP="002165D7">
                      <w:pPr>
                        <w:pStyle w:val="ListParagraph"/>
                        <w:widowControl/>
                        <w:numPr>
                          <w:ilvl w:val="0"/>
                          <w:numId w:val="5"/>
                        </w:numPr>
                        <w:autoSpaceDE/>
                        <w:autoSpaceDN/>
                        <w:spacing w:after="200"/>
                        <w:ind w:left="284" w:hanging="284"/>
                        <w:contextualSpacing/>
                        <w:jc w:val="both"/>
                        <w:rPr>
                          <w:rFonts w:asciiTheme="minorHAnsi" w:hAnsiTheme="minorHAnsi" w:cstheme="minorHAnsi"/>
                          <w:i/>
                          <w:sz w:val="16"/>
                          <w:szCs w:val="16"/>
                          <w:lang w:val="en-ID"/>
                        </w:rPr>
                      </w:pPr>
                      <w:r w:rsidRPr="00FE6F68">
                        <w:rPr>
                          <w:rFonts w:asciiTheme="minorHAnsi" w:hAnsiTheme="minorHAnsi" w:cstheme="minorHAnsi"/>
                          <w:i/>
                          <w:sz w:val="16"/>
                          <w:szCs w:val="16"/>
                          <w:lang w:val="en-ID"/>
                        </w:rPr>
                        <w:t>Leverage</w:t>
                      </w:r>
                    </w:p>
                    <w:p w:rsidR="002165D7" w:rsidRPr="002F5765" w:rsidRDefault="002165D7" w:rsidP="002165D7">
                      <w:pPr>
                        <w:pStyle w:val="ListParagraph"/>
                        <w:widowControl/>
                        <w:numPr>
                          <w:ilvl w:val="0"/>
                          <w:numId w:val="5"/>
                        </w:numPr>
                        <w:autoSpaceDE/>
                        <w:autoSpaceDN/>
                        <w:spacing w:after="200"/>
                        <w:ind w:left="284" w:hanging="284"/>
                        <w:contextualSpacing/>
                        <w:jc w:val="both"/>
                        <w:rPr>
                          <w:rFonts w:cs="Times New Roman"/>
                          <w:i/>
                          <w:sz w:val="20"/>
                          <w:szCs w:val="20"/>
                          <w:lang w:val="en-ID"/>
                        </w:rPr>
                      </w:pPr>
                      <w:r w:rsidRPr="00FE6F68">
                        <w:rPr>
                          <w:rFonts w:asciiTheme="minorHAnsi" w:hAnsiTheme="minorHAnsi" w:cstheme="minorHAnsi"/>
                          <w:i/>
                          <w:sz w:val="16"/>
                          <w:szCs w:val="16"/>
                          <w:lang w:val="en-ID"/>
                        </w:rPr>
                        <w:t>Firm Size</w:t>
                      </w:r>
                    </w:p>
                    <w:p w:rsidR="002165D7" w:rsidRPr="00473E95" w:rsidRDefault="002165D7" w:rsidP="002165D7">
                      <w:pPr>
                        <w:rPr>
                          <w:lang w:val="en-ID"/>
                        </w:rPr>
                      </w:pPr>
                    </w:p>
                  </w:txbxContent>
                </v:textbox>
              </v:rect>
            </w:pict>
          </mc:Fallback>
        </mc:AlternateContent>
      </w:r>
      <w:r>
        <w:rPr>
          <w:noProof/>
          <w:lang w:bidi="ar-SA"/>
        </w:rPr>
        <mc:AlternateContent>
          <mc:Choice Requires="wps">
            <w:drawing>
              <wp:anchor distT="0" distB="0" distL="114300" distR="114300" simplePos="0" relativeHeight="251670528" behindDoc="0" locked="0" layoutInCell="1" allowOverlap="1">
                <wp:simplePos x="0" y="0"/>
                <wp:positionH relativeFrom="column">
                  <wp:posOffset>3290570</wp:posOffset>
                </wp:positionH>
                <wp:positionV relativeFrom="paragraph">
                  <wp:posOffset>245110</wp:posOffset>
                </wp:positionV>
                <wp:extent cx="283845" cy="0"/>
                <wp:effectExtent l="89535" t="31115" r="91440" b="184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a:off x="0" y="0"/>
                          <a:ext cx="283845" cy="0"/>
                        </a:xfrm>
                        <a:prstGeom prst="straightConnector1">
                          <a:avLst/>
                        </a:prstGeom>
                        <a:noFill/>
                        <a:ln w="28575">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259.1pt;margin-top:19.3pt;width:22.35pt;height:0;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" strokeweight="2.25pt">
                <v:stroke dashstyle="dash" endarrow="open"/>
                <o:lock v:ext="edit" shapetype="f"/>
              </v:shape>
            </w:pict>
          </mc:Fallback>
        </mc:AlternateContent>
      </w:r>
    </w:p>
    <w:p w:rsidR="002165D7" w:rsidRPr="00FA1E8B" w:rsidRDefault="002165D7" w:rsidP="002165D7">
      <w:pPr>
        <w:pStyle w:val="ListParagraph"/>
        <w:tabs>
          <w:tab w:val="left" w:pos="426"/>
        </w:tabs>
        <w:spacing w:line="360" w:lineRule="auto"/>
        <w:ind w:left="481" w:firstLine="0"/>
        <w:contextualSpacing/>
        <w:rPr>
          <w:rFonts w:ascii="Times New Roman" w:hAnsi="Times New Roman" w:cs="Times New Roman"/>
          <w:sz w:val="24"/>
          <w:szCs w:val="24"/>
          <w:lang w:val="en-ID"/>
        </w:rPr>
      </w:pPr>
      <w:r>
        <w:rPr>
          <w:noProof/>
          <w:lang w:bidi="ar-SA"/>
        </w:rPr>
        <mc:AlternateContent>
          <mc:Choice Requires="wps">
            <w:drawing>
              <wp:anchor distT="4294967294" distB="4294967294" distL="114300" distR="114300" simplePos="0" relativeHeight="251669504" behindDoc="0" locked="0" layoutInCell="1" allowOverlap="1">
                <wp:simplePos x="0" y="0"/>
                <wp:positionH relativeFrom="column">
                  <wp:posOffset>2437130</wp:posOffset>
                </wp:positionH>
                <wp:positionV relativeFrom="paragraph">
                  <wp:posOffset>123824</wp:posOffset>
                </wp:positionV>
                <wp:extent cx="995680" cy="0"/>
                <wp:effectExtent l="0" t="19050" r="1397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5680" cy="0"/>
                        </a:xfrm>
                        <a:prstGeom prst="line">
                          <a:avLst/>
                        </a:prstGeom>
                        <a:noFill/>
                        <a:ln w="38100" cap="flat" cmpd="sng" algn="ctr">
                          <a:solidFill>
                            <a:sysClr val="windowText" lastClr="000000">
                              <a:shade val="95000"/>
                              <a:satMod val="105000"/>
                            </a:sysClr>
                          </a:solidFill>
                          <a:prstDash val="sysDash"/>
                        </a:ln>
                        <a:effec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1.9pt,9.75pt" to="270.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" strokeweight="3pt">
                <v:stroke dashstyle="3 1"/>
                <o:lock v:ext="edit" shapetype="f"/>
              </v:line>
            </w:pict>
          </mc:Fallback>
        </mc:AlternateContent>
      </w:r>
    </w:p>
    <w:p w:rsidR="002165D7" w:rsidRPr="00FE6F68" w:rsidRDefault="002165D7" w:rsidP="002165D7">
      <w:pPr>
        <w:pStyle w:val="BodyText"/>
        <w:spacing w:before="70" w:line="256" w:lineRule="auto"/>
        <w:ind w:right="38"/>
        <w:jc w:val="center"/>
        <w:rPr>
          <w:rFonts w:cstheme="minorHAnsi"/>
          <w:sz w:val="16"/>
          <w:szCs w:val="16"/>
        </w:rPr>
      </w:pPr>
      <w:proofErr w:type="gramStart"/>
      <w:r w:rsidRPr="00FE6F68">
        <w:rPr>
          <w:rFonts w:cstheme="minorHAnsi"/>
          <w:sz w:val="16"/>
          <w:szCs w:val="16"/>
        </w:rPr>
        <w:t>Gambar 1.</w:t>
      </w:r>
      <w:proofErr w:type="gramEnd"/>
      <w:r w:rsidRPr="00FE6F68">
        <w:rPr>
          <w:rFonts w:cstheme="minorHAnsi"/>
          <w:sz w:val="16"/>
          <w:szCs w:val="16"/>
        </w:rPr>
        <w:t xml:space="preserve"> Rerangka Pemikiran</w:t>
      </w:r>
    </w:p>
    <w:p w:rsidR="002165D7" w:rsidRDefault="002165D7" w:rsidP="002165D7">
      <w:pPr>
        <w:pStyle w:val="BodyText"/>
        <w:spacing w:line="256" w:lineRule="auto"/>
        <w:ind w:right="38"/>
        <w:jc w:val="both"/>
        <w:rPr>
          <w:rFonts w:cstheme="minorHAnsi"/>
          <w:b/>
        </w:rPr>
        <w:sectPr w:rsidR="002165D7" w:rsidSect="002165D7">
          <w:type w:val="continuous"/>
          <w:pgSz w:w="12190" w:h="15880"/>
          <w:pgMar w:top="1040" w:right="1020" w:bottom="280" w:left="1020" w:header="720" w:footer="720" w:gutter="0"/>
          <w:cols w:space="720"/>
        </w:sectPr>
      </w:pPr>
    </w:p>
    <w:p w:rsidR="002165D7" w:rsidRDefault="002165D7" w:rsidP="002165D7">
      <w:pPr>
        <w:pStyle w:val="BodyText"/>
        <w:spacing w:line="256" w:lineRule="auto"/>
        <w:ind w:right="38"/>
        <w:jc w:val="both"/>
        <w:rPr>
          <w:rFonts w:cstheme="minorHAnsi"/>
          <w:b/>
        </w:rPr>
        <w:sectPr w:rsidR="002165D7" w:rsidSect="002165D7">
          <w:type w:val="continuous"/>
          <w:pgSz w:w="12190" w:h="15880"/>
          <w:pgMar w:top="1040" w:right="1020" w:bottom="280" w:left="1020" w:header="720" w:footer="720" w:gutter="0"/>
          <w:cols w:space="284"/>
        </w:sectPr>
      </w:pPr>
    </w:p>
    <w:p w:rsidR="002165D7" w:rsidRPr="003E37C5" w:rsidRDefault="002165D7" w:rsidP="002165D7">
      <w:pPr>
        <w:pStyle w:val="BodyText"/>
        <w:spacing w:line="256" w:lineRule="auto"/>
        <w:ind w:right="38"/>
        <w:jc w:val="both"/>
        <w:rPr>
          <w:rFonts w:cstheme="minorHAnsi"/>
          <w:b/>
        </w:rPr>
      </w:pPr>
      <w:r w:rsidRPr="003E37C5">
        <w:rPr>
          <w:rFonts w:cstheme="minorHAnsi"/>
          <w:b/>
        </w:rPr>
        <w:lastRenderedPageBreak/>
        <w:t>Hipotesis</w:t>
      </w:r>
    </w:p>
    <w:p w:rsidR="002165D7" w:rsidRPr="003E37C5" w:rsidRDefault="002165D7" w:rsidP="002165D7">
      <w:pPr>
        <w:pStyle w:val="BodyText"/>
        <w:spacing w:line="256" w:lineRule="auto"/>
        <w:ind w:right="38"/>
        <w:jc w:val="both"/>
        <w:rPr>
          <w:rFonts w:cstheme="minorHAnsi"/>
        </w:rPr>
      </w:pPr>
      <w:proofErr w:type="gramStart"/>
      <w:r w:rsidRPr="003E37C5">
        <w:rPr>
          <w:rFonts w:cstheme="minorHAnsi"/>
        </w:rPr>
        <w:t>H1 :</w:t>
      </w:r>
      <w:proofErr w:type="gramEnd"/>
      <w:r w:rsidRPr="003E37C5">
        <w:rPr>
          <w:rFonts w:cstheme="minorHAnsi"/>
        </w:rPr>
        <w:t xml:space="preserve"> Kepemilikan Manajerial berpengaruh signifikan terhadap kualitas laba</w:t>
      </w:r>
    </w:p>
    <w:p w:rsidR="002165D7" w:rsidRPr="003E37C5" w:rsidRDefault="002165D7" w:rsidP="002165D7">
      <w:pPr>
        <w:pStyle w:val="BodyText"/>
        <w:spacing w:line="256" w:lineRule="auto"/>
        <w:ind w:right="38"/>
        <w:jc w:val="both"/>
        <w:rPr>
          <w:rFonts w:cstheme="minorHAnsi"/>
        </w:rPr>
      </w:pPr>
      <w:proofErr w:type="gramStart"/>
      <w:r w:rsidRPr="003E37C5">
        <w:rPr>
          <w:rFonts w:cstheme="minorHAnsi"/>
        </w:rPr>
        <w:t>H2 :</w:t>
      </w:r>
      <w:proofErr w:type="gramEnd"/>
      <w:r w:rsidRPr="003E37C5">
        <w:rPr>
          <w:rFonts w:cstheme="minorHAnsi"/>
        </w:rPr>
        <w:t xml:space="preserve"> Kepemilikan Institusional berpengaruh signifikan terhadap Kualitas Laba</w:t>
      </w:r>
    </w:p>
    <w:p w:rsidR="002165D7" w:rsidRPr="003E37C5" w:rsidRDefault="002165D7" w:rsidP="002165D7">
      <w:pPr>
        <w:pStyle w:val="BodyText"/>
        <w:spacing w:line="256" w:lineRule="auto"/>
        <w:ind w:right="38"/>
        <w:jc w:val="both"/>
        <w:rPr>
          <w:rFonts w:cstheme="minorHAnsi"/>
        </w:rPr>
      </w:pPr>
      <w:proofErr w:type="gramStart"/>
      <w:r w:rsidRPr="003E37C5">
        <w:rPr>
          <w:rFonts w:cstheme="minorHAnsi"/>
        </w:rPr>
        <w:t>H3 :</w:t>
      </w:r>
      <w:proofErr w:type="gramEnd"/>
      <w:r w:rsidRPr="003E37C5">
        <w:rPr>
          <w:rFonts w:cstheme="minorHAnsi"/>
        </w:rPr>
        <w:t xml:space="preserve"> Dewan Komisaris Independen berpengaruh signifikan terhadap Kualitas Laba</w:t>
      </w:r>
    </w:p>
    <w:p w:rsidR="002165D7" w:rsidRPr="003E37C5" w:rsidRDefault="002165D7" w:rsidP="002165D7">
      <w:pPr>
        <w:pStyle w:val="BodyText"/>
        <w:spacing w:line="256" w:lineRule="auto"/>
        <w:ind w:right="38"/>
        <w:jc w:val="both"/>
        <w:rPr>
          <w:rFonts w:cstheme="minorHAnsi"/>
        </w:rPr>
      </w:pPr>
      <w:proofErr w:type="gramStart"/>
      <w:r w:rsidRPr="003E37C5">
        <w:rPr>
          <w:rFonts w:cstheme="minorHAnsi"/>
        </w:rPr>
        <w:t>H4 :</w:t>
      </w:r>
      <w:proofErr w:type="gramEnd"/>
      <w:r w:rsidRPr="003E37C5">
        <w:rPr>
          <w:rFonts w:cstheme="minorHAnsi"/>
        </w:rPr>
        <w:t xml:space="preserve"> Komite Audit berpengaruh signifikan terhadap Kualitas Laba</w:t>
      </w:r>
    </w:p>
    <w:p w:rsidR="002165D7" w:rsidRPr="003E37C5" w:rsidRDefault="002165D7" w:rsidP="002165D7">
      <w:pPr>
        <w:pStyle w:val="BodyText"/>
        <w:spacing w:line="256" w:lineRule="auto"/>
        <w:ind w:right="38"/>
        <w:jc w:val="both"/>
        <w:rPr>
          <w:rFonts w:cstheme="minorHAnsi"/>
        </w:rPr>
      </w:pPr>
      <w:proofErr w:type="gramStart"/>
      <w:r w:rsidRPr="003E37C5">
        <w:rPr>
          <w:rFonts w:cstheme="minorHAnsi"/>
        </w:rPr>
        <w:t>H5 :</w:t>
      </w:r>
      <w:proofErr w:type="gramEnd"/>
      <w:r w:rsidRPr="003E37C5">
        <w:rPr>
          <w:rFonts w:cstheme="minorHAnsi"/>
        </w:rPr>
        <w:t xml:space="preserve"> Pengungkapan</w:t>
      </w:r>
      <w:r>
        <w:rPr>
          <w:rFonts w:cstheme="minorHAnsi"/>
        </w:rPr>
        <w:t xml:space="preserve"> CSR</w:t>
      </w:r>
      <w:r w:rsidRPr="003E37C5">
        <w:rPr>
          <w:rFonts w:cstheme="minorHAnsi"/>
        </w:rPr>
        <w:t xml:space="preserve"> berpengaruh signifikan terhadap Kualitas Laba</w:t>
      </w:r>
    </w:p>
    <w:p w:rsidR="002165D7" w:rsidRDefault="002165D7" w:rsidP="002165D7">
      <w:pPr>
        <w:pStyle w:val="BodyText"/>
        <w:spacing w:line="256" w:lineRule="auto"/>
        <w:ind w:right="38"/>
        <w:jc w:val="both"/>
        <w:rPr>
          <w:rFonts w:cstheme="minorHAnsi"/>
        </w:rPr>
      </w:pPr>
      <w:proofErr w:type="gramStart"/>
      <w:r w:rsidRPr="003E37C5">
        <w:rPr>
          <w:rFonts w:cstheme="minorHAnsi"/>
        </w:rPr>
        <w:t>H6 :</w:t>
      </w:r>
      <w:proofErr w:type="gramEnd"/>
      <w:r w:rsidRPr="003E37C5">
        <w:rPr>
          <w:rFonts w:cstheme="minorHAnsi"/>
        </w:rPr>
        <w:t xml:space="preserve"> Kualitas Laba berpengaruh signifikan terhadap </w:t>
      </w:r>
      <w:r w:rsidRPr="00FE6F68">
        <w:rPr>
          <w:rFonts w:cstheme="minorHAnsi"/>
          <w:i/>
        </w:rPr>
        <w:t>Return</w:t>
      </w:r>
      <w:r w:rsidRPr="003E37C5">
        <w:rPr>
          <w:rFonts w:cstheme="minorHAnsi"/>
        </w:rPr>
        <w:t xml:space="preserve"> Saham</w:t>
      </w:r>
    </w:p>
    <w:p w:rsidR="002165D7" w:rsidRDefault="002165D7" w:rsidP="002165D7">
      <w:pPr>
        <w:pStyle w:val="BodyText"/>
        <w:ind w:right="38"/>
        <w:jc w:val="both"/>
        <w:rPr>
          <w:rFonts w:asciiTheme="minorHAnsi" w:hAnsiTheme="minorHAnsi" w:cstheme="minorHAnsi"/>
          <w:b/>
          <w:sz w:val="24"/>
          <w:szCs w:val="24"/>
        </w:rPr>
      </w:pPr>
    </w:p>
    <w:p w:rsidR="002165D7" w:rsidRPr="003E37C5" w:rsidRDefault="002165D7" w:rsidP="002165D7">
      <w:pPr>
        <w:pStyle w:val="BodyText"/>
        <w:spacing w:line="256" w:lineRule="auto"/>
        <w:ind w:right="38"/>
        <w:jc w:val="both"/>
        <w:rPr>
          <w:rFonts w:asciiTheme="minorHAnsi" w:hAnsiTheme="minorHAnsi" w:cstheme="minorHAnsi"/>
          <w:b/>
          <w:sz w:val="24"/>
          <w:szCs w:val="24"/>
        </w:rPr>
      </w:pPr>
      <w:r w:rsidRPr="003E37C5">
        <w:rPr>
          <w:rFonts w:asciiTheme="minorHAnsi" w:hAnsiTheme="minorHAnsi" w:cstheme="minorHAnsi"/>
          <w:b/>
          <w:sz w:val="24"/>
          <w:szCs w:val="24"/>
        </w:rPr>
        <w:t>4.  Metode</w:t>
      </w:r>
      <w:r>
        <w:rPr>
          <w:rFonts w:asciiTheme="minorHAnsi" w:hAnsiTheme="minorHAnsi" w:cstheme="minorHAnsi"/>
          <w:b/>
          <w:sz w:val="24"/>
          <w:szCs w:val="24"/>
        </w:rPr>
        <w:t xml:space="preserve"> </w:t>
      </w:r>
    </w:p>
    <w:p w:rsidR="002165D7" w:rsidRPr="003E37C5" w:rsidRDefault="002165D7" w:rsidP="002165D7">
      <w:pPr>
        <w:pStyle w:val="BodyText"/>
        <w:spacing w:line="256" w:lineRule="auto"/>
        <w:ind w:right="38"/>
        <w:jc w:val="both"/>
        <w:rPr>
          <w:rFonts w:cstheme="minorHAnsi"/>
          <w:b/>
        </w:rPr>
      </w:pPr>
      <w:r w:rsidRPr="003E37C5">
        <w:rPr>
          <w:rFonts w:cstheme="minorHAnsi"/>
          <w:b/>
        </w:rPr>
        <w:lastRenderedPageBreak/>
        <w:t>Desain Penelitian, Populasi dan Sampel</w:t>
      </w:r>
    </w:p>
    <w:p w:rsidR="002165D7" w:rsidRPr="00513DA7" w:rsidRDefault="002165D7" w:rsidP="002165D7">
      <w:pPr>
        <w:pStyle w:val="BodyText"/>
        <w:spacing w:line="256" w:lineRule="auto"/>
        <w:ind w:right="38"/>
        <w:jc w:val="both"/>
        <w:rPr>
          <w:rFonts w:cstheme="minorHAnsi"/>
        </w:rPr>
        <w:sectPr w:rsidR="002165D7" w:rsidRPr="00513DA7" w:rsidSect="002165D7">
          <w:type w:val="continuous"/>
          <w:pgSz w:w="12190" w:h="15880"/>
          <w:pgMar w:top="1040" w:right="1020" w:bottom="280" w:left="1020" w:header="720" w:footer="720" w:gutter="0"/>
          <w:cols w:num="2" w:space="284"/>
        </w:sectPr>
      </w:pPr>
      <w:r w:rsidRPr="003E37C5">
        <w:rPr>
          <w:rFonts w:cstheme="minorHAnsi"/>
        </w:rPr>
        <w:t xml:space="preserve">Metode penelitian </w:t>
      </w:r>
      <w:r>
        <w:rPr>
          <w:rFonts w:cstheme="minorHAnsi"/>
        </w:rPr>
        <w:t xml:space="preserve">yang </w:t>
      </w:r>
      <w:proofErr w:type="gramStart"/>
      <w:r>
        <w:rPr>
          <w:rFonts w:cstheme="minorHAnsi"/>
        </w:rPr>
        <w:t xml:space="preserve">digunakan </w:t>
      </w:r>
      <w:r w:rsidRPr="003E37C5">
        <w:rPr>
          <w:rFonts w:cstheme="minorHAnsi"/>
        </w:rPr>
        <w:t xml:space="preserve"> adalah</w:t>
      </w:r>
      <w:proofErr w:type="gramEnd"/>
      <w:r w:rsidRPr="003E37C5">
        <w:rPr>
          <w:rFonts w:cstheme="minorHAnsi"/>
        </w:rPr>
        <w:t xml:space="preserve"> penelitian kuantitatif. Penelitian ini dirancang sebagai penelitian konfirmatori dengan tujuan untuk memverifikasi hipotesis mengenai pengaruh variabel </w:t>
      </w:r>
      <w:proofErr w:type="gramStart"/>
      <w:r w:rsidRPr="003E37C5">
        <w:rPr>
          <w:rFonts w:cstheme="minorHAnsi"/>
        </w:rPr>
        <w:t>independen  terhadap</w:t>
      </w:r>
      <w:proofErr w:type="gramEnd"/>
      <w:r w:rsidRPr="003E37C5">
        <w:rPr>
          <w:rFonts w:cstheme="minorHAnsi"/>
        </w:rPr>
        <w:t xml:space="preserve"> variabel dependen. Populasi adalah perusahaan sektor pertambangan yang terdaftar di</w:t>
      </w:r>
      <w:r>
        <w:rPr>
          <w:rFonts w:cstheme="minorHAnsi"/>
        </w:rPr>
        <w:t xml:space="preserve"> </w:t>
      </w:r>
      <w:r w:rsidRPr="003E37C5">
        <w:rPr>
          <w:rFonts w:cstheme="minorHAnsi"/>
        </w:rPr>
        <w:t>Bursa Efek Indonesia periode tahun 2014-2018 dengan kriteria yaitu (a) perusahaan yang menerbitkan dan mempublikasi laporan keuangan berturut-turut dari periode 2014-2018 (b) perusahaan yang mengungkapan laporan CSR periode 2014-2018. Jumlah sampel perusahaan yang d</w:t>
      </w:r>
      <w:r>
        <w:rPr>
          <w:rFonts w:cstheme="minorHAnsi"/>
        </w:rPr>
        <w:t>iobservasi adalah 30 perusahaan</w:t>
      </w:r>
    </w:p>
    <w:p w:rsidR="002165D7" w:rsidRPr="003E37C5" w:rsidRDefault="002165D7" w:rsidP="002165D7">
      <w:pPr>
        <w:pStyle w:val="BodyText"/>
        <w:spacing w:before="70" w:line="256" w:lineRule="auto"/>
        <w:ind w:right="38"/>
        <w:jc w:val="both"/>
        <w:rPr>
          <w:rFonts w:asciiTheme="minorHAnsi" w:hAnsiTheme="minorHAnsi" w:cstheme="minorHAnsi"/>
          <w:b/>
        </w:rPr>
      </w:pPr>
      <w:proofErr w:type="gramStart"/>
      <w:r w:rsidRPr="003E37C5">
        <w:rPr>
          <w:rFonts w:asciiTheme="minorHAnsi" w:hAnsiTheme="minorHAnsi" w:cstheme="minorHAnsi"/>
          <w:b/>
        </w:rPr>
        <w:lastRenderedPageBreak/>
        <w:t>Tabel 1</w:t>
      </w:r>
      <w:r>
        <w:rPr>
          <w:rFonts w:asciiTheme="minorHAnsi" w:hAnsiTheme="minorHAnsi" w:cstheme="minorHAnsi"/>
          <w:b/>
        </w:rPr>
        <w:t>.</w:t>
      </w:r>
      <w:proofErr w:type="gramEnd"/>
      <w:r w:rsidRPr="003E37C5">
        <w:rPr>
          <w:rFonts w:asciiTheme="minorHAnsi" w:hAnsiTheme="minorHAnsi" w:cstheme="minorHAnsi"/>
          <w:b/>
        </w:rPr>
        <w:t xml:space="preserve"> Daftar Operasionalisasi Variabel Penelitian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34"/>
        <w:gridCol w:w="2443"/>
        <w:gridCol w:w="2977"/>
        <w:gridCol w:w="1843"/>
      </w:tblGrid>
      <w:tr w:rsidR="002165D7" w:rsidRPr="0023086C" w:rsidTr="002165D7">
        <w:trPr>
          <w:trHeight w:val="326"/>
        </w:trPr>
        <w:tc>
          <w:tcPr>
            <w:tcW w:w="426" w:type="dxa"/>
            <w:shd w:val="clear" w:color="auto" w:fill="auto"/>
          </w:tcPr>
          <w:p w:rsidR="002165D7" w:rsidRPr="0023086C" w:rsidRDefault="002165D7" w:rsidP="002165D7">
            <w:pPr>
              <w:tabs>
                <w:tab w:val="left" w:pos="426"/>
              </w:tabs>
              <w:jc w:val="center"/>
              <w:rPr>
                <w:rFonts w:asciiTheme="majorHAnsi" w:eastAsia="Calibri" w:hAnsiTheme="majorHAnsi"/>
                <w:b/>
                <w:sz w:val="18"/>
                <w:szCs w:val="18"/>
                <w:lang w:val="en-ID"/>
              </w:rPr>
            </w:pPr>
            <w:r w:rsidRPr="0023086C">
              <w:rPr>
                <w:rFonts w:asciiTheme="majorHAnsi" w:eastAsia="Calibri" w:hAnsiTheme="majorHAnsi"/>
                <w:b/>
                <w:sz w:val="18"/>
                <w:szCs w:val="18"/>
                <w:lang w:val="en-ID"/>
              </w:rPr>
              <w:t>No</w:t>
            </w:r>
          </w:p>
        </w:tc>
        <w:tc>
          <w:tcPr>
            <w:tcW w:w="2234" w:type="dxa"/>
            <w:shd w:val="clear" w:color="auto" w:fill="auto"/>
          </w:tcPr>
          <w:p w:rsidR="002165D7" w:rsidRPr="0023086C" w:rsidRDefault="002165D7" w:rsidP="002165D7">
            <w:pPr>
              <w:tabs>
                <w:tab w:val="left" w:pos="426"/>
              </w:tabs>
              <w:jc w:val="center"/>
              <w:rPr>
                <w:rFonts w:asciiTheme="majorHAnsi" w:eastAsia="Calibri" w:hAnsiTheme="majorHAnsi"/>
                <w:b/>
                <w:sz w:val="18"/>
                <w:szCs w:val="18"/>
                <w:lang w:val="en-ID"/>
              </w:rPr>
            </w:pPr>
            <w:r w:rsidRPr="0023086C">
              <w:rPr>
                <w:rFonts w:asciiTheme="majorHAnsi" w:eastAsia="Calibri" w:hAnsiTheme="majorHAnsi"/>
                <w:b/>
                <w:sz w:val="18"/>
                <w:szCs w:val="18"/>
                <w:lang w:val="en-ID"/>
              </w:rPr>
              <w:t>Variabel</w:t>
            </w:r>
          </w:p>
        </w:tc>
        <w:tc>
          <w:tcPr>
            <w:tcW w:w="2443" w:type="dxa"/>
            <w:shd w:val="clear" w:color="auto" w:fill="auto"/>
          </w:tcPr>
          <w:p w:rsidR="002165D7" w:rsidRPr="0023086C" w:rsidRDefault="002165D7" w:rsidP="002165D7">
            <w:pPr>
              <w:tabs>
                <w:tab w:val="left" w:pos="426"/>
              </w:tabs>
              <w:jc w:val="center"/>
              <w:rPr>
                <w:rFonts w:asciiTheme="majorHAnsi" w:eastAsia="Calibri" w:hAnsiTheme="majorHAnsi"/>
                <w:b/>
                <w:sz w:val="18"/>
                <w:szCs w:val="18"/>
                <w:lang w:val="en-ID"/>
              </w:rPr>
            </w:pPr>
            <w:r w:rsidRPr="0023086C">
              <w:rPr>
                <w:rFonts w:asciiTheme="majorHAnsi" w:eastAsia="Calibri" w:hAnsiTheme="majorHAnsi"/>
                <w:b/>
                <w:sz w:val="18"/>
                <w:szCs w:val="18"/>
                <w:lang w:val="en-ID"/>
              </w:rPr>
              <w:t>Dimensi</w:t>
            </w:r>
          </w:p>
        </w:tc>
        <w:tc>
          <w:tcPr>
            <w:tcW w:w="2977" w:type="dxa"/>
            <w:shd w:val="clear" w:color="auto" w:fill="auto"/>
          </w:tcPr>
          <w:p w:rsidR="002165D7" w:rsidRPr="0023086C" w:rsidRDefault="002165D7" w:rsidP="002165D7">
            <w:pPr>
              <w:tabs>
                <w:tab w:val="left" w:pos="426"/>
              </w:tabs>
              <w:jc w:val="center"/>
              <w:rPr>
                <w:rFonts w:asciiTheme="majorHAnsi" w:eastAsia="Calibri" w:hAnsiTheme="majorHAnsi"/>
                <w:b/>
                <w:sz w:val="18"/>
                <w:szCs w:val="18"/>
                <w:lang w:val="en-ID"/>
              </w:rPr>
            </w:pPr>
            <w:r w:rsidRPr="0023086C">
              <w:rPr>
                <w:rFonts w:asciiTheme="majorHAnsi" w:eastAsia="Calibri" w:hAnsiTheme="majorHAnsi"/>
                <w:b/>
                <w:sz w:val="18"/>
                <w:szCs w:val="18"/>
                <w:lang w:val="en-ID"/>
              </w:rPr>
              <w:t>Indikator</w:t>
            </w:r>
          </w:p>
        </w:tc>
        <w:tc>
          <w:tcPr>
            <w:tcW w:w="1843" w:type="dxa"/>
            <w:shd w:val="clear" w:color="auto" w:fill="auto"/>
          </w:tcPr>
          <w:p w:rsidR="002165D7" w:rsidRPr="0023086C" w:rsidRDefault="002165D7" w:rsidP="002165D7">
            <w:pPr>
              <w:tabs>
                <w:tab w:val="left" w:pos="426"/>
              </w:tabs>
              <w:jc w:val="center"/>
              <w:rPr>
                <w:rFonts w:asciiTheme="majorHAnsi" w:eastAsia="Calibri" w:hAnsiTheme="majorHAnsi"/>
                <w:b/>
                <w:sz w:val="18"/>
                <w:szCs w:val="18"/>
                <w:lang w:val="en-ID"/>
              </w:rPr>
            </w:pPr>
            <w:r w:rsidRPr="0023086C">
              <w:rPr>
                <w:rFonts w:asciiTheme="majorHAnsi" w:eastAsia="Calibri" w:hAnsiTheme="majorHAnsi"/>
                <w:b/>
                <w:sz w:val="18"/>
                <w:szCs w:val="18"/>
                <w:lang w:val="en-ID"/>
              </w:rPr>
              <w:t>Skala Pengukuran</w:t>
            </w:r>
          </w:p>
        </w:tc>
      </w:tr>
      <w:tr w:rsidR="002165D7" w:rsidRPr="0023086C" w:rsidTr="002165D7">
        <w:tc>
          <w:tcPr>
            <w:tcW w:w="426" w:type="dxa"/>
            <w:vMerge w:val="restart"/>
            <w:shd w:val="clear" w:color="auto" w:fill="auto"/>
          </w:tcPr>
          <w:p w:rsidR="002165D7" w:rsidRPr="0023086C" w:rsidRDefault="002165D7" w:rsidP="002165D7">
            <w:pPr>
              <w:tabs>
                <w:tab w:val="left" w:pos="426"/>
              </w:tabs>
              <w:jc w:val="both"/>
              <w:rPr>
                <w:rFonts w:asciiTheme="majorHAnsi" w:eastAsia="Calibri" w:hAnsiTheme="majorHAnsi"/>
                <w:sz w:val="18"/>
                <w:szCs w:val="18"/>
                <w:lang w:val="en-ID"/>
              </w:rPr>
            </w:pPr>
            <w:r w:rsidRPr="0023086C">
              <w:rPr>
                <w:rFonts w:asciiTheme="majorHAnsi" w:eastAsia="Calibri" w:hAnsiTheme="majorHAnsi"/>
                <w:sz w:val="18"/>
                <w:szCs w:val="18"/>
                <w:lang w:val="en-ID"/>
              </w:rPr>
              <w:t>1</w:t>
            </w:r>
          </w:p>
        </w:tc>
        <w:tc>
          <w:tcPr>
            <w:tcW w:w="2234" w:type="dxa"/>
            <w:vMerge w:val="restart"/>
            <w:shd w:val="clear" w:color="auto" w:fill="auto"/>
          </w:tcPr>
          <w:p w:rsidR="002165D7" w:rsidRPr="0023086C" w:rsidRDefault="002165D7" w:rsidP="002165D7">
            <w:pPr>
              <w:tabs>
                <w:tab w:val="left" w:pos="426"/>
              </w:tabs>
              <w:jc w:val="both"/>
              <w:rPr>
                <w:rFonts w:asciiTheme="majorHAnsi" w:eastAsia="Calibri" w:hAnsiTheme="majorHAnsi"/>
                <w:sz w:val="18"/>
                <w:szCs w:val="18"/>
                <w:lang w:val="en-ID"/>
              </w:rPr>
            </w:pPr>
            <w:r w:rsidRPr="0023086C">
              <w:rPr>
                <w:rFonts w:asciiTheme="majorHAnsi" w:eastAsia="Calibri" w:hAnsiTheme="majorHAnsi"/>
                <w:sz w:val="18"/>
                <w:szCs w:val="18"/>
                <w:lang w:val="en-ID"/>
              </w:rPr>
              <w:t xml:space="preserve">Mekanisme </w:t>
            </w:r>
            <w:r w:rsidRPr="005620FA">
              <w:rPr>
                <w:rFonts w:asciiTheme="majorHAnsi" w:eastAsia="Calibri" w:hAnsiTheme="majorHAnsi"/>
                <w:i/>
                <w:sz w:val="18"/>
                <w:szCs w:val="18"/>
                <w:lang w:val="en-ID"/>
              </w:rPr>
              <w:t xml:space="preserve">Good Corporate Governance </w:t>
            </w:r>
          </w:p>
          <w:p w:rsidR="002165D7" w:rsidRPr="0023086C" w:rsidRDefault="002165D7" w:rsidP="002165D7">
            <w:pPr>
              <w:tabs>
                <w:tab w:val="left" w:pos="426"/>
              </w:tabs>
              <w:jc w:val="both"/>
              <w:rPr>
                <w:rFonts w:asciiTheme="majorHAnsi" w:eastAsia="Calibri" w:hAnsiTheme="majorHAnsi"/>
                <w:sz w:val="18"/>
                <w:szCs w:val="18"/>
                <w:lang w:val="en-ID"/>
              </w:rPr>
            </w:pPr>
          </w:p>
          <w:p w:rsidR="002165D7" w:rsidRPr="0023086C" w:rsidRDefault="002165D7" w:rsidP="002165D7">
            <w:pPr>
              <w:tabs>
                <w:tab w:val="left" w:pos="426"/>
              </w:tabs>
              <w:jc w:val="both"/>
              <w:rPr>
                <w:rFonts w:asciiTheme="majorHAnsi" w:eastAsia="Times New Roman" w:hAnsiTheme="majorHAnsi"/>
                <w:sz w:val="18"/>
                <w:szCs w:val="18"/>
                <w:lang w:val="en-ID"/>
              </w:rPr>
            </w:pPr>
            <w:r w:rsidRPr="0023086C">
              <w:rPr>
                <w:rFonts w:asciiTheme="majorHAnsi" w:eastAsia="Times New Roman" w:hAnsiTheme="majorHAnsi"/>
                <w:sz w:val="18"/>
                <w:szCs w:val="18"/>
                <w:lang w:val="en-ID"/>
              </w:rPr>
              <w:fldChar w:fldCharType="begin" w:fldLock="1"/>
            </w:r>
            <w:r>
              <w:rPr>
                <w:rFonts w:asciiTheme="majorHAnsi" w:eastAsia="Times New Roman" w:hAnsiTheme="majorHAnsi"/>
                <w:sz w:val="18"/>
                <w:szCs w:val="18"/>
                <w:lang w:val="en-ID"/>
              </w:rPr>
              <w:instrText>ADDIN CSL_CITATION {"citationItems":[{"id":"ITEM-1","itemData":{"author":[{"dropping-particle":"","family":"Nuryana","given":"Yayan","non-dropping-particle":"","parse-names":false,"suffix":""},{"dropping-particle":"","family":"Surjandari","given":"Dwi Asih","non-dropping-particle":"","parse-names":false,"suffix":""}],"container-title":"Global Journal Of Management and Businessn Research","id":"ITEM-1","issue":"1","issued":{"date-parts":[["2019"]]},"page":"26-39","title":"The Effect Of Goood Corporate Governance Mechanism, and Earning Management on Company Financial Performance","type":"article-journal","volume":"19"},"uris":["http://www.mendeley.com/documents/?uuid=3f2bb37c-f06b-45dd-92a1-23cd104953b4"]}],"mendeley":{"formattedCitation":"(Nuryana &amp; Surjandari, 2019)","plainTextFormattedCitation":"(Nuryana &amp; Surjandari, 2019)","previouslyFormattedCitation":"(Nuryana &amp; Surjandari, 2019)"},"properties":{"noteIndex":0},"schema":"https://github.com/citation-style-language/schema/raw/master/csl-citation.json"}</w:instrText>
            </w:r>
            <w:r w:rsidRPr="0023086C">
              <w:rPr>
                <w:rFonts w:asciiTheme="majorHAnsi" w:eastAsia="Times New Roman" w:hAnsiTheme="majorHAnsi"/>
                <w:sz w:val="18"/>
                <w:szCs w:val="18"/>
                <w:lang w:val="en-ID"/>
              </w:rPr>
              <w:fldChar w:fldCharType="separate"/>
            </w:r>
            <w:r w:rsidRPr="002E6060">
              <w:rPr>
                <w:rFonts w:asciiTheme="majorHAnsi" w:eastAsia="Times New Roman" w:hAnsiTheme="majorHAnsi"/>
                <w:noProof/>
                <w:sz w:val="18"/>
                <w:szCs w:val="18"/>
                <w:lang w:val="en-ID"/>
              </w:rPr>
              <w:t>(Nuryana &amp; Surjandari, 2019)</w:t>
            </w:r>
            <w:r w:rsidRPr="0023086C">
              <w:rPr>
                <w:rFonts w:asciiTheme="majorHAnsi" w:eastAsia="Times New Roman" w:hAnsiTheme="majorHAnsi"/>
                <w:sz w:val="18"/>
                <w:szCs w:val="18"/>
                <w:lang w:val="en-ID"/>
              </w:rPr>
              <w:fldChar w:fldCharType="end"/>
            </w:r>
          </w:p>
          <w:p w:rsidR="002165D7" w:rsidRPr="0023086C" w:rsidRDefault="002165D7" w:rsidP="002165D7">
            <w:pPr>
              <w:tabs>
                <w:tab w:val="left" w:pos="426"/>
              </w:tabs>
              <w:jc w:val="both"/>
              <w:rPr>
                <w:rFonts w:asciiTheme="majorHAnsi" w:eastAsia="Times New Roman" w:hAnsiTheme="majorHAnsi"/>
                <w:sz w:val="18"/>
                <w:szCs w:val="18"/>
                <w:lang w:val="en-ID"/>
              </w:rPr>
            </w:pPr>
          </w:p>
          <w:p w:rsidR="002165D7" w:rsidRPr="0023086C" w:rsidRDefault="002165D7" w:rsidP="002165D7">
            <w:pPr>
              <w:tabs>
                <w:tab w:val="left" w:pos="426"/>
              </w:tabs>
              <w:jc w:val="both"/>
              <w:rPr>
                <w:rFonts w:asciiTheme="majorHAnsi" w:eastAsia="Calibri" w:hAnsiTheme="majorHAnsi"/>
                <w:sz w:val="18"/>
                <w:szCs w:val="18"/>
                <w:lang w:val="en-ID"/>
              </w:rPr>
            </w:pPr>
          </w:p>
        </w:tc>
        <w:tc>
          <w:tcPr>
            <w:tcW w:w="2443" w:type="dxa"/>
            <w:shd w:val="clear" w:color="auto" w:fill="auto"/>
          </w:tcPr>
          <w:p w:rsidR="002165D7" w:rsidRPr="0023086C" w:rsidRDefault="002165D7" w:rsidP="002165D7">
            <w:pPr>
              <w:tabs>
                <w:tab w:val="left" w:pos="426"/>
              </w:tabs>
              <w:jc w:val="both"/>
              <w:rPr>
                <w:rFonts w:asciiTheme="majorHAnsi" w:eastAsia="Calibri" w:hAnsiTheme="majorHAnsi"/>
                <w:sz w:val="18"/>
                <w:szCs w:val="18"/>
                <w:lang w:val="en-ID"/>
              </w:rPr>
            </w:pPr>
            <w:r w:rsidRPr="0023086C">
              <w:rPr>
                <w:rFonts w:asciiTheme="majorHAnsi" w:eastAsia="Calibri" w:hAnsiTheme="majorHAnsi"/>
                <w:sz w:val="18"/>
                <w:szCs w:val="18"/>
                <w:lang w:val="en-ID"/>
              </w:rPr>
              <w:t>Kepemilikan Manajerial</w:t>
            </w:r>
          </w:p>
          <w:p w:rsidR="002165D7" w:rsidRPr="0023086C" w:rsidRDefault="002165D7" w:rsidP="002165D7">
            <w:pPr>
              <w:tabs>
                <w:tab w:val="left" w:pos="426"/>
              </w:tabs>
              <w:jc w:val="both"/>
              <w:rPr>
                <w:rFonts w:asciiTheme="majorHAnsi" w:eastAsia="Times New Roman" w:hAnsiTheme="majorHAnsi"/>
                <w:sz w:val="18"/>
                <w:szCs w:val="18"/>
                <w:lang w:val="en-ID"/>
              </w:rPr>
            </w:pPr>
          </w:p>
        </w:tc>
        <w:tc>
          <w:tcPr>
            <w:tcW w:w="2977" w:type="dxa"/>
            <w:shd w:val="clear" w:color="auto" w:fill="auto"/>
          </w:tcPr>
          <w:p w:rsidR="002165D7" w:rsidRPr="0023086C" w:rsidRDefault="002165D7" w:rsidP="002165D7">
            <w:pPr>
              <w:tabs>
                <w:tab w:val="left" w:pos="426"/>
              </w:tabs>
              <w:jc w:val="both"/>
              <w:rPr>
                <w:rFonts w:asciiTheme="majorHAnsi" w:eastAsia="Times New Roman" w:hAnsiTheme="majorHAnsi"/>
                <w:sz w:val="18"/>
                <w:szCs w:val="18"/>
                <w:lang w:val="en-ID"/>
              </w:rPr>
            </w:pPr>
            <w:r w:rsidRPr="0023086C">
              <w:rPr>
                <w:rFonts w:asciiTheme="majorHAnsi" w:eastAsia="Times New Roman" w:hAnsiTheme="majorHAnsi"/>
                <w:sz w:val="18"/>
                <w:szCs w:val="18"/>
                <w:lang w:val="en-ID"/>
              </w:rPr>
              <w:t>Kepemilikan Manajerial =</w:t>
            </w:r>
          </w:p>
          <w:p w:rsidR="002165D7" w:rsidRPr="0023086C" w:rsidRDefault="002165D7" w:rsidP="002165D7">
            <w:pPr>
              <w:tabs>
                <w:tab w:val="left" w:pos="426"/>
              </w:tabs>
              <w:jc w:val="both"/>
              <w:rPr>
                <w:rFonts w:asciiTheme="majorHAnsi" w:eastAsia="Times New Roman" w:hAnsiTheme="majorHAnsi"/>
                <w:sz w:val="18"/>
                <w:szCs w:val="18"/>
                <w:lang w:val="en-ID"/>
              </w:rPr>
            </w:pPr>
            <w:r w:rsidRPr="0023086C">
              <w:rPr>
                <w:rFonts w:asciiTheme="majorHAnsi" w:eastAsia="Times New Roman" w:hAnsiTheme="majorHAnsi"/>
                <w:sz w:val="18"/>
                <w:szCs w:val="18"/>
                <w:lang w:val="en-ID"/>
              </w:rPr>
              <w:t xml:space="preserve"> </w:t>
            </w:r>
            <m:oMath>
              <m:f>
                <m:fPr>
                  <m:ctrlPr>
                    <w:rPr>
                      <w:rFonts w:ascii="Cambria Math" w:eastAsia="Calibri" w:hAnsi="Cambria Math"/>
                      <w:sz w:val="18"/>
                      <w:szCs w:val="18"/>
                      <w:lang w:val="en-ID"/>
                    </w:rPr>
                  </m:ctrlPr>
                </m:fPr>
                <m:num>
                  <m:r>
                    <m:rPr>
                      <m:sty m:val="p"/>
                    </m:rPr>
                    <w:rPr>
                      <w:rFonts w:ascii="Cambria Math" w:eastAsia="Calibri" w:hAnsi="Cambria Math"/>
                      <w:sz w:val="18"/>
                      <w:szCs w:val="18"/>
                      <w:lang w:val="en-ID"/>
                    </w:rPr>
                    <m:t>Jumlah Saham Manajerial</m:t>
                  </m:r>
                </m:num>
                <m:den>
                  <m:r>
                    <m:rPr>
                      <m:sty m:val="p"/>
                    </m:rPr>
                    <w:rPr>
                      <w:rFonts w:ascii="Cambria Math" w:eastAsia="Calibri" w:hAnsi="Cambria Math"/>
                      <w:sz w:val="18"/>
                      <w:szCs w:val="18"/>
                      <w:lang w:val="en-ID"/>
                    </w:rPr>
                    <m:t>Jumlah Saham Yang Beredar</m:t>
                  </m:r>
                </m:den>
              </m:f>
            </m:oMath>
            <w:r w:rsidRPr="0023086C">
              <w:rPr>
                <w:rFonts w:asciiTheme="majorHAnsi" w:eastAsia="Times New Roman" w:hAnsiTheme="majorHAnsi"/>
                <w:sz w:val="18"/>
                <w:szCs w:val="18"/>
                <w:lang w:val="en-ID"/>
              </w:rPr>
              <w:t xml:space="preserve"> x 100%</w:t>
            </w:r>
          </w:p>
        </w:tc>
        <w:tc>
          <w:tcPr>
            <w:tcW w:w="1843" w:type="dxa"/>
            <w:shd w:val="clear" w:color="auto" w:fill="auto"/>
          </w:tcPr>
          <w:p w:rsidR="002165D7" w:rsidRPr="0023086C" w:rsidRDefault="002165D7" w:rsidP="002165D7">
            <w:pPr>
              <w:tabs>
                <w:tab w:val="left" w:pos="426"/>
              </w:tabs>
              <w:jc w:val="center"/>
              <w:rPr>
                <w:rFonts w:asciiTheme="majorHAnsi" w:eastAsia="Calibri" w:hAnsiTheme="majorHAnsi"/>
                <w:sz w:val="18"/>
                <w:szCs w:val="18"/>
                <w:lang w:val="en-ID"/>
              </w:rPr>
            </w:pPr>
            <w:r w:rsidRPr="0023086C">
              <w:rPr>
                <w:rFonts w:asciiTheme="majorHAnsi" w:eastAsia="Calibri" w:hAnsiTheme="majorHAnsi"/>
                <w:sz w:val="18"/>
                <w:szCs w:val="18"/>
                <w:lang w:val="en-ID"/>
              </w:rPr>
              <w:t>Ratio</w:t>
            </w:r>
          </w:p>
        </w:tc>
      </w:tr>
      <w:tr w:rsidR="002165D7" w:rsidRPr="0023086C" w:rsidTr="002165D7">
        <w:tc>
          <w:tcPr>
            <w:tcW w:w="426" w:type="dxa"/>
            <w:vMerge/>
            <w:shd w:val="clear" w:color="auto" w:fill="auto"/>
          </w:tcPr>
          <w:p w:rsidR="002165D7" w:rsidRPr="0023086C" w:rsidRDefault="002165D7" w:rsidP="002165D7">
            <w:pPr>
              <w:tabs>
                <w:tab w:val="left" w:pos="426"/>
              </w:tabs>
              <w:jc w:val="both"/>
              <w:rPr>
                <w:rFonts w:asciiTheme="majorHAnsi" w:eastAsia="Calibri" w:hAnsiTheme="majorHAnsi"/>
                <w:sz w:val="18"/>
                <w:szCs w:val="18"/>
                <w:lang w:val="en-ID"/>
              </w:rPr>
            </w:pPr>
          </w:p>
        </w:tc>
        <w:tc>
          <w:tcPr>
            <w:tcW w:w="2234" w:type="dxa"/>
            <w:vMerge/>
            <w:shd w:val="clear" w:color="auto" w:fill="auto"/>
          </w:tcPr>
          <w:p w:rsidR="002165D7" w:rsidRPr="0023086C" w:rsidRDefault="002165D7" w:rsidP="002165D7">
            <w:pPr>
              <w:tabs>
                <w:tab w:val="left" w:pos="426"/>
              </w:tabs>
              <w:jc w:val="both"/>
              <w:rPr>
                <w:rFonts w:asciiTheme="majorHAnsi" w:eastAsia="Calibri" w:hAnsiTheme="majorHAnsi"/>
                <w:sz w:val="18"/>
                <w:szCs w:val="18"/>
                <w:lang w:val="en-ID"/>
              </w:rPr>
            </w:pPr>
          </w:p>
        </w:tc>
        <w:tc>
          <w:tcPr>
            <w:tcW w:w="2443" w:type="dxa"/>
            <w:shd w:val="clear" w:color="auto" w:fill="auto"/>
          </w:tcPr>
          <w:p w:rsidR="002165D7" w:rsidRPr="0023086C" w:rsidRDefault="002165D7" w:rsidP="002165D7">
            <w:pPr>
              <w:tabs>
                <w:tab w:val="left" w:pos="426"/>
              </w:tabs>
              <w:jc w:val="both"/>
              <w:rPr>
                <w:rFonts w:asciiTheme="majorHAnsi" w:eastAsia="Calibri" w:hAnsiTheme="majorHAnsi"/>
                <w:sz w:val="18"/>
                <w:szCs w:val="18"/>
                <w:lang w:val="en-ID"/>
              </w:rPr>
            </w:pPr>
            <w:r w:rsidRPr="0023086C">
              <w:rPr>
                <w:rFonts w:asciiTheme="majorHAnsi" w:eastAsia="Calibri" w:hAnsiTheme="majorHAnsi"/>
                <w:sz w:val="18"/>
                <w:szCs w:val="18"/>
                <w:lang w:val="en-ID"/>
              </w:rPr>
              <w:t>Kepemilikan Institusional</w:t>
            </w:r>
          </w:p>
          <w:p w:rsidR="002165D7" w:rsidRPr="0023086C" w:rsidRDefault="002165D7" w:rsidP="002165D7">
            <w:pPr>
              <w:tabs>
                <w:tab w:val="left" w:pos="426"/>
              </w:tabs>
              <w:jc w:val="both"/>
              <w:rPr>
                <w:rFonts w:asciiTheme="majorHAnsi" w:eastAsia="Calibri" w:hAnsiTheme="majorHAnsi"/>
                <w:sz w:val="18"/>
                <w:szCs w:val="18"/>
                <w:lang w:val="en-ID"/>
              </w:rPr>
            </w:pPr>
          </w:p>
        </w:tc>
        <w:tc>
          <w:tcPr>
            <w:tcW w:w="2977" w:type="dxa"/>
            <w:shd w:val="clear" w:color="auto" w:fill="auto"/>
          </w:tcPr>
          <w:p w:rsidR="002165D7" w:rsidRPr="0023086C" w:rsidRDefault="002165D7" w:rsidP="002165D7">
            <w:pPr>
              <w:tabs>
                <w:tab w:val="left" w:pos="426"/>
              </w:tabs>
              <w:rPr>
                <w:rFonts w:asciiTheme="majorHAnsi" w:eastAsia="Times New Roman" w:hAnsiTheme="majorHAnsi"/>
                <w:sz w:val="18"/>
                <w:szCs w:val="18"/>
                <w:lang w:val="en-ID"/>
              </w:rPr>
            </w:pPr>
            <w:r w:rsidRPr="0023086C">
              <w:rPr>
                <w:rFonts w:asciiTheme="majorHAnsi" w:eastAsia="Times New Roman" w:hAnsiTheme="majorHAnsi"/>
                <w:sz w:val="18"/>
                <w:szCs w:val="18"/>
                <w:lang w:val="en-ID"/>
              </w:rPr>
              <w:t xml:space="preserve">Kepemilikan Institusional = </w:t>
            </w:r>
          </w:p>
          <w:p w:rsidR="002165D7" w:rsidRPr="0023086C" w:rsidRDefault="002165D7" w:rsidP="002165D7">
            <w:pPr>
              <w:tabs>
                <w:tab w:val="left" w:pos="426"/>
              </w:tabs>
              <w:rPr>
                <w:rFonts w:asciiTheme="majorHAnsi" w:eastAsia="Times New Roman" w:hAnsiTheme="majorHAnsi"/>
                <w:sz w:val="18"/>
                <w:szCs w:val="18"/>
                <w:lang w:val="en-ID"/>
              </w:rPr>
            </w:pPr>
            <m:oMath>
              <m:f>
                <m:fPr>
                  <m:ctrlPr>
                    <w:rPr>
                      <w:rFonts w:ascii="Cambria Math" w:eastAsia="Calibri" w:hAnsi="Cambria Math"/>
                      <w:i/>
                      <w:sz w:val="18"/>
                      <w:szCs w:val="18"/>
                      <w:lang w:val="en-ID"/>
                    </w:rPr>
                  </m:ctrlPr>
                </m:fPr>
                <m:num>
                  <m:r>
                    <w:rPr>
                      <w:rFonts w:ascii="Cambria Math" w:eastAsia="Calibri" w:hAnsi="Cambria Math"/>
                      <w:sz w:val="18"/>
                      <w:szCs w:val="18"/>
                      <w:lang w:val="en-ID"/>
                    </w:rPr>
                    <m:t>Jumlah Saham Institusional</m:t>
                  </m:r>
                </m:num>
                <m:den>
                  <m:r>
                    <w:rPr>
                      <w:rFonts w:ascii="Cambria Math" w:eastAsia="Calibri" w:hAnsi="Cambria Math"/>
                      <w:sz w:val="18"/>
                      <w:szCs w:val="18"/>
                      <w:lang w:val="en-ID"/>
                    </w:rPr>
                    <m:t>Jumlah Saham Yang Beredar</m:t>
                  </m:r>
                </m:den>
              </m:f>
            </m:oMath>
            <w:r w:rsidRPr="0023086C">
              <w:rPr>
                <w:rFonts w:asciiTheme="majorHAnsi" w:eastAsia="Times New Roman" w:hAnsiTheme="majorHAnsi"/>
                <w:sz w:val="18"/>
                <w:szCs w:val="18"/>
                <w:lang w:val="en-ID"/>
              </w:rPr>
              <w:t xml:space="preserve"> x 100%</w:t>
            </w:r>
          </w:p>
        </w:tc>
        <w:tc>
          <w:tcPr>
            <w:tcW w:w="1843" w:type="dxa"/>
            <w:shd w:val="clear" w:color="auto" w:fill="auto"/>
          </w:tcPr>
          <w:p w:rsidR="002165D7" w:rsidRPr="0023086C" w:rsidRDefault="002165D7" w:rsidP="002165D7">
            <w:pPr>
              <w:tabs>
                <w:tab w:val="left" w:pos="426"/>
              </w:tabs>
              <w:jc w:val="center"/>
              <w:rPr>
                <w:rFonts w:asciiTheme="majorHAnsi" w:eastAsia="Calibri" w:hAnsiTheme="majorHAnsi"/>
                <w:sz w:val="18"/>
                <w:szCs w:val="18"/>
                <w:lang w:val="en-ID"/>
              </w:rPr>
            </w:pPr>
            <w:r w:rsidRPr="0023086C">
              <w:rPr>
                <w:rFonts w:asciiTheme="majorHAnsi" w:eastAsia="Calibri" w:hAnsiTheme="majorHAnsi"/>
                <w:sz w:val="18"/>
                <w:szCs w:val="18"/>
                <w:lang w:val="en-ID"/>
              </w:rPr>
              <w:t>Ratio</w:t>
            </w:r>
          </w:p>
        </w:tc>
      </w:tr>
      <w:tr w:rsidR="002165D7" w:rsidRPr="0023086C" w:rsidTr="002165D7">
        <w:tc>
          <w:tcPr>
            <w:tcW w:w="426" w:type="dxa"/>
            <w:vMerge/>
            <w:shd w:val="clear" w:color="auto" w:fill="auto"/>
          </w:tcPr>
          <w:p w:rsidR="002165D7" w:rsidRPr="0023086C" w:rsidRDefault="002165D7" w:rsidP="002165D7">
            <w:pPr>
              <w:tabs>
                <w:tab w:val="left" w:pos="426"/>
              </w:tabs>
              <w:jc w:val="both"/>
              <w:rPr>
                <w:rFonts w:asciiTheme="majorHAnsi" w:eastAsia="Calibri" w:hAnsiTheme="majorHAnsi"/>
                <w:sz w:val="18"/>
                <w:szCs w:val="18"/>
                <w:lang w:val="en-ID"/>
              </w:rPr>
            </w:pPr>
          </w:p>
        </w:tc>
        <w:tc>
          <w:tcPr>
            <w:tcW w:w="2234" w:type="dxa"/>
            <w:vMerge/>
            <w:shd w:val="clear" w:color="auto" w:fill="auto"/>
          </w:tcPr>
          <w:p w:rsidR="002165D7" w:rsidRPr="0023086C" w:rsidRDefault="002165D7" w:rsidP="002165D7">
            <w:pPr>
              <w:tabs>
                <w:tab w:val="left" w:pos="426"/>
              </w:tabs>
              <w:jc w:val="both"/>
              <w:rPr>
                <w:rFonts w:asciiTheme="majorHAnsi" w:eastAsia="Calibri" w:hAnsiTheme="majorHAnsi"/>
                <w:sz w:val="18"/>
                <w:szCs w:val="18"/>
                <w:lang w:val="en-ID"/>
              </w:rPr>
            </w:pPr>
          </w:p>
        </w:tc>
        <w:tc>
          <w:tcPr>
            <w:tcW w:w="2443" w:type="dxa"/>
            <w:shd w:val="clear" w:color="auto" w:fill="auto"/>
          </w:tcPr>
          <w:p w:rsidR="002165D7" w:rsidRPr="0023086C" w:rsidRDefault="002165D7" w:rsidP="002165D7">
            <w:pPr>
              <w:tabs>
                <w:tab w:val="left" w:pos="426"/>
              </w:tabs>
              <w:jc w:val="both"/>
              <w:rPr>
                <w:rFonts w:asciiTheme="majorHAnsi" w:eastAsia="Calibri" w:hAnsiTheme="majorHAnsi"/>
                <w:sz w:val="18"/>
                <w:szCs w:val="18"/>
                <w:lang w:val="en-ID"/>
              </w:rPr>
            </w:pPr>
            <w:r w:rsidRPr="0023086C">
              <w:rPr>
                <w:rFonts w:asciiTheme="majorHAnsi" w:eastAsia="Calibri" w:hAnsiTheme="majorHAnsi"/>
                <w:sz w:val="18"/>
                <w:szCs w:val="18"/>
                <w:lang w:val="en-ID"/>
              </w:rPr>
              <w:t>Dewan Komisaris Independen</w:t>
            </w:r>
          </w:p>
          <w:p w:rsidR="002165D7" w:rsidRPr="0023086C" w:rsidRDefault="002165D7" w:rsidP="002165D7">
            <w:pPr>
              <w:tabs>
                <w:tab w:val="left" w:pos="426"/>
              </w:tabs>
              <w:jc w:val="both"/>
              <w:rPr>
                <w:rFonts w:asciiTheme="majorHAnsi" w:eastAsia="Calibri" w:hAnsiTheme="majorHAnsi"/>
                <w:sz w:val="18"/>
                <w:szCs w:val="18"/>
                <w:lang w:val="en-ID"/>
              </w:rPr>
            </w:pPr>
          </w:p>
        </w:tc>
        <w:tc>
          <w:tcPr>
            <w:tcW w:w="2977" w:type="dxa"/>
            <w:shd w:val="clear" w:color="auto" w:fill="auto"/>
          </w:tcPr>
          <w:p w:rsidR="002165D7" w:rsidRPr="0023086C" w:rsidRDefault="002165D7" w:rsidP="002165D7">
            <w:pPr>
              <w:tabs>
                <w:tab w:val="left" w:pos="426"/>
              </w:tabs>
              <w:rPr>
                <w:rFonts w:asciiTheme="majorHAnsi" w:eastAsia="Times New Roman" w:hAnsiTheme="majorHAnsi"/>
                <w:sz w:val="18"/>
                <w:szCs w:val="18"/>
                <w:lang w:val="en-ID"/>
              </w:rPr>
            </w:pPr>
            <w:r w:rsidRPr="0023086C">
              <w:rPr>
                <w:rFonts w:asciiTheme="majorHAnsi" w:eastAsia="Times New Roman" w:hAnsiTheme="majorHAnsi"/>
                <w:sz w:val="18"/>
                <w:szCs w:val="18"/>
                <w:lang w:val="en-ID"/>
              </w:rPr>
              <w:t xml:space="preserve">Dewan Komisaris Independen = </w:t>
            </w:r>
          </w:p>
          <w:p w:rsidR="002165D7" w:rsidRPr="0023086C" w:rsidRDefault="002165D7" w:rsidP="002165D7">
            <w:pPr>
              <w:tabs>
                <w:tab w:val="left" w:pos="426"/>
              </w:tabs>
              <w:rPr>
                <w:rFonts w:asciiTheme="majorHAnsi" w:eastAsia="Times New Roman" w:hAnsiTheme="majorHAnsi"/>
                <w:sz w:val="18"/>
                <w:szCs w:val="18"/>
                <w:lang w:val="en-ID"/>
              </w:rPr>
            </w:pPr>
            <m:oMath>
              <m:f>
                <m:fPr>
                  <m:ctrlPr>
                    <w:rPr>
                      <w:rFonts w:ascii="Cambria Math" w:eastAsia="Calibri" w:hAnsi="Cambria Math"/>
                      <w:i/>
                      <w:sz w:val="18"/>
                      <w:szCs w:val="18"/>
                      <w:lang w:val="en-ID"/>
                    </w:rPr>
                  </m:ctrlPr>
                </m:fPr>
                <m:num>
                  <m:r>
                    <w:rPr>
                      <w:rFonts w:ascii="Cambria Math" w:eastAsia="Calibri" w:hAnsi="Cambria Math"/>
                      <w:sz w:val="18"/>
                      <w:szCs w:val="18"/>
                      <w:lang w:val="en-ID"/>
                    </w:rPr>
                    <m:t>Ʃ Anggota Komisaris</m:t>
                  </m:r>
                </m:num>
                <m:den>
                  <m:r>
                    <w:rPr>
                      <w:rFonts w:ascii="Cambria Math" w:eastAsia="Calibri" w:hAnsi="Cambria Math"/>
                      <w:sz w:val="18"/>
                      <w:szCs w:val="18"/>
                      <w:lang w:val="en-ID"/>
                    </w:rPr>
                    <m:t>Ʃ Seluruh Anggota Komisaris</m:t>
                  </m:r>
                </m:den>
              </m:f>
            </m:oMath>
            <w:r w:rsidRPr="0023086C">
              <w:rPr>
                <w:rFonts w:asciiTheme="majorHAnsi" w:eastAsia="Times New Roman" w:hAnsiTheme="majorHAnsi"/>
                <w:sz w:val="18"/>
                <w:szCs w:val="18"/>
                <w:lang w:val="en-ID"/>
              </w:rPr>
              <w:t xml:space="preserve"> x 100%</w:t>
            </w:r>
          </w:p>
        </w:tc>
        <w:tc>
          <w:tcPr>
            <w:tcW w:w="1843" w:type="dxa"/>
            <w:shd w:val="clear" w:color="auto" w:fill="auto"/>
          </w:tcPr>
          <w:p w:rsidR="002165D7" w:rsidRPr="0023086C" w:rsidRDefault="002165D7" w:rsidP="002165D7">
            <w:pPr>
              <w:tabs>
                <w:tab w:val="left" w:pos="426"/>
              </w:tabs>
              <w:jc w:val="center"/>
              <w:rPr>
                <w:rFonts w:asciiTheme="majorHAnsi" w:eastAsia="Calibri" w:hAnsiTheme="majorHAnsi"/>
                <w:sz w:val="18"/>
                <w:szCs w:val="18"/>
                <w:lang w:val="en-ID"/>
              </w:rPr>
            </w:pPr>
            <w:r w:rsidRPr="0023086C">
              <w:rPr>
                <w:rFonts w:asciiTheme="majorHAnsi" w:eastAsia="Calibri" w:hAnsiTheme="majorHAnsi"/>
                <w:sz w:val="18"/>
                <w:szCs w:val="18"/>
                <w:lang w:val="en-ID"/>
              </w:rPr>
              <w:t>Ratio</w:t>
            </w:r>
          </w:p>
        </w:tc>
      </w:tr>
      <w:tr w:rsidR="002165D7" w:rsidRPr="0023086C" w:rsidTr="002165D7">
        <w:tc>
          <w:tcPr>
            <w:tcW w:w="426" w:type="dxa"/>
            <w:vMerge/>
            <w:shd w:val="clear" w:color="auto" w:fill="auto"/>
          </w:tcPr>
          <w:p w:rsidR="002165D7" w:rsidRPr="0023086C" w:rsidRDefault="002165D7" w:rsidP="002165D7">
            <w:pPr>
              <w:tabs>
                <w:tab w:val="left" w:pos="426"/>
              </w:tabs>
              <w:jc w:val="both"/>
              <w:rPr>
                <w:rFonts w:asciiTheme="majorHAnsi" w:eastAsia="Calibri" w:hAnsiTheme="majorHAnsi"/>
                <w:sz w:val="18"/>
                <w:szCs w:val="18"/>
                <w:lang w:val="en-ID"/>
              </w:rPr>
            </w:pPr>
          </w:p>
        </w:tc>
        <w:tc>
          <w:tcPr>
            <w:tcW w:w="2234" w:type="dxa"/>
            <w:vMerge/>
            <w:shd w:val="clear" w:color="auto" w:fill="auto"/>
          </w:tcPr>
          <w:p w:rsidR="002165D7" w:rsidRPr="0023086C" w:rsidRDefault="002165D7" w:rsidP="002165D7">
            <w:pPr>
              <w:tabs>
                <w:tab w:val="left" w:pos="426"/>
              </w:tabs>
              <w:jc w:val="both"/>
              <w:rPr>
                <w:rFonts w:asciiTheme="majorHAnsi" w:eastAsia="Calibri" w:hAnsiTheme="majorHAnsi"/>
                <w:sz w:val="18"/>
                <w:szCs w:val="18"/>
                <w:lang w:val="en-ID"/>
              </w:rPr>
            </w:pPr>
          </w:p>
        </w:tc>
        <w:tc>
          <w:tcPr>
            <w:tcW w:w="2443" w:type="dxa"/>
            <w:shd w:val="clear" w:color="auto" w:fill="auto"/>
          </w:tcPr>
          <w:p w:rsidR="002165D7" w:rsidRPr="0023086C" w:rsidRDefault="002165D7" w:rsidP="002165D7">
            <w:pPr>
              <w:tabs>
                <w:tab w:val="left" w:pos="426"/>
              </w:tabs>
              <w:jc w:val="both"/>
              <w:rPr>
                <w:rFonts w:asciiTheme="majorHAnsi" w:eastAsia="Calibri" w:hAnsiTheme="majorHAnsi"/>
                <w:sz w:val="18"/>
                <w:szCs w:val="18"/>
                <w:lang w:val="en-ID"/>
              </w:rPr>
            </w:pPr>
            <w:r w:rsidRPr="0023086C">
              <w:rPr>
                <w:rFonts w:asciiTheme="majorHAnsi" w:eastAsia="Calibri" w:hAnsiTheme="majorHAnsi"/>
                <w:sz w:val="18"/>
                <w:szCs w:val="18"/>
                <w:lang w:val="en-ID"/>
              </w:rPr>
              <w:t>Komite Audit</w:t>
            </w:r>
          </w:p>
        </w:tc>
        <w:tc>
          <w:tcPr>
            <w:tcW w:w="2977" w:type="dxa"/>
            <w:shd w:val="clear" w:color="auto" w:fill="auto"/>
          </w:tcPr>
          <w:p w:rsidR="002165D7" w:rsidRPr="0023086C" w:rsidRDefault="002165D7" w:rsidP="002165D7">
            <w:pPr>
              <w:tabs>
                <w:tab w:val="left" w:pos="426"/>
              </w:tabs>
              <w:rPr>
                <w:rFonts w:asciiTheme="majorHAnsi" w:eastAsia="Calibri" w:hAnsiTheme="majorHAnsi"/>
                <w:sz w:val="18"/>
                <w:szCs w:val="18"/>
                <w:lang w:val="en-ID"/>
              </w:rPr>
            </w:pPr>
            <w:r>
              <w:rPr>
                <w:rFonts w:asciiTheme="majorHAnsi" w:eastAsia="Calibri" w:hAnsiTheme="majorHAnsi"/>
                <w:sz w:val="18"/>
                <w:szCs w:val="18"/>
                <w:lang w:val="en-ID"/>
              </w:rPr>
              <w:t>Komite</w:t>
            </w:r>
            <w:r w:rsidRPr="0023086C">
              <w:rPr>
                <w:rFonts w:asciiTheme="majorHAnsi" w:eastAsia="Calibri" w:hAnsiTheme="majorHAnsi"/>
                <w:sz w:val="18"/>
                <w:szCs w:val="18"/>
                <w:lang w:val="en-ID"/>
              </w:rPr>
              <w:t xml:space="preserve"> Audit = </w:t>
            </w:r>
            <w:r w:rsidRPr="0023086C">
              <w:rPr>
                <w:rFonts w:asciiTheme="majorHAnsi" w:eastAsia="Calibri" w:hAnsiTheme="majorHAnsi" w:cs="Times New Roman"/>
                <w:sz w:val="18"/>
                <w:szCs w:val="18"/>
                <w:lang w:val="en-ID"/>
              </w:rPr>
              <w:t>Ʃ</w:t>
            </w:r>
            <w:r w:rsidRPr="0023086C">
              <w:rPr>
                <w:rFonts w:asciiTheme="majorHAnsi" w:eastAsia="Calibri" w:hAnsiTheme="majorHAnsi"/>
                <w:sz w:val="18"/>
                <w:szCs w:val="18"/>
                <w:lang w:val="en-ID"/>
              </w:rPr>
              <w:t xml:space="preserve"> Komite Audit</w:t>
            </w:r>
          </w:p>
        </w:tc>
        <w:tc>
          <w:tcPr>
            <w:tcW w:w="1843" w:type="dxa"/>
            <w:shd w:val="clear" w:color="auto" w:fill="auto"/>
          </w:tcPr>
          <w:p w:rsidR="002165D7" w:rsidRPr="0023086C" w:rsidRDefault="002165D7" w:rsidP="002165D7">
            <w:pPr>
              <w:tabs>
                <w:tab w:val="left" w:pos="426"/>
              </w:tabs>
              <w:jc w:val="center"/>
              <w:rPr>
                <w:rFonts w:asciiTheme="majorHAnsi" w:eastAsia="Calibri" w:hAnsiTheme="majorHAnsi"/>
                <w:sz w:val="18"/>
                <w:szCs w:val="18"/>
                <w:lang w:val="en-ID"/>
              </w:rPr>
            </w:pPr>
            <w:r w:rsidRPr="0023086C">
              <w:rPr>
                <w:rFonts w:asciiTheme="majorHAnsi" w:eastAsia="Calibri" w:hAnsiTheme="majorHAnsi"/>
                <w:sz w:val="18"/>
                <w:szCs w:val="18"/>
                <w:lang w:val="en-ID"/>
              </w:rPr>
              <w:t>Ratio</w:t>
            </w:r>
          </w:p>
        </w:tc>
      </w:tr>
      <w:tr w:rsidR="002165D7" w:rsidRPr="0023086C" w:rsidTr="002165D7">
        <w:tc>
          <w:tcPr>
            <w:tcW w:w="426" w:type="dxa"/>
            <w:shd w:val="clear" w:color="auto" w:fill="auto"/>
          </w:tcPr>
          <w:p w:rsidR="002165D7" w:rsidRPr="0023086C" w:rsidRDefault="002165D7" w:rsidP="002165D7">
            <w:pPr>
              <w:tabs>
                <w:tab w:val="left" w:pos="426"/>
              </w:tabs>
              <w:jc w:val="both"/>
              <w:rPr>
                <w:rFonts w:asciiTheme="majorHAnsi" w:eastAsia="Calibri" w:hAnsiTheme="majorHAnsi"/>
                <w:sz w:val="18"/>
                <w:szCs w:val="18"/>
                <w:lang w:val="en-ID"/>
              </w:rPr>
            </w:pPr>
            <w:r w:rsidRPr="0023086C">
              <w:rPr>
                <w:rFonts w:asciiTheme="majorHAnsi" w:eastAsia="Calibri" w:hAnsiTheme="majorHAnsi"/>
                <w:sz w:val="18"/>
                <w:szCs w:val="18"/>
                <w:lang w:val="en-ID"/>
              </w:rPr>
              <w:t>2</w:t>
            </w:r>
          </w:p>
        </w:tc>
        <w:tc>
          <w:tcPr>
            <w:tcW w:w="2234" w:type="dxa"/>
            <w:shd w:val="clear" w:color="auto" w:fill="auto"/>
          </w:tcPr>
          <w:p w:rsidR="002165D7" w:rsidRPr="0023086C" w:rsidRDefault="002165D7" w:rsidP="002165D7">
            <w:pPr>
              <w:tabs>
                <w:tab w:val="left" w:pos="426"/>
              </w:tabs>
              <w:rPr>
                <w:rFonts w:asciiTheme="majorHAnsi" w:eastAsia="Calibri" w:hAnsiTheme="majorHAnsi"/>
                <w:sz w:val="18"/>
                <w:szCs w:val="18"/>
                <w:lang w:val="en-ID"/>
              </w:rPr>
            </w:pPr>
            <w:r w:rsidRPr="0023086C">
              <w:rPr>
                <w:rFonts w:asciiTheme="majorHAnsi" w:eastAsia="Calibri" w:hAnsiTheme="majorHAnsi"/>
                <w:sz w:val="18"/>
                <w:szCs w:val="18"/>
                <w:lang w:val="en-ID"/>
              </w:rPr>
              <w:t xml:space="preserve">Pengungkapan CSR </w:t>
            </w:r>
          </w:p>
        </w:tc>
        <w:tc>
          <w:tcPr>
            <w:tcW w:w="2443" w:type="dxa"/>
            <w:shd w:val="clear" w:color="auto" w:fill="auto"/>
          </w:tcPr>
          <w:p w:rsidR="002165D7" w:rsidRPr="0023086C" w:rsidRDefault="002165D7" w:rsidP="002165D7">
            <w:pPr>
              <w:tabs>
                <w:tab w:val="left" w:pos="426"/>
              </w:tabs>
              <w:jc w:val="both"/>
              <w:rPr>
                <w:rFonts w:asciiTheme="majorHAnsi" w:eastAsia="Calibri" w:hAnsiTheme="majorHAnsi"/>
                <w:sz w:val="18"/>
                <w:szCs w:val="18"/>
                <w:lang w:val="en-ID"/>
              </w:rPr>
            </w:pPr>
            <w:r w:rsidRPr="0023086C">
              <w:rPr>
                <w:rFonts w:asciiTheme="majorHAnsi" w:eastAsia="Calibri" w:hAnsiTheme="majorHAnsi"/>
                <w:sz w:val="18"/>
                <w:szCs w:val="18"/>
                <w:lang w:val="en-ID"/>
              </w:rPr>
              <w:t>GRI 4</w:t>
            </w:r>
          </w:p>
        </w:tc>
        <w:tc>
          <w:tcPr>
            <w:tcW w:w="2977" w:type="dxa"/>
            <w:shd w:val="clear" w:color="auto" w:fill="auto"/>
          </w:tcPr>
          <w:p w:rsidR="002165D7" w:rsidRPr="0023086C" w:rsidRDefault="002165D7" w:rsidP="002165D7">
            <w:pPr>
              <w:tabs>
                <w:tab w:val="left" w:pos="426"/>
              </w:tabs>
              <w:jc w:val="center"/>
              <w:rPr>
                <w:rFonts w:asciiTheme="majorHAnsi" w:eastAsia="Times New Roman" w:hAnsiTheme="majorHAnsi"/>
                <w:sz w:val="18"/>
                <w:szCs w:val="18"/>
                <w:lang w:val="en-ID"/>
              </w:rPr>
            </w:pPr>
            <w:r w:rsidRPr="0023086C">
              <w:rPr>
                <w:rFonts w:asciiTheme="majorHAnsi" w:eastAsia="Times New Roman" w:hAnsiTheme="majorHAnsi"/>
                <w:sz w:val="18"/>
                <w:szCs w:val="18"/>
                <w:lang w:val="en-ID"/>
              </w:rPr>
              <w:t xml:space="preserve">CSDIj = </w:t>
            </w:r>
            <m:oMath>
              <m:f>
                <m:fPr>
                  <m:ctrlPr>
                    <w:rPr>
                      <w:rFonts w:ascii="Cambria Math" w:eastAsia="Calibri" w:hAnsi="Cambria Math"/>
                      <w:i/>
                      <w:sz w:val="18"/>
                      <w:szCs w:val="18"/>
                      <w:lang w:val="en-ID"/>
                    </w:rPr>
                  </m:ctrlPr>
                </m:fPr>
                <m:num>
                  <m:r>
                    <w:rPr>
                      <w:rFonts w:ascii="Cambria Math" w:eastAsia="Calibri" w:hAnsi="Cambria Math"/>
                      <w:sz w:val="18"/>
                      <w:szCs w:val="18"/>
                      <w:lang w:val="en-ID"/>
                    </w:rPr>
                    <m:t>Ʃ Xij</m:t>
                  </m:r>
                </m:num>
                <m:den>
                  <m:r>
                    <w:rPr>
                      <w:rFonts w:ascii="Cambria Math" w:eastAsia="Calibri" w:hAnsi="Cambria Math"/>
                      <w:sz w:val="18"/>
                      <w:szCs w:val="18"/>
                      <w:lang w:val="en-ID"/>
                    </w:rPr>
                    <m:t>Nj</m:t>
                  </m:r>
                </m:den>
              </m:f>
            </m:oMath>
          </w:p>
        </w:tc>
        <w:tc>
          <w:tcPr>
            <w:tcW w:w="1843" w:type="dxa"/>
            <w:shd w:val="clear" w:color="auto" w:fill="auto"/>
          </w:tcPr>
          <w:p w:rsidR="002165D7" w:rsidRPr="0023086C" w:rsidRDefault="002165D7" w:rsidP="002165D7">
            <w:pPr>
              <w:tabs>
                <w:tab w:val="left" w:pos="426"/>
              </w:tabs>
              <w:jc w:val="center"/>
              <w:rPr>
                <w:rFonts w:asciiTheme="majorHAnsi" w:eastAsia="Calibri" w:hAnsiTheme="majorHAnsi"/>
                <w:sz w:val="18"/>
                <w:szCs w:val="18"/>
                <w:lang w:val="en-ID"/>
              </w:rPr>
            </w:pPr>
            <w:r w:rsidRPr="0023086C">
              <w:rPr>
                <w:rFonts w:asciiTheme="majorHAnsi" w:eastAsia="Calibri" w:hAnsiTheme="majorHAnsi"/>
                <w:sz w:val="18"/>
                <w:szCs w:val="18"/>
                <w:lang w:val="en-ID"/>
              </w:rPr>
              <w:t>Ratio</w:t>
            </w:r>
          </w:p>
        </w:tc>
      </w:tr>
      <w:tr w:rsidR="002165D7" w:rsidRPr="0023086C" w:rsidTr="002165D7">
        <w:tc>
          <w:tcPr>
            <w:tcW w:w="426" w:type="dxa"/>
            <w:shd w:val="clear" w:color="auto" w:fill="auto"/>
          </w:tcPr>
          <w:p w:rsidR="002165D7" w:rsidRPr="0023086C" w:rsidRDefault="002165D7" w:rsidP="002165D7">
            <w:pPr>
              <w:tabs>
                <w:tab w:val="left" w:pos="426"/>
              </w:tabs>
              <w:jc w:val="both"/>
              <w:rPr>
                <w:rFonts w:asciiTheme="majorHAnsi" w:eastAsia="Calibri" w:hAnsiTheme="majorHAnsi"/>
                <w:sz w:val="18"/>
                <w:szCs w:val="18"/>
                <w:lang w:val="en-ID"/>
              </w:rPr>
            </w:pPr>
            <w:r w:rsidRPr="0023086C">
              <w:rPr>
                <w:rFonts w:asciiTheme="majorHAnsi" w:eastAsia="Calibri" w:hAnsiTheme="majorHAnsi"/>
                <w:sz w:val="18"/>
                <w:szCs w:val="18"/>
                <w:lang w:val="en-ID"/>
              </w:rPr>
              <w:t>3</w:t>
            </w:r>
          </w:p>
        </w:tc>
        <w:tc>
          <w:tcPr>
            <w:tcW w:w="2234" w:type="dxa"/>
            <w:shd w:val="clear" w:color="auto" w:fill="auto"/>
          </w:tcPr>
          <w:p w:rsidR="002165D7" w:rsidRPr="005620FA" w:rsidRDefault="002165D7" w:rsidP="002165D7">
            <w:pPr>
              <w:tabs>
                <w:tab w:val="left" w:pos="426"/>
              </w:tabs>
              <w:rPr>
                <w:rFonts w:asciiTheme="majorHAnsi" w:eastAsia="Calibri" w:hAnsiTheme="majorHAnsi"/>
                <w:i/>
                <w:sz w:val="18"/>
                <w:szCs w:val="18"/>
                <w:lang w:val="en-ID"/>
              </w:rPr>
            </w:pPr>
            <w:r w:rsidRPr="005620FA">
              <w:rPr>
                <w:rFonts w:asciiTheme="majorHAnsi" w:eastAsia="Calibri" w:hAnsiTheme="majorHAnsi"/>
                <w:i/>
                <w:sz w:val="18"/>
                <w:szCs w:val="18"/>
                <w:lang w:val="en-ID"/>
              </w:rPr>
              <w:t>Leverage</w:t>
            </w:r>
          </w:p>
          <w:p w:rsidR="002165D7" w:rsidRPr="0023086C" w:rsidRDefault="002165D7" w:rsidP="002165D7">
            <w:pPr>
              <w:tabs>
                <w:tab w:val="left" w:pos="426"/>
              </w:tabs>
              <w:rPr>
                <w:rFonts w:asciiTheme="majorHAnsi" w:eastAsia="Calibri" w:hAnsiTheme="majorHAnsi"/>
                <w:sz w:val="18"/>
                <w:szCs w:val="18"/>
                <w:lang w:val="en-ID"/>
              </w:rPr>
            </w:pPr>
            <w:r w:rsidRPr="0023086C">
              <w:rPr>
                <w:rFonts w:asciiTheme="majorHAnsi" w:eastAsia="Calibri" w:hAnsiTheme="majorHAnsi"/>
                <w:sz w:val="18"/>
                <w:szCs w:val="18"/>
                <w:lang w:val="en-ID"/>
              </w:rPr>
              <w:fldChar w:fldCharType="begin" w:fldLock="1"/>
            </w:r>
            <w:r>
              <w:rPr>
                <w:rFonts w:asciiTheme="majorHAnsi" w:eastAsia="Calibri" w:hAnsiTheme="majorHAnsi"/>
                <w:sz w:val="18"/>
                <w:szCs w:val="18"/>
                <w:lang w:val="en-ID"/>
              </w:rPr>
              <w:instrText>ADDIN CSL_CITATION {"citationItems":[{"id":"ITEM-1","itemData":{"ISBN":"1337395250","author":[{"dropping-particle":"","family":"Eugene F. brigham","given":"Joel F. Houston","non-dropping-particle":"","parse-names":false,"suffix":""}],"id":"ITEM-1","issued":{"date-parts":[["0"]]},"publisher":"Cengage Learning","title":"Fundamentals of Financial Management (15th Edition) - eBook","type":"book"},"uris":["http://www.mendeley.com/documents/?uuid=0dfd9c09-c32a-4659-8eab-f8d46f057584"]}],"mendeley":{"formattedCitation":"(Eugene F. brigham, n.d.)","manualFormatting":"(Eugene F. brigham, 2020)","plainTextFormattedCitation":"(Eugene F. brigham, n.d.)","previouslyFormattedCitation":"(Eugene F. brigham, n.d.)"},"properties":{"noteIndex":0},"schema":"https://github.com/citation-style-language/schema/raw/master/csl-citation.json"}</w:instrText>
            </w:r>
            <w:r w:rsidRPr="0023086C">
              <w:rPr>
                <w:rFonts w:asciiTheme="majorHAnsi" w:eastAsia="Calibri" w:hAnsiTheme="majorHAnsi"/>
                <w:sz w:val="18"/>
                <w:szCs w:val="18"/>
                <w:lang w:val="en-ID"/>
              </w:rPr>
              <w:fldChar w:fldCharType="separate"/>
            </w:r>
            <w:r w:rsidRPr="0023086C">
              <w:rPr>
                <w:rFonts w:asciiTheme="majorHAnsi" w:eastAsia="Calibri" w:hAnsiTheme="majorHAnsi"/>
                <w:noProof/>
                <w:sz w:val="18"/>
                <w:szCs w:val="18"/>
                <w:lang w:val="en-ID"/>
              </w:rPr>
              <w:t>(Eugene F. brigham, 2020)</w:t>
            </w:r>
            <w:r w:rsidRPr="0023086C">
              <w:rPr>
                <w:rFonts w:asciiTheme="majorHAnsi" w:eastAsia="Calibri" w:hAnsiTheme="majorHAnsi"/>
                <w:sz w:val="18"/>
                <w:szCs w:val="18"/>
                <w:lang w:val="en-ID"/>
              </w:rPr>
              <w:fldChar w:fldCharType="end"/>
            </w:r>
          </w:p>
        </w:tc>
        <w:tc>
          <w:tcPr>
            <w:tcW w:w="2443" w:type="dxa"/>
            <w:shd w:val="clear" w:color="auto" w:fill="auto"/>
          </w:tcPr>
          <w:p w:rsidR="002165D7" w:rsidRPr="005620FA" w:rsidRDefault="002165D7" w:rsidP="002165D7">
            <w:pPr>
              <w:tabs>
                <w:tab w:val="left" w:pos="426"/>
              </w:tabs>
              <w:jc w:val="both"/>
              <w:rPr>
                <w:rFonts w:asciiTheme="majorHAnsi" w:eastAsia="Calibri" w:hAnsiTheme="majorHAnsi"/>
                <w:i/>
                <w:sz w:val="18"/>
                <w:szCs w:val="18"/>
                <w:lang w:val="en-ID"/>
              </w:rPr>
            </w:pPr>
            <w:r w:rsidRPr="005620FA">
              <w:rPr>
                <w:rFonts w:asciiTheme="majorHAnsi" w:eastAsia="Calibri" w:hAnsiTheme="majorHAnsi"/>
                <w:i/>
                <w:sz w:val="18"/>
                <w:szCs w:val="18"/>
                <w:lang w:val="en-ID"/>
              </w:rPr>
              <w:t>Debt Equity Ratio</w:t>
            </w:r>
          </w:p>
        </w:tc>
        <w:tc>
          <w:tcPr>
            <w:tcW w:w="2977" w:type="dxa"/>
            <w:shd w:val="clear" w:color="auto" w:fill="auto"/>
          </w:tcPr>
          <w:p w:rsidR="002165D7" w:rsidRPr="0023086C" w:rsidRDefault="002165D7" w:rsidP="002165D7">
            <w:pPr>
              <w:tabs>
                <w:tab w:val="left" w:pos="426"/>
              </w:tabs>
              <w:jc w:val="center"/>
              <w:rPr>
                <w:rFonts w:asciiTheme="majorHAnsi" w:eastAsia="Times New Roman" w:hAnsiTheme="majorHAnsi"/>
                <w:sz w:val="18"/>
                <w:szCs w:val="18"/>
                <w:lang w:val="en-ID"/>
              </w:rPr>
            </w:pPr>
            <w:r w:rsidRPr="0023086C">
              <w:rPr>
                <w:rFonts w:asciiTheme="majorHAnsi" w:eastAsia="Times New Roman" w:hAnsiTheme="majorHAnsi"/>
                <w:sz w:val="18"/>
                <w:szCs w:val="18"/>
                <w:lang w:val="en-ID"/>
              </w:rPr>
              <w:t xml:space="preserve">DER = </w:t>
            </w:r>
            <m:oMath>
              <m:f>
                <m:fPr>
                  <m:ctrlPr>
                    <w:rPr>
                      <w:rFonts w:ascii="Cambria Math" w:eastAsia="Calibri" w:hAnsi="Cambria Math"/>
                      <w:i/>
                      <w:sz w:val="18"/>
                      <w:szCs w:val="18"/>
                      <w:lang w:val="en-ID"/>
                    </w:rPr>
                  </m:ctrlPr>
                </m:fPr>
                <m:num>
                  <m:r>
                    <w:rPr>
                      <w:rFonts w:ascii="Cambria Math" w:eastAsia="Calibri" w:hAnsi="Cambria Math"/>
                      <w:sz w:val="18"/>
                      <w:szCs w:val="18"/>
                      <w:lang w:val="en-ID"/>
                    </w:rPr>
                    <m:t>Total Hutang</m:t>
                  </m:r>
                </m:num>
                <m:den>
                  <m:r>
                    <w:rPr>
                      <w:rFonts w:ascii="Cambria Math" w:eastAsia="Calibri" w:hAnsi="Cambria Math"/>
                      <w:sz w:val="18"/>
                      <w:szCs w:val="18"/>
                      <w:lang w:val="en-ID"/>
                    </w:rPr>
                    <m:t>Total Equity</m:t>
                  </m:r>
                </m:den>
              </m:f>
              <m:r>
                <w:rPr>
                  <w:rFonts w:ascii="Cambria Math" w:eastAsia="Calibri" w:hAnsi="Cambria Math"/>
                  <w:sz w:val="18"/>
                  <w:szCs w:val="18"/>
                  <w:lang w:val="en-ID"/>
                </w:rPr>
                <m:t>x 100%</m:t>
              </m:r>
            </m:oMath>
          </w:p>
        </w:tc>
        <w:tc>
          <w:tcPr>
            <w:tcW w:w="1843" w:type="dxa"/>
            <w:shd w:val="clear" w:color="auto" w:fill="auto"/>
          </w:tcPr>
          <w:p w:rsidR="002165D7" w:rsidRPr="0023086C" w:rsidRDefault="002165D7" w:rsidP="002165D7">
            <w:pPr>
              <w:tabs>
                <w:tab w:val="left" w:pos="426"/>
              </w:tabs>
              <w:jc w:val="center"/>
              <w:rPr>
                <w:rFonts w:asciiTheme="majorHAnsi" w:eastAsia="Calibri" w:hAnsiTheme="majorHAnsi"/>
                <w:sz w:val="18"/>
                <w:szCs w:val="18"/>
                <w:lang w:val="en-ID"/>
              </w:rPr>
            </w:pPr>
            <w:r w:rsidRPr="0023086C">
              <w:rPr>
                <w:rFonts w:asciiTheme="majorHAnsi" w:eastAsia="Calibri" w:hAnsiTheme="majorHAnsi"/>
                <w:sz w:val="18"/>
                <w:szCs w:val="18"/>
                <w:lang w:val="en-ID"/>
              </w:rPr>
              <w:t>Ratio</w:t>
            </w:r>
          </w:p>
        </w:tc>
      </w:tr>
      <w:tr w:rsidR="002165D7" w:rsidRPr="0023086C" w:rsidTr="002165D7">
        <w:tc>
          <w:tcPr>
            <w:tcW w:w="426" w:type="dxa"/>
            <w:shd w:val="clear" w:color="auto" w:fill="auto"/>
          </w:tcPr>
          <w:p w:rsidR="002165D7" w:rsidRPr="0023086C" w:rsidRDefault="002165D7" w:rsidP="002165D7">
            <w:pPr>
              <w:tabs>
                <w:tab w:val="left" w:pos="426"/>
              </w:tabs>
              <w:jc w:val="both"/>
              <w:rPr>
                <w:rFonts w:asciiTheme="majorHAnsi" w:eastAsia="Calibri" w:hAnsiTheme="majorHAnsi"/>
                <w:sz w:val="18"/>
                <w:szCs w:val="18"/>
                <w:lang w:val="en-ID"/>
              </w:rPr>
            </w:pPr>
            <w:r w:rsidRPr="0023086C">
              <w:rPr>
                <w:rFonts w:asciiTheme="majorHAnsi" w:eastAsia="Calibri" w:hAnsiTheme="majorHAnsi"/>
                <w:sz w:val="18"/>
                <w:szCs w:val="18"/>
                <w:lang w:val="en-ID"/>
              </w:rPr>
              <w:t>4</w:t>
            </w:r>
          </w:p>
        </w:tc>
        <w:tc>
          <w:tcPr>
            <w:tcW w:w="2234" w:type="dxa"/>
            <w:shd w:val="clear" w:color="auto" w:fill="auto"/>
          </w:tcPr>
          <w:p w:rsidR="002165D7" w:rsidRPr="005620FA" w:rsidRDefault="002165D7" w:rsidP="002165D7">
            <w:pPr>
              <w:tabs>
                <w:tab w:val="left" w:pos="426"/>
              </w:tabs>
              <w:rPr>
                <w:rFonts w:asciiTheme="majorHAnsi" w:eastAsia="Calibri" w:hAnsiTheme="majorHAnsi"/>
                <w:i/>
                <w:sz w:val="18"/>
                <w:szCs w:val="18"/>
                <w:lang w:val="en-ID"/>
              </w:rPr>
            </w:pPr>
            <w:r w:rsidRPr="005620FA">
              <w:rPr>
                <w:rFonts w:asciiTheme="majorHAnsi" w:eastAsia="Calibri" w:hAnsiTheme="majorHAnsi"/>
                <w:i/>
                <w:sz w:val="18"/>
                <w:szCs w:val="18"/>
                <w:lang w:val="en-ID"/>
              </w:rPr>
              <w:t>Firm Size</w:t>
            </w:r>
          </w:p>
          <w:p w:rsidR="002165D7" w:rsidRPr="0023086C" w:rsidRDefault="002165D7" w:rsidP="002165D7">
            <w:pPr>
              <w:tabs>
                <w:tab w:val="left" w:pos="426"/>
              </w:tabs>
              <w:rPr>
                <w:rFonts w:asciiTheme="majorHAnsi" w:eastAsia="Calibri" w:hAnsiTheme="majorHAnsi"/>
                <w:sz w:val="18"/>
                <w:szCs w:val="18"/>
                <w:lang w:val="en-ID"/>
              </w:rPr>
            </w:pPr>
            <w:r w:rsidRPr="0023086C">
              <w:rPr>
                <w:rFonts w:asciiTheme="majorHAnsi" w:eastAsia="Calibri" w:hAnsiTheme="majorHAnsi"/>
                <w:sz w:val="18"/>
                <w:szCs w:val="18"/>
                <w:lang w:val="en-ID"/>
              </w:rPr>
              <w:fldChar w:fldCharType="begin" w:fldLock="1"/>
            </w:r>
            <w:r>
              <w:rPr>
                <w:rFonts w:asciiTheme="majorHAnsi" w:eastAsia="Calibri" w:hAnsiTheme="majorHAnsi"/>
                <w:sz w:val="18"/>
                <w:szCs w:val="18"/>
                <w:lang w:val="en-ID"/>
              </w:rPr>
              <w:instrText>ADDIN CSL_CITATION {"citationItems":[{"id":"ITEM-1","itemData":{"ISBN":"1337395250","author":[{"dropping-particle":"","family":"Eugene F. brigham","given":"Joel F. Houston","non-dropping-particle":"","parse-names":false,"suffix":""}],"id":"ITEM-1","issued":{"date-parts":[["0"]]},"publisher":"Cengage Learning","title":"Fundamentals of Financial Management (15th Edition) - eBook","type":"book"},"uris":["http://www.mendeley.com/documents/?uuid=0dfd9c09-c32a-4659-8eab-f8d46f057584"]}],"mendeley":{"formattedCitation":"(Eugene F. brigham, n.d.)","manualFormatting":"(Eugene F. brigham, 2020)","plainTextFormattedCitation":"(Eugene F. brigham, n.d.)","previouslyFormattedCitation":"(Eugene F. brigham, n.d.)"},"properties":{"noteIndex":0},"schema":"https://github.com/citation-style-language/schema/raw/master/csl-citation.json"}</w:instrText>
            </w:r>
            <w:r w:rsidRPr="0023086C">
              <w:rPr>
                <w:rFonts w:asciiTheme="majorHAnsi" w:eastAsia="Calibri" w:hAnsiTheme="majorHAnsi"/>
                <w:sz w:val="18"/>
                <w:szCs w:val="18"/>
                <w:lang w:val="en-ID"/>
              </w:rPr>
              <w:fldChar w:fldCharType="separate"/>
            </w:r>
            <w:r w:rsidRPr="0023086C">
              <w:rPr>
                <w:rFonts w:asciiTheme="majorHAnsi" w:eastAsia="Calibri" w:hAnsiTheme="majorHAnsi"/>
                <w:noProof/>
                <w:sz w:val="18"/>
                <w:szCs w:val="18"/>
                <w:lang w:val="en-ID"/>
              </w:rPr>
              <w:t>(Eugene F. brigham, 2020)</w:t>
            </w:r>
            <w:r w:rsidRPr="0023086C">
              <w:rPr>
                <w:rFonts w:asciiTheme="majorHAnsi" w:eastAsia="Calibri" w:hAnsiTheme="majorHAnsi"/>
                <w:sz w:val="18"/>
                <w:szCs w:val="18"/>
                <w:lang w:val="en-ID"/>
              </w:rPr>
              <w:fldChar w:fldCharType="end"/>
            </w:r>
          </w:p>
        </w:tc>
        <w:tc>
          <w:tcPr>
            <w:tcW w:w="2443" w:type="dxa"/>
            <w:shd w:val="clear" w:color="auto" w:fill="auto"/>
          </w:tcPr>
          <w:p w:rsidR="002165D7" w:rsidRPr="0023086C" w:rsidRDefault="002165D7" w:rsidP="002165D7">
            <w:pPr>
              <w:tabs>
                <w:tab w:val="left" w:pos="426"/>
              </w:tabs>
              <w:jc w:val="both"/>
              <w:rPr>
                <w:rFonts w:asciiTheme="majorHAnsi" w:eastAsia="Calibri" w:hAnsiTheme="majorHAnsi"/>
                <w:sz w:val="18"/>
                <w:szCs w:val="18"/>
                <w:lang w:val="en-ID"/>
              </w:rPr>
            </w:pPr>
            <w:r w:rsidRPr="0023086C">
              <w:rPr>
                <w:rFonts w:asciiTheme="majorHAnsi" w:eastAsia="Calibri" w:hAnsiTheme="majorHAnsi"/>
                <w:sz w:val="18"/>
                <w:szCs w:val="18"/>
                <w:lang w:val="en-ID"/>
              </w:rPr>
              <w:t>Total Aset</w:t>
            </w:r>
          </w:p>
        </w:tc>
        <w:tc>
          <w:tcPr>
            <w:tcW w:w="2977" w:type="dxa"/>
            <w:shd w:val="clear" w:color="auto" w:fill="auto"/>
          </w:tcPr>
          <w:p w:rsidR="002165D7" w:rsidRPr="0023086C" w:rsidRDefault="002165D7" w:rsidP="002165D7">
            <w:pPr>
              <w:tabs>
                <w:tab w:val="left" w:pos="426"/>
              </w:tabs>
              <w:jc w:val="center"/>
              <w:rPr>
                <w:rFonts w:asciiTheme="majorHAnsi" w:eastAsia="Times New Roman" w:hAnsiTheme="majorHAnsi"/>
                <w:sz w:val="18"/>
                <w:szCs w:val="18"/>
                <w:lang w:val="en-ID"/>
              </w:rPr>
            </w:pPr>
            <w:r w:rsidRPr="0023086C">
              <w:rPr>
                <w:rFonts w:asciiTheme="majorHAnsi" w:eastAsia="Times New Roman" w:hAnsiTheme="majorHAnsi"/>
                <w:sz w:val="18"/>
                <w:szCs w:val="18"/>
                <w:lang w:val="en-ID"/>
              </w:rPr>
              <w:t>Size = Ln Total Aset</w:t>
            </w:r>
          </w:p>
        </w:tc>
        <w:tc>
          <w:tcPr>
            <w:tcW w:w="1843" w:type="dxa"/>
            <w:shd w:val="clear" w:color="auto" w:fill="auto"/>
          </w:tcPr>
          <w:p w:rsidR="002165D7" w:rsidRPr="0023086C" w:rsidRDefault="002165D7" w:rsidP="002165D7">
            <w:pPr>
              <w:tabs>
                <w:tab w:val="left" w:pos="426"/>
              </w:tabs>
              <w:jc w:val="center"/>
              <w:rPr>
                <w:rFonts w:asciiTheme="majorHAnsi" w:eastAsia="Calibri" w:hAnsiTheme="majorHAnsi"/>
                <w:sz w:val="18"/>
                <w:szCs w:val="18"/>
                <w:lang w:val="en-ID"/>
              </w:rPr>
            </w:pPr>
            <w:r w:rsidRPr="0023086C">
              <w:rPr>
                <w:rFonts w:asciiTheme="majorHAnsi" w:eastAsia="Calibri" w:hAnsiTheme="majorHAnsi"/>
                <w:sz w:val="18"/>
                <w:szCs w:val="18"/>
                <w:lang w:val="en-ID"/>
              </w:rPr>
              <w:t>Ratio</w:t>
            </w:r>
          </w:p>
        </w:tc>
      </w:tr>
      <w:tr w:rsidR="002165D7" w:rsidRPr="0023086C" w:rsidTr="002165D7">
        <w:tc>
          <w:tcPr>
            <w:tcW w:w="426" w:type="dxa"/>
            <w:shd w:val="clear" w:color="auto" w:fill="auto"/>
          </w:tcPr>
          <w:p w:rsidR="002165D7" w:rsidRPr="0023086C" w:rsidRDefault="002165D7" w:rsidP="002165D7">
            <w:pPr>
              <w:tabs>
                <w:tab w:val="left" w:pos="426"/>
              </w:tabs>
              <w:jc w:val="both"/>
              <w:rPr>
                <w:rFonts w:asciiTheme="majorHAnsi" w:eastAsia="Calibri" w:hAnsiTheme="majorHAnsi"/>
                <w:sz w:val="18"/>
                <w:szCs w:val="18"/>
                <w:lang w:val="en-ID"/>
              </w:rPr>
            </w:pPr>
            <w:r w:rsidRPr="0023086C">
              <w:rPr>
                <w:rFonts w:asciiTheme="majorHAnsi" w:eastAsia="Calibri" w:hAnsiTheme="majorHAnsi"/>
                <w:sz w:val="18"/>
                <w:szCs w:val="18"/>
                <w:lang w:val="en-ID"/>
              </w:rPr>
              <w:t>5</w:t>
            </w:r>
          </w:p>
        </w:tc>
        <w:tc>
          <w:tcPr>
            <w:tcW w:w="2234" w:type="dxa"/>
            <w:shd w:val="clear" w:color="auto" w:fill="auto"/>
          </w:tcPr>
          <w:p w:rsidR="002165D7" w:rsidRPr="0023086C" w:rsidRDefault="002165D7" w:rsidP="002165D7">
            <w:pPr>
              <w:tabs>
                <w:tab w:val="left" w:pos="426"/>
              </w:tabs>
              <w:jc w:val="both"/>
              <w:rPr>
                <w:rFonts w:asciiTheme="majorHAnsi" w:eastAsia="Calibri" w:hAnsiTheme="majorHAnsi"/>
                <w:sz w:val="18"/>
                <w:szCs w:val="18"/>
                <w:lang w:val="en-ID"/>
              </w:rPr>
            </w:pPr>
            <w:r w:rsidRPr="0023086C">
              <w:rPr>
                <w:rFonts w:asciiTheme="majorHAnsi" w:eastAsia="Calibri" w:hAnsiTheme="majorHAnsi"/>
                <w:sz w:val="18"/>
                <w:szCs w:val="18"/>
                <w:lang w:val="en-ID"/>
              </w:rPr>
              <w:t>Kualitas Laba</w:t>
            </w:r>
          </w:p>
          <w:p w:rsidR="002165D7" w:rsidRPr="0023086C" w:rsidRDefault="002165D7" w:rsidP="002165D7">
            <w:pPr>
              <w:tabs>
                <w:tab w:val="left" w:pos="426"/>
              </w:tabs>
              <w:jc w:val="both"/>
              <w:rPr>
                <w:rFonts w:asciiTheme="majorHAnsi" w:eastAsia="Calibri" w:hAnsiTheme="majorHAnsi"/>
                <w:sz w:val="18"/>
                <w:szCs w:val="18"/>
                <w:lang w:val="en-ID"/>
              </w:rPr>
            </w:pPr>
            <w:r w:rsidRPr="0023086C">
              <w:rPr>
                <w:rFonts w:asciiTheme="majorHAnsi" w:eastAsia="Calibri" w:hAnsiTheme="majorHAnsi"/>
                <w:sz w:val="18"/>
                <w:szCs w:val="18"/>
                <w:lang w:val="en-ID"/>
              </w:rPr>
              <w:fldChar w:fldCharType="begin" w:fldLock="1"/>
            </w:r>
            <w:r w:rsidRPr="0023086C">
              <w:rPr>
                <w:rFonts w:asciiTheme="majorHAnsi" w:eastAsia="Calibri" w:hAnsiTheme="majorHAnsi"/>
                <w:sz w:val="18"/>
                <w:szCs w:val="18"/>
                <w:lang w:val="en-ID"/>
              </w:rPr>
              <w:instrText>ADDIN CSL_CITATION {"citationItems":[{"id":"ITEM-1","itemData":{"abstract":"The paper develops and analyzes a model of a firm's market value as it relates to contemporaneous and future eamings, book values, and dividends. Two owners' egui- ty accounting constructs provide the underpinnings of the model: the clean surplus rela- tion applies, and dividends reduce current book value but do not affect current eamings. The model satisfies many appealing properties, and it provides a useful benchmark when one conceptualizes how market value relates to accounting data and other infonnation. Resume. L'auteur 6Iabore et analy.se un modele dans lequel il conceptualise la relation entre Ia valeur marchande d'une entreprise et ses benefices, ses valeurs comptables et ses dividendes actuels et futurs. Deux postulats de la comptabilisation des capitaux propres servent de charpente au module : a) la relation du resultat global s'applique et b) les div- idendes reduisent la valeur comptable actuelle sans influer, cependant, sur les benefices actuels. Le modele prfisente de nombreuses proprietes interessantes et il peut, fort utile- ment, servir de repere dans la conceptualisation de la relation entre la valeur marchande et les donnees comptables et autres renseignements. Accounting","author":[{"dropping-particle":"","family":"James Ohlson","given":"","non-dropping-particle":"","parse-names":false,"suffix":""}],"container-title":"Contemporary Accounting Research","id":"ITEM-1","issue":"11","issued":{"date-parts":[["1995"]]},"page":"661–687","title":"Earnings, book-values, and dividends in equity valuation.","type":"article-journal","volume":"11"},"uris":["http://www.mendeley.com/documents/?uuid=b8e3d6b7-770d-444c-915b-17acba0749f5"]}],"mendeley":{"formattedCitation":"(James Ohlson, 1995)","plainTextFormattedCitation":"(James Ohlson, 1995)","previouslyFormattedCitation":"(James Ohlson, 1995)"},"properties":{"noteIndex":0},"schema":"https://github.com/citation-style-language/schema/raw/master/csl-citation.json"}</w:instrText>
            </w:r>
            <w:r w:rsidRPr="0023086C">
              <w:rPr>
                <w:rFonts w:asciiTheme="majorHAnsi" w:eastAsia="Calibri" w:hAnsiTheme="majorHAnsi"/>
                <w:sz w:val="18"/>
                <w:szCs w:val="18"/>
                <w:lang w:val="en-ID"/>
              </w:rPr>
              <w:fldChar w:fldCharType="separate"/>
            </w:r>
            <w:r w:rsidRPr="0023086C">
              <w:rPr>
                <w:rFonts w:asciiTheme="majorHAnsi" w:eastAsia="Calibri" w:hAnsiTheme="majorHAnsi"/>
                <w:noProof/>
                <w:sz w:val="18"/>
                <w:szCs w:val="18"/>
                <w:lang w:val="en-ID"/>
              </w:rPr>
              <w:t>(James Ohlson, 1995)</w:t>
            </w:r>
            <w:r w:rsidRPr="0023086C">
              <w:rPr>
                <w:rFonts w:asciiTheme="majorHAnsi" w:eastAsia="Calibri" w:hAnsiTheme="majorHAnsi"/>
                <w:sz w:val="18"/>
                <w:szCs w:val="18"/>
                <w:lang w:val="en-ID"/>
              </w:rPr>
              <w:fldChar w:fldCharType="end"/>
            </w:r>
          </w:p>
        </w:tc>
        <w:tc>
          <w:tcPr>
            <w:tcW w:w="2443" w:type="dxa"/>
            <w:shd w:val="clear" w:color="auto" w:fill="auto"/>
          </w:tcPr>
          <w:p w:rsidR="002165D7" w:rsidRPr="0023086C" w:rsidRDefault="002165D7" w:rsidP="002165D7">
            <w:pPr>
              <w:tabs>
                <w:tab w:val="left" w:pos="426"/>
              </w:tabs>
              <w:rPr>
                <w:rFonts w:asciiTheme="majorHAnsi" w:eastAsia="Calibri" w:hAnsiTheme="majorHAnsi"/>
                <w:sz w:val="18"/>
                <w:szCs w:val="18"/>
                <w:lang w:val="en-ID"/>
              </w:rPr>
            </w:pPr>
            <w:r w:rsidRPr="0023086C">
              <w:rPr>
                <w:rFonts w:asciiTheme="majorHAnsi" w:eastAsia="Calibri" w:hAnsiTheme="majorHAnsi"/>
                <w:sz w:val="18"/>
                <w:szCs w:val="18"/>
                <w:lang w:val="en-ID"/>
              </w:rPr>
              <w:t>Ohlson Valuation Model</w:t>
            </w:r>
          </w:p>
        </w:tc>
        <w:tc>
          <w:tcPr>
            <w:tcW w:w="2977" w:type="dxa"/>
            <w:shd w:val="clear" w:color="auto" w:fill="auto"/>
          </w:tcPr>
          <w:p w:rsidR="002165D7" w:rsidRPr="0023086C" w:rsidRDefault="002165D7" w:rsidP="002165D7">
            <w:pPr>
              <w:tabs>
                <w:tab w:val="left" w:pos="709"/>
              </w:tabs>
              <w:jc w:val="both"/>
              <w:rPr>
                <w:rFonts w:asciiTheme="majorHAnsi" w:eastAsia="Calibri" w:hAnsiTheme="majorHAnsi"/>
                <w:sz w:val="18"/>
                <w:szCs w:val="18"/>
                <w:lang w:val="en-ID"/>
              </w:rPr>
            </w:pPr>
            <w:r w:rsidRPr="0023086C">
              <w:rPr>
                <w:rFonts w:asciiTheme="majorHAnsi" w:eastAsia="Calibri" w:hAnsiTheme="majorHAnsi"/>
                <w:sz w:val="18"/>
                <w:szCs w:val="18"/>
                <w:lang w:val="en-ID"/>
              </w:rPr>
              <w:t xml:space="preserve">Pit = βo + </w:t>
            </w:r>
            <w:proofErr w:type="gramStart"/>
            <w:r w:rsidRPr="0023086C">
              <w:rPr>
                <w:rFonts w:asciiTheme="majorHAnsi" w:eastAsia="Calibri" w:hAnsiTheme="majorHAnsi"/>
                <w:sz w:val="18"/>
                <w:szCs w:val="18"/>
                <w:lang w:val="en-ID"/>
              </w:rPr>
              <w:t>β  EPSit</w:t>
            </w:r>
            <w:proofErr w:type="gramEnd"/>
            <w:r w:rsidRPr="0023086C">
              <w:rPr>
                <w:rFonts w:asciiTheme="majorHAnsi" w:eastAsia="Calibri" w:hAnsiTheme="majorHAnsi"/>
                <w:sz w:val="18"/>
                <w:szCs w:val="18"/>
                <w:lang w:val="en-ID"/>
              </w:rPr>
              <w:t xml:space="preserve"> + β</w:t>
            </w:r>
            <w:r w:rsidRPr="0023086C">
              <w:rPr>
                <w:rFonts w:asciiTheme="majorHAnsi" w:eastAsia="Calibri" w:hAnsiTheme="majorHAnsi"/>
                <w:sz w:val="18"/>
                <w:szCs w:val="18"/>
                <w:vertAlign w:val="subscript"/>
                <w:lang w:val="en-ID"/>
              </w:rPr>
              <w:t>2</w:t>
            </w:r>
            <w:r w:rsidRPr="0023086C">
              <w:rPr>
                <w:rFonts w:asciiTheme="majorHAnsi" w:eastAsia="Calibri" w:hAnsiTheme="majorHAnsi"/>
                <w:sz w:val="18"/>
                <w:szCs w:val="18"/>
                <w:lang w:val="en-ID"/>
              </w:rPr>
              <w:t xml:space="preserve"> BVSit +εit.</w:t>
            </w:r>
          </w:p>
        </w:tc>
        <w:tc>
          <w:tcPr>
            <w:tcW w:w="1843" w:type="dxa"/>
            <w:shd w:val="clear" w:color="auto" w:fill="auto"/>
          </w:tcPr>
          <w:p w:rsidR="002165D7" w:rsidRPr="0023086C" w:rsidRDefault="002165D7" w:rsidP="002165D7">
            <w:pPr>
              <w:tabs>
                <w:tab w:val="left" w:pos="426"/>
              </w:tabs>
              <w:jc w:val="center"/>
              <w:rPr>
                <w:rFonts w:asciiTheme="majorHAnsi" w:eastAsia="Calibri" w:hAnsiTheme="majorHAnsi"/>
                <w:sz w:val="18"/>
                <w:szCs w:val="18"/>
                <w:lang w:val="en-ID"/>
              </w:rPr>
            </w:pPr>
            <w:r w:rsidRPr="0023086C">
              <w:rPr>
                <w:rFonts w:asciiTheme="majorHAnsi" w:eastAsia="Calibri" w:hAnsiTheme="majorHAnsi"/>
                <w:sz w:val="18"/>
                <w:szCs w:val="18"/>
                <w:lang w:val="en-ID"/>
              </w:rPr>
              <w:t>Ratio</w:t>
            </w:r>
          </w:p>
        </w:tc>
      </w:tr>
      <w:tr w:rsidR="002165D7" w:rsidRPr="0023086C" w:rsidTr="002165D7">
        <w:tc>
          <w:tcPr>
            <w:tcW w:w="426" w:type="dxa"/>
            <w:shd w:val="clear" w:color="auto" w:fill="auto"/>
          </w:tcPr>
          <w:p w:rsidR="002165D7" w:rsidRPr="0023086C" w:rsidRDefault="002165D7" w:rsidP="002165D7">
            <w:pPr>
              <w:tabs>
                <w:tab w:val="left" w:pos="426"/>
              </w:tabs>
              <w:jc w:val="both"/>
              <w:rPr>
                <w:rFonts w:asciiTheme="majorHAnsi" w:eastAsia="Calibri" w:hAnsiTheme="majorHAnsi"/>
                <w:sz w:val="18"/>
                <w:szCs w:val="18"/>
                <w:lang w:val="en-ID"/>
              </w:rPr>
            </w:pPr>
            <w:r w:rsidRPr="0023086C">
              <w:rPr>
                <w:rFonts w:asciiTheme="majorHAnsi" w:eastAsia="Calibri" w:hAnsiTheme="majorHAnsi"/>
                <w:sz w:val="18"/>
                <w:szCs w:val="18"/>
                <w:lang w:val="en-ID"/>
              </w:rPr>
              <w:t>6</w:t>
            </w:r>
          </w:p>
        </w:tc>
        <w:tc>
          <w:tcPr>
            <w:tcW w:w="2234" w:type="dxa"/>
            <w:shd w:val="clear" w:color="auto" w:fill="auto"/>
          </w:tcPr>
          <w:p w:rsidR="002165D7" w:rsidRPr="0023086C" w:rsidRDefault="002165D7" w:rsidP="002165D7">
            <w:pPr>
              <w:tabs>
                <w:tab w:val="left" w:pos="426"/>
              </w:tabs>
              <w:jc w:val="both"/>
              <w:rPr>
                <w:rFonts w:asciiTheme="majorHAnsi" w:eastAsia="Calibri" w:hAnsiTheme="majorHAnsi"/>
                <w:sz w:val="18"/>
                <w:szCs w:val="18"/>
                <w:lang w:val="en-ID"/>
              </w:rPr>
            </w:pPr>
            <w:r w:rsidRPr="005620FA">
              <w:rPr>
                <w:rFonts w:asciiTheme="majorHAnsi" w:eastAsia="Calibri" w:hAnsiTheme="majorHAnsi"/>
                <w:i/>
                <w:sz w:val="18"/>
                <w:szCs w:val="18"/>
                <w:lang w:val="en-ID"/>
              </w:rPr>
              <w:t>Return</w:t>
            </w:r>
            <w:r w:rsidRPr="0023086C">
              <w:rPr>
                <w:rFonts w:asciiTheme="majorHAnsi" w:eastAsia="Calibri" w:hAnsiTheme="majorHAnsi"/>
                <w:sz w:val="18"/>
                <w:szCs w:val="18"/>
                <w:lang w:val="en-ID"/>
              </w:rPr>
              <w:t xml:space="preserve"> Saham</w:t>
            </w:r>
          </w:p>
          <w:p w:rsidR="002165D7" w:rsidRPr="0023086C" w:rsidRDefault="002165D7" w:rsidP="002165D7">
            <w:pPr>
              <w:tabs>
                <w:tab w:val="left" w:pos="426"/>
              </w:tabs>
              <w:jc w:val="both"/>
              <w:rPr>
                <w:rFonts w:asciiTheme="majorHAnsi" w:eastAsia="Calibri" w:hAnsiTheme="majorHAnsi"/>
                <w:sz w:val="18"/>
                <w:szCs w:val="18"/>
                <w:lang w:val="en-ID"/>
              </w:rPr>
            </w:pPr>
            <w:r w:rsidRPr="0023086C">
              <w:rPr>
                <w:rFonts w:asciiTheme="majorHAnsi" w:eastAsia="Calibri" w:hAnsiTheme="majorHAnsi"/>
                <w:sz w:val="18"/>
                <w:szCs w:val="18"/>
                <w:lang w:val="en-ID"/>
              </w:rPr>
              <w:fldChar w:fldCharType="begin" w:fldLock="1"/>
            </w:r>
            <w:r>
              <w:rPr>
                <w:rFonts w:asciiTheme="majorHAnsi" w:eastAsia="Calibri" w:hAnsiTheme="majorHAnsi"/>
                <w:sz w:val="18"/>
                <w:szCs w:val="18"/>
                <w:lang w:val="en-ID"/>
              </w:rPr>
              <w:instrText>ADDIN CSL_CITATION {"citationItems":[{"id":"ITEM-1","itemData":{"ISBN":"1337395250","author":[{"dropping-particle":"","family":"Eugene F. brigham","given":"Joel F. Houston","non-dropping-particle":"","parse-names":false,"suffix":""}],"id":"ITEM-1","issued":{"date-parts":[["0"]]},"publisher":"Cengage Learning","title":"Fundamentals of Financial Management (15th Edition) - eBook","type":"book"},"uris":["http://www.mendeley.com/documents/?uuid=0dfd9c09-c32a-4659-8eab-f8d46f057584"]}],"mendeley":{"formattedCitation":"(Eugene F. brigham, n.d.)","manualFormatting":"(Eugene F. brigham, 2020)","plainTextFormattedCitation":"(Eugene F. brigham, n.d.)","previouslyFormattedCitation":"(Eugene F. brigham, n.d.)"},"properties":{"noteIndex":0},"schema":"https://github.com/citation-style-language/schema/raw/master/csl-citation.json"}</w:instrText>
            </w:r>
            <w:r w:rsidRPr="0023086C">
              <w:rPr>
                <w:rFonts w:asciiTheme="majorHAnsi" w:eastAsia="Calibri" w:hAnsiTheme="majorHAnsi"/>
                <w:sz w:val="18"/>
                <w:szCs w:val="18"/>
                <w:lang w:val="en-ID"/>
              </w:rPr>
              <w:fldChar w:fldCharType="separate"/>
            </w:r>
            <w:r w:rsidRPr="0023086C">
              <w:rPr>
                <w:rFonts w:asciiTheme="majorHAnsi" w:eastAsia="Calibri" w:hAnsiTheme="majorHAnsi"/>
                <w:noProof/>
                <w:sz w:val="18"/>
                <w:szCs w:val="18"/>
                <w:lang w:val="en-ID"/>
              </w:rPr>
              <w:t>(Eugene F. brigham, 2020)</w:t>
            </w:r>
            <w:r w:rsidRPr="0023086C">
              <w:rPr>
                <w:rFonts w:asciiTheme="majorHAnsi" w:eastAsia="Calibri" w:hAnsiTheme="majorHAnsi"/>
                <w:sz w:val="18"/>
                <w:szCs w:val="18"/>
                <w:lang w:val="en-ID"/>
              </w:rPr>
              <w:fldChar w:fldCharType="end"/>
            </w:r>
          </w:p>
        </w:tc>
        <w:tc>
          <w:tcPr>
            <w:tcW w:w="2443" w:type="dxa"/>
            <w:shd w:val="clear" w:color="auto" w:fill="auto"/>
          </w:tcPr>
          <w:p w:rsidR="002165D7" w:rsidRPr="005620FA" w:rsidRDefault="002165D7" w:rsidP="002165D7">
            <w:pPr>
              <w:tabs>
                <w:tab w:val="left" w:pos="426"/>
              </w:tabs>
              <w:rPr>
                <w:rFonts w:asciiTheme="majorHAnsi" w:eastAsia="Calibri" w:hAnsiTheme="majorHAnsi"/>
                <w:i/>
                <w:sz w:val="18"/>
                <w:szCs w:val="18"/>
                <w:lang w:val="en-ID"/>
              </w:rPr>
            </w:pPr>
            <w:r w:rsidRPr="005620FA">
              <w:rPr>
                <w:rFonts w:asciiTheme="majorHAnsi" w:eastAsia="Calibri" w:hAnsiTheme="majorHAnsi"/>
                <w:i/>
                <w:sz w:val="18"/>
                <w:szCs w:val="18"/>
                <w:lang w:val="en-ID"/>
              </w:rPr>
              <w:t xml:space="preserve">Capital Gain </w:t>
            </w:r>
          </w:p>
        </w:tc>
        <w:tc>
          <w:tcPr>
            <w:tcW w:w="2977" w:type="dxa"/>
            <w:shd w:val="clear" w:color="auto" w:fill="auto"/>
          </w:tcPr>
          <w:p w:rsidR="002165D7" w:rsidRPr="0023086C" w:rsidRDefault="002165D7" w:rsidP="002165D7">
            <w:pPr>
              <w:tabs>
                <w:tab w:val="left" w:pos="426"/>
              </w:tabs>
              <w:jc w:val="both"/>
              <w:rPr>
                <w:rFonts w:asciiTheme="majorHAnsi" w:eastAsia="Calibri" w:hAnsiTheme="majorHAnsi"/>
                <w:sz w:val="18"/>
                <w:szCs w:val="18"/>
                <w:lang w:val="en-ID"/>
              </w:rPr>
            </w:pPr>
            <w:r w:rsidRPr="005620FA">
              <w:rPr>
                <w:rFonts w:asciiTheme="majorHAnsi" w:eastAsia="Times New Roman" w:hAnsiTheme="majorHAnsi"/>
                <w:i/>
                <w:sz w:val="18"/>
                <w:szCs w:val="18"/>
                <w:lang w:val="en-ID"/>
              </w:rPr>
              <w:t>Return</w:t>
            </w:r>
            <w:r w:rsidRPr="0023086C">
              <w:rPr>
                <w:rFonts w:asciiTheme="majorHAnsi" w:eastAsia="Times New Roman" w:hAnsiTheme="majorHAnsi"/>
                <w:sz w:val="18"/>
                <w:szCs w:val="18"/>
                <w:lang w:val="en-ID"/>
              </w:rPr>
              <w:t xml:space="preserve"> Saham  = </w:t>
            </w:r>
            <m:oMath>
              <m:f>
                <m:fPr>
                  <m:ctrlPr>
                    <w:rPr>
                      <w:rFonts w:ascii="Cambria Math" w:eastAsia="Calibri" w:hAnsi="Cambria Math"/>
                      <w:i/>
                      <w:sz w:val="18"/>
                      <w:szCs w:val="18"/>
                      <w:lang w:val="en-ID"/>
                    </w:rPr>
                  </m:ctrlPr>
                </m:fPr>
                <m:num>
                  <m:r>
                    <w:rPr>
                      <w:rFonts w:ascii="Cambria Math" w:eastAsia="Calibri" w:hAnsi="Cambria Math"/>
                      <w:sz w:val="18"/>
                      <w:szCs w:val="18"/>
                      <w:lang w:val="en-ID"/>
                    </w:rPr>
                    <m:t>Pt-(Pt-1)</m:t>
                  </m:r>
                </m:num>
                <m:den>
                  <m:r>
                    <w:rPr>
                      <w:rFonts w:ascii="Cambria Math" w:eastAsia="Calibri" w:hAnsi="Cambria Math"/>
                      <w:sz w:val="18"/>
                      <w:szCs w:val="18"/>
                      <w:lang w:val="en-ID"/>
                    </w:rPr>
                    <m:t>Pt-1</m:t>
                  </m:r>
                </m:den>
              </m:f>
            </m:oMath>
          </w:p>
        </w:tc>
        <w:tc>
          <w:tcPr>
            <w:tcW w:w="1843" w:type="dxa"/>
            <w:shd w:val="clear" w:color="auto" w:fill="auto"/>
          </w:tcPr>
          <w:p w:rsidR="002165D7" w:rsidRPr="0023086C" w:rsidRDefault="002165D7" w:rsidP="002165D7">
            <w:pPr>
              <w:tabs>
                <w:tab w:val="left" w:pos="426"/>
              </w:tabs>
              <w:jc w:val="center"/>
              <w:rPr>
                <w:rFonts w:asciiTheme="majorHAnsi" w:eastAsia="Calibri" w:hAnsiTheme="majorHAnsi"/>
                <w:sz w:val="18"/>
                <w:szCs w:val="18"/>
                <w:lang w:val="en-ID"/>
              </w:rPr>
            </w:pPr>
            <w:r w:rsidRPr="0023086C">
              <w:rPr>
                <w:rFonts w:asciiTheme="majorHAnsi" w:eastAsia="Calibri" w:hAnsiTheme="majorHAnsi"/>
                <w:sz w:val="18"/>
                <w:szCs w:val="18"/>
                <w:lang w:val="en-ID"/>
              </w:rPr>
              <w:t>Ratio</w:t>
            </w:r>
          </w:p>
        </w:tc>
      </w:tr>
    </w:tbl>
    <w:p w:rsidR="002165D7" w:rsidRPr="00E640C9" w:rsidRDefault="002165D7" w:rsidP="002165D7">
      <w:pPr>
        <w:spacing w:line="259" w:lineRule="auto"/>
        <w:rPr>
          <w:sz w:val="16"/>
          <w:szCs w:val="16"/>
        </w:rPr>
      </w:pPr>
      <w:proofErr w:type="gramStart"/>
      <w:r w:rsidRPr="00E640C9">
        <w:rPr>
          <w:sz w:val="16"/>
          <w:szCs w:val="16"/>
        </w:rPr>
        <w:t>Sumber :</w:t>
      </w:r>
      <w:proofErr w:type="gramEnd"/>
      <w:r w:rsidRPr="00E640C9">
        <w:rPr>
          <w:sz w:val="16"/>
          <w:szCs w:val="16"/>
        </w:rPr>
        <w:t xml:space="preserve"> Data diolah penulis dari hasil pengumpulan sumber buku dan jurnal</w:t>
      </w:r>
    </w:p>
    <w:p w:rsidR="002165D7" w:rsidRDefault="002165D7" w:rsidP="002165D7">
      <w:pPr>
        <w:spacing w:line="259" w:lineRule="auto"/>
        <w:rPr>
          <w:rFonts w:asciiTheme="minorHAnsi" w:hAnsiTheme="minorHAnsi" w:cstheme="minorHAnsi"/>
          <w:b/>
          <w:sz w:val="24"/>
          <w:szCs w:val="24"/>
        </w:rPr>
      </w:pPr>
    </w:p>
    <w:p w:rsidR="002165D7" w:rsidRDefault="002165D7" w:rsidP="002165D7">
      <w:pPr>
        <w:spacing w:line="259" w:lineRule="auto"/>
        <w:rPr>
          <w:rFonts w:asciiTheme="minorHAnsi" w:hAnsiTheme="minorHAnsi" w:cstheme="minorHAnsi"/>
          <w:b/>
          <w:sz w:val="24"/>
          <w:szCs w:val="24"/>
        </w:rPr>
        <w:sectPr w:rsidR="002165D7" w:rsidSect="002165D7">
          <w:type w:val="continuous"/>
          <w:pgSz w:w="12190" w:h="15880"/>
          <w:pgMar w:top="1040" w:right="1020" w:bottom="280" w:left="1020" w:header="720" w:footer="720" w:gutter="0"/>
          <w:cols w:space="720"/>
        </w:sectPr>
      </w:pPr>
    </w:p>
    <w:p w:rsidR="002165D7" w:rsidRDefault="002165D7" w:rsidP="002165D7">
      <w:pPr>
        <w:spacing w:line="259" w:lineRule="auto"/>
        <w:rPr>
          <w:rFonts w:asciiTheme="minorHAnsi" w:hAnsiTheme="minorHAnsi" w:cstheme="minorHAnsi"/>
          <w:b/>
          <w:sz w:val="24"/>
          <w:szCs w:val="24"/>
        </w:rPr>
      </w:pPr>
      <w:r>
        <w:rPr>
          <w:rFonts w:asciiTheme="minorHAnsi" w:hAnsiTheme="minorHAnsi" w:cstheme="minorHAnsi"/>
          <w:b/>
          <w:sz w:val="24"/>
          <w:szCs w:val="24"/>
        </w:rPr>
        <w:lastRenderedPageBreak/>
        <w:t>5. Hasil dan Pembahasan</w:t>
      </w:r>
    </w:p>
    <w:p w:rsidR="002165D7" w:rsidRDefault="002165D7" w:rsidP="002165D7">
      <w:pPr>
        <w:spacing w:line="259" w:lineRule="auto"/>
        <w:rPr>
          <w:rFonts w:asciiTheme="minorHAnsi" w:hAnsiTheme="minorHAnsi" w:cstheme="minorHAnsi"/>
          <w:b/>
          <w:sz w:val="24"/>
          <w:szCs w:val="24"/>
        </w:rPr>
      </w:pPr>
      <w:r>
        <w:rPr>
          <w:rFonts w:asciiTheme="minorHAnsi" w:hAnsiTheme="minorHAnsi" w:cstheme="minorHAnsi"/>
          <w:b/>
          <w:sz w:val="24"/>
          <w:szCs w:val="24"/>
        </w:rPr>
        <w:t>a. Hasil</w:t>
      </w:r>
    </w:p>
    <w:p w:rsidR="002165D7" w:rsidRDefault="002165D7" w:rsidP="002165D7">
      <w:pPr>
        <w:spacing w:line="259" w:lineRule="auto"/>
        <w:rPr>
          <w:rFonts w:cstheme="minorHAnsi"/>
          <w:sz w:val="21"/>
          <w:szCs w:val="21"/>
        </w:rPr>
      </w:pPr>
    </w:p>
    <w:p w:rsidR="002165D7" w:rsidRDefault="002165D7" w:rsidP="002165D7">
      <w:pPr>
        <w:spacing w:line="259" w:lineRule="auto"/>
        <w:rPr>
          <w:rFonts w:cstheme="minorHAnsi"/>
          <w:sz w:val="21"/>
          <w:szCs w:val="21"/>
        </w:rPr>
      </w:pPr>
    </w:p>
    <w:p w:rsidR="002165D7" w:rsidRDefault="002165D7" w:rsidP="002165D7">
      <w:pPr>
        <w:spacing w:line="259" w:lineRule="auto"/>
        <w:rPr>
          <w:rFonts w:cstheme="minorHAnsi"/>
          <w:sz w:val="21"/>
          <w:szCs w:val="21"/>
        </w:rPr>
        <w:sectPr w:rsidR="002165D7" w:rsidSect="002165D7">
          <w:type w:val="continuous"/>
          <w:pgSz w:w="12190" w:h="15880"/>
          <w:pgMar w:top="1040" w:right="1020" w:bottom="280" w:left="1020" w:header="720" w:footer="720" w:gutter="0"/>
          <w:cols w:num="2" w:space="284"/>
        </w:sectPr>
      </w:pPr>
    </w:p>
    <w:p w:rsidR="002165D7" w:rsidRDefault="002165D7" w:rsidP="002165D7">
      <w:pPr>
        <w:spacing w:line="259" w:lineRule="auto"/>
        <w:rPr>
          <w:rFonts w:cstheme="minorHAnsi"/>
          <w:sz w:val="21"/>
          <w:szCs w:val="21"/>
        </w:rPr>
      </w:pPr>
    </w:p>
    <w:p w:rsidR="002165D7" w:rsidRDefault="002165D7" w:rsidP="002165D7">
      <w:pPr>
        <w:spacing w:line="259" w:lineRule="auto"/>
        <w:rPr>
          <w:rFonts w:cstheme="minorHAnsi"/>
          <w:sz w:val="21"/>
          <w:szCs w:val="21"/>
        </w:rPr>
      </w:pPr>
    </w:p>
    <w:p w:rsidR="002165D7" w:rsidRDefault="002165D7" w:rsidP="002165D7">
      <w:pPr>
        <w:spacing w:line="259" w:lineRule="auto"/>
        <w:rPr>
          <w:rFonts w:cstheme="minorHAnsi"/>
          <w:sz w:val="21"/>
          <w:szCs w:val="21"/>
        </w:rPr>
      </w:pPr>
    </w:p>
    <w:p w:rsidR="002165D7" w:rsidRDefault="002165D7" w:rsidP="002165D7">
      <w:pPr>
        <w:spacing w:line="259" w:lineRule="auto"/>
        <w:rPr>
          <w:rFonts w:cstheme="minorHAnsi"/>
          <w:sz w:val="21"/>
          <w:szCs w:val="21"/>
        </w:rPr>
      </w:pPr>
    </w:p>
    <w:p w:rsidR="002165D7" w:rsidRDefault="002165D7" w:rsidP="002165D7">
      <w:pPr>
        <w:spacing w:line="259" w:lineRule="auto"/>
        <w:rPr>
          <w:rFonts w:cstheme="minorHAnsi"/>
          <w:sz w:val="21"/>
          <w:szCs w:val="21"/>
          <w:lang w:val="id-ID"/>
        </w:rPr>
      </w:pPr>
    </w:p>
    <w:p w:rsidR="002165D7" w:rsidRDefault="002165D7" w:rsidP="002165D7">
      <w:pPr>
        <w:spacing w:line="259" w:lineRule="auto"/>
        <w:rPr>
          <w:rFonts w:cstheme="minorHAnsi"/>
          <w:sz w:val="21"/>
          <w:szCs w:val="21"/>
          <w:lang w:val="en-ID"/>
        </w:rPr>
      </w:pPr>
    </w:p>
    <w:p w:rsidR="002165D7" w:rsidRDefault="002165D7" w:rsidP="002165D7">
      <w:pPr>
        <w:spacing w:line="259" w:lineRule="auto"/>
        <w:rPr>
          <w:rFonts w:cstheme="minorHAnsi"/>
          <w:sz w:val="21"/>
          <w:szCs w:val="21"/>
          <w:lang w:val="en-ID"/>
        </w:rPr>
      </w:pPr>
    </w:p>
    <w:p w:rsidR="002165D7" w:rsidRDefault="002165D7" w:rsidP="002165D7">
      <w:pPr>
        <w:spacing w:line="259" w:lineRule="auto"/>
        <w:rPr>
          <w:rFonts w:cstheme="minorHAnsi"/>
          <w:sz w:val="21"/>
          <w:szCs w:val="21"/>
          <w:lang w:val="en-ID"/>
        </w:rPr>
      </w:pPr>
    </w:p>
    <w:p w:rsidR="002165D7" w:rsidRDefault="002165D7" w:rsidP="002165D7">
      <w:pPr>
        <w:spacing w:line="259" w:lineRule="auto"/>
        <w:rPr>
          <w:rFonts w:cstheme="minorHAnsi"/>
          <w:sz w:val="21"/>
          <w:szCs w:val="21"/>
          <w:lang w:val="en-ID"/>
        </w:rPr>
      </w:pPr>
    </w:p>
    <w:p w:rsidR="002165D7" w:rsidRPr="00111E2D" w:rsidRDefault="002165D7" w:rsidP="002165D7">
      <w:pPr>
        <w:spacing w:line="259" w:lineRule="auto"/>
        <w:rPr>
          <w:rFonts w:cstheme="minorHAnsi"/>
          <w:sz w:val="21"/>
          <w:szCs w:val="21"/>
          <w:lang w:val="en-ID"/>
        </w:rPr>
      </w:pPr>
    </w:p>
    <w:p w:rsidR="002165D7" w:rsidRPr="009A25A8" w:rsidRDefault="002165D7" w:rsidP="002165D7">
      <w:pPr>
        <w:spacing w:line="259" w:lineRule="auto"/>
        <w:jc w:val="both"/>
        <w:rPr>
          <w:rFonts w:cstheme="minorHAnsi"/>
          <w:sz w:val="21"/>
          <w:szCs w:val="21"/>
          <w:lang w:val="id-ID"/>
        </w:rPr>
      </w:pPr>
      <w:proofErr w:type="gramStart"/>
      <w:r>
        <w:rPr>
          <w:rFonts w:cstheme="minorHAnsi"/>
          <w:sz w:val="21"/>
          <w:szCs w:val="21"/>
        </w:rPr>
        <w:lastRenderedPageBreak/>
        <w:t>Tabel.</w:t>
      </w:r>
      <w:proofErr w:type="gramEnd"/>
      <w:r>
        <w:rPr>
          <w:rFonts w:cstheme="minorHAnsi"/>
          <w:sz w:val="21"/>
          <w:szCs w:val="21"/>
        </w:rPr>
        <w:t xml:space="preserve"> 2 </w:t>
      </w:r>
      <w:r w:rsidRPr="00EE4B22">
        <w:rPr>
          <w:rFonts w:cstheme="minorHAnsi"/>
          <w:sz w:val="21"/>
          <w:szCs w:val="21"/>
        </w:rPr>
        <w:t xml:space="preserve">Hipotesis - </w:t>
      </w:r>
      <w:r w:rsidRPr="00EE4B22">
        <w:rPr>
          <w:rFonts w:cstheme="minorHAnsi"/>
          <w:i/>
          <w:sz w:val="21"/>
          <w:szCs w:val="21"/>
        </w:rPr>
        <w:t>Random Effect Model</w:t>
      </w:r>
      <w:r>
        <w:rPr>
          <w:rFonts w:cstheme="minorHAnsi"/>
          <w:sz w:val="21"/>
          <w:szCs w:val="21"/>
        </w:rPr>
        <w:t xml:space="preserve"> -</w:t>
      </w:r>
      <w:r w:rsidRPr="00EE4B22">
        <w:rPr>
          <w:rFonts w:cstheme="minorHAnsi"/>
          <w:sz w:val="21"/>
          <w:szCs w:val="21"/>
        </w:rPr>
        <w:t xml:space="preserve"> Variabel Kualitas Laba</w:t>
      </w:r>
      <w:r>
        <w:rPr>
          <w:rFonts w:cstheme="minorHAnsi"/>
          <w:sz w:val="21"/>
          <w:szCs w:val="21"/>
        </w:rPr>
        <w:t xml:space="preserve"> dan </w:t>
      </w:r>
      <w:r w:rsidRPr="00EE4B22">
        <w:rPr>
          <w:rFonts w:cstheme="minorHAnsi"/>
          <w:i/>
          <w:sz w:val="21"/>
          <w:szCs w:val="21"/>
        </w:rPr>
        <w:t>Weighted Common Effect</w:t>
      </w:r>
      <w:r>
        <w:rPr>
          <w:rFonts w:cstheme="minorHAnsi"/>
          <w:sz w:val="21"/>
          <w:szCs w:val="21"/>
        </w:rPr>
        <w:t xml:space="preserve"> - Variabel D</w:t>
      </w:r>
      <w:r w:rsidRPr="00EE4B22">
        <w:rPr>
          <w:rFonts w:cstheme="minorHAnsi"/>
          <w:sz w:val="21"/>
          <w:szCs w:val="21"/>
        </w:rPr>
        <w:t xml:space="preserve">ependen </w:t>
      </w:r>
      <w:r w:rsidRPr="00EE4B22">
        <w:rPr>
          <w:rFonts w:cstheme="minorHAnsi"/>
          <w:i/>
          <w:sz w:val="21"/>
          <w:szCs w:val="21"/>
        </w:rPr>
        <w:t>Return</w:t>
      </w:r>
      <w:r w:rsidRPr="00EE4B22">
        <w:rPr>
          <w:rFonts w:cstheme="minorHAnsi"/>
          <w:sz w:val="21"/>
          <w:szCs w:val="21"/>
        </w:rPr>
        <w:t xml:space="preserve"> Saham</w:t>
      </w:r>
    </w:p>
    <w:tbl>
      <w:tblPr>
        <w:tblStyle w:val="TableGrid"/>
        <w:tblW w:w="0" w:type="auto"/>
        <w:tblLook w:val="04A0" w:firstRow="1" w:lastRow="0" w:firstColumn="1" w:lastColumn="0" w:noHBand="0" w:noVBand="1"/>
      </w:tblPr>
      <w:tblGrid>
        <w:gridCol w:w="4219"/>
        <w:gridCol w:w="2410"/>
        <w:gridCol w:w="1276"/>
        <w:gridCol w:w="1275"/>
        <w:gridCol w:w="1186"/>
      </w:tblGrid>
      <w:tr w:rsidR="002165D7" w:rsidRPr="006123EA" w:rsidTr="002165D7">
        <w:trPr>
          <w:trHeight w:val="77"/>
        </w:trPr>
        <w:tc>
          <w:tcPr>
            <w:tcW w:w="10366" w:type="dxa"/>
            <w:gridSpan w:val="5"/>
          </w:tcPr>
          <w:p w:rsidR="002165D7" w:rsidRPr="00EE4B22" w:rsidRDefault="002165D7" w:rsidP="002165D7">
            <w:pPr>
              <w:pStyle w:val="ListParagraph"/>
              <w:tabs>
                <w:tab w:val="left" w:pos="567"/>
              </w:tabs>
              <w:ind w:left="0" w:firstLine="0"/>
              <w:jc w:val="center"/>
              <w:rPr>
                <w:rFonts w:asciiTheme="majorHAnsi" w:hAnsiTheme="majorHAnsi" w:cs="Times New Roman"/>
                <w:b/>
                <w:i/>
                <w:noProof/>
                <w:sz w:val="18"/>
                <w:szCs w:val="18"/>
              </w:rPr>
            </w:pPr>
            <w:r>
              <w:rPr>
                <w:rFonts w:asciiTheme="majorHAnsi" w:hAnsiTheme="majorHAnsi" w:cs="Times New Roman"/>
                <w:b/>
                <w:i/>
                <w:noProof/>
                <w:sz w:val="18"/>
                <w:szCs w:val="18"/>
              </w:rPr>
              <w:t>Random Effect Model -  Variabel D</w:t>
            </w:r>
            <w:r w:rsidRPr="00EE4B22">
              <w:rPr>
                <w:rFonts w:asciiTheme="majorHAnsi" w:hAnsiTheme="majorHAnsi" w:cs="Times New Roman"/>
                <w:b/>
                <w:i/>
                <w:noProof/>
                <w:sz w:val="18"/>
                <w:szCs w:val="18"/>
              </w:rPr>
              <w:t>ependen Kualitas Laba</w:t>
            </w:r>
          </w:p>
        </w:tc>
      </w:tr>
      <w:tr w:rsidR="002165D7" w:rsidRPr="006123EA" w:rsidTr="002165D7">
        <w:trPr>
          <w:trHeight w:val="77"/>
        </w:trPr>
        <w:tc>
          <w:tcPr>
            <w:tcW w:w="4219" w:type="dxa"/>
          </w:tcPr>
          <w:p w:rsidR="002165D7" w:rsidRPr="006123EA" w:rsidRDefault="002165D7" w:rsidP="002165D7">
            <w:pPr>
              <w:pStyle w:val="ListParagraph"/>
              <w:tabs>
                <w:tab w:val="left" w:pos="567"/>
              </w:tabs>
              <w:ind w:left="0" w:firstLine="0"/>
              <w:jc w:val="center"/>
              <w:rPr>
                <w:rFonts w:asciiTheme="majorHAnsi" w:hAnsiTheme="majorHAnsi" w:cs="Times New Roman"/>
                <w:noProof/>
                <w:sz w:val="18"/>
                <w:szCs w:val="18"/>
              </w:rPr>
            </w:pPr>
          </w:p>
        </w:tc>
        <w:tc>
          <w:tcPr>
            <w:tcW w:w="2410" w:type="dxa"/>
          </w:tcPr>
          <w:p w:rsidR="002165D7" w:rsidRPr="006123EA" w:rsidRDefault="002165D7" w:rsidP="002165D7">
            <w:pPr>
              <w:pStyle w:val="ListParagraph"/>
              <w:tabs>
                <w:tab w:val="left" w:pos="567"/>
              </w:tabs>
              <w:ind w:left="0" w:firstLine="0"/>
              <w:jc w:val="center"/>
              <w:rPr>
                <w:rFonts w:asciiTheme="majorHAnsi" w:hAnsiTheme="majorHAnsi" w:cs="Times New Roman"/>
                <w:noProof/>
                <w:sz w:val="18"/>
                <w:szCs w:val="18"/>
              </w:rPr>
            </w:pPr>
          </w:p>
        </w:tc>
        <w:tc>
          <w:tcPr>
            <w:tcW w:w="3737" w:type="dxa"/>
            <w:gridSpan w:val="3"/>
          </w:tcPr>
          <w:p w:rsidR="002165D7" w:rsidRPr="006123EA" w:rsidRDefault="002165D7" w:rsidP="002165D7">
            <w:pPr>
              <w:pStyle w:val="ListParagraph"/>
              <w:tabs>
                <w:tab w:val="left" w:pos="567"/>
              </w:tabs>
              <w:ind w:left="0" w:firstLine="0"/>
              <w:jc w:val="center"/>
              <w:rPr>
                <w:rFonts w:asciiTheme="majorHAnsi" w:hAnsiTheme="majorHAnsi" w:cs="Times New Roman"/>
                <w:noProof/>
                <w:sz w:val="18"/>
                <w:szCs w:val="18"/>
              </w:rPr>
            </w:pPr>
          </w:p>
        </w:tc>
      </w:tr>
      <w:tr w:rsidR="002165D7" w:rsidRPr="00EE4B22" w:rsidTr="002165D7">
        <w:trPr>
          <w:trHeight w:val="77"/>
        </w:trPr>
        <w:tc>
          <w:tcPr>
            <w:tcW w:w="4219" w:type="dxa"/>
          </w:tcPr>
          <w:p w:rsidR="002165D7" w:rsidRPr="00EE4B22" w:rsidRDefault="002165D7" w:rsidP="002165D7">
            <w:pPr>
              <w:pStyle w:val="ListParagraph"/>
              <w:tabs>
                <w:tab w:val="left" w:pos="567"/>
              </w:tabs>
              <w:ind w:left="0" w:firstLine="0"/>
              <w:jc w:val="center"/>
              <w:rPr>
                <w:rFonts w:asciiTheme="majorHAnsi" w:hAnsiTheme="majorHAnsi" w:cs="Times New Roman"/>
                <w:b/>
                <w:noProof/>
                <w:sz w:val="18"/>
                <w:szCs w:val="18"/>
              </w:rPr>
            </w:pPr>
            <w:r w:rsidRPr="00EE4B22">
              <w:rPr>
                <w:rFonts w:asciiTheme="majorHAnsi" w:hAnsiTheme="majorHAnsi" w:cs="Times New Roman"/>
                <w:b/>
                <w:noProof/>
                <w:sz w:val="18"/>
                <w:szCs w:val="18"/>
              </w:rPr>
              <w:t>Hypotheses</w:t>
            </w:r>
          </w:p>
        </w:tc>
        <w:tc>
          <w:tcPr>
            <w:tcW w:w="2410" w:type="dxa"/>
          </w:tcPr>
          <w:p w:rsidR="002165D7" w:rsidRPr="00EE4B22" w:rsidRDefault="002165D7" w:rsidP="002165D7">
            <w:pPr>
              <w:pStyle w:val="ListParagraph"/>
              <w:tabs>
                <w:tab w:val="left" w:pos="567"/>
              </w:tabs>
              <w:ind w:left="0" w:firstLine="0"/>
              <w:jc w:val="center"/>
              <w:rPr>
                <w:rFonts w:asciiTheme="majorHAnsi" w:hAnsiTheme="majorHAnsi" w:cs="Times New Roman"/>
                <w:b/>
                <w:noProof/>
                <w:sz w:val="18"/>
                <w:szCs w:val="18"/>
              </w:rPr>
            </w:pPr>
            <w:r w:rsidRPr="00EE4B22">
              <w:rPr>
                <w:rFonts w:asciiTheme="majorHAnsi" w:hAnsiTheme="majorHAnsi" w:cs="Times New Roman"/>
                <w:b/>
                <w:noProof/>
                <w:sz w:val="18"/>
                <w:szCs w:val="18"/>
              </w:rPr>
              <w:t>Independent Variables</w:t>
            </w:r>
          </w:p>
        </w:tc>
        <w:tc>
          <w:tcPr>
            <w:tcW w:w="3737" w:type="dxa"/>
            <w:gridSpan w:val="3"/>
          </w:tcPr>
          <w:p w:rsidR="002165D7" w:rsidRPr="00EE4B22" w:rsidRDefault="002165D7" w:rsidP="002165D7">
            <w:pPr>
              <w:pStyle w:val="ListParagraph"/>
              <w:tabs>
                <w:tab w:val="left" w:pos="567"/>
              </w:tabs>
              <w:ind w:left="0" w:firstLine="0"/>
              <w:jc w:val="center"/>
              <w:rPr>
                <w:rFonts w:asciiTheme="majorHAnsi" w:hAnsiTheme="majorHAnsi" w:cs="Times New Roman"/>
                <w:b/>
                <w:noProof/>
                <w:sz w:val="18"/>
                <w:szCs w:val="18"/>
              </w:rPr>
            </w:pPr>
            <w:r w:rsidRPr="00EE4B22">
              <w:rPr>
                <w:rFonts w:asciiTheme="majorHAnsi" w:hAnsiTheme="majorHAnsi" w:cs="Times New Roman"/>
                <w:b/>
                <w:noProof/>
                <w:sz w:val="18"/>
                <w:szCs w:val="18"/>
              </w:rPr>
              <w:t>Weighted Common Effect Model Results</w:t>
            </w:r>
          </w:p>
        </w:tc>
      </w:tr>
      <w:tr w:rsidR="002165D7" w:rsidRPr="006123EA" w:rsidTr="002165D7">
        <w:tc>
          <w:tcPr>
            <w:tcW w:w="4219"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p>
        </w:tc>
        <w:tc>
          <w:tcPr>
            <w:tcW w:w="2410"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p>
        </w:tc>
        <w:tc>
          <w:tcPr>
            <w:tcW w:w="1276" w:type="dxa"/>
          </w:tcPr>
          <w:p w:rsidR="002165D7" w:rsidRPr="006123EA" w:rsidRDefault="002165D7" w:rsidP="002165D7">
            <w:pPr>
              <w:pStyle w:val="ListParagraph"/>
              <w:tabs>
                <w:tab w:val="left" w:pos="567"/>
              </w:tabs>
              <w:ind w:left="0" w:firstLine="0"/>
              <w:jc w:val="center"/>
              <w:rPr>
                <w:rFonts w:asciiTheme="majorHAnsi" w:hAnsiTheme="majorHAnsi" w:cs="Times New Roman"/>
                <w:noProof/>
                <w:sz w:val="18"/>
                <w:szCs w:val="18"/>
              </w:rPr>
            </w:pPr>
            <w:r w:rsidRPr="006123EA">
              <w:rPr>
                <w:rFonts w:asciiTheme="majorHAnsi" w:hAnsiTheme="majorHAnsi" w:cs="Times New Roman"/>
                <w:noProof/>
                <w:sz w:val="18"/>
                <w:szCs w:val="18"/>
              </w:rPr>
              <w:t>β</w:t>
            </w:r>
          </w:p>
        </w:tc>
        <w:tc>
          <w:tcPr>
            <w:tcW w:w="1275" w:type="dxa"/>
          </w:tcPr>
          <w:p w:rsidR="002165D7" w:rsidRPr="006123EA" w:rsidRDefault="002165D7" w:rsidP="002165D7">
            <w:pPr>
              <w:pStyle w:val="ListParagraph"/>
              <w:tabs>
                <w:tab w:val="left" w:pos="567"/>
              </w:tabs>
              <w:ind w:left="0" w:firstLine="0"/>
              <w:jc w:val="center"/>
              <w:rPr>
                <w:rFonts w:asciiTheme="majorHAnsi" w:hAnsiTheme="majorHAnsi" w:cs="Times New Roman"/>
                <w:noProof/>
                <w:sz w:val="18"/>
                <w:szCs w:val="18"/>
              </w:rPr>
            </w:pPr>
            <w:r w:rsidRPr="006123EA">
              <w:rPr>
                <w:rFonts w:asciiTheme="majorHAnsi" w:hAnsiTheme="majorHAnsi" w:cs="Times New Roman"/>
                <w:i/>
                <w:noProof/>
                <w:sz w:val="18"/>
                <w:szCs w:val="18"/>
              </w:rPr>
              <w:t>t</w:t>
            </w:r>
            <w:r w:rsidRPr="006123EA">
              <w:rPr>
                <w:rFonts w:asciiTheme="majorHAnsi" w:hAnsiTheme="majorHAnsi" w:cs="Times New Roman"/>
                <w:noProof/>
                <w:sz w:val="18"/>
                <w:szCs w:val="18"/>
              </w:rPr>
              <w:t>-Statistic</w:t>
            </w:r>
          </w:p>
        </w:tc>
        <w:tc>
          <w:tcPr>
            <w:tcW w:w="1186" w:type="dxa"/>
          </w:tcPr>
          <w:p w:rsidR="002165D7" w:rsidRPr="006123EA" w:rsidRDefault="002165D7" w:rsidP="002165D7">
            <w:pPr>
              <w:pStyle w:val="ListParagraph"/>
              <w:tabs>
                <w:tab w:val="left" w:pos="567"/>
              </w:tabs>
              <w:ind w:left="0" w:firstLine="0"/>
              <w:jc w:val="center"/>
              <w:rPr>
                <w:rFonts w:asciiTheme="majorHAnsi" w:hAnsiTheme="majorHAnsi" w:cs="Times New Roman"/>
                <w:noProof/>
                <w:sz w:val="18"/>
                <w:szCs w:val="18"/>
              </w:rPr>
            </w:pPr>
            <w:r w:rsidRPr="006123EA">
              <w:rPr>
                <w:rFonts w:asciiTheme="majorHAnsi" w:hAnsiTheme="majorHAnsi" w:cs="Times New Roman"/>
                <w:i/>
                <w:noProof/>
                <w:sz w:val="18"/>
                <w:szCs w:val="18"/>
              </w:rPr>
              <w:t>Ρ</w:t>
            </w:r>
            <w:r w:rsidRPr="006123EA">
              <w:rPr>
                <w:rFonts w:asciiTheme="majorHAnsi" w:hAnsiTheme="majorHAnsi" w:cs="Times New Roman"/>
                <w:noProof/>
                <w:sz w:val="18"/>
                <w:szCs w:val="18"/>
              </w:rPr>
              <w:t>-value</w:t>
            </w:r>
          </w:p>
        </w:tc>
      </w:tr>
      <w:tr w:rsidR="002165D7" w:rsidRPr="006123EA" w:rsidTr="002165D7">
        <w:tc>
          <w:tcPr>
            <w:tcW w:w="4219"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Pengaruh  Kepemilikan Manajerial  terhadap Kualitas Laba</w:t>
            </w:r>
          </w:p>
        </w:tc>
        <w:tc>
          <w:tcPr>
            <w:tcW w:w="2410"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Kepemilikan Manajerial</w:t>
            </w:r>
          </w:p>
        </w:tc>
        <w:tc>
          <w:tcPr>
            <w:tcW w:w="1276"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0,026428</w:t>
            </w:r>
          </w:p>
        </w:tc>
        <w:tc>
          <w:tcPr>
            <w:tcW w:w="1275"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0,450987</w:t>
            </w:r>
          </w:p>
        </w:tc>
        <w:tc>
          <w:tcPr>
            <w:tcW w:w="1186"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0,6534</w:t>
            </w:r>
          </w:p>
        </w:tc>
      </w:tr>
      <w:tr w:rsidR="002165D7" w:rsidRPr="006123EA" w:rsidTr="002165D7">
        <w:tc>
          <w:tcPr>
            <w:tcW w:w="4219"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Pengaruh Kepemilikan Institusional terhadap Kualitas Laba</w:t>
            </w:r>
          </w:p>
        </w:tc>
        <w:tc>
          <w:tcPr>
            <w:tcW w:w="2410"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Kepemilikan Institusional</w:t>
            </w:r>
          </w:p>
        </w:tc>
        <w:tc>
          <w:tcPr>
            <w:tcW w:w="1276"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-0,776052</w:t>
            </w:r>
          </w:p>
        </w:tc>
        <w:tc>
          <w:tcPr>
            <w:tcW w:w="1275"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-1,876073</w:t>
            </w:r>
          </w:p>
        </w:tc>
        <w:tc>
          <w:tcPr>
            <w:tcW w:w="1186"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0,0649</w:t>
            </w:r>
          </w:p>
        </w:tc>
      </w:tr>
      <w:tr w:rsidR="002165D7" w:rsidRPr="006123EA" w:rsidTr="002165D7">
        <w:tc>
          <w:tcPr>
            <w:tcW w:w="4219"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Pengaruh Dewan Komisaris Independen terhadap Kualitas Laba</w:t>
            </w:r>
          </w:p>
        </w:tc>
        <w:tc>
          <w:tcPr>
            <w:tcW w:w="2410" w:type="dxa"/>
          </w:tcPr>
          <w:p w:rsidR="002165D7" w:rsidRPr="006123EA" w:rsidRDefault="002165D7" w:rsidP="002165D7">
            <w:pPr>
              <w:pStyle w:val="ListParagraph"/>
              <w:tabs>
                <w:tab w:val="left" w:pos="567"/>
              </w:tabs>
              <w:ind w:left="0" w:firstLine="0"/>
              <w:rPr>
                <w:rFonts w:asciiTheme="majorHAnsi" w:hAnsiTheme="majorHAnsi" w:cs="Times New Roman"/>
                <w:noProof/>
                <w:sz w:val="18"/>
                <w:szCs w:val="18"/>
              </w:rPr>
            </w:pPr>
            <w:r w:rsidRPr="006123EA">
              <w:rPr>
                <w:rFonts w:asciiTheme="majorHAnsi" w:hAnsiTheme="majorHAnsi" w:cs="Times New Roman"/>
                <w:noProof/>
                <w:sz w:val="18"/>
                <w:szCs w:val="18"/>
              </w:rPr>
              <w:t>Dewan Komisaris Independen</w:t>
            </w:r>
          </w:p>
        </w:tc>
        <w:tc>
          <w:tcPr>
            <w:tcW w:w="1276"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-0,451527</w:t>
            </w:r>
          </w:p>
        </w:tc>
        <w:tc>
          <w:tcPr>
            <w:tcW w:w="1275"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-1,079568</w:t>
            </w:r>
          </w:p>
        </w:tc>
        <w:tc>
          <w:tcPr>
            <w:tcW w:w="1186"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0,2841</w:t>
            </w:r>
          </w:p>
        </w:tc>
      </w:tr>
      <w:tr w:rsidR="002165D7" w:rsidRPr="006123EA" w:rsidTr="002165D7">
        <w:tc>
          <w:tcPr>
            <w:tcW w:w="4219"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Pengaruh Komite Audit terhadap Kualitas Laba</w:t>
            </w:r>
          </w:p>
        </w:tc>
        <w:tc>
          <w:tcPr>
            <w:tcW w:w="2410"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Komite Audit</w:t>
            </w:r>
          </w:p>
        </w:tc>
        <w:tc>
          <w:tcPr>
            <w:tcW w:w="1276"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2,327488</w:t>
            </w:r>
          </w:p>
        </w:tc>
        <w:tc>
          <w:tcPr>
            <w:tcW w:w="1275"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2,460371</w:t>
            </w:r>
          </w:p>
        </w:tc>
        <w:tc>
          <w:tcPr>
            <w:tcW w:w="1186"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0,0164***</w:t>
            </w:r>
          </w:p>
        </w:tc>
      </w:tr>
      <w:tr w:rsidR="002165D7" w:rsidRPr="006123EA" w:rsidTr="002165D7">
        <w:tc>
          <w:tcPr>
            <w:tcW w:w="4219"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Pengaruh CSR terhadap Kualitas Laba</w:t>
            </w:r>
          </w:p>
        </w:tc>
        <w:tc>
          <w:tcPr>
            <w:tcW w:w="2410"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Pengungkapan CSR</w:t>
            </w:r>
          </w:p>
        </w:tc>
        <w:tc>
          <w:tcPr>
            <w:tcW w:w="1276"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-0,384276</w:t>
            </w:r>
          </w:p>
        </w:tc>
        <w:tc>
          <w:tcPr>
            <w:tcW w:w="1275"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-1,111504</w:t>
            </w:r>
          </w:p>
        </w:tc>
        <w:tc>
          <w:tcPr>
            <w:tcW w:w="1186"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0,2703</w:t>
            </w:r>
          </w:p>
        </w:tc>
      </w:tr>
      <w:tr w:rsidR="002165D7" w:rsidRPr="006123EA" w:rsidTr="002165D7">
        <w:tc>
          <w:tcPr>
            <w:tcW w:w="4219"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Variabel Kontrol</w:t>
            </w:r>
          </w:p>
        </w:tc>
        <w:tc>
          <w:tcPr>
            <w:tcW w:w="2410"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Firm Size</w:t>
            </w:r>
          </w:p>
        </w:tc>
        <w:tc>
          <w:tcPr>
            <w:tcW w:w="1276"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14,66652</w:t>
            </w:r>
          </w:p>
        </w:tc>
        <w:tc>
          <w:tcPr>
            <w:tcW w:w="1275"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3,657476</w:t>
            </w:r>
          </w:p>
        </w:tc>
        <w:tc>
          <w:tcPr>
            <w:tcW w:w="1186"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0,0005</w:t>
            </w:r>
          </w:p>
        </w:tc>
      </w:tr>
      <w:tr w:rsidR="002165D7" w:rsidRPr="006123EA" w:rsidTr="002165D7">
        <w:tc>
          <w:tcPr>
            <w:tcW w:w="4219"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p>
        </w:tc>
        <w:tc>
          <w:tcPr>
            <w:tcW w:w="2410"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Leverage</w:t>
            </w:r>
          </w:p>
        </w:tc>
        <w:tc>
          <w:tcPr>
            <w:tcW w:w="1276"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-0,689881</w:t>
            </w:r>
          </w:p>
        </w:tc>
        <w:tc>
          <w:tcPr>
            <w:tcW w:w="1275"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-4,648554</w:t>
            </w:r>
          </w:p>
        </w:tc>
        <w:tc>
          <w:tcPr>
            <w:tcW w:w="1186"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0,0000</w:t>
            </w:r>
          </w:p>
        </w:tc>
      </w:tr>
      <w:tr w:rsidR="002165D7" w:rsidRPr="006123EA" w:rsidTr="002165D7">
        <w:tc>
          <w:tcPr>
            <w:tcW w:w="10366" w:type="dxa"/>
            <w:gridSpan w:val="5"/>
          </w:tcPr>
          <w:p w:rsidR="002165D7" w:rsidRPr="006123EA" w:rsidRDefault="002165D7" w:rsidP="002165D7">
            <w:pPr>
              <w:pStyle w:val="ListParagraph"/>
              <w:tabs>
                <w:tab w:val="left" w:pos="567"/>
              </w:tabs>
              <w:ind w:left="0" w:firstLine="0"/>
              <w:jc w:val="center"/>
              <w:rPr>
                <w:rFonts w:asciiTheme="majorHAnsi" w:hAnsiTheme="majorHAnsi" w:cs="Times New Roman"/>
                <w:noProof/>
                <w:sz w:val="18"/>
                <w:szCs w:val="18"/>
              </w:rPr>
            </w:pPr>
            <w:r w:rsidRPr="006123EA">
              <w:rPr>
                <w:rFonts w:asciiTheme="majorHAnsi" w:hAnsiTheme="majorHAnsi" w:cs="Times New Roman"/>
                <w:noProof/>
                <w:sz w:val="18"/>
                <w:szCs w:val="18"/>
              </w:rPr>
              <w:t>Weighted Statistics</w:t>
            </w:r>
          </w:p>
        </w:tc>
      </w:tr>
      <w:tr w:rsidR="002165D7" w:rsidRPr="006123EA" w:rsidTr="002165D7">
        <w:tc>
          <w:tcPr>
            <w:tcW w:w="4219"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Model Statistik</w:t>
            </w:r>
          </w:p>
        </w:tc>
        <w:tc>
          <w:tcPr>
            <w:tcW w:w="2410"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R-Squared</w:t>
            </w:r>
          </w:p>
        </w:tc>
        <w:tc>
          <w:tcPr>
            <w:tcW w:w="3737" w:type="dxa"/>
            <w:gridSpan w:val="3"/>
          </w:tcPr>
          <w:p w:rsidR="002165D7" w:rsidRPr="006123EA" w:rsidRDefault="002165D7" w:rsidP="002165D7">
            <w:pPr>
              <w:pStyle w:val="ListParagraph"/>
              <w:tabs>
                <w:tab w:val="left" w:pos="567"/>
              </w:tabs>
              <w:ind w:left="0" w:firstLine="0"/>
              <w:jc w:val="center"/>
              <w:rPr>
                <w:rFonts w:asciiTheme="majorHAnsi" w:hAnsiTheme="majorHAnsi" w:cs="Times New Roman"/>
                <w:noProof/>
                <w:sz w:val="18"/>
                <w:szCs w:val="18"/>
              </w:rPr>
            </w:pPr>
            <w:r w:rsidRPr="006123EA">
              <w:rPr>
                <w:rFonts w:asciiTheme="majorHAnsi" w:hAnsiTheme="majorHAnsi" w:cs="Times New Roman"/>
                <w:noProof/>
                <w:sz w:val="18"/>
                <w:szCs w:val="18"/>
              </w:rPr>
              <w:t>0,467720</w:t>
            </w:r>
          </w:p>
        </w:tc>
      </w:tr>
      <w:tr w:rsidR="002165D7" w:rsidRPr="006123EA" w:rsidTr="002165D7">
        <w:tc>
          <w:tcPr>
            <w:tcW w:w="4219"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p>
        </w:tc>
        <w:tc>
          <w:tcPr>
            <w:tcW w:w="2410"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Adjusted R-Squared</w:t>
            </w:r>
          </w:p>
        </w:tc>
        <w:tc>
          <w:tcPr>
            <w:tcW w:w="3737" w:type="dxa"/>
            <w:gridSpan w:val="3"/>
          </w:tcPr>
          <w:p w:rsidR="002165D7" w:rsidRPr="006123EA" w:rsidRDefault="002165D7" w:rsidP="002165D7">
            <w:pPr>
              <w:pStyle w:val="ListParagraph"/>
              <w:tabs>
                <w:tab w:val="left" w:pos="567"/>
              </w:tabs>
              <w:ind w:left="0" w:firstLine="0"/>
              <w:jc w:val="center"/>
              <w:rPr>
                <w:rFonts w:asciiTheme="majorHAnsi" w:hAnsiTheme="majorHAnsi" w:cs="Times New Roman"/>
                <w:noProof/>
                <w:sz w:val="18"/>
                <w:szCs w:val="18"/>
              </w:rPr>
            </w:pPr>
            <w:r w:rsidRPr="006123EA">
              <w:rPr>
                <w:rFonts w:asciiTheme="majorHAnsi" w:hAnsiTheme="majorHAnsi" w:cs="Times New Roman"/>
                <w:noProof/>
                <w:sz w:val="18"/>
                <w:szCs w:val="18"/>
              </w:rPr>
              <w:t>0,412926</w:t>
            </w:r>
          </w:p>
        </w:tc>
      </w:tr>
      <w:tr w:rsidR="002165D7" w:rsidRPr="006123EA" w:rsidTr="002165D7">
        <w:tc>
          <w:tcPr>
            <w:tcW w:w="4219"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p>
        </w:tc>
        <w:tc>
          <w:tcPr>
            <w:tcW w:w="2410"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Prob(F-statistic)</w:t>
            </w:r>
          </w:p>
        </w:tc>
        <w:tc>
          <w:tcPr>
            <w:tcW w:w="3737" w:type="dxa"/>
            <w:gridSpan w:val="3"/>
          </w:tcPr>
          <w:p w:rsidR="002165D7" w:rsidRPr="006123EA" w:rsidRDefault="002165D7" w:rsidP="002165D7">
            <w:pPr>
              <w:pStyle w:val="ListParagraph"/>
              <w:tabs>
                <w:tab w:val="left" w:pos="567"/>
              </w:tabs>
              <w:ind w:left="0" w:firstLine="0"/>
              <w:jc w:val="center"/>
              <w:rPr>
                <w:rFonts w:asciiTheme="majorHAnsi" w:hAnsiTheme="majorHAnsi" w:cs="Times New Roman"/>
                <w:noProof/>
                <w:sz w:val="18"/>
                <w:szCs w:val="18"/>
              </w:rPr>
            </w:pPr>
            <w:r w:rsidRPr="006123EA">
              <w:rPr>
                <w:rFonts w:asciiTheme="majorHAnsi" w:hAnsiTheme="majorHAnsi" w:cs="Times New Roman"/>
                <w:noProof/>
                <w:sz w:val="18"/>
                <w:szCs w:val="18"/>
              </w:rPr>
              <w:t>0,000000</w:t>
            </w:r>
          </w:p>
        </w:tc>
      </w:tr>
      <w:tr w:rsidR="002165D7" w:rsidRPr="006123EA" w:rsidTr="002165D7">
        <w:tc>
          <w:tcPr>
            <w:tcW w:w="10366" w:type="dxa"/>
            <w:gridSpan w:val="5"/>
          </w:tcPr>
          <w:p w:rsidR="002165D7" w:rsidRPr="006123EA" w:rsidRDefault="002165D7" w:rsidP="002165D7">
            <w:pPr>
              <w:pStyle w:val="ListParagraph"/>
              <w:tabs>
                <w:tab w:val="left" w:pos="567"/>
              </w:tabs>
              <w:ind w:left="0" w:firstLine="0"/>
              <w:jc w:val="center"/>
              <w:rPr>
                <w:rFonts w:asciiTheme="majorHAnsi" w:hAnsiTheme="majorHAnsi" w:cs="Times New Roman"/>
                <w:noProof/>
                <w:sz w:val="18"/>
                <w:szCs w:val="18"/>
              </w:rPr>
            </w:pPr>
            <w:r w:rsidRPr="006123EA">
              <w:rPr>
                <w:rFonts w:asciiTheme="majorHAnsi" w:hAnsiTheme="majorHAnsi" w:cs="Times New Roman"/>
                <w:noProof/>
                <w:sz w:val="18"/>
                <w:szCs w:val="18"/>
              </w:rPr>
              <w:t>Unweighted Statistics</w:t>
            </w:r>
          </w:p>
        </w:tc>
      </w:tr>
      <w:tr w:rsidR="002165D7" w:rsidRPr="006123EA" w:rsidTr="002165D7">
        <w:tc>
          <w:tcPr>
            <w:tcW w:w="4219"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p>
        </w:tc>
        <w:tc>
          <w:tcPr>
            <w:tcW w:w="2410"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6123EA">
              <w:rPr>
                <w:rFonts w:asciiTheme="majorHAnsi" w:hAnsiTheme="majorHAnsi" w:cs="Times New Roman"/>
                <w:noProof/>
                <w:sz w:val="18"/>
                <w:szCs w:val="18"/>
              </w:rPr>
              <w:t>R-Squared</w:t>
            </w:r>
          </w:p>
        </w:tc>
        <w:tc>
          <w:tcPr>
            <w:tcW w:w="3737" w:type="dxa"/>
            <w:gridSpan w:val="3"/>
          </w:tcPr>
          <w:p w:rsidR="002165D7" w:rsidRPr="006123EA" w:rsidRDefault="002165D7" w:rsidP="002165D7">
            <w:pPr>
              <w:pStyle w:val="ListParagraph"/>
              <w:tabs>
                <w:tab w:val="left" w:pos="567"/>
              </w:tabs>
              <w:ind w:left="0" w:firstLine="0"/>
              <w:jc w:val="center"/>
              <w:rPr>
                <w:rFonts w:asciiTheme="majorHAnsi" w:hAnsiTheme="majorHAnsi" w:cs="Times New Roman"/>
                <w:noProof/>
                <w:sz w:val="18"/>
                <w:szCs w:val="18"/>
              </w:rPr>
            </w:pPr>
            <w:r w:rsidRPr="006123EA">
              <w:rPr>
                <w:rFonts w:asciiTheme="majorHAnsi" w:hAnsiTheme="majorHAnsi" w:cs="Times New Roman"/>
                <w:noProof/>
                <w:sz w:val="18"/>
                <w:szCs w:val="18"/>
              </w:rPr>
              <w:t>0,529062</w:t>
            </w:r>
          </w:p>
        </w:tc>
      </w:tr>
      <w:tr w:rsidR="002165D7" w:rsidRPr="006123EA" w:rsidTr="002165D7">
        <w:tc>
          <w:tcPr>
            <w:tcW w:w="4219"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p>
        </w:tc>
        <w:tc>
          <w:tcPr>
            <w:tcW w:w="2410"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p>
        </w:tc>
        <w:tc>
          <w:tcPr>
            <w:tcW w:w="3737" w:type="dxa"/>
            <w:gridSpan w:val="3"/>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p>
        </w:tc>
      </w:tr>
      <w:tr w:rsidR="002165D7" w:rsidRPr="006123EA" w:rsidTr="002165D7">
        <w:tc>
          <w:tcPr>
            <w:tcW w:w="10366" w:type="dxa"/>
            <w:gridSpan w:val="5"/>
          </w:tcPr>
          <w:p w:rsidR="002165D7" w:rsidRPr="00EE4B22" w:rsidRDefault="002165D7" w:rsidP="002165D7">
            <w:pPr>
              <w:pStyle w:val="ListParagraph"/>
              <w:tabs>
                <w:tab w:val="left" w:pos="567"/>
              </w:tabs>
              <w:ind w:left="0" w:firstLine="0"/>
              <w:jc w:val="center"/>
              <w:rPr>
                <w:rFonts w:asciiTheme="majorHAnsi" w:hAnsiTheme="majorHAnsi" w:cs="Times New Roman"/>
                <w:b/>
                <w:i/>
                <w:noProof/>
                <w:sz w:val="18"/>
                <w:szCs w:val="18"/>
              </w:rPr>
            </w:pPr>
            <w:r>
              <w:rPr>
                <w:rFonts w:asciiTheme="majorHAnsi" w:hAnsiTheme="majorHAnsi" w:cs="Times New Roman"/>
                <w:b/>
                <w:i/>
                <w:noProof/>
                <w:sz w:val="18"/>
                <w:szCs w:val="18"/>
              </w:rPr>
              <w:t>Weighted Common Effect Model -  Variabel D</w:t>
            </w:r>
            <w:r w:rsidRPr="00EE4B22">
              <w:rPr>
                <w:rFonts w:asciiTheme="majorHAnsi" w:hAnsiTheme="majorHAnsi" w:cs="Times New Roman"/>
                <w:b/>
                <w:i/>
                <w:noProof/>
                <w:sz w:val="18"/>
                <w:szCs w:val="18"/>
              </w:rPr>
              <w:t>ependen Return Saham</w:t>
            </w:r>
          </w:p>
        </w:tc>
      </w:tr>
      <w:tr w:rsidR="002165D7" w:rsidRPr="006123EA" w:rsidTr="002165D7">
        <w:tc>
          <w:tcPr>
            <w:tcW w:w="4219"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p>
        </w:tc>
        <w:tc>
          <w:tcPr>
            <w:tcW w:w="2410"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p>
        </w:tc>
        <w:tc>
          <w:tcPr>
            <w:tcW w:w="1276"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p>
        </w:tc>
        <w:tc>
          <w:tcPr>
            <w:tcW w:w="1275"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p>
        </w:tc>
        <w:tc>
          <w:tcPr>
            <w:tcW w:w="1186"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p>
        </w:tc>
      </w:tr>
      <w:tr w:rsidR="002165D7" w:rsidRPr="00EE4B22" w:rsidTr="002165D7">
        <w:trPr>
          <w:trHeight w:val="77"/>
        </w:trPr>
        <w:tc>
          <w:tcPr>
            <w:tcW w:w="4219" w:type="dxa"/>
          </w:tcPr>
          <w:p w:rsidR="002165D7" w:rsidRPr="00EE4B22" w:rsidRDefault="002165D7" w:rsidP="002165D7">
            <w:pPr>
              <w:pStyle w:val="ListParagraph"/>
              <w:tabs>
                <w:tab w:val="left" w:pos="567"/>
              </w:tabs>
              <w:ind w:left="0" w:firstLine="0"/>
              <w:jc w:val="center"/>
              <w:rPr>
                <w:rFonts w:asciiTheme="majorHAnsi" w:hAnsiTheme="majorHAnsi" w:cs="Times New Roman"/>
                <w:b/>
                <w:i/>
                <w:noProof/>
                <w:sz w:val="18"/>
                <w:szCs w:val="18"/>
              </w:rPr>
            </w:pPr>
            <w:r w:rsidRPr="00EE4B22">
              <w:rPr>
                <w:rFonts w:asciiTheme="majorHAnsi" w:hAnsiTheme="majorHAnsi" w:cs="Times New Roman"/>
                <w:b/>
                <w:i/>
                <w:noProof/>
                <w:sz w:val="18"/>
                <w:szCs w:val="18"/>
              </w:rPr>
              <w:t>Hypotheses</w:t>
            </w:r>
          </w:p>
        </w:tc>
        <w:tc>
          <w:tcPr>
            <w:tcW w:w="2410" w:type="dxa"/>
          </w:tcPr>
          <w:p w:rsidR="002165D7" w:rsidRPr="00EE4B22" w:rsidRDefault="002165D7" w:rsidP="002165D7">
            <w:pPr>
              <w:pStyle w:val="ListParagraph"/>
              <w:tabs>
                <w:tab w:val="left" w:pos="567"/>
              </w:tabs>
              <w:ind w:left="0" w:firstLine="0"/>
              <w:jc w:val="center"/>
              <w:rPr>
                <w:rFonts w:asciiTheme="majorHAnsi" w:hAnsiTheme="majorHAnsi" w:cs="Times New Roman"/>
                <w:b/>
                <w:i/>
                <w:noProof/>
                <w:sz w:val="18"/>
                <w:szCs w:val="18"/>
              </w:rPr>
            </w:pPr>
            <w:r w:rsidRPr="00EE4B22">
              <w:rPr>
                <w:rFonts w:asciiTheme="majorHAnsi" w:hAnsiTheme="majorHAnsi" w:cs="Times New Roman"/>
                <w:b/>
                <w:i/>
                <w:noProof/>
                <w:sz w:val="18"/>
                <w:szCs w:val="18"/>
              </w:rPr>
              <w:t>Independent Variables</w:t>
            </w:r>
          </w:p>
        </w:tc>
        <w:tc>
          <w:tcPr>
            <w:tcW w:w="3737" w:type="dxa"/>
            <w:gridSpan w:val="3"/>
          </w:tcPr>
          <w:p w:rsidR="002165D7" w:rsidRPr="00EE4B22" w:rsidRDefault="002165D7" w:rsidP="002165D7">
            <w:pPr>
              <w:pStyle w:val="ListParagraph"/>
              <w:tabs>
                <w:tab w:val="left" w:pos="567"/>
              </w:tabs>
              <w:ind w:left="0" w:firstLine="0"/>
              <w:jc w:val="center"/>
              <w:rPr>
                <w:rFonts w:asciiTheme="majorHAnsi" w:hAnsiTheme="majorHAnsi" w:cs="Times New Roman"/>
                <w:b/>
                <w:i/>
                <w:noProof/>
                <w:sz w:val="18"/>
                <w:szCs w:val="18"/>
              </w:rPr>
            </w:pPr>
            <w:r w:rsidRPr="00EE4B22">
              <w:rPr>
                <w:rFonts w:asciiTheme="majorHAnsi" w:hAnsiTheme="majorHAnsi" w:cs="Times New Roman"/>
                <w:b/>
                <w:i/>
                <w:noProof/>
                <w:sz w:val="18"/>
                <w:szCs w:val="18"/>
              </w:rPr>
              <w:t>Weighted Common Effect Model Results</w:t>
            </w:r>
          </w:p>
        </w:tc>
      </w:tr>
      <w:tr w:rsidR="002165D7" w:rsidRPr="006123EA" w:rsidTr="002165D7">
        <w:tc>
          <w:tcPr>
            <w:tcW w:w="4219"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p>
        </w:tc>
        <w:tc>
          <w:tcPr>
            <w:tcW w:w="2410"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p>
        </w:tc>
        <w:tc>
          <w:tcPr>
            <w:tcW w:w="1276" w:type="dxa"/>
          </w:tcPr>
          <w:p w:rsidR="002165D7" w:rsidRPr="006123EA" w:rsidRDefault="002165D7" w:rsidP="002165D7">
            <w:pPr>
              <w:pStyle w:val="ListParagraph"/>
              <w:tabs>
                <w:tab w:val="left" w:pos="567"/>
              </w:tabs>
              <w:ind w:left="0" w:firstLine="0"/>
              <w:jc w:val="center"/>
              <w:rPr>
                <w:rFonts w:asciiTheme="majorHAnsi" w:hAnsiTheme="majorHAnsi" w:cs="Times New Roman"/>
                <w:noProof/>
                <w:sz w:val="18"/>
                <w:szCs w:val="18"/>
              </w:rPr>
            </w:pPr>
            <w:r w:rsidRPr="006123EA">
              <w:rPr>
                <w:rFonts w:asciiTheme="majorHAnsi" w:hAnsiTheme="majorHAnsi" w:cs="Times New Roman"/>
                <w:noProof/>
                <w:sz w:val="18"/>
                <w:szCs w:val="18"/>
              </w:rPr>
              <w:t>β</w:t>
            </w:r>
          </w:p>
        </w:tc>
        <w:tc>
          <w:tcPr>
            <w:tcW w:w="1275" w:type="dxa"/>
          </w:tcPr>
          <w:p w:rsidR="002165D7" w:rsidRPr="006123EA" w:rsidRDefault="002165D7" w:rsidP="002165D7">
            <w:pPr>
              <w:pStyle w:val="ListParagraph"/>
              <w:tabs>
                <w:tab w:val="left" w:pos="567"/>
              </w:tabs>
              <w:ind w:left="0" w:firstLine="0"/>
              <w:jc w:val="center"/>
              <w:rPr>
                <w:rFonts w:asciiTheme="majorHAnsi" w:hAnsiTheme="majorHAnsi" w:cs="Times New Roman"/>
                <w:noProof/>
                <w:sz w:val="18"/>
                <w:szCs w:val="18"/>
              </w:rPr>
            </w:pPr>
            <w:r w:rsidRPr="006123EA">
              <w:rPr>
                <w:rFonts w:asciiTheme="majorHAnsi" w:hAnsiTheme="majorHAnsi" w:cs="Times New Roman"/>
                <w:i/>
                <w:noProof/>
                <w:sz w:val="18"/>
                <w:szCs w:val="18"/>
              </w:rPr>
              <w:t>t</w:t>
            </w:r>
            <w:r w:rsidRPr="006123EA">
              <w:rPr>
                <w:rFonts w:asciiTheme="majorHAnsi" w:hAnsiTheme="majorHAnsi" w:cs="Times New Roman"/>
                <w:noProof/>
                <w:sz w:val="18"/>
                <w:szCs w:val="18"/>
              </w:rPr>
              <w:t>-Statistic</w:t>
            </w:r>
          </w:p>
        </w:tc>
        <w:tc>
          <w:tcPr>
            <w:tcW w:w="1186" w:type="dxa"/>
          </w:tcPr>
          <w:p w:rsidR="002165D7" w:rsidRPr="006123EA" w:rsidRDefault="002165D7" w:rsidP="002165D7">
            <w:pPr>
              <w:pStyle w:val="ListParagraph"/>
              <w:tabs>
                <w:tab w:val="left" w:pos="567"/>
              </w:tabs>
              <w:ind w:left="0" w:firstLine="0"/>
              <w:jc w:val="center"/>
              <w:rPr>
                <w:rFonts w:asciiTheme="majorHAnsi" w:hAnsiTheme="majorHAnsi" w:cs="Times New Roman"/>
                <w:noProof/>
                <w:sz w:val="18"/>
                <w:szCs w:val="18"/>
              </w:rPr>
            </w:pPr>
            <w:r w:rsidRPr="006123EA">
              <w:rPr>
                <w:rFonts w:asciiTheme="majorHAnsi" w:hAnsiTheme="majorHAnsi" w:cs="Times New Roman"/>
                <w:i/>
                <w:noProof/>
                <w:sz w:val="18"/>
                <w:szCs w:val="18"/>
              </w:rPr>
              <w:t>Ρ</w:t>
            </w:r>
            <w:r w:rsidRPr="006123EA">
              <w:rPr>
                <w:rFonts w:asciiTheme="majorHAnsi" w:hAnsiTheme="majorHAnsi" w:cs="Times New Roman"/>
                <w:noProof/>
                <w:sz w:val="18"/>
                <w:szCs w:val="18"/>
              </w:rPr>
              <w:t>-value</w:t>
            </w:r>
          </w:p>
        </w:tc>
      </w:tr>
      <w:tr w:rsidR="002165D7" w:rsidRPr="006123EA" w:rsidTr="002165D7">
        <w:tc>
          <w:tcPr>
            <w:tcW w:w="4219"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p>
        </w:tc>
        <w:tc>
          <w:tcPr>
            <w:tcW w:w="2410"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p>
        </w:tc>
        <w:tc>
          <w:tcPr>
            <w:tcW w:w="1276"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p>
        </w:tc>
        <w:tc>
          <w:tcPr>
            <w:tcW w:w="1275"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p>
        </w:tc>
        <w:tc>
          <w:tcPr>
            <w:tcW w:w="1186"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p>
        </w:tc>
      </w:tr>
      <w:tr w:rsidR="002165D7" w:rsidRPr="006123EA" w:rsidTr="002165D7">
        <w:tc>
          <w:tcPr>
            <w:tcW w:w="4219"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39305A">
              <w:rPr>
                <w:rFonts w:asciiTheme="majorHAnsi" w:hAnsiTheme="majorHAnsi" w:cs="Times New Roman"/>
                <w:noProof/>
                <w:sz w:val="18"/>
                <w:szCs w:val="18"/>
              </w:rPr>
              <w:t>Pengaruh Kualitas Laba Terhadap Return Saham</w:t>
            </w:r>
          </w:p>
        </w:tc>
        <w:tc>
          <w:tcPr>
            <w:tcW w:w="2410"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Pr>
                <w:rFonts w:asciiTheme="majorHAnsi" w:hAnsiTheme="majorHAnsi" w:cs="Times New Roman"/>
                <w:noProof/>
                <w:sz w:val="18"/>
                <w:szCs w:val="18"/>
              </w:rPr>
              <w:t xml:space="preserve">Kualitas Laba </w:t>
            </w:r>
          </w:p>
        </w:tc>
        <w:tc>
          <w:tcPr>
            <w:tcW w:w="1276"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EE4B22">
              <w:rPr>
                <w:rFonts w:asciiTheme="majorHAnsi" w:hAnsiTheme="majorHAnsi" w:cs="Times New Roman"/>
                <w:noProof/>
                <w:sz w:val="18"/>
                <w:szCs w:val="18"/>
              </w:rPr>
              <w:t>0,203552</w:t>
            </w:r>
          </w:p>
        </w:tc>
        <w:tc>
          <w:tcPr>
            <w:tcW w:w="1275"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EE4B22">
              <w:rPr>
                <w:rFonts w:asciiTheme="majorHAnsi" w:hAnsiTheme="majorHAnsi" w:cs="Times New Roman"/>
                <w:noProof/>
                <w:sz w:val="18"/>
                <w:szCs w:val="18"/>
              </w:rPr>
              <w:t>0,0094</w:t>
            </w:r>
          </w:p>
        </w:tc>
        <w:tc>
          <w:tcPr>
            <w:tcW w:w="1186"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sidRPr="00EE4B22">
              <w:rPr>
                <w:rFonts w:asciiTheme="majorHAnsi" w:hAnsiTheme="majorHAnsi" w:cs="Times New Roman"/>
                <w:noProof/>
                <w:sz w:val="18"/>
                <w:szCs w:val="18"/>
              </w:rPr>
              <w:t>0,0094</w:t>
            </w:r>
            <w:r>
              <w:rPr>
                <w:rFonts w:asciiTheme="majorHAnsi" w:hAnsiTheme="majorHAnsi" w:cs="Times New Roman"/>
                <w:noProof/>
                <w:sz w:val="18"/>
                <w:szCs w:val="18"/>
              </w:rPr>
              <w:t>***</w:t>
            </w:r>
          </w:p>
        </w:tc>
      </w:tr>
      <w:tr w:rsidR="002165D7" w:rsidRPr="006123EA" w:rsidTr="002165D7">
        <w:tc>
          <w:tcPr>
            <w:tcW w:w="4219"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Pr>
                <w:rFonts w:asciiTheme="majorHAnsi" w:hAnsiTheme="majorHAnsi" w:cs="Times New Roman"/>
                <w:noProof/>
                <w:sz w:val="18"/>
                <w:szCs w:val="18"/>
              </w:rPr>
              <w:t>Model Statistik</w:t>
            </w:r>
          </w:p>
        </w:tc>
        <w:tc>
          <w:tcPr>
            <w:tcW w:w="2410"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Pr>
                <w:rFonts w:asciiTheme="majorHAnsi" w:hAnsiTheme="majorHAnsi" w:cs="Times New Roman"/>
                <w:noProof/>
                <w:sz w:val="18"/>
                <w:szCs w:val="18"/>
              </w:rPr>
              <w:t>R-Squared</w:t>
            </w:r>
          </w:p>
        </w:tc>
        <w:tc>
          <w:tcPr>
            <w:tcW w:w="1276"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Pr>
                <w:rFonts w:asciiTheme="majorHAnsi" w:hAnsiTheme="majorHAnsi" w:cs="Times New Roman"/>
                <w:noProof/>
                <w:sz w:val="18"/>
                <w:szCs w:val="18"/>
              </w:rPr>
              <w:t>0,090002</w:t>
            </w:r>
          </w:p>
        </w:tc>
        <w:tc>
          <w:tcPr>
            <w:tcW w:w="1275"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p>
        </w:tc>
        <w:tc>
          <w:tcPr>
            <w:tcW w:w="1186"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p>
        </w:tc>
      </w:tr>
      <w:tr w:rsidR="002165D7" w:rsidRPr="006123EA" w:rsidTr="002165D7">
        <w:tc>
          <w:tcPr>
            <w:tcW w:w="4219"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p>
        </w:tc>
        <w:tc>
          <w:tcPr>
            <w:tcW w:w="2410"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r>
              <w:rPr>
                <w:rFonts w:asciiTheme="majorHAnsi" w:hAnsiTheme="majorHAnsi" w:cs="Times New Roman"/>
                <w:noProof/>
                <w:sz w:val="18"/>
                <w:szCs w:val="18"/>
              </w:rPr>
              <w:t>Adjusted R-Squared</w:t>
            </w:r>
          </w:p>
        </w:tc>
        <w:tc>
          <w:tcPr>
            <w:tcW w:w="3737" w:type="dxa"/>
            <w:gridSpan w:val="3"/>
          </w:tcPr>
          <w:p w:rsidR="002165D7" w:rsidRPr="006123EA" w:rsidRDefault="002165D7" w:rsidP="002165D7">
            <w:pPr>
              <w:pStyle w:val="ListParagraph"/>
              <w:tabs>
                <w:tab w:val="left" w:pos="567"/>
              </w:tabs>
              <w:ind w:left="0" w:firstLine="0"/>
              <w:jc w:val="center"/>
              <w:rPr>
                <w:rFonts w:asciiTheme="majorHAnsi" w:hAnsiTheme="majorHAnsi" w:cs="Times New Roman"/>
                <w:noProof/>
                <w:sz w:val="18"/>
                <w:szCs w:val="18"/>
              </w:rPr>
            </w:pPr>
            <w:r>
              <w:rPr>
                <w:rFonts w:asciiTheme="majorHAnsi" w:hAnsiTheme="majorHAnsi" w:cs="Times New Roman"/>
                <w:noProof/>
                <w:sz w:val="18"/>
                <w:szCs w:val="18"/>
              </w:rPr>
              <w:t>0,077363</w:t>
            </w:r>
          </w:p>
        </w:tc>
      </w:tr>
      <w:tr w:rsidR="002165D7" w:rsidRPr="006123EA" w:rsidTr="002165D7">
        <w:tc>
          <w:tcPr>
            <w:tcW w:w="4219" w:type="dxa"/>
          </w:tcPr>
          <w:p w:rsidR="002165D7" w:rsidRPr="006123EA" w:rsidRDefault="002165D7" w:rsidP="002165D7">
            <w:pPr>
              <w:pStyle w:val="ListParagraph"/>
              <w:tabs>
                <w:tab w:val="left" w:pos="567"/>
              </w:tabs>
              <w:ind w:left="0" w:firstLine="0"/>
              <w:jc w:val="both"/>
              <w:rPr>
                <w:rFonts w:asciiTheme="majorHAnsi" w:hAnsiTheme="majorHAnsi" w:cs="Times New Roman"/>
                <w:noProof/>
                <w:sz w:val="18"/>
                <w:szCs w:val="18"/>
              </w:rPr>
            </w:pPr>
          </w:p>
        </w:tc>
        <w:tc>
          <w:tcPr>
            <w:tcW w:w="2410" w:type="dxa"/>
          </w:tcPr>
          <w:p w:rsidR="002165D7" w:rsidRDefault="002165D7" w:rsidP="002165D7">
            <w:pPr>
              <w:pStyle w:val="ListParagraph"/>
              <w:tabs>
                <w:tab w:val="left" w:pos="567"/>
              </w:tabs>
              <w:ind w:left="0" w:firstLine="0"/>
              <w:jc w:val="both"/>
              <w:rPr>
                <w:rFonts w:asciiTheme="majorHAnsi" w:hAnsiTheme="majorHAnsi" w:cs="Times New Roman"/>
                <w:noProof/>
                <w:sz w:val="18"/>
                <w:szCs w:val="18"/>
              </w:rPr>
            </w:pPr>
            <w:r>
              <w:rPr>
                <w:rFonts w:asciiTheme="majorHAnsi" w:hAnsiTheme="majorHAnsi" w:cs="Times New Roman"/>
                <w:noProof/>
                <w:sz w:val="18"/>
                <w:szCs w:val="18"/>
              </w:rPr>
              <w:t>Prob (F-statistic)</w:t>
            </w:r>
          </w:p>
        </w:tc>
        <w:tc>
          <w:tcPr>
            <w:tcW w:w="3737" w:type="dxa"/>
            <w:gridSpan w:val="3"/>
          </w:tcPr>
          <w:p w:rsidR="002165D7" w:rsidRPr="006123EA" w:rsidRDefault="002165D7" w:rsidP="002165D7">
            <w:pPr>
              <w:pStyle w:val="ListParagraph"/>
              <w:tabs>
                <w:tab w:val="left" w:pos="567"/>
              </w:tabs>
              <w:ind w:left="0" w:firstLine="0"/>
              <w:jc w:val="center"/>
              <w:rPr>
                <w:rFonts w:asciiTheme="majorHAnsi" w:hAnsiTheme="majorHAnsi" w:cs="Times New Roman"/>
                <w:noProof/>
                <w:sz w:val="18"/>
                <w:szCs w:val="18"/>
              </w:rPr>
            </w:pPr>
            <w:r>
              <w:rPr>
                <w:rFonts w:asciiTheme="majorHAnsi" w:hAnsiTheme="majorHAnsi" w:cs="Times New Roman"/>
                <w:noProof/>
                <w:sz w:val="18"/>
                <w:szCs w:val="18"/>
              </w:rPr>
              <w:t>0,009407</w:t>
            </w:r>
          </w:p>
        </w:tc>
      </w:tr>
    </w:tbl>
    <w:p w:rsidR="002165D7" w:rsidRPr="00987DE1" w:rsidRDefault="002165D7" w:rsidP="002165D7">
      <w:pPr>
        <w:spacing w:line="259" w:lineRule="auto"/>
        <w:ind w:right="40"/>
        <w:jc w:val="both"/>
        <w:rPr>
          <w:rFonts w:ascii="Cambria" w:hAnsi="Cambria"/>
          <w:sz w:val="18"/>
          <w:szCs w:val="18"/>
        </w:rPr>
      </w:pPr>
      <w:proofErr w:type="gramStart"/>
      <w:r w:rsidRPr="00987DE1">
        <w:rPr>
          <w:rFonts w:ascii="Cambria" w:hAnsi="Cambria"/>
          <w:sz w:val="18"/>
          <w:szCs w:val="18"/>
        </w:rPr>
        <w:t>Sumber :</w:t>
      </w:r>
      <w:proofErr w:type="gramEnd"/>
      <w:r w:rsidRPr="00987DE1">
        <w:rPr>
          <w:rFonts w:ascii="Cambria" w:hAnsi="Cambria"/>
          <w:sz w:val="18"/>
          <w:szCs w:val="18"/>
        </w:rPr>
        <w:t xml:space="preserve"> diolah dari Output E-Views 11, </w:t>
      </w:r>
      <w:r w:rsidRPr="00987DE1">
        <w:rPr>
          <w:rFonts w:ascii="Cambria" w:hAnsi="Cambria" w:cs="Times New Roman"/>
          <w:noProof/>
          <w:sz w:val="18"/>
          <w:szCs w:val="18"/>
        </w:rPr>
        <w:t>*** signifikansi pada α 5%</w:t>
      </w:r>
    </w:p>
    <w:p w:rsidR="002165D7" w:rsidRPr="000244E4" w:rsidRDefault="002165D7" w:rsidP="002165D7">
      <w:pPr>
        <w:pStyle w:val="ListParagraph"/>
        <w:tabs>
          <w:tab w:val="left" w:pos="567"/>
        </w:tabs>
        <w:ind w:left="0" w:firstLine="0"/>
        <w:jc w:val="both"/>
        <w:rPr>
          <w:rFonts w:ascii="Book Antiqua" w:hAnsi="Book Antiqua" w:cs="Times New Roman"/>
          <w:b/>
          <w:noProof/>
          <w:sz w:val="21"/>
          <w:szCs w:val="21"/>
        </w:rPr>
      </w:pPr>
    </w:p>
    <w:p w:rsidR="002165D7" w:rsidRDefault="002165D7" w:rsidP="002165D7">
      <w:pPr>
        <w:pStyle w:val="ListParagraph"/>
        <w:tabs>
          <w:tab w:val="left" w:pos="567"/>
        </w:tabs>
        <w:ind w:left="0" w:firstLine="0"/>
        <w:jc w:val="both"/>
        <w:rPr>
          <w:rFonts w:ascii="Book Antiqua" w:hAnsi="Book Antiqua" w:cs="Times New Roman"/>
          <w:b/>
          <w:noProof/>
          <w:sz w:val="21"/>
          <w:szCs w:val="21"/>
        </w:rPr>
        <w:sectPr w:rsidR="002165D7" w:rsidSect="002165D7">
          <w:type w:val="continuous"/>
          <w:pgSz w:w="12190" w:h="15880"/>
          <w:pgMar w:top="1040" w:right="1020" w:bottom="280" w:left="1020" w:header="720" w:footer="720" w:gutter="0"/>
          <w:cols w:space="284"/>
        </w:sectPr>
      </w:pPr>
    </w:p>
    <w:p w:rsidR="002165D7" w:rsidRPr="000244E4" w:rsidRDefault="002165D7" w:rsidP="002165D7">
      <w:pPr>
        <w:pStyle w:val="ListParagraph"/>
        <w:tabs>
          <w:tab w:val="left" w:pos="567"/>
        </w:tabs>
        <w:ind w:left="0" w:firstLine="0"/>
        <w:jc w:val="both"/>
        <w:rPr>
          <w:rFonts w:ascii="Book Antiqua" w:hAnsi="Book Antiqua" w:cs="Times New Roman"/>
          <w:b/>
          <w:noProof/>
          <w:sz w:val="21"/>
          <w:szCs w:val="21"/>
        </w:rPr>
      </w:pPr>
      <w:r w:rsidRPr="000244E4">
        <w:rPr>
          <w:rFonts w:ascii="Book Antiqua" w:hAnsi="Book Antiqua" w:cs="Times New Roman"/>
          <w:b/>
          <w:noProof/>
          <w:sz w:val="21"/>
          <w:szCs w:val="21"/>
        </w:rPr>
        <w:lastRenderedPageBreak/>
        <w:t>Koefisien Determinasi</w:t>
      </w:r>
    </w:p>
    <w:p w:rsidR="002165D7" w:rsidRPr="000244E4" w:rsidRDefault="002165D7" w:rsidP="002165D7">
      <w:pPr>
        <w:pStyle w:val="ListParagraph"/>
        <w:ind w:left="0" w:firstLine="0"/>
        <w:jc w:val="both"/>
        <w:rPr>
          <w:rFonts w:ascii="Book Antiqua" w:hAnsi="Book Antiqua" w:cs="Times New Roman"/>
          <w:noProof/>
          <w:sz w:val="21"/>
          <w:szCs w:val="21"/>
        </w:rPr>
      </w:pPr>
      <w:r w:rsidRPr="000244E4">
        <w:rPr>
          <w:rFonts w:ascii="Book Antiqua" w:hAnsi="Book Antiqua" w:cs="Times New Roman"/>
          <w:noProof/>
          <w:sz w:val="21"/>
          <w:szCs w:val="21"/>
        </w:rPr>
        <w:t xml:space="preserve">Hasil regresi data panel  </w:t>
      </w:r>
      <w:r w:rsidRPr="000244E4">
        <w:rPr>
          <w:rFonts w:ascii="Book Antiqua" w:hAnsi="Book Antiqua" w:cs="Times New Roman"/>
          <w:i/>
          <w:noProof/>
          <w:sz w:val="21"/>
          <w:szCs w:val="21"/>
        </w:rPr>
        <w:t>Random Effect Model</w:t>
      </w:r>
      <w:r w:rsidRPr="000244E4">
        <w:rPr>
          <w:rFonts w:ascii="Book Antiqua" w:hAnsi="Book Antiqua" w:cs="Times New Roman"/>
          <w:noProof/>
          <w:sz w:val="21"/>
          <w:szCs w:val="21"/>
        </w:rPr>
        <w:t xml:space="preserve"> dengan variabel dependen Kualitas Laba angka Adjusted R-Square pada </w:t>
      </w:r>
      <w:r w:rsidRPr="000244E4">
        <w:rPr>
          <w:rFonts w:ascii="Book Antiqua" w:hAnsi="Book Antiqua" w:cs="Times New Roman"/>
          <w:i/>
          <w:noProof/>
          <w:sz w:val="21"/>
          <w:szCs w:val="21"/>
        </w:rPr>
        <w:t>Weighted Statistics</w:t>
      </w:r>
      <w:r w:rsidRPr="000244E4">
        <w:rPr>
          <w:rFonts w:ascii="Book Antiqua" w:hAnsi="Book Antiqua" w:cs="Times New Roman"/>
          <w:noProof/>
          <w:sz w:val="21"/>
          <w:szCs w:val="21"/>
        </w:rPr>
        <w:t xml:space="preserve"> sebesar 0,412926. </w:t>
      </w:r>
      <w:r>
        <w:rPr>
          <w:rFonts w:ascii="Book Antiqua" w:hAnsi="Book Antiqua" w:cs="Times New Roman"/>
          <w:noProof/>
          <w:sz w:val="21"/>
          <w:szCs w:val="21"/>
        </w:rPr>
        <w:t>D</w:t>
      </w:r>
      <w:r w:rsidRPr="000244E4">
        <w:rPr>
          <w:rFonts w:ascii="Book Antiqua" w:hAnsi="Book Antiqua" w:cs="Times New Roman"/>
          <w:noProof/>
          <w:sz w:val="21"/>
          <w:szCs w:val="21"/>
        </w:rPr>
        <w:t xml:space="preserve">apat diartikan bahwa variabel independen yang digunakan dalam model ini mampu menjelaskan terhadap variabel dependennya sebesar 41,29% dan sisanya sebesar 58,71 % dipengaruhi oleh variabel diluar model ini. Nilai R-Squared yang lebih baik pada </w:t>
      </w:r>
      <w:r w:rsidRPr="000244E4">
        <w:rPr>
          <w:rFonts w:ascii="Book Antiqua" w:hAnsi="Book Antiqua" w:cs="Times New Roman"/>
          <w:i/>
          <w:noProof/>
          <w:sz w:val="21"/>
          <w:szCs w:val="21"/>
        </w:rPr>
        <w:t>Unweighted Statistics</w:t>
      </w:r>
      <w:r w:rsidRPr="000244E4">
        <w:rPr>
          <w:rFonts w:ascii="Book Antiqua" w:hAnsi="Book Antiqua" w:cs="Times New Roman"/>
          <w:noProof/>
          <w:sz w:val="21"/>
          <w:szCs w:val="21"/>
        </w:rPr>
        <w:t xml:space="preserve"> yaitu 0,529062 atau 53%  menunjukkan bahwa pengaruh semua variabel independen terhadap kualitas lab</w:t>
      </w:r>
      <w:r>
        <w:rPr>
          <w:rFonts w:ascii="Book Antiqua" w:hAnsi="Book Antiqua" w:cs="Times New Roman"/>
          <w:noProof/>
          <w:sz w:val="21"/>
          <w:szCs w:val="21"/>
        </w:rPr>
        <w:t xml:space="preserve">a cukup kuat karena skor &gt;  50%. </w:t>
      </w:r>
      <w:r w:rsidRPr="000244E4">
        <w:rPr>
          <w:rFonts w:ascii="Book Antiqua" w:hAnsi="Book Antiqua" w:cs="Times New Roman"/>
          <w:noProof/>
          <w:sz w:val="21"/>
          <w:szCs w:val="21"/>
        </w:rPr>
        <w:t xml:space="preserve">Hasil regresi data panel </w:t>
      </w:r>
      <w:r w:rsidRPr="000244E4">
        <w:rPr>
          <w:rFonts w:ascii="Book Antiqua" w:hAnsi="Book Antiqua" w:cs="Times New Roman"/>
          <w:i/>
          <w:noProof/>
          <w:sz w:val="21"/>
          <w:szCs w:val="21"/>
        </w:rPr>
        <w:t>Weighted Common Effect Model</w:t>
      </w:r>
      <w:r w:rsidRPr="000244E4">
        <w:rPr>
          <w:rFonts w:ascii="Book Antiqua" w:hAnsi="Book Antiqua" w:cs="Times New Roman"/>
          <w:noProof/>
          <w:sz w:val="21"/>
          <w:szCs w:val="21"/>
        </w:rPr>
        <w:t xml:space="preserve"> dengan variabel dependen </w:t>
      </w:r>
      <w:r w:rsidRPr="000244E4">
        <w:rPr>
          <w:rFonts w:ascii="Book Antiqua" w:hAnsi="Book Antiqua" w:cs="Times New Roman"/>
          <w:i/>
          <w:noProof/>
          <w:sz w:val="21"/>
          <w:szCs w:val="21"/>
        </w:rPr>
        <w:t>Return</w:t>
      </w:r>
      <w:r w:rsidRPr="000244E4">
        <w:rPr>
          <w:rFonts w:ascii="Book Antiqua" w:hAnsi="Book Antiqua" w:cs="Times New Roman"/>
          <w:noProof/>
          <w:sz w:val="21"/>
          <w:szCs w:val="21"/>
        </w:rPr>
        <w:t xml:space="preserve"> Saham nilai  Adjusted R-Square nya 0,077363. Hal ini menunjukkan bahwa presentase variabel bebas kualitas laba terhadap Return Saham sebesar 7,7 %, sedangkan sisanya 92,3% dipengaruhi oleh variabel lain diluar model. Nilai R-Squared yang diperoleh 0,090002 atau 9%  menunjukkan bahwa pengaruh variabel kualitas laba tidak kuat karena &lt; 50%</w:t>
      </w:r>
    </w:p>
    <w:p w:rsidR="002165D7" w:rsidRDefault="002165D7" w:rsidP="002165D7">
      <w:pPr>
        <w:pStyle w:val="ListParagraph"/>
        <w:tabs>
          <w:tab w:val="left" w:pos="567"/>
        </w:tabs>
        <w:ind w:left="0" w:firstLine="0"/>
        <w:jc w:val="both"/>
        <w:rPr>
          <w:rFonts w:ascii="Book Antiqua" w:hAnsi="Book Antiqua" w:cs="Times New Roman"/>
          <w:b/>
          <w:noProof/>
          <w:sz w:val="21"/>
          <w:szCs w:val="21"/>
        </w:rPr>
      </w:pPr>
    </w:p>
    <w:p w:rsidR="002165D7" w:rsidRPr="000244E4" w:rsidRDefault="002165D7" w:rsidP="002165D7">
      <w:pPr>
        <w:pStyle w:val="ListParagraph"/>
        <w:tabs>
          <w:tab w:val="left" w:pos="567"/>
        </w:tabs>
        <w:ind w:left="0" w:firstLine="0"/>
        <w:jc w:val="both"/>
        <w:rPr>
          <w:rFonts w:ascii="Book Antiqua" w:hAnsi="Book Antiqua" w:cs="Times New Roman"/>
          <w:b/>
          <w:noProof/>
          <w:sz w:val="21"/>
          <w:szCs w:val="21"/>
        </w:rPr>
      </w:pPr>
    </w:p>
    <w:p w:rsidR="002165D7" w:rsidRPr="00111E2D" w:rsidRDefault="002165D7" w:rsidP="002165D7">
      <w:pPr>
        <w:pStyle w:val="ListParagraph"/>
        <w:tabs>
          <w:tab w:val="left" w:pos="0"/>
        </w:tabs>
        <w:ind w:left="0" w:firstLine="0"/>
        <w:jc w:val="both"/>
        <w:rPr>
          <w:rFonts w:ascii="Book Antiqua" w:hAnsi="Book Antiqua" w:cs="Times New Roman"/>
          <w:b/>
          <w:noProof/>
          <w:sz w:val="21"/>
          <w:szCs w:val="21"/>
        </w:rPr>
      </w:pPr>
      <w:r w:rsidRPr="00111E2D">
        <w:rPr>
          <w:rFonts w:ascii="Book Antiqua" w:hAnsi="Book Antiqua" w:cs="Times New Roman"/>
          <w:b/>
          <w:noProof/>
          <w:sz w:val="21"/>
          <w:szCs w:val="21"/>
        </w:rPr>
        <w:lastRenderedPageBreak/>
        <w:t>Uji F</w:t>
      </w:r>
    </w:p>
    <w:p w:rsidR="002165D7" w:rsidRDefault="002165D7" w:rsidP="002165D7">
      <w:pPr>
        <w:pStyle w:val="ListParagraph"/>
        <w:tabs>
          <w:tab w:val="left" w:pos="0"/>
        </w:tabs>
        <w:ind w:left="0" w:firstLine="0"/>
        <w:jc w:val="both"/>
        <w:rPr>
          <w:rFonts w:ascii="Book Antiqua" w:hAnsi="Book Antiqua" w:cs="Times New Roman"/>
          <w:noProof/>
          <w:sz w:val="21"/>
          <w:szCs w:val="21"/>
        </w:rPr>
      </w:pPr>
      <w:r w:rsidRPr="000244E4">
        <w:rPr>
          <w:rFonts w:ascii="Book Antiqua" w:hAnsi="Book Antiqua" w:cs="Times New Roman"/>
          <w:noProof/>
          <w:sz w:val="21"/>
          <w:szCs w:val="21"/>
        </w:rPr>
        <w:t xml:space="preserve">Hasil regresi data panel  </w:t>
      </w:r>
      <w:r w:rsidRPr="000244E4">
        <w:rPr>
          <w:rFonts w:ascii="Book Antiqua" w:hAnsi="Book Antiqua" w:cs="Times New Roman"/>
          <w:i/>
          <w:noProof/>
          <w:sz w:val="21"/>
          <w:szCs w:val="21"/>
        </w:rPr>
        <w:t>Random Effect Model</w:t>
      </w:r>
      <w:r w:rsidRPr="000244E4">
        <w:rPr>
          <w:rFonts w:ascii="Book Antiqua" w:hAnsi="Book Antiqua" w:cs="Times New Roman"/>
          <w:noProof/>
          <w:sz w:val="21"/>
          <w:szCs w:val="21"/>
        </w:rPr>
        <w:t xml:space="preserve"> variabel dependen Kualitas Laba nilai Prob (F-statistik) 0,00000 &lt; 0,05, dapat diartikan bahwa kesesuaian model regresi </w:t>
      </w:r>
      <w:r w:rsidRPr="000244E4">
        <w:rPr>
          <w:rFonts w:ascii="Book Antiqua" w:hAnsi="Book Antiqua" w:cs="Times New Roman"/>
          <w:i/>
          <w:noProof/>
          <w:sz w:val="21"/>
          <w:szCs w:val="21"/>
        </w:rPr>
        <w:t>Random Effect Model</w:t>
      </w:r>
      <w:r w:rsidRPr="000244E4">
        <w:rPr>
          <w:rFonts w:ascii="Book Antiqua" w:hAnsi="Book Antiqua" w:cs="Times New Roman"/>
          <w:noProof/>
          <w:sz w:val="21"/>
          <w:szCs w:val="21"/>
        </w:rPr>
        <w:t xml:space="preserve">  yang digunakan  berpengaruh secara bersama-sama variabel KM, KI, DKI, KA dan CSR terhadap</w:t>
      </w:r>
      <w:r>
        <w:rPr>
          <w:rFonts w:ascii="Book Antiqua" w:hAnsi="Book Antiqua" w:cs="Times New Roman"/>
          <w:noProof/>
          <w:sz w:val="21"/>
          <w:szCs w:val="21"/>
        </w:rPr>
        <w:t xml:space="preserve"> Kualitas Laba. H</w:t>
      </w:r>
      <w:r w:rsidRPr="000244E4">
        <w:rPr>
          <w:rFonts w:ascii="Book Antiqua" w:hAnsi="Book Antiqua" w:cs="Times New Roman"/>
          <w:noProof/>
          <w:sz w:val="21"/>
          <w:szCs w:val="21"/>
        </w:rPr>
        <w:t xml:space="preserve">asil regresi data panel </w:t>
      </w:r>
      <w:r w:rsidRPr="000244E4">
        <w:rPr>
          <w:rFonts w:ascii="Book Antiqua" w:hAnsi="Book Antiqua" w:cs="Times New Roman"/>
          <w:i/>
          <w:noProof/>
          <w:sz w:val="21"/>
          <w:szCs w:val="21"/>
        </w:rPr>
        <w:t>Weighted Common Effect</w:t>
      </w:r>
      <w:r w:rsidRPr="000244E4">
        <w:rPr>
          <w:rFonts w:ascii="Book Antiqua" w:hAnsi="Book Antiqua" w:cs="Times New Roman"/>
          <w:noProof/>
          <w:sz w:val="21"/>
          <w:szCs w:val="21"/>
        </w:rPr>
        <w:t xml:space="preserve"> </w:t>
      </w:r>
      <w:r w:rsidRPr="000244E4">
        <w:rPr>
          <w:rFonts w:ascii="Book Antiqua" w:hAnsi="Book Antiqua" w:cs="Times New Roman"/>
          <w:i/>
          <w:noProof/>
          <w:sz w:val="21"/>
          <w:szCs w:val="21"/>
        </w:rPr>
        <w:t>Model</w:t>
      </w:r>
      <w:r w:rsidRPr="000244E4">
        <w:rPr>
          <w:rFonts w:ascii="Book Antiqua" w:hAnsi="Book Antiqua" w:cs="Times New Roman"/>
          <w:noProof/>
          <w:sz w:val="21"/>
          <w:szCs w:val="21"/>
        </w:rPr>
        <w:t xml:space="preserve"> variabel dependen </w:t>
      </w:r>
      <w:r w:rsidRPr="000244E4">
        <w:rPr>
          <w:rFonts w:ascii="Book Antiqua" w:hAnsi="Book Antiqua" w:cs="Times New Roman"/>
          <w:i/>
          <w:noProof/>
          <w:sz w:val="21"/>
          <w:szCs w:val="21"/>
        </w:rPr>
        <w:t>Return</w:t>
      </w:r>
      <w:r w:rsidRPr="000244E4">
        <w:rPr>
          <w:rFonts w:ascii="Book Antiqua" w:hAnsi="Book Antiqua" w:cs="Times New Roman"/>
          <w:noProof/>
          <w:sz w:val="21"/>
          <w:szCs w:val="21"/>
        </w:rPr>
        <w:t xml:space="preserve"> Saham  nilai signifikansi Prob (F-statistik) 0,009407  &lt; 0,05, dapat diartikan bahwa kesesuaian model regresi </w:t>
      </w:r>
      <w:r w:rsidRPr="000244E4">
        <w:rPr>
          <w:rFonts w:ascii="Book Antiqua" w:hAnsi="Book Antiqua" w:cs="Times New Roman"/>
          <w:i/>
          <w:noProof/>
          <w:sz w:val="21"/>
          <w:szCs w:val="21"/>
        </w:rPr>
        <w:t xml:space="preserve">Common Effect </w:t>
      </w:r>
      <w:r w:rsidRPr="000244E4">
        <w:rPr>
          <w:rFonts w:ascii="Book Antiqua" w:hAnsi="Book Antiqua" w:cs="Times New Roman"/>
          <w:noProof/>
          <w:sz w:val="21"/>
          <w:szCs w:val="21"/>
        </w:rPr>
        <w:t>yang digunakan  berpengaruh variabel Kualitas Laba terhadap Return Saham</w:t>
      </w:r>
    </w:p>
    <w:p w:rsidR="002165D7" w:rsidRDefault="002165D7" w:rsidP="002165D7">
      <w:pPr>
        <w:pStyle w:val="ListParagraph"/>
        <w:tabs>
          <w:tab w:val="left" w:pos="567"/>
        </w:tabs>
        <w:ind w:left="0" w:firstLine="0"/>
        <w:jc w:val="both"/>
        <w:rPr>
          <w:rFonts w:ascii="Book Antiqua" w:hAnsi="Book Antiqua" w:cs="Times New Roman"/>
          <w:b/>
          <w:sz w:val="21"/>
          <w:szCs w:val="21"/>
        </w:rPr>
      </w:pPr>
    </w:p>
    <w:p w:rsidR="002165D7" w:rsidRPr="000244E4" w:rsidRDefault="002165D7" w:rsidP="002165D7">
      <w:pPr>
        <w:pStyle w:val="ListParagraph"/>
        <w:tabs>
          <w:tab w:val="left" w:pos="567"/>
        </w:tabs>
        <w:ind w:left="0" w:firstLine="0"/>
        <w:jc w:val="both"/>
        <w:rPr>
          <w:rFonts w:ascii="Book Antiqua" w:hAnsi="Book Antiqua" w:cs="Times New Roman"/>
          <w:b/>
          <w:sz w:val="21"/>
          <w:szCs w:val="21"/>
        </w:rPr>
      </w:pPr>
      <w:r w:rsidRPr="000244E4">
        <w:rPr>
          <w:rFonts w:ascii="Book Antiqua" w:hAnsi="Book Antiqua" w:cs="Times New Roman"/>
          <w:b/>
          <w:sz w:val="21"/>
          <w:szCs w:val="21"/>
        </w:rPr>
        <w:t>Uji T Parsial</w:t>
      </w:r>
    </w:p>
    <w:p w:rsidR="002165D7" w:rsidRPr="000244E4" w:rsidRDefault="002165D7" w:rsidP="002165D7">
      <w:pPr>
        <w:pStyle w:val="ListParagraph"/>
        <w:tabs>
          <w:tab w:val="left" w:pos="567"/>
        </w:tabs>
        <w:ind w:left="0" w:firstLine="0"/>
        <w:jc w:val="both"/>
        <w:rPr>
          <w:rFonts w:ascii="Book Antiqua" w:hAnsi="Book Antiqua" w:cs="Times New Roman"/>
          <w:sz w:val="21"/>
          <w:szCs w:val="21"/>
        </w:rPr>
      </w:pPr>
      <w:proofErr w:type="gramStart"/>
      <w:r w:rsidRPr="000244E4">
        <w:rPr>
          <w:rFonts w:ascii="Book Antiqua" w:hAnsi="Book Antiqua" w:cs="Times New Roman"/>
          <w:sz w:val="21"/>
          <w:szCs w:val="21"/>
        </w:rPr>
        <w:t>a. Nilai</w:t>
      </w:r>
      <w:proofErr w:type="gramEnd"/>
      <w:r w:rsidRPr="000244E4">
        <w:rPr>
          <w:rFonts w:ascii="Book Antiqua" w:hAnsi="Book Antiqua" w:cs="Times New Roman"/>
          <w:sz w:val="21"/>
          <w:szCs w:val="21"/>
        </w:rPr>
        <w:t xml:space="preserve"> Prob Kepe</w:t>
      </w:r>
      <w:r>
        <w:rPr>
          <w:rFonts w:ascii="Book Antiqua" w:hAnsi="Book Antiqua" w:cs="Times New Roman"/>
          <w:sz w:val="21"/>
          <w:szCs w:val="21"/>
        </w:rPr>
        <w:t xml:space="preserve">milikan Manajerial (KM)  0,6534 &gt; 0,05, </w:t>
      </w:r>
      <w:r w:rsidRPr="000244E4">
        <w:rPr>
          <w:rFonts w:ascii="Book Antiqua" w:hAnsi="Book Antiqua" w:cs="Times New Roman"/>
          <w:sz w:val="21"/>
          <w:szCs w:val="21"/>
        </w:rPr>
        <w:t>menunjukkan bahwa Kepemilikan   Manajerial tidak berpengaruh  terhadap Kualitas Laba</w:t>
      </w:r>
    </w:p>
    <w:p w:rsidR="002165D7" w:rsidRPr="000244E4" w:rsidRDefault="002165D7" w:rsidP="002165D7">
      <w:pPr>
        <w:pStyle w:val="ListParagraph"/>
        <w:tabs>
          <w:tab w:val="left" w:pos="567"/>
        </w:tabs>
        <w:ind w:left="0" w:firstLine="0"/>
        <w:jc w:val="both"/>
        <w:rPr>
          <w:rFonts w:ascii="Book Antiqua" w:hAnsi="Book Antiqua" w:cs="Times New Roman"/>
          <w:sz w:val="21"/>
          <w:szCs w:val="21"/>
        </w:rPr>
      </w:pPr>
      <w:proofErr w:type="gramStart"/>
      <w:r w:rsidRPr="000244E4">
        <w:rPr>
          <w:rFonts w:ascii="Book Antiqua" w:hAnsi="Book Antiqua" w:cs="Times New Roman"/>
          <w:sz w:val="21"/>
          <w:szCs w:val="21"/>
        </w:rPr>
        <w:t>b.  Nilai</w:t>
      </w:r>
      <w:proofErr w:type="gramEnd"/>
      <w:r w:rsidRPr="000244E4">
        <w:rPr>
          <w:rFonts w:ascii="Book Antiqua" w:hAnsi="Book Antiqua" w:cs="Times New Roman"/>
          <w:sz w:val="21"/>
          <w:szCs w:val="21"/>
        </w:rPr>
        <w:t xml:space="preserve"> Prob Kepemi</w:t>
      </w:r>
      <w:r>
        <w:rPr>
          <w:rFonts w:ascii="Book Antiqua" w:hAnsi="Book Antiqua" w:cs="Times New Roman"/>
          <w:sz w:val="21"/>
          <w:szCs w:val="21"/>
        </w:rPr>
        <w:t xml:space="preserve">likan Institusional (KI) 0,0649 &gt; 0,05, </w:t>
      </w:r>
      <w:r w:rsidRPr="000244E4">
        <w:rPr>
          <w:rFonts w:ascii="Book Antiqua" w:hAnsi="Book Antiqua" w:cs="Times New Roman"/>
          <w:sz w:val="21"/>
          <w:szCs w:val="21"/>
        </w:rPr>
        <w:t xml:space="preserve"> menunjukkan bahwa kepemilikan institusional tidak berpengaruh  terhadap kualitas laba.</w:t>
      </w:r>
    </w:p>
    <w:p w:rsidR="002165D7" w:rsidRPr="000244E4" w:rsidRDefault="002165D7" w:rsidP="002165D7">
      <w:pPr>
        <w:pStyle w:val="ListParagraph"/>
        <w:tabs>
          <w:tab w:val="left" w:pos="567"/>
        </w:tabs>
        <w:ind w:left="0" w:firstLine="0"/>
        <w:jc w:val="both"/>
        <w:rPr>
          <w:rFonts w:ascii="Book Antiqua" w:hAnsi="Book Antiqua" w:cs="Times New Roman"/>
          <w:sz w:val="21"/>
          <w:szCs w:val="21"/>
        </w:rPr>
      </w:pPr>
      <w:proofErr w:type="gramStart"/>
      <w:r w:rsidRPr="000244E4">
        <w:rPr>
          <w:rFonts w:ascii="Book Antiqua" w:hAnsi="Book Antiqua" w:cs="Times New Roman"/>
          <w:sz w:val="21"/>
          <w:szCs w:val="21"/>
        </w:rPr>
        <w:t>c. Nilai</w:t>
      </w:r>
      <w:proofErr w:type="gramEnd"/>
      <w:r w:rsidRPr="000244E4">
        <w:rPr>
          <w:rFonts w:ascii="Book Antiqua" w:hAnsi="Book Antiqua" w:cs="Times New Roman"/>
          <w:sz w:val="21"/>
          <w:szCs w:val="21"/>
        </w:rPr>
        <w:t xml:space="preserve"> Prob Dewan K</w:t>
      </w:r>
      <w:r>
        <w:rPr>
          <w:rFonts w:ascii="Book Antiqua" w:hAnsi="Book Antiqua" w:cs="Times New Roman"/>
          <w:sz w:val="21"/>
          <w:szCs w:val="21"/>
        </w:rPr>
        <w:t>omisaris Independen (DKI)</w:t>
      </w:r>
      <w:r w:rsidRPr="000244E4">
        <w:rPr>
          <w:rFonts w:ascii="Book Antiqua" w:hAnsi="Book Antiqua" w:cs="Times New Roman"/>
          <w:sz w:val="21"/>
          <w:szCs w:val="21"/>
        </w:rPr>
        <w:t xml:space="preserve">  </w:t>
      </w:r>
      <w:r>
        <w:rPr>
          <w:rFonts w:ascii="Book Antiqua" w:hAnsi="Book Antiqua" w:cs="Times New Roman"/>
          <w:sz w:val="21"/>
          <w:szCs w:val="21"/>
        </w:rPr>
        <w:t xml:space="preserve">0,2841  &gt; 0,05 </w:t>
      </w:r>
      <w:r w:rsidRPr="000244E4">
        <w:rPr>
          <w:rFonts w:ascii="Book Antiqua" w:hAnsi="Book Antiqua" w:cs="Times New Roman"/>
          <w:sz w:val="21"/>
          <w:szCs w:val="21"/>
        </w:rPr>
        <w:t xml:space="preserve"> menunjukkan bahwa Dewan Komisaris Independen (DKI) tidak berpengaruh  </w:t>
      </w:r>
      <w:r w:rsidRPr="000244E4">
        <w:rPr>
          <w:rFonts w:ascii="Book Antiqua" w:hAnsi="Book Antiqua" w:cs="Times New Roman"/>
          <w:sz w:val="21"/>
          <w:szCs w:val="21"/>
        </w:rPr>
        <w:lastRenderedPageBreak/>
        <w:t>terhadap kualitas laba.</w:t>
      </w:r>
    </w:p>
    <w:p w:rsidR="002165D7" w:rsidRPr="000244E4" w:rsidRDefault="002165D7" w:rsidP="002165D7">
      <w:pPr>
        <w:pStyle w:val="ListParagraph"/>
        <w:tabs>
          <w:tab w:val="left" w:pos="567"/>
        </w:tabs>
        <w:ind w:left="0" w:firstLine="0"/>
        <w:jc w:val="both"/>
        <w:rPr>
          <w:rFonts w:ascii="Book Antiqua" w:hAnsi="Book Antiqua" w:cs="Times New Roman"/>
          <w:sz w:val="21"/>
          <w:szCs w:val="21"/>
        </w:rPr>
      </w:pPr>
      <w:proofErr w:type="gramStart"/>
      <w:r w:rsidRPr="000244E4">
        <w:rPr>
          <w:rFonts w:ascii="Book Antiqua" w:hAnsi="Book Antiqua" w:cs="Times New Roman"/>
          <w:sz w:val="21"/>
          <w:szCs w:val="21"/>
        </w:rPr>
        <w:t>d. Nila</w:t>
      </w:r>
      <w:r>
        <w:rPr>
          <w:rFonts w:ascii="Book Antiqua" w:hAnsi="Book Antiqua" w:cs="Times New Roman"/>
          <w:sz w:val="21"/>
          <w:szCs w:val="21"/>
        </w:rPr>
        <w:t>i</w:t>
      </w:r>
      <w:proofErr w:type="gramEnd"/>
      <w:r>
        <w:rPr>
          <w:rFonts w:ascii="Book Antiqua" w:hAnsi="Book Antiqua" w:cs="Times New Roman"/>
          <w:sz w:val="21"/>
          <w:szCs w:val="21"/>
        </w:rPr>
        <w:t xml:space="preserve"> Prob Komite Audit (KA)  0,0164  &lt; 0,05 </w:t>
      </w:r>
      <w:r w:rsidRPr="000244E4">
        <w:rPr>
          <w:rFonts w:ascii="Book Antiqua" w:hAnsi="Book Antiqua" w:cs="Times New Roman"/>
          <w:sz w:val="21"/>
          <w:szCs w:val="21"/>
        </w:rPr>
        <w:t>menunjukkan bahwa Komite Audit (KA)  berpengaruh signifikan terhadap kualitas laba.</w:t>
      </w:r>
    </w:p>
    <w:p w:rsidR="002165D7" w:rsidRDefault="002165D7" w:rsidP="002165D7">
      <w:pPr>
        <w:pStyle w:val="ListParagraph"/>
        <w:tabs>
          <w:tab w:val="left" w:pos="567"/>
        </w:tabs>
        <w:ind w:left="0" w:firstLine="0"/>
        <w:jc w:val="both"/>
        <w:rPr>
          <w:rFonts w:ascii="Book Antiqua" w:hAnsi="Book Antiqua" w:cs="Times New Roman"/>
          <w:sz w:val="21"/>
          <w:szCs w:val="21"/>
        </w:rPr>
      </w:pPr>
      <w:proofErr w:type="gramStart"/>
      <w:r>
        <w:rPr>
          <w:rFonts w:ascii="Book Antiqua" w:hAnsi="Book Antiqua" w:cs="Times New Roman"/>
          <w:sz w:val="21"/>
          <w:szCs w:val="21"/>
        </w:rPr>
        <w:t>e. Nilai</w:t>
      </w:r>
      <w:proofErr w:type="gramEnd"/>
      <w:r>
        <w:rPr>
          <w:rFonts w:ascii="Book Antiqua" w:hAnsi="Book Antiqua" w:cs="Times New Roman"/>
          <w:sz w:val="21"/>
          <w:szCs w:val="21"/>
        </w:rPr>
        <w:t xml:space="preserve"> Prob Pengungkapan CSR</w:t>
      </w:r>
      <w:r w:rsidRPr="000244E4">
        <w:rPr>
          <w:rFonts w:ascii="Book Antiqua" w:hAnsi="Book Antiqua" w:cs="Times New Roman"/>
          <w:sz w:val="21"/>
          <w:szCs w:val="21"/>
        </w:rPr>
        <w:t xml:space="preserve"> </w:t>
      </w:r>
      <w:r>
        <w:rPr>
          <w:rFonts w:ascii="Book Antiqua" w:hAnsi="Book Antiqua" w:cs="Times New Roman"/>
          <w:sz w:val="21"/>
          <w:szCs w:val="21"/>
        </w:rPr>
        <w:t xml:space="preserve">(CSR)  0,2703  &gt; 0,05 </w:t>
      </w:r>
      <w:r w:rsidRPr="000244E4">
        <w:rPr>
          <w:rFonts w:ascii="Book Antiqua" w:hAnsi="Book Antiqua" w:cs="Times New Roman"/>
          <w:sz w:val="21"/>
          <w:szCs w:val="21"/>
        </w:rPr>
        <w:t xml:space="preserve"> menunjukkan bahwa Pengungkapan CSR tidak berpengaruh  terhadap kualitas laba.</w:t>
      </w:r>
    </w:p>
    <w:p w:rsidR="00883FC3" w:rsidRDefault="00883FC3" w:rsidP="002165D7">
      <w:pPr>
        <w:pStyle w:val="ListParagraph"/>
        <w:tabs>
          <w:tab w:val="left" w:pos="567"/>
        </w:tabs>
        <w:ind w:left="0" w:firstLine="0"/>
        <w:jc w:val="both"/>
        <w:rPr>
          <w:rFonts w:ascii="Book Antiqua" w:hAnsi="Book Antiqua" w:cs="Times New Roman"/>
          <w:sz w:val="21"/>
          <w:szCs w:val="21"/>
        </w:rPr>
      </w:pPr>
      <w:proofErr w:type="gramStart"/>
      <w:r>
        <w:rPr>
          <w:rFonts w:ascii="Book Antiqua" w:hAnsi="Book Antiqua" w:cs="Times New Roman"/>
          <w:sz w:val="21"/>
          <w:szCs w:val="21"/>
        </w:rPr>
        <w:t>f</w:t>
      </w:r>
      <w:proofErr w:type="gramEnd"/>
      <w:r>
        <w:rPr>
          <w:rFonts w:ascii="Book Antiqua" w:hAnsi="Book Antiqua" w:cs="Times New Roman"/>
          <w:sz w:val="21"/>
          <w:szCs w:val="21"/>
        </w:rPr>
        <w:t>. Nilai Prob Kualitas Laba 0,0094 &lt; 0,05 menunjukkan bahwa Kualitas Laba berpengaruh signifikan terhadap Return Saham</w:t>
      </w:r>
    </w:p>
    <w:p w:rsidR="00883FC3" w:rsidRPr="000244E4" w:rsidRDefault="00883FC3" w:rsidP="002165D7">
      <w:pPr>
        <w:pStyle w:val="ListParagraph"/>
        <w:tabs>
          <w:tab w:val="left" w:pos="567"/>
        </w:tabs>
        <w:ind w:left="0" w:firstLine="0"/>
        <w:jc w:val="both"/>
        <w:rPr>
          <w:rFonts w:ascii="Book Antiqua" w:hAnsi="Book Antiqua" w:cs="Times New Roman"/>
          <w:sz w:val="21"/>
          <w:szCs w:val="21"/>
        </w:rPr>
      </w:pPr>
      <w:bookmarkStart w:id="0" w:name="_GoBack"/>
      <w:bookmarkEnd w:id="0"/>
    </w:p>
    <w:p w:rsidR="002165D7" w:rsidRPr="000244E4" w:rsidRDefault="002165D7" w:rsidP="002165D7">
      <w:pPr>
        <w:pStyle w:val="ListParagraph"/>
        <w:tabs>
          <w:tab w:val="left" w:pos="567"/>
        </w:tabs>
        <w:ind w:left="0" w:firstLine="0"/>
        <w:jc w:val="both"/>
        <w:rPr>
          <w:rFonts w:ascii="Book Antiqua" w:hAnsi="Book Antiqua" w:cs="Times New Roman"/>
          <w:b/>
          <w:sz w:val="21"/>
          <w:szCs w:val="21"/>
        </w:rPr>
      </w:pPr>
      <w:r w:rsidRPr="000244E4">
        <w:rPr>
          <w:rFonts w:ascii="Book Antiqua" w:hAnsi="Book Antiqua" w:cs="Times New Roman"/>
          <w:b/>
          <w:sz w:val="21"/>
          <w:szCs w:val="21"/>
        </w:rPr>
        <w:t>Persamaan Regresi</w:t>
      </w:r>
    </w:p>
    <w:p w:rsidR="002165D7" w:rsidRPr="000244E4" w:rsidRDefault="002165D7" w:rsidP="002165D7">
      <w:pPr>
        <w:pStyle w:val="ListParagraph"/>
        <w:ind w:left="0" w:firstLine="0"/>
        <w:jc w:val="both"/>
        <w:rPr>
          <w:rFonts w:ascii="Book Antiqua" w:hAnsi="Book Antiqua" w:cs="Times New Roman"/>
          <w:sz w:val="21"/>
          <w:szCs w:val="21"/>
        </w:rPr>
      </w:pPr>
      <w:r>
        <w:rPr>
          <w:rFonts w:ascii="Book Antiqua" w:hAnsi="Book Antiqua" w:cs="Times New Roman"/>
          <w:sz w:val="21"/>
          <w:szCs w:val="21"/>
        </w:rPr>
        <w:t xml:space="preserve">a. </w:t>
      </w:r>
      <w:r w:rsidRPr="000244E4">
        <w:rPr>
          <w:rFonts w:ascii="Book Antiqua" w:hAnsi="Book Antiqua" w:cs="Times New Roman"/>
          <w:sz w:val="21"/>
          <w:szCs w:val="21"/>
        </w:rPr>
        <w:t xml:space="preserve">Variabel dependen Kualitas Laba </w:t>
      </w:r>
      <w:r>
        <w:rPr>
          <w:rFonts w:ascii="Book Antiqua" w:hAnsi="Book Antiqua" w:cs="Times New Roman"/>
          <w:sz w:val="21"/>
          <w:szCs w:val="21"/>
        </w:rPr>
        <w:t xml:space="preserve">dengan </w:t>
      </w:r>
      <w:r w:rsidRPr="005716EE">
        <w:rPr>
          <w:rFonts w:ascii="Book Antiqua" w:hAnsi="Book Antiqua" w:cs="Times New Roman"/>
          <w:i/>
          <w:sz w:val="21"/>
          <w:szCs w:val="21"/>
        </w:rPr>
        <w:t xml:space="preserve">Random Effect </w:t>
      </w:r>
      <w:proofErr w:type="gramStart"/>
      <w:r w:rsidRPr="005716EE">
        <w:rPr>
          <w:rFonts w:ascii="Book Antiqua" w:hAnsi="Book Antiqua" w:cs="Times New Roman"/>
          <w:i/>
          <w:sz w:val="21"/>
          <w:szCs w:val="21"/>
        </w:rPr>
        <w:t>Model</w:t>
      </w:r>
      <w:r>
        <w:rPr>
          <w:rFonts w:ascii="Book Antiqua" w:hAnsi="Book Antiqua" w:cs="Times New Roman"/>
          <w:sz w:val="21"/>
          <w:szCs w:val="21"/>
        </w:rPr>
        <w:t xml:space="preserve"> </w:t>
      </w:r>
      <w:r w:rsidRPr="000244E4">
        <w:rPr>
          <w:rFonts w:ascii="Book Antiqua" w:hAnsi="Book Antiqua" w:cs="Times New Roman"/>
          <w:sz w:val="21"/>
          <w:szCs w:val="21"/>
        </w:rPr>
        <w:t xml:space="preserve"> persamaan</w:t>
      </w:r>
      <w:proofErr w:type="gramEnd"/>
      <w:r w:rsidRPr="000244E4">
        <w:rPr>
          <w:rFonts w:ascii="Book Antiqua" w:hAnsi="Book Antiqua" w:cs="Times New Roman"/>
          <w:sz w:val="21"/>
          <w:szCs w:val="21"/>
        </w:rPr>
        <w:t xml:space="preserve"> regresinya adalah :</w:t>
      </w:r>
    </w:p>
    <w:p w:rsidR="002165D7" w:rsidRPr="000244E4" w:rsidRDefault="002165D7" w:rsidP="002165D7">
      <w:pPr>
        <w:pStyle w:val="ListParagraph"/>
        <w:tabs>
          <w:tab w:val="left" w:pos="567"/>
        </w:tabs>
        <w:ind w:left="0" w:firstLine="0"/>
        <w:jc w:val="both"/>
        <w:rPr>
          <w:rFonts w:ascii="Book Antiqua" w:hAnsi="Book Antiqua" w:cs="Times New Roman"/>
          <w:sz w:val="21"/>
          <w:szCs w:val="21"/>
        </w:rPr>
      </w:pPr>
      <w:r w:rsidRPr="000244E4">
        <w:rPr>
          <w:rFonts w:ascii="Book Antiqua" w:hAnsi="Book Antiqua" w:cs="Times New Roman"/>
          <w:sz w:val="21"/>
          <w:szCs w:val="21"/>
        </w:rPr>
        <w:t>VR = -41</w:t>
      </w:r>
      <w:proofErr w:type="gramStart"/>
      <w:r w:rsidRPr="000244E4">
        <w:rPr>
          <w:rFonts w:ascii="Book Antiqua" w:hAnsi="Book Antiqua" w:cs="Times New Roman"/>
          <w:sz w:val="21"/>
          <w:szCs w:val="21"/>
        </w:rPr>
        <w:t>,27038</w:t>
      </w:r>
      <w:proofErr w:type="gramEnd"/>
      <w:r w:rsidRPr="000244E4">
        <w:rPr>
          <w:rFonts w:ascii="Book Antiqua" w:hAnsi="Book Antiqua" w:cs="Times New Roman"/>
          <w:sz w:val="21"/>
          <w:szCs w:val="21"/>
        </w:rPr>
        <w:t xml:space="preserve"> + 0,026428KM – 0,776052KI – 0,451527DKI + 2,327488KA – 0,384276CSR</w:t>
      </w:r>
    </w:p>
    <w:p w:rsidR="002165D7" w:rsidRPr="000244E4" w:rsidRDefault="002165D7" w:rsidP="002165D7">
      <w:pPr>
        <w:pStyle w:val="ListParagraph"/>
        <w:tabs>
          <w:tab w:val="left" w:pos="567"/>
        </w:tabs>
        <w:ind w:left="0" w:firstLine="0"/>
        <w:jc w:val="both"/>
        <w:rPr>
          <w:rFonts w:ascii="Book Antiqua" w:hAnsi="Book Antiqua" w:cs="Times New Roman"/>
          <w:sz w:val="21"/>
          <w:szCs w:val="21"/>
        </w:rPr>
      </w:pPr>
      <w:proofErr w:type="gramStart"/>
      <w:r>
        <w:rPr>
          <w:rFonts w:ascii="Book Antiqua" w:hAnsi="Book Antiqua" w:cs="Times New Roman"/>
          <w:sz w:val="21"/>
          <w:szCs w:val="21"/>
        </w:rPr>
        <w:t>b.</w:t>
      </w:r>
      <w:r w:rsidRPr="000244E4">
        <w:rPr>
          <w:rFonts w:ascii="Book Antiqua" w:hAnsi="Book Antiqua" w:cs="Times New Roman"/>
          <w:sz w:val="21"/>
          <w:szCs w:val="21"/>
        </w:rPr>
        <w:t>Variabel</w:t>
      </w:r>
      <w:proofErr w:type="gramEnd"/>
      <w:r w:rsidRPr="000244E4">
        <w:rPr>
          <w:rFonts w:ascii="Book Antiqua" w:hAnsi="Book Antiqua" w:cs="Times New Roman"/>
          <w:sz w:val="21"/>
          <w:szCs w:val="21"/>
        </w:rPr>
        <w:t xml:space="preserve"> dependen </w:t>
      </w:r>
      <w:r w:rsidRPr="000244E4">
        <w:rPr>
          <w:rFonts w:ascii="Book Antiqua" w:hAnsi="Book Antiqua" w:cs="Times New Roman"/>
          <w:i/>
          <w:sz w:val="21"/>
          <w:szCs w:val="21"/>
        </w:rPr>
        <w:t>Return</w:t>
      </w:r>
      <w:r>
        <w:rPr>
          <w:rFonts w:ascii="Book Antiqua" w:hAnsi="Book Antiqua" w:cs="Times New Roman"/>
          <w:sz w:val="21"/>
          <w:szCs w:val="21"/>
        </w:rPr>
        <w:t xml:space="preserve"> Saham </w:t>
      </w:r>
      <w:r w:rsidRPr="000244E4">
        <w:rPr>
          <w:rFonts w:ascii="Book Antiqua" w:hAnsi="Book Antiqua" w:cs="Times New Roman"/>
          <w:sz w:val="21"/>
          <w:szCs w:val="21"/>
        </w:rPr>
        <w:t xml:space="preserve"> dengan </w:t>
      </w:r>
      <w:r w:rsidRPr="000244E4">
        <w:rPr>
          <w:rFonts w:ascii="Book Antiqua" w:hAnsi="Book Antiqua" w:cs="Times New Roman"/>
          <w:i/>
          <w:sz w:val="21"/>
          <w:szCs w:val="21"/>
        </w:rPr>
        <w:t>Weighted Common Effect Model</w:t>
      </w:r>
      <w:r>
        <w:rPr>
          <w:rFonts w:ascii="Book Antiqua" w:hAnsi="Book Antiqua" w:cs="Times New Roman"/>
          <w:sz w:val="21"/>
          <w:szCs w:val="21"/>
        </w:rPr>
        <w:t xml:space="preserve"> </w:t>
      </w:r>
      <w:r w:rsidRPr="000244E4">
        <w:rPr>
          <w:rFonts w:ascii="Book Antiqua" w:hAnsi="Book Antiqua" w:cs="Times New Roman"/>
          <w:sz w:val="21"/>
          <w:szCs w:val="21"/>
        </w:rPr>
        <w:t xml:space="preserve"> persamaan regresinya adalah : </w:t>
      </w:r>
    </w:p>
    <w:p w:rsidR="002165D7" w:rsidRPr="002E6060" w:rsidRDefault="002165D7" w:rsidP="002165D7">
      <w:pPr>
        <w:pStyle w:val="ListParagraph"/>
        <w:tabs>
          <w:tab w:val="left" w:pos="567"/>
        </w:tabs>
        <w:ind w:left="0" w:firstLine="0"/>
        <w:jc w:val="both"/>
        <w:rPr>
          <w:rFonts w:ascii="Book Antiqua" w:hAnsi="Book Antiqua" w:cs="Times New Roman"/>
          <w:sz w:val="21"/>
          <w:szCs w:val="21"/>
        </w:rPr>
      </w:pPr>
      <w:r>
        <w:rPr>
          <w:rFonts w:ascii="Book Antiqua" w:hAnsi="Book Antiqua" w:cs="Times New Roman"/>
          <w:sz w:val="21"/>
          <w:szCs w:val="21"/>
        </w:rPr>
        <w:t>RS = -2</w:t>
      </w:r>
      <w:proofErr w:type="gramStart"/>
      <w:r>
        <w:rPr>
          <w:rFonts w:ascii="Book Antiqua" w:hAnsi="Book Antiqua" w:cs="Times New Roman"/>
          <w:sz w:val="21"/>
          <w:szCs w:val="21"/>
        </w:rPr>
        <w:t>,236571</w:t>
      </w:r>
      <w:proofErr w:type="gramEnd"/>
      <w:r>
        <w:rPr>
          <w:rFonts w:ascii="Book Antiqua" w:hAnsi="Book Antiqua" w:cs="Times New Roman"/>
          <w:sz w:val="21"/>
          <w:szCs w:val="21"/>
        </w:rPr>
        <w:t xml:space="preserve"> + 0,203552VR</w:t>
      </w:r>
    </w:p>
    <w:p w:rsidR="002165D7" w:rsidRDefault="002165D7" w:rsidP="002165D7">
      <w:pPr>
        <w:pStyle w:val="ListParagraph"/>
        <w:tabs>
          <w:tab w:val="left" w:pos="567"/>
        </w:tabs>
        <w:ind w:left="1080" w:firstLine="0"/>
        <w:jc w:val="both"/>
        <w:rPr>
          <w:rFonts w:ascii="Book Antiqua" w:hAnsi="Book Antiqua" w:cs="Times New Roman"/>
          <w:sz w:val="21"/>
          <w:szCs w:val="21"/>
        </w:rPr>
      </w:pPr>
    </w:p>
    <w:p w:rsidR="002165D7" w:rsidRPr="000244E4" w:rsidRDefault="002165D7" w:rsidP="002165D7">
      <w:pPr>
        <w:pStyle w:val="ListParagraph"/>
        <w:tabs>
          <w:tab w:val="left" w:pos="567"/>
        </w:tabs>
        <w:ind w:left="0" w:firstLine="0"/>
        <w:jc w:val="both"/>
        <w:rPr>
          <w:rFonts w:ascii="Book Antiqua" w:hAnsi="Book Antiqua" w:cs="Times New Roman"/>
          <w:b/>
          <w:sz w:val="21"/>
          <w:szCs w:val="21"/>
        </w:rPr>
      </w:pPr>
      <w:r>
        <w:rPr>
          <w:rFonts w:ascii="Book Antiqua" w:hAnsi="Book Antiqua" w:cs="Times New Roman"/>
          <w:b/>
          <w:sz w:val="21"/>
          <w:szCs w:val="21"/>
        </w:rPr>
        <w:t xml:space="preserve">b. </w:t>
      </w:r>
      <w:r w:rsidRPr="000244E4">
        <w:rPr>
          <w:rFonts w:ascii="Book Antiqua" w:hAnsi="Book Antiqua" w:cs="Times New Roman"/>
          <w:b/>
          <w:sz w:val="21"/>
          <w:szCs w:val="21"/>
        </w:rPr>
        <w:t>Pembahasan</w:t>
      </w:r>
    </w:p>
    <w:p w:rsidR="002165D7" w:rsidRPr="000244E4" w:rsidRDefault="002165D7" w:rsidP="002165D7">
      <w:pPr>
        <w:pStyle w:val="ListParagraph"/>
        <w:tabs>
          <w:tab w:val="left" w:pos="567"/>
        </w:tabs>
        <w:ind w:left="0" w:firstLine="0"/>
        <w:jc w:val="both"/>
        <w:rPr>
          <w:rFonts w:ascii="Book Antiqua" w:hAnsi="Book Antiqua" w:cs="Times New Roman"/>
          <w:b/>
          <w:sz w:val="21"/>
          <w:szCs w:val="21"/>
        </w:rPr>
      </w:pPr>
      <w:r w:rsidRPr="000244E4">
        <w:rPr>
          <w:rFonts w:ascii="Book Antiqua" w:hAnsi="Book Antiqua" w:cs="Times New Roman"/>
          <w:b/>
          <w:sz w:val="21"/>
          <w:szCs w:val="21"/>
        </w:rPr>
        <w:t>Pengaruh Kepemilikan Manajerial Terhadap Kualitas Laba</w:t>
      </w:r>
    </w:p>
    <w:p w:rsidR="002165D7" w:rsidRPr="000244E4" w:rsidRDefault="002165D7" w:rsidP="002165D7">
      <w:pPr>
        <w:pStyle w:val="ListParagraph"/>
        <w:tabs>
          <w:tab w:val="left" w:pos="567"/>
        </w:tabs>
        <w:ind w:left="0" w:firstLine="0"/>
        <w:jc w:val="both"/>
        <w:rPr>
          <w:rFonts w:ascii="Book Antiqua" w:hAnsi="Book Antiqua" w:cs="Times New Roman"/>
          <w:sz w:val="21"/>
          <w:szCs w:val="21"/>
        </w:rPr>
      </w:pPr>
      <w:r>
        <w:rPr>
          <w:rFonts w:ascii="Book Antiqua" w:hAnsi="Book Antiqua" w:cs="Times New Roman"/>
          <w:sz w:val="21"/>
          <w:szCs w:val="21"/>
        </w:rPr>
        <w:t>K</w:t>
      </w:r>
      <w:r w:rsidRPr="000244E4">
        <w:rPr>
          <w:rFonts w:ascii="Book Antiqua" w:hAnsi="Book Antiqua" w:cs="Times New Roman"/>
          <w:sz w:val="21"/>
          <w:szCs w:val="21"/>
        </w:rPr>
        <w:t xml:space="preserve">epemilikan manajerial tidak </w:t>
      </w:r>
      <w:proofErr w:type="gramStart"/>
      <w:r w:rsidRPr="000244E4">
        <w:rPr>
          <w:rFonts w:ascii="Book Antiqua" w:hAnsi="Book Antiqua" w:cs="Times New Roman"/>
          <w:sz w:val="21"/>
          <w:szCs w:val="21"/>
        </w:rPr>
        <w:t>berpengaruh  terhadap</w:t>
      </w:r>
      <w:proofErr w:type="gramEnd"/>
      <w:r w:rsidRPr="000244E4">
        <w:rPr>
          <w:rFonts w:ascii="Book Antiqua" w:hAnsi="Book Antiqua" w:cs="Times New Roman"/>
          <w:sz w:val="21"/>
          <w:szCs w:val="21"/>
        </w:rPr>
        <w:t xml:space="preserve"> kual</w:t>
      </w:r>
      <w:r>
        <w:rPr>
          <w:rFonts w:ascii="Book Antiqua" w:hAnsi="Book Antiqua" w:cs="Times New Roman"/>
          <w:sz w:val="21"/>
          <w:szCs w:val="21"/>
        </w:rPr>
        <w:t xml:space="preserve">itas laba. </w:t>
      </w:r>
      <w:proofErr w:type="gramStart"/>
      <w:r>
        <w:rPr>
          <w:rFonts w:ascii="Book Antiqua" w:hAnsi="Book Antiqua" w:cs="Times New Roman"/>
          <w:sz w:val="21"/>
          <w:szCs w:val="21"/>
        </w:rPr>
        <w:t>S</w:t>
      </w:r>
      <w:r w:rsidRPr="000244E4">
        <w:rPr>
          <w:rFonts w:ascii="Book Antiqua" w:hAnsi="Book Antiqua" w:cs="Times New Roman"/>
          <w:sz w:val="21"/>
          <w:szCs w:val="21"/>
        </w:rPr>
        <w:t>ebagian perusahaan memiliki kepemilikan mana</w:t>
      </w:r>
      <w:r>
        <w:rPr>
          <w:rFonts w:ascii="Book Antiqua" w:hAnsi="Book Antiqua" w:cs="Times New Roman"/>
          <w:sz w:val="21"/>
          <w:szCs w:val="21"/>
        </w:rPr>
        <w:t xml:space="preserve">jerial yang relatif kecil, </w:t>
      </w:r>
      <w:r w:rsidRPr="000244E4">
        <w:rPr>
          <w:rFonts w:ascii="Book Antiqua" w:hAnsi="Book Antiqua" w:cs="Times New Roman"/>
          <w:sz w:val="21"/>
          <w:szCs w:val="21"/>
        </w:rPr>
        <w:t>menyebabkan manajemen kurang dapat mempengaruhi pengambilan keputusan dalam menjalankan operasional perusahaan.</w:t>
      </w:r>
      <w:proofErr w:type="gramEnd"/>
      <w:r w:rsidRPr="000244E4">
        <w:rPr>
          <w:rFonts w:ascii="Book Antiqua" w:hAnsi="Book Antiqua" w:cs="Times New Roman"/>
          <w:sz w:val="21"/>
          <w:szCs w:val="21"/>
        </w:rPr>
        <w:t xml:space="preserve"> </w:t>
      </w:r>
      <w:proofErr w:type="gramStart"/>
      <w:r w:rsidRPr="000244E4">
        <w:rPr>
          <w:rFonts w:ascii="Book Antiqua" w:hAnsi="Book Antiqua" w:cs="Times New Roman"/>
          <w:sz w:val="21"/>
          <w:szCs w:val="21"/>
        </w:rPr>
        <w:t>Dengan rendahnya persentase kepemilikan manajerial selaku pemilik perusahaan tidak memberikan dampak terhadap laporan keuangan yang tercermin dari kualitas laba</w:t>
      </w:r>
      <w:r>
        <w:rPr>
          <w:rFonts w:ascii="Book Antiqua" w:hAnsi="Book Antiqua" w:cs="Times New Roman"/>
          <w:sz w:val="21"/>
          <w:szCs w:val="21"/>
        </w:rPr>
        <w:t>.</w:t>
      </w:r>
      <w:proofErr w:type="gramEnd"/>
      <w:r>
        <w:rPr>
          <w:rFonts w:ascii="Book Antiqua" w:hAnsi="Book Antiqua" w:cs="Times New Roman"/>
          <w:sz w:val="21"/>
          <w:szCs w:val="21"/>
        </w:rPr>
        <w:t xml:space="preserve"> </w:t>
      </w:r>
      <w:r w:rsidRPr="000244E4">
        <w:rPr>
          <w:rFonts w:ascii="Book Antiqua" w:hAnsi="Book Antiqua" w:cs="Times New Roman"/>
          <w:sz w:val="21"/>
          <w:szCs w:val="21"/>
        </w:rPr>
        <w:t xml:space="preserve">Theory Agency </w:t>
      </w:r>
      <w:r w:rsidRPr="000244E4">
        <w:rPr>
          <w:rFonts w:ascii="Book Antiqua" w:hAnsi="Book Antiqua" w:cs="Times New Roman"/>
          <w:sz w:val="21"/>
          <w:szCs w:val="21"/>
        </w:rPr>
        <w:fldChar w:fldCharType="begin" w:fldLock="1"/>
      </w:r>
      <w:r>
        <w:rPr>
          <w:rFonts w:ascii="Book Antiqua" w:hAnsi="Book Antiqua" w:cs="Times New Roman"/>
          <w:sz w:val="21"/>
          <w:szCs w:val="21"/>
        </w:rPr>
        <w:instrText>ADDIN CSL_CITATION {"citationItems":[{"id":"ITEM-1","itemData":{"author":[{"dropping-particle":"","family":"Jensen","given":"Michael","non-dropping-particle":"","parse-names":false,"suffix":""},{"dropping-particle":"","family":"Meckling","given":"William H","non-dropping-particle":"","parse-names":false,"suffix":""}],"container-title":"Journal of Financial Economics","id":"ITEM-1","issue":"4","issued":{"date-parts":[["1976"]]},"page":"305-360","title":"Theory of the firm: Managerial behavior, agency costs and ownership structure","type":"article-journal","volume":"3"},"uris":["http://www.mendeley.com/documents/?uuid=fc7e1725-b446-42cd-b499-a0ab603e7046"]}],"mendeley":{"formattedCitation":"(Jensen &amp; Meckling, 1976)","plainTextFormattedCitation":"(Jensen &amp; Meckling, 1976)","previouslyFormattedCitation":"(Jensen &amp; Meckling, 1976)"},"properties":{"noteIndex":0},"schema":"https://github.com/citation-style-language/schema/raw/master/csl-citation.json"}</w:instrText>
      </w:r>
      <w:r w:rsidRPr="000244E4">
        <w:rPr>
          <w:rFonts w:ascii="Book Antiqua" w:hAnsi="Book Antiqua" w:cs="Times New Roman"/>
          <w:sz w:val="21"/>
          <w:szCs w:val="21"/>
        </w:rPr>
        <w:fldChar w:fldCharType="separate"/>
      </w:r>
      <w:r w:rsidRPr="002E6060">
        <w:rPr>
          <w:rFonts w:ascii="Book Antiqua" w:hAnsi="Book Antiqua" w:cs="Times New Roman"/>
          <w:noProof/>
          <w:sz w:val="21"/>
          <w:szCs w:val="21"/>
        </w:rPr>
        <w:t>(Jensen &amp; Meckling, 1976)</w:t>
      </w:r>
      <w:r w:rsidRPr="000244E4">
        <w:rPr>
          <w:rFonts w:ascii="Book Antiqua" w:hAnsi="Book Antiqua" w:cs="Times New Roman"/>
          <w:sz w:val="21"/>
          <w:szCs w:val="21"/>
        </w:rPr>
        <w:fldChar w:fldCharType="end"/>
      </w:r>
      <w:r w:rsidRPr="000244E4">
        <w:rPr>
          <w:rFonts w:ascii="Book Antiqua" w:hAnsi="Book Antiqua" w:cs="Times New Roman"/>
          <w:sz w:val="21"/>
          <w:szCs w:val="21"/>
        </w:rPr>
        <w:t xml:space="preserve"> yang mengatakan semakin tinggi kepemilikan saham oleh manajemen, maka  semakin meningkatkan kecenderungan manajemen untuk mengoptimalkan penggunaan sumber daya. Hasil penelitian ini sejalan dengan  penelitian sebelumnya yang dilakukan oleh </w:t>
      </w:r>
      <w:r w:rsidRPr="000244E4">
        <w:rPr>
          <w:rFonts w:ascii="Book Antiqua" w:hAnsi="Book Antiqua" w:cs="Times New Roman"/>
          <w:sz w:val="21"/>
          <w:szCs w:val="21"/>
        </w:rPr>
        <w:fldChar w:fldCharType="begin" w:fldLock="1"/>
      </w:r>
      <w:r>
        <w:rPr>
          <w:rFonts w:ascii="Book Antiqua" w:hAnsi="Book Antiqua" w:cs="Times New Roman"/>
          <w:sz w:val="21"/>
          <w:szCs w:val="21"/>
        </w:rPr>
        <w:instrText>ADDIN CSL_CITATION {"citationItems":[{"id":"ITEM-1","itemData":{"DOI":"10.36713/epra2013","ISSN":"2455-3662","abstract":"ANNOTATION Practice shows that the lack or late receipt of information with special conditions for the use of territories often has a negative impact not only on the budget and time frame for the construction of a real estate facility, but also on the fate of the built facility in general. The protection areas of underground and above-ground engineering communications play an important role for the future in land use. And also, when using these lands for agricultural needs, with the correct organization of cadastral relations represents the relevance of the issue under study. In the present, as an example, a section of high-voltage power transmission lines (power lines) of 1 km length is presented.","author":[{"dropping-particle":"","family":"Listyaningsih","given":"","non-dropping-particle":"","parse-names":false,"suffix":""},{"dropping-particle":"","family":"Fransisca","given":"","non-dropping-particle":"","parse-names":false,"suffix":""}],"container-title":"EPRA International Journal of Multidisciplinary Research (IJMR)-Peer Reviewed Journal","id":"ITEM-1","issue":"2","issued":{"date-parts":[["2020"]]},"page":"242-251","title":"Investment Opportunity Set and Good Corporate Governance To Earnings quality","type":"article-journal"},"uris":["http://www.mendeley.com/documents/?uuid=e685aefb-41be-4506-845a-b17bcee0fb06"]}],"mendeley":{"formattedCitation":"(Listyaningsih &amp; Fransisca, 2020)","manualFormatting":"(Listyaningsih, 2020)","plainTextFormattedCitation":"(Listyaningsih &amp; Fransisca, 2020)","previouslyFormattedCitation":"(Listyaningsih &amp; Fransisca, 2020)"},"properties":{"noteIndex":0},"schema":"https://github.com/citation-style-language/schema/raw/master/csl-citation.json"}</w:instrText>
      </w:r>
      <w:r w:rsidRPr="000244E4">
        <w:rPr>
          <w:rFonts w:ascii="Book Antiqua" w:hAnsi="Book Antiqua" w:cs="Times New Roman"/>
          <w:sz w:val="21"/>
          <w:szCs w:val="21"/>
        </w:rPr>
        <w:fldChar w:fldCharType="separate"/>
      </w:r>
      <w:r w:rsidRPr="000244E4">
        <w:rPr>
          <w:rFonts w:ascii="Book Antiqua" w:hAnsi="Book Antiqua" w:cs="Times New Roman"/>
          <w:noProof/>
          <w:sz w:val="21"/>
          <w:szCs w:val="21"/>
        </w:rPr>
        <w:t>(Listyaningsih, 2020)</w:t>
      </w:r>
      <w:r w:rsidRPr="000244E4">
        <w:rPr>
          <w:rFonts w:ascii="Book Antiqua" w:hAnsi="Book Antiqua" w:cs="Times New Roman"/>
          <w:sz w:val="21"/>
          <w:szCs w:val="21"/>
        </w:rPr>
        <w:fldChar w:fldCharType="end"/>
      </w:r>
      <w:r w:rsidRPr="000244E4">
        <w:rPr>
          <w:rFonts w:ascii="Book Antiqua" w:hAnsi="Book Antiqua" w:cs="Times New Roman"/>
          <w:sz w:val="21"/>
          <w:szCs w:val="21"/>
        </w:rPr>
        <w:t xml:space="preserve">,  </w:t>
      </w:r>
      <w:r w:rsidRPr="000244E4">
        <w:rPr>
          <w:rFonts w:ascii="Book Antiqua" w:hAnsi="Book Antiqua" w:cs="Times New Roman"/>
          <w:sz w:val="21"/>
          <w:szCs w:val="21"/>
        </w:rPr>
        <w:fldChar w:fldCharType="begin" w:fldLock="1"/>
      </w:r>
      <w:r>
        <w:rPr>
          <w:rFonts w:ascii="Book Antiqua" w:hAnsi="Book Antiqua" w:cs="Times New Roman"/>
          <w:sz w:val="21"/>
          <w:szCs w:val="21"/>
        </w:rPr>
        <w:instrText>ADDIN CSL_CITATION {"citationItems":[{"id":"ITEM-1","itemData":{"author":[{"dropping-particle":"","family":"Nanang","given":"Alvin Pranata","non-dropping-particle":"","parse-names":false,"suffix":""},{"dropping-particle":"","family":"Tanusdjaja","given":"Hendang","non-dropping-particle":"","parse-names":false,"suffix":""}],"container-title":"Jurnal Muara Ilmu Ekonomi dan Bisnis","id":"ITEM-1","issue":"2","issued":{"date-parts":[["2019"]]},"page":"267-288","title":"PENGARUH CORPORATE GOVERNANCE ( CG ) TERHADAP KUALITAS LABA DENGAN MANAJEMEN LABA SEBAGAI VARIABEL INTERVENING PADA PERUSAHAAN MANUFAKTUR YANG Latar belakang ( respon ) terhadap pasar ( Wahyuni dan Muslim , 2010 ). Untuk memaksimumkan kualitas laba yang t","type":"article-journal","volume":"3"},"uris":["http://www.mendeley.com/documents/?uuid=f2155352-6964-4bc6-bfe5-8702bbbfa84d"]}],"mendeley":{"formattedCitation":"(Nanang &amp; Tanusdjaja, 2019)","plainTextFormattedCitation":"(Nanang &amp; Tanusdjaja, 2019)","previouslyFormattedCitation":"(Nanang &amp; Tanusdjaja, 2019)"},"properties":{"noteIndex":0},"schema":"https://github.com/citation-style-language/schema/raw/master/csl-citation.json"}</w:instrText>
      </w:r>
      <w:r w:rsidRPr="000244E4">
        <w:rPr>
          <w:rFonts w:ascii="Book Antiqua" w:hAnsi="Book Antiqua" w:cs="Times New Roman"/>
          <w:sz w:val="21"/>
          <w:szCs w:val="21"/>
        </w:rPr>
        <w:fldChar w:fldCharType="separate"/>
      </w:r>
      <w:r w:rsidRPr="002E6060">
        <w:rPr>
          <w:rFonts w:ascii="Book Antiqua" w:hAnsi="Book Antiqua" w:cs="Times New Roman"/>
          <w:noProof/>
          <w:sz w:val="21"/>
          <w:szCs w:val="21"/>
        </w:rPr>
        <w:t>(Nanang &amp; Tanusdjaja, 2019)</w:t>
      </w:r>
      <w:r w:rsidRPr="000244E4">
        <w:rPr>
          <w:rFonts w:ascii="Book Antiqua" w:hAnsi="Book Antiqua" w:cs="Times New Roman"/>
          <w:sz w:val="21"/>
          <w:szCs w:val="21"/>
        </w:rPr>
        <w:fldChar w:fldCharType="end"/>
      </w:r>
      <w:r>
        <w:rPr>
          <w:rFonts w:ascii="Book Antiqua" w:hAnsi="Book Antiqua" w:cs="Times New Roman"/>
          <w:sz w:val="21"/>
          <w:szCs w:val="21"/>
        </w:rPr>
        <w:t xml:space="preserve">, </w:t>
      </w:r>
      <w:r w:rsidRPr="000244E4">
        <w:rPr>
          <w:rFonts w:ascii="Book Antiqua" w:hAnsi="Book Antiqua" w:cs="Times New Roman"/>
          <w:sz w:val="21"/>
          <w:szCs w:val="21"/>
        </w:rPr>
        <w:fldChar w:fldCharType="begin" w:fldLock="1"/>
      </w:r>
      <w:r>
        <w:rPr>
          <w:rFonts w:ascii="Book Antiqua" w:hAnsi="Book Antiqua" w:cs="Times New Roman"/>
          <w:sz w:val="21"/>
          <w:szCs w:val="21"/>
        </w:rPr>
        <w:instrText>ADDIN CSL_CITATION {"citationItems":[{"id":"ITEM-1","itemData":{"DOI":"10.35940/ijrte.e6817.018520","abstract":"Management understands that earnings information is very important for the company's future. Sometimes management does everything to maintain the company's profit trends, even by manipulating financial information. Some methods use by management can be divided into earning management and fraud. One of the common method uses is income smoothing. Income smoothing is a management action in reducing fluctuations in corporate profits. The purpose of this research is to examine factors influencing income smoothing. Populations in this research are companies in the sector of: property, real estate and building construction listed in Indonesia Stock Exchange period 2014-2018. The sampling method used was purposive sampling. Selected samples were 33 companies for 5 years, in total, there are 165 research data. The income smoothing variable is measured by eckel index. The result shows that all independent variables: audit firm size, firm size, audit committee, leverage and managerial ownership do not influence income smoothing","author":[{"dropping-particle":"","family":"Handoko","given":"Bambang Leo","non-dropping-particle":"","parse-names":false,"suffix":""},{"dropping-particle":"","family":"Horison","given":"Ronaldo","non-dropping-particle":"","parse-names":false,"suffix":""}],"container-title":"International Journal of Recent Technology and Engineering","id":"ITEM-1","issue":"5","issued":{"date-parts":[["2020"]]},"page":"4510-4516","title":"The Effect of Firm Size, Audit Committee, Leverage and Institutional Ownership on Earnings Quality","type":"article-journal","volume":"8"},"uris":["http://www.mendeley.com/documents/?uuid=c4442676-aec5-4529-826c-38efaa24f249"]}],"mendeley":{"formattedCitation":"(Handoko &amp; Horison, 2020)","plainTextFormattedCitation":"(Handoko &amp; Horison, 2020)","previouslyFormattedCitation":"(Handoko &amp; Horison, 2020)"},"properties":{"noteIndex":0},"schema":"https://github.com/citation-style-language/schema/raw/master/csl-citation.json"}</w:instrText>
      </w:r>
      <w:r w:rsidRPr="000244E4">
        <w:rPr>
          <w:rFonts w:ascii="Book Antiqua" w:hAnsi="Book Antiqua" w:cs="Times New Roman"/>
          <w:sz w:val="21"/>
          <w:szCs w:val="21"/>
        </w:rPr>
        <w:fldChar w:fldCharType="separate"/>
      </w:r>
      <w:r w:rsidRPr="002E6060">
        <w:rPr>
          <w:rFonts w:ascii="Book Antiqua" w:hAnsi="Book Antiqua" w:cs="Times New Roman"/>
          <w:noProof/>
          <w:sz w:val="21"/>
          <w:szCs w:val="21"/>
        </w:rPr>
        <w:t>(Handoko &amp; Horison, 2020)</w:t>
      </w:r>
      <w:r w:rsidRPr="000244E4">
        <w:rPr>
          <w:rFonts w:ascii="Book Antiqua" w:hAnsi="Book Antiqua" w:cs="Times New Roman"/>
          <w:sz w:val="21"/>
          <w:szCs w:val="21"/>
        </w:rPr>
        <w:fldChar w:fldCharType="end"/>
      </w:r>
      <w:r w:rsidRPr="000244E4">
        <w:rPr>
          <w:rFonts w:ascii="Book Antiqua" w:hAnsi="Book Antiqua" w:cs="Times New Roman"/>
          <w:sz w:val="21"/>
          <w:szCs w:val="21"/>
        </w:rPr>
        <w:t xml:space="preserve">  menyatakan bahwa kepemikan manajer</w:t>
      </w:r>
      <w:r>
        <w:rPr>
          <w:rFonts w:ascii="Book Antiqua" w:hAnsi="Book Antiqua" w:cs="Times New Roman"/>
          <w:sz w:val="21"/>
          <w:szCs w:val="21"/>
        </w:rPr>
        <w:t xml:space="preserve">ial tidak berpengaruh </w:t>
      </w:r>
      <w:r w:rsidRPr="000244E4">
        <w:rPr>
          <w:rFonts w:ascii="Book Antiqua" w:hAnsi="Book Antiqua" w:cs="Times New Roman"/>
          <w:sz w:val="21"/>
          <w:szCs w:val="21"/>
        </w:rPr>
        <w:t xml:space="preserve"> terhadap kualitas laba, hal ini mengacu pada jumlah kepemilikan manajerial yang dimiliki sedikit, sehingga kebijakan dan peraturan diatur oleh seluruh pemegang saham pe</w:t>
      </w:r>
      <w:r>
        <w:rPr>
          <w:rFonts w:ascii="Book Antiqua" w:hAnsi="Book Antiqua" w:cs="Times New Roman"/>
          <w:sz w:val="21"/>
          <w:szCs w:val="21"/>
        </w:rPr>
        <w:t>rseroan perusahaan melalui RUPS</w:t>
      </w:r>
      <w:r w:rsidRPr="000244E4">
        <w:rPr>
          <w:rFonts w:ascii="Book Antiqua" w:hAnsi="Book Antiqua" w:cs="Times New Roman"/>
          <w:sz w:val="21"/>
          <w:szCs w:val="21"/>
        </w:rPr>
        <w:t xml:space="preserve">. Penelitian ini tidak sejalan dengan  penelitian sebelumnya yang dilakukan oleh </w:t>
      </w:r>
      <w:r w:rsidRPr="000244E4">
        <w:rPr>
          <w:rFonts w:ascii="Book Antiqua" w:hAnsi="Book Antiqua" w:cs="Times New Roman"/>
          <w:sz w:val="21"/>
          <w:szCs w:val="21"/>
        </w:rPr>
        <w:fldChar w:fldCharType="begin" w:fldLock="1"/>
      </w:r>
      <w:r>
        <w:rPr>
          <w:rFonts w:ascii="Book Antiqua" w:hAnsi="Book Antiqua" w:cs="Times New Roman"/>
          <w:sz w:val="21"/>
          <w:szCs w:val="21"/>
        </w:rPr>
        <w:instrText>ADDIN CSL_CITATION {"citationItems":[{"id":"ITEM-1","itemData":{"DOI":"10.34218/IJM.11.5.2020.046","ISSN":"09766510","abstract":"Income smoothing has become a phenomenon. It when companies report large profits, people become asked whether this is really real profit or profit that is intentionally made for a particular purpose. Departing from this, we made a study of income smoothing in the mining sector. Mining sector is one sector that is classified as profitable for people; this sector can be called an opportunist and opportunist sector often associated with earnings management and income smoothing. Our research is quantitative research. We use secondary data, financial statements of mining companies for the past five years. We use path analysis for the analysis tools in this study. We use three moderator variables, namely: institutional ownership, managerial ownership and audit committee. We examine the three moderator variables whether they can moderate profitability and leverage on income smoothing. The results of our study state that profitability influences income smoothing. In addition managerial ownership is able to moderate profitability and leverage, while the audit committee is only able to moderate profitability on income smoothing.","author":[{"dropping-particle":"","family":"Handoko","given":"Bambang Leo","non-dropping-particle":"","parse-names":false,"suffix":""},{"dropping-particle":"","family":"Arbi","given":"Daniel Yosia","non-dropping-particle":"","parse-names":false,"suffix":""}],"container-title":"International Journal of Management","id":"ITEM-1","issue":"5","issued":{"date-parts":[["2020"]]},"page":"486-496","title":"How corporate governance able to moderate income smoothing in mining sector","type":"article-journal","volume":"11"},"uris":["http://www.mendeley.com/documents/?uuid=0b77199b-f9f8-4258-9416-6a2967ad243f"]}],"mendeley":{"formattedCitation":"(Handoko &amp; Arbi, 2020)","plainTextFormattedCitation":"(Handoko &amp; Arbi, 2020)","previouslyFormattedCitation":"(Handoko &amp; Arbi, 2020)"},"properties":{"noteIndex":0},"schema":"https://github.com/citation-style-language/schema/raw/master/csl-citation.json"}</w:instrText>
      </w:r>
      <w:r w:rsidRPr="000244E4">
        <w:rPr>
          <w:rFonts w:ascii="Book Antiqua" w:hAnsi="Book Antiqua" w:cs="Times New Roman"/>
          <w:sz w:val="21"/>
          <w:szCs w:val="21"/>
        </w:rPr>
        <w:fldChar w:fldCharType="separate"/>
      </w:r>
      <w:r w:rsidRPr="002E6060">
        <w:rPr>
          <w:rFonts w:ascii="Book Antiqua" w:hAnsi="Book Antiqua" w:cs="Times New Roman"/>
          <w:noProof/>
          <w:sz w:val="21"/>
          <w:szCs w:val="21"/>
        </w:rPr>
        <w:t>(Handoko &amp; Arbi, 2020)</w:t>
      </w:r>
      <w:r w:rsidRPr="000244E4">
        <w:rPr>
          <w:rFonts w:ascii="Book Antiqua" w:hAnsi="Book Antiqua" w:cs="Times New Roman"/>
          <w:sz w:val="21"/>
          <w:szCs w:val="21"/>
        </w:rPr>
        <w:fldChar w:fldCharType="end"/>
      </w:r>
      <w:r w:rsidRPr="000244E4">
        <w:rPr>
          <w:rFonts w:ascii="Book Antiqua" w:hAnsi="Book Antiqua" w:cs="Times New Roman"/>
          <w:sz w:val="21"/>
          <w:szCs w:val="21"/>
        </w:rPr>
        <w:t xml:space="preserve">, </w:t>
      </w:r>
      <w:r w:rsidRPr="000244E4">
        <w:rPr>
          <w:rFonts w:ascii="Book Antiqua" w:hAnsi="Book Antiqua" w:cs="Times New Roman"/>
          <w:sz w:val="21"/>
          <w:szCs w:val="21"/>
        </w:rPr>
        <w:fldChar w:fldCharType="begin" w:fldLock="1"/>
      </w:r>
      <w:r w:rsidRPr="000244E4">
        <w:rPr>
          <w:rFonts w:ascii="Book Antiqua" w:hAnsi="Book Antiqua" w:cs="Times New Roman"/>
          <w:sz w:val="21"/>
          <w:szCs w:val="21"/>
        </w:rPr>
        <w:instrText>ADDIN CSL_CITATION {"citationItems":[{"id":"ITEM-1","itemData":{"DOI":"10.28932/jam.v12i2.2305","ISSN":"2085-8698","abstract":"Financial statements reflect the state of the company where in a financial statement a person can get various kinds of information where one of them is profit. Before investors make an investment they will use information about earnings for their consideration. This causes earnings quality to be one of the most important aspects because it is used in evaluation materials to measure the performance of a company because investors expect quality earnings. Earnings quality is one of the driving factors used by investors before making investment decisions. This study wants to see whether the variables contained in good corporate governance which are divided into managerial ownership, institutional ownership, the size of the public accounting firm, audit committee and committee board have an influence on the quality of corporate earnings. This study conducted a study of companies listed on the Indonesia Stock Exchange in the period 2016-2018 where the number of observations was 60 observations and examined using the calculation of the coefficient of determination and multiple regression. The results found are managerial ownership and audit committee have an influence on earnings quality while other variables have no influence.\r  Keywords: Good Corporate Governance, Earning Quality","author":[{"dropping-particle":"","family":"Polimpung","given":"Lisa J. C.","non-dropping-particle":"","parse-names":false,"suffix":""}],"container-title":"Jurnal Akuntansi","id":"ITEM-1","issue":"2","issued":{"date-parts":[["2020"]]},"page":"215-222","title":"Pengaruh Good Corporate Governance Terhadap Kualitas Laba Perusahaan (Studi pada Perusahaan Sektor Consumer Goods dalam Bursa Efek Indonesia Periode 2016-2018)","type":"article-journal","volume":"12"},"uris":["http://www.mendeley.com/documents/?uuid=8abb2427-19bf-444b-8327-4ab72e357908"]}],"mendeley":{"formattedCitation":"(Polimpung, 2020)","plainTextFormattedCitation":"(Polimpung, 2020)","previouslyFormattedCitation":"(Polimpung, 2020)"},"properties":{"noteIndex":0},"schema":"https://github.com/citation-style-language/schema/raw/master/csl-citation.json"}</w:instrText>
      </w:r>
      <w:r w:rsidRPr="000244E4">
        <w:rPr>
          <w:rFonts w:ascii="Book Antiqua" w:hAnsi="Book Antiqua" w:cs="Times New Roman"/>
          <w:sz w:val="21"/>
          <w:szCs w:val="21"/>
        </w:rPr>
        <w:fldChar w:fldCharType="separate"/>
      </w:r>
      <w:r w:rsidRPr="000244E4">
        <w:rPr>
          <w:rFonts w:ascii="Book Antiqua" w:hAnsi="Book Antiqua" w:cs="Times New Roman"/>
          <w:noProof/>
          <w:sz w:val="21"/>
          <w:szCs w:val="21"/>
        </w:rPr>
        <w:t>(Polimpung, 2020)</w:t>
      </w:r>
      <w:r w:rsidRPr="000244E4">
        <w:rPr>
          <w:rFonts w:ascii="Book Antiqua" w:hAnsi="Book Antiqua" w:cs="Times New Roman"/>
          <w:sz w:val="21"/>
          <w:szCs w:val="21"/>
        </w:rPr>
        <w:fldChar w:fldCharType="end"/>
      </w:r>
      <w:r w:rsidRPr="000244E4">
        <w:rPr>
          <w:rFonts w:ascii="Book Antiqua" w:hAnsi="Book Antiqua" w:cs="Times New Roman"/>
          <w:sz w:val="21"/>
          <w:szCs w:val="21"/>
        </w:rPr>
        <w:t xml:space="preserve">, dan </w:t>
      </w:r>
      <w:r w:rsidRPr="000244E4">
        <w:rPr>
          <w:rFonts w:ascii="Book Antiqua" w:hAnsi="Book Antiqua" w:cs="Times New Roman"/>
          <w:sz w:val="21"/>
          <w:szCs w:val="21"/>
        </w:rPr>
        <w:fldChar w:fldCharType="begin" w:fldLock="1"/>
      </w:r>
      <w:r>
        <w:rPr>
          <w:rFonts w:ascii="Book Antiqua" w:hAnsi="Book Antiqua" w:cs="Times New Roman"/>
          <w:sz w:val="21"/>
          <w:szCs w:val="21"/>
        </w:rPr>
        <w:instrText>ADDIN CSL_CITATION {"citationItems":[{"id":"ITEM-1","itemData":{"author":[{"dropping-particle":"","family":"Barkadehi","given":"Hamed K","non-dropping-particle":"","parse-names":false,"suffix":""},{"dropping-particle":"","family":"Mirbargkar","given":"Seyed M","non-dropping-particle":"","parse-names":false,"suffix":""}],"container-title":"International Journal of Economic Perspective","id":"ITEM-1","issue":"1","issued":{"date-parts":[["2017"]]},"page":"1109-1118","title":"The Role of Ownership in the Earning Quality : Evidence from Listed Firms of Tehran Stock Exchange","type":"article-journal","volume":"11"},"uris":["http://www.mendeley.com/documents/?uuid=c3ffd655-58aa-4bc6-84ed-30dfacb4f3e4"]}],"mendeley":{"formattedCitation":"(Barkadehi &amp; Mirbargkar, 2017)","plainTextFormattedCitation":"(Barkadehi &amp; Mirbargkar, 2017)","previouslyFormattedCitation":"(Barkadehi &amp; Mirbargkar, 2017)"},"properties":{"noteIndex":0},"schema":"https://github.com/citation-style-language/schema/raw/master/csl-citation.json"}</w:instrText>
      </w:r>
      <w:r w:rsidRPr="000244E4">
        <w:rPr>
          <w:rFonts w:ascii="Book Antiqua" w:hAnsi="Book Antiqua" w:cs="Times New Roman"/>
          <w:sz w:val="21"/>
          <w:szCs w:val="21"/>
        </w:rPr>
        <w:fldChar w:fldCharType="separate"/>
      </w:r>
      <w:r w:rsidRPr="002E6060">
        <w:rPr>
          <w:rFonts w:ascii="Book Antiqua" w:hAnsi="Book Antiqua" w:cs="Times New Roman"/>
          <w:noProof/>
          <w:sz w:val="21"/>
          <w:szCs w:val="21"/>
        </w:rPr>
        <w:t>(Barkadehi &amp; Mirbargkar, 2017)</w:t>
      </w:r>
      <w:r w:rsidRPr="000244E4">
        <w:rPr>
          <w:rFonts w:ascii="Book Antiqua" w:hAnsi="Book Antiqua" w:cs="Times New Roman"/>
          <w:sz w:val="21"/>
          <w:szCs w:val="21"/>
        </w:rPr>
        <w:fldChar w:fldCharType="end"/>
      </w:r>
      <w:r w:rsidRPr="000244E4">
        <w:rPr>
          <w:rFonts w:ascii="Book Antiqua" w:hAnsi="Book Antiqua" w:cs="Times New Roman"/>
          <w:sz w:val="21"/>
          <w:szCs w:val="21"/>
        </w:rPr>
        <w:t xml:space="preserve"> menyatakan bahwa kepemilkan manajerial berpengaruh signifikan terhadap kualitas laba.</w:t>
      </w:r>
    </w:p>
    <w:p w:rsidR="002165D7" w:rsidRDefault="002165D7" w:rsidP="002165D7">
      <w:pPr>
        <w:pStyle w:val="ListParagraph"/>
        <w:tabs>
          <w:tab w:val="left" w:pos="567"/>
        </w:tabs>
        <w:ind w:left="0" w:firstLine="0"/>
        <w:jc w:val="both"/>
        <w:rPr>
          <w:rFonts w:ascii="Book Antiqua" w:hAnsi="Book Antiqua" w:cs="Times New Roman"/>
          <w:b/>
          <w:sz w:val="21"/>
          <w:szCs w:val="21"/>
        </w:rPr>
      </w:pPr>
    </w:p>
    <w:p w:rsidR="002165D7" w:rsidRPr="000244E4" w:rsidRDefault="002165D7" w:rsidP="002165D7">
      <w:pPr>
        <w:pStyle w:val="ListParagraph"/>
        <w:tabs>
          <w:tab w:val="left" w:pos="567"/>
        </w:tabs>
        <w:ind w:left="0" w:firstLine="0"/>
        <w:jc w:val="both"/>
        <w:rPr>
          <w:rFonts w:ascii="Book Antiqua" w:hAnsi="Book Antiqua" w:cs="Times New Roman"/>
          <w:b/>
          <w:sz w:val="21"/>
          <w:szCs w:val="21"/>
        </w:rPr>
      </w:pPr>
      <w:r w:rsidRPr="000244E4">
        <w:rPr>
          <w:rFonts w:ascii="Book Antiqua" w:hAnsi="Book Antiqua" w:cs="Times New Roman"/>
          <w:b/>
          <w:sz w:val="21"/>
          <w:szCs w:val="21"/>
        </w:rPr>
        <w:t>Pengaruh Kepemilikan Institusional Terhadap Kualitas Laba</w:t>
      </w:r>
    </w:p>
    <w:p w:rsidR="002165D7" w:rsidRPr="000244E4" w:rsidRDefault="002165D7" w:rsidP="002165D7">
      <w:pPr>
        <w:pStyle w:val="ListParagraph"/>
        <w:tabs>
          <w:tab w:val="left" w:pos="567"/>
        </w:tabs>
        <w:ind w:left="0" w:firstLine="0"/>
        <w:jc w:val="both"/>
        <w:rPr>
          <w:rFonts w:ascii="Book Antiqua" w:hAnsi="Book Antiqua" w:cs="Times New Roman"/>
          <w:sz w:val="21"/>
          <w:szCs w:val="21"/>
        </w:rPr>
      </w:pPr>
      <w:r w:rsidRPr="000244E4">
        <w:rPr>
          <w:rFonts w:ascii="Book Antiqua" w:hAnsi="Book Antiqua" w:cs="Times New Roman"/>
          <w:sz w:val="21"/>
          <w:szCs w:val="21"/>
        </w:rPr>
        <w:lastRenderedPageBreak/>
        <w:t xml:space="preserve">Kepemilikan institusional tidak </w:t>
      </w:r>
      <w:proofErr w:type="gramStart"/>
      <w:r w:rsidRPr="000244E4">
        <w:rPr>
          <w:rFonts w:ascii="Book Antiqua" w:hAnsi="Book Antiqua" w:cs="Times New Roman"/>
          <w:sz w:val="21"/>
          <w:szCs w:val="21"/>
        </w:rPr>
        <w:t>berpengaruh  terhadap</w:t>
      </w:r>
      <w:proofErr w:type="gramEnd"/>
      <w:r w:rsidRPr="000244E4">
        <w:rPr>
          <w:rFonts w:ascii="Book Antiqua" w:hAnsi="Book Antiqua" w:cs="Times New Roman"/>
          <w:sz w:val="21"/>
          <w:szCs w:val="21"/>
        </w:rPr>
        <w:t xml:space="preserve"> kuali</w:t>
      </w:r>
      <w:r>
        <w:rPr>
          <w:rFonts w:ascii="Book Antiqua" w:hAnsi="Book Antiqua" w:cs="Times New Roman"/>
          <w:sz w:val="21"/>
          <w:szCs w:val="21"/>
        </w:rPr>
        <w:t>tas laba. K</w:t>
      </w:r>
      <w:r w:rsidRPr="000244E4">
        <w:rPr>
          <w:rFonts w:ascii="Book Antiqua" w:hAnsi="Book Antiqua" w:cs="Times New Roman"/>
          <w:sz w:val="21"/>
          <w:szCs w:val="21"/>
        </w:rPr>
        <w:t xml:space="preserve">urangnya fungsi </w:t>
      </w:r>
      <w:proofErr w:type="gramStart"/>
      <w:r w:rsidRPr="000244E4">
        <w:rPr>
          <w:rFonts w:ascii="Book Antiqua" w:hAnsi="Book Antiqua" w:cs="Times New Roman"/>
          <w:sz w:val="21"/>
          <w:szCs w:val="21"/>
        </w:rPr>
        <w:t>monitoring  ter</w:t>
      </w:r>
      <w:r>
        <w:rPr>
          <w:rFonts w:ascii="Book Antiqua" w:hAnsi="Book Antiqua" w:cs="Times New Roman"/>
          <w:sz w:val="21"/>
          <w:szCs w:val="21"/>
        </w:rPr>
        <w:t>hadap</w:t>
      </w:r>
      <w:proofErr w:type="gramEnd"/>
      <w:r>
        <w:rPr>
          <w:rFonts w:ascii="Book Antiqua" w:hAnsi="Book Antiqua" w:cs="Times New Roman"/>
          <w:sz w:val="21"/>
          <w:szCs w:val="21"/>
        </w:rPr>
        <w:t xml:space="preserve"> kinerja manajemen </w:t>
      </w:r>
      <w:r w:rsidRPr="000244E4">
        <w:rPr>
          <w:rFonts w:ascii="Book Antiqua" w:hAnsi="Book Antiqua" w:cs="Times New Roman"/>
          <w:sz w:val="21"/>
          <w:szCs w:val="21"/>
        </w:rPr>
        <w:t xml:space="preserve"> menyebabkan kurang optimalnya hasil kinerja manajemen tersebut. </w:t>
      </w:r>
      <w:r>
        <w:rPr>
          <w:rFonts w:ascii="Book Antiqua" w:hAnsi="Book Antiqua" w:cs="Times New Roman"/>
          <w:sz w:val="21"/>
          <w:szCs w:val="21"/>
        </w:rPr>
        <w:t>M</w:t>
      </w:r>
      <w:r w:rsidRPr="000244E4">
        <w:rPr>
          <w:rFonts w:ascii="Book Antiqua" w:hAnsi="Book Antiqua" w:cs="Times New Roman"/>
          <w:sz w:val="21"/>
          <w:szCs w:val="21"/>
        </w:rPr>
        <w:t>anajer cenderung melakukan praktik manipulasi laba dengan tujuan untuk memenuhi target keuntungan dar</w:t>
      </w:r>
      <w:r>
        <w:rPr>
          <w:rFonts w:ascii="Book Antiqua" w:hAnsi="Book Antiqua" w:cs="Times New Roman"/>
          <w:sz w:val="21"/>
          <w:szCs w:val="21"/>
        </w:rPr>
        <w:t>i pemegang saham institusi</w:t>
      </w:r>
      <w:r w:rsidRPr="000244E4">
        <w:rPr>
          <w:rFonts w:ascii="Book Antiqua" w:hAnsi="Book Antiqua" w:cs="Times New Roman"/>
          <w:sz w:val="21"/>
          <w:szCs w:val="21"/>
        </w:rPr>
        <w:t xml:space="preserve">. </w:t>
      </w:r>
      <w:proofErr w:type="gramStart"/>
      <w:r w:rsidRPr="000244E4">
        <w:rPr>
          <w:rFonts w:ascii="Book Antiqua" w:hAnsi="Book Antiqua" w:cs="Times New Roman"/>
          <w:sz w:val="21"/>
          <w:szCs w:val="21"/>
        </w:rPr>
        <w:t>Hal ini menyebabkan kualitas laba menjadi turun dan tidak dapat menggambarkan keadaan laba yang sebenarnya atau laba yang memang benar berasal d</w:t>
      </w:r>
      <w:r>
        <w:rPr>
          <w:rFonts w:ascii="Book Antiqua" w:hAnsi="Book Antiqua" w:cs="Times New Roman"/>
          <w:sz w:val="21"/>
          <w:szCs w:val="21"/>
        </w:rPr>
        <w:t>ari kegiatan operasi perusahaan</w:t>
      </w:r>
      <w:r w:rsidRPr="000244E4">
        <w:rPr>
          <w:rFonts w:ascii="Book Antiqua" w:hAnsi="Book Antiqua" w:cs="Times New Roman"/>
          <w:sz w:val="21"/>
          <w:szCs w:val="21"/>
        </w:rPr>
        <w:t>.</w:t>
      </w:r>
      <w:proofErr w:type="gramEnd"/>
      <w:r w:rsidRPr="000244E4">
        <w:rPr>
          <w:rFonts w:ascii="Book Antiqua" w:hAnsi="Book Antiqua" w:cs="Times New Roman"/>
          <w:sz w:val="21"/>
          <w:szCs w:val="21"/>
        </w:rPr>
        <w:t xml:space="preserve"> Hasil penelitian yang sama dilakukan oleh </w:t>
      </w:r>
      <w:r w:rsidRPr="000244E4">
        <w:rPr>
          <w:rFonts w:ascii="Book Antiqua" w:hAnsi="Book Antiqua" w:cs="Times New Roman"/>
          <w:sz w:val="21"/>
          <w:szCs w:val="21"/>
        </w:rPr>
        <w:fldChar w:fldCharType="begin" w:fldLock="1"/>
      </w:r>
      <w:r>
        <w:rPr>
          <w:rFonts w:ascii="Book Antiqua" w:hAnsi="Book Antiqua" w:cs="Times New Roman"/>
          <w:sz w:val="21"/>
          <w:szCs w:val="21"/>
        </w:rPr>
        <w:instrText>ADDIN CSL_CITATION {"citationItems":[{"id":"ITEM-1","itemData":{"author":[{"dropping-particle":"","family":"Nuryana","given":"Yayan","non-dropping-particle":"","parse-names":false,"suffix":""},{"dropping-particle":"","family":"Surjandari","given":"Dwi Asih","non-dropping-particle":"","parse-names":false,"suffix":""}],"container-title":"Global Journal Of Management and Businessn Research","id":"ITEM-1","issue":"1","issued":{"date-parts":[["2019"]]},"page":"26-39","title":"The Effect Of Goood Corporate Governance Mechanism, and Earning Management on Company Financial Performance","type":"article-journal","volume":"19"},"uris":["http://www.mendeley.com/documents/?uuid=3f2bb37c-f06b-45dd-92a1-23cd104953b4"]}],"mendeley":{"formattedCitation":"(Nuryana &amp; Surjandari, 2019)","plainTextFormattedCitation":"(Nuryana &amp; Surjandari, 2019)","previouslyFormattedCitation":"(Nuryana &amp; Surjandari, 2019)"},"properties":{"noteIndex":0},"schema":"https://github.com/citation-style-language/schema/raw/master/csl-citation.json"}</w:instrText>
      </w:r>
      <w:r w:rsidRPr="000244E4">
        <w:rPr>
          <w:rFonts w:ascii="Book Antiqua" w:hAnsi="Book Antiqua" w:cs="Times New Roman"/>
          <w:sz w:val="21"/>
          <w:szCs w:val="21"/>
        </w:rPr>
        <w:fldChar w:fldCharType="separate"/>
      </w:r>
      <w:r w:rsidRPr="002E6060">
        <w:rPr>
          <w:rFonts w:ascii="Book Antiqua" w:hAnsi="Book Antiqua" w:cs="Times New Roman"/>
          <w:noProof/>
          <w:sz w:val="21"/>
          <w:szCs w:val="21"/>
        </w:rPr>
        <w:t>(Nuryana &amp; Surjandari, 2019)</w:t>
      </w:r>
      <w:r w:rsidRPr="000244E4">
        <w:rPr>
          <w:rFonts w:ascii="Book Antiqua" w:hAnsi="Book Antiqua" w:cs="Times New Roman"/>
          <w:sz w:val="21"/>
          <w:szCs w:val="21"/>
        </w:rPr>
        <w:fldChar w:fldCharType="end"/>
      </w:r>
      <w:r w:rsidRPr="000244E4">
        <w:rPr>
          <w:rFonts w:ascii="Book Antiqua" w:hAnsi="Book Antiqua" w:cs="Times New Roman"/>
          <w:sz w:val="21"/>
          <w:szCs w:val="21"/>
        </w:rPr>
        <w:t xml:space="preserve"> menyatakan bahwa kepemilikan institusional tidak berpengaruh terhadap manajemen laba. Berbeda dengan hasil penelitian sebelumnya yang dilakukan oleh </w:t>
      </w:r>
      <w:r w:rsidRPr="000244E4">
        <w:rPr>
          <w:rFonts w:ascii="Book Antiqua" w:hAnsi="Book Antiqua" w:cs="Times New Roman"/>
          <w:sz w:val="21"/>
          <w:szCs w:val="21"/>
        </w:rPr>
        <w:fldChar w:fldCharType="begin" w:fldLock="1"/>
      </w:r>
      <w:r>
        <w:rPr>
          <w:rFonts w:ascii="Book Antiqua" w:hAnsi="Book Antiqua" w:cs="Times New Roman"/>
          <w:sz w:val="21"/>
          <w:szCs w:val="21"/>
        </w:rPr>
        <w:instrText>ADDIN CSL_CITATION {"citationItems":[{"id":"ITEM-1","itemData":{"author":[{"dropping-particle":"","family":"Barkadehi","given":"Hamed K","non-dropping-particle":"","parse-names":false,"suffix":""},{"dropping-particle":"","family":"Mirbargkar","given":"Seyed M","non-dropping-particle":"","parse-names":false,"suffix":""}],"container-title":"International Journal of Economic Perspective","id":"ITEM-1","issue":"1","issued":{"date-parts":[["2017"]]},"page":"1109-1118","title":"The Role of Ownership in the Earning Quality : Evidence from Listed Firms of Tehran Stock Exchange","type":"article-journal","volume":"11"},"uris":["http://www.mendeley.com/documents/?uuid=c3ffd655-58aa-4bc6-84ed-30dfacb4f3e4"]}],"mendeley":{"formattedCitation":"(Barkadehi &amp; Mirbargkar, 2017)","plainTextFormattedCitation":"(Barkadehi &amp; Mirbargkar, 2017)","previouslyFormattedCitation":"(Barkadehi &amp; Mirbargkar, 2017)"},"properties":{"noteIndex":0},"schema":"https://github.com/citation-style-language/schema/raw/master/csl-citation.json"}</w:instrText>
      </w:r>
      <w:r w:rsidRPr="000244E4">
        <w:rPr>
          <w:rFonts w:ascii="Book Antiqua" w:hAnsi="Book Antiqua" w:cs="Times New Roman"/>
          <w:sz w:val="21"/>
          <w:szCs w:val="21"/>
        </w:rPr>
        <w:fldChar w:fldCharType="separate"/>
      </w:r>
      <w:r w:rsidRPr="002E6060">
        <w:rPr>
          <w:rFonts w:ascii="Book Antiqua" w:hAnsi="Book Antiqua" w:cs="Times New Roman"/>
          <w:noProof/>
          <w:sz w:val="21"/>
          <w:szCs w:val="21"/>
        </w:rPr>
        <w:t>(Barkadehi &amp; Mirbargkar, 2017)</w:t>
      </w:r>
      <w:r w:rsidRPr="000244E4">
        <w:rPr>
          <w:rFonts w:ascii="Book Antiqua" w:hAnsi="Book Antiqua" w:cs="Times New Roman"/>
          <w:sz w:val="21"/>
          <w:szCs w:val="21"/>
        </w:rPr>
        <w:fldChar w:fldCharType="end"/>
      </w:r>
      <w:r w:rsidRPr="000244E4">
        <w:rPr>
          <w:rFonts w:ascii="Book Antiqua" w:hAnsi="Book Antiqua" w:cs="Times New Roman"/>
          <w:sz w:val="21"/>
          <w:szCs w:val="21"/>
        </w:rPr>
        <w:t xml:space="preserve"> dan </w:t>
      </w:r>
      <w:r w:rsidRPr="000244E4">
        <w:rPr>
          <w:rFonts w:ascii="Book Antiqua" w:hAnsi="Book Antiqua" w:cs="Times New Roman"/>
          <w:sz w:val="21"/>
          <w:szCs w:val="21"/>
        </w:rPr>
        <w:fldChar w:fldCharType="begin" w:fldLock="1"/>
      </w:r>
      <w:r>
        <w:rPr>
          <w:rFonts w:ascii="Book Antiqua" w:hAnsi="Book Antiqua" w:cs="Times New Roman"/>
          <w:sz w:val="21"/>
          <w:szCs w:val="21"/>
        </w:rPr>
        <w:instrText>ADDIN CSL_CITATION {"citationItems":[{"id":"ITEM-1","itemData":{"DOI":"10.1080/1540496X.2016.1145114","ISSN":"15580938","abstract":"Institutional ownership is an important factor in corporate governance. Institutional investors play important roles in firms because of their substantial shareholdings and their capability to monitor managers. However, the question is whether they are capable of monitoring the managers. The literature has provided different evidence for the monitoring role of institutional investors. This study attempts to provide insights into the monitoring roles of institutional investors by examining the relationship between institutional ownership and earnings quality on the Tehran Stock Exchange. Institutional investors are classified into two groups, namely active institutional investors and passive institutional investors, based on their monitoring power in Iran. A multidimensional method is used to measure the various aspects of earnings quality, such as earnings response coefficient, predictive value of earnings, discretionary accruals, conservatism, and real earnings management. The results show that institutional ownership has a positive effect on earnings quality. Similar to total institutional ownership, active institutional ownership has positive effects on proxies of earnings quality. Nonetheless, passive institutional ownership does not have any power to affect earnings quality. Moreover, lead-lag tests of the direction of causality suggest that institutional ownership leads to more earnings quality and not the reverse.","author":[{"dropping-particle":"","family":"Mehrani","given":"Sasan","non-dropping-particle":"","parse-names":false,"suffix":""},{"dropping-particle":"","family":"Moradi","given":"Mohammad","non-dropping-particle":"","parse-names":false,"suffix":""},{"dropping-particle":"","family":"Eskandar","given":"Hoda","non-dropping-particle":"","parse-names":false,"suffix":""}],"container-title":"Journal of Emerging Markets Finance and Trade","id":"ITEM-1","issue":"1","issued":{"date-parts":[["2017"]]},"page":"54-73","title":"Institutional Ownership Type and Earnings Quality: Evidence from Iran","type":"article-journal","volume":"53"},"uris":["http://www.mendeley.com/documents/?uuid=a3ddc058-78c2-4dd4-b66a-ed95b640a274"]}],"mendeley":{"formattedCitation":"(Mehrani et al., 2017)","plainTextFormattedCitation":"(Mehrani et al., 2017)","previouslyFormattedCitation":"(Mehrani et al., 2017)"},"properties":{"noteIndex":0},"schema":"https://github.com/citation-style-language/schema/raw/master/csl-citation.json"}</w:instrText>
      </w:r>
      <w:r w:rsidRPr="000244E4">
        <w:rPr>
          <w:rFonts w:ascii="Book Antiqua" w:hAnsi="Book Antiqua" w:cs="Times New Roman"/>
          <w:sz w:val="21"/>
          <w:szCs w:val="21"/>
        </w:rPr>
        <w:fldChar w:fldCharType="separate"/>
      </w:r>
      <w:r w:rsidRPr="002E6060">
        <w:rPr>
          <w:rFonts w:ascii="Book Antiqua" w:hAnsi="Book Antiqua" w:cs="Times New Roman"/>
          <w:noProof/>
          <w:sz w:val="21"/>
          <w:szCs w:val="21"/>
        </w:rPr>
        <w:t>(Mehrani et al., 2017)</w:t>
      </w:r>
      <w:r w:rsidRPr="000244E4">
        <w:rPr>
          <w:rFonts w:ascii="Book Antiqua" w:hAnsi="Book Antiqua" w:cs="Times New Roman"/>
          <w:sz w:val="21"/>
          <w:szCs w:val="21"/>
        </w:rPr>
        <w:fldChar w:fldCharType="end"/>
      </w:r>
      <w:r w:rsidRPr="000244E4">
        <w:rPr>
          <w:rFonts w:ascii="Book Antiqua" w:hAnsi="Book Antiqua" w:cs="Times New Roman"/>
          <w:sz w:val="21"/>
          <w:szCs w:val="21"/>
        </w:rPr>
        <w:t>menyatakan bahwa kepemilikan institutional berpengaruh terhadap kualitas laba.</w:t>
      </w:r>
      <w:r w:rsidRPr="000244E4">
        <w:rPr>
          <w:rFonts w:ascii="Book Antiqua" w:hAnsi="Book Antiqua" w:cs="Times New Roman"/>
          <w:sz w:val="21"/>
          <w:szCs w:val="21"/>
        </w:rPr>
        <w:tab/>
      </w:r>
    </w:p>
    <w:p w:rsidR="002165D7" w:rsidRDefault="002165D7" w:rsidP="002165D7">
      <w:pPr>
        <w:pStyle w:val="ListParagraph"/>
        <w:tabs>
          <w:tab w:val="left" w:pos="567"/>
        </w:tabs>
        <w:ind w:left="0" w:firstLine="0"/>
        <w:jc w:val="both"/>
        <w:rPr>
          <w:rFonts w:ascii="Book Antiqua" w:hAnsi="Book Antiqua" w:cs="Times New Roman"/>
          <w:b/>
          <w:sz w:val="21"/>
          <w:szCs w:val="21"/>
        </w:rPr>
      </w:pPr>
    </w:p>
    <w:p w:rsidR="002165D7" w:rsidRPr="000244E4" w:rsidRDefault="002165D7" w:rsidP="002165D7">
      <w:pPr>
        <w:pStyle w:val="ListParagraph"/>
        <w:tabs>
          <w:tab w:val="left" w:pos="567"/>
        </w:tabs>
        <w:ind w:left="0" w:firstLine="0"/>
        <w:jc w:val="both"/>
        <w:rPr>
          <w:rFonts w:ascii="Book Antiqua" w:hAnsi="Book Antiqua" w:cs="Times New Roman"/>
          <w:b/>
          <w:sz w:val="21"/>
          <w:szCs w:val="21"/>
        </w:rPr>
      </w:pPr>
      <w:r w:rsidRPr="000244E4">
        <w:rPr>
          <w:rFonts w:ascii="Book Antiqua" w:hAnsi="Book Antiqua" w:cs="Times New Roman"/>
          <w:b/>
          <w:sz w:val="21"/>
          <w:szCs w:val="21"/>
        </w:rPr>
        <w:t>Pengaruh Dewan Komisaris Independen Terhadap Kualitas Laba</w:t>
      </w:r>
    </w:p>
    <w:p w:rsidR="002165D7" w:rsidRPr="000244E4" w:rsidRDefault="002165D7" w:rsidP="002165D7">
      <w:pPr>
        <w:pStyle w:val="ListParagraph"/>
        <w:ind w:left="0" w:firstLine="0"/>
        <w:jc w:val="both"/>
        <w:rPr>
          <w:rFonts w:ascii="Book Antiqua" w:hAnsi="Book Antiqua" w:cs="Times New Roman"/>
          <w:sz w:val="21"/>
          <w:szCs w:val="21"/>
        </w:rPr>
      </w:pPr>
      <w:r w:rsidRPr="000244E4">
        <w:rPr>
          <w:rFonts w:ascii="Book Antiqua" w:hAnsi="Book Antiqua" w:cs="Times New Roman"/>
          <w:sz w:val="21"/>
          <w:szCs w:val="21"/>
        </w:rPr>
        <w:t xml:space="preserve">Dewan Komisaris Independen tidak </w:t>
      </w:r>
      <w:proofErr w:type="gramStart"/>
      <w:r w:rsidRPr="000244E4">
        <w:rPr>
          <w:rFonts w:ascii="Book Antiqua" w:hAnsi="Book Antiqua" w:cs="Times New Roman"/>
          <w:sz w:val="21"/>
          <w:szCs w:val="21"/>
        </w:rPr>
        <w:t>berpengaruh  terhadap</w:t>
      </w:r>
      <w:proofErr w:type="gramEnd"/>
      <w:r w:rsidRPr="000244E4">
        <w:rPr>
          <w:rFonts w:ascii="Book Antiqua" w:hAnsi="Book Antiqua" w:cs="Times New Roman"/>
          <w:sz w:val="21"/>
          <w:szCs w:val="21"/>
        </w:rPr>
        <w:t xml:space="preserve"> kual</w:t>
      </w:r>
      <w:r>
        <w:rPr>
          <w:rFonts w:ascii="Book Antiqua" w:hAnsi="Book Antiqua" w:cs="Times New Roman"/>
          <w:sz w:val="21"/>
          <w:szCs w:val="21"/>
        </w:rPr>
        <w:t xml:space="preserve">itas laba.  </w:t>
      </w:r>
      <w:proofErr w:type="gramStart"/>
      <w:r>
        <w:rPr>
          <w:rFonts w:ascii="Book Antiqua" w:hAnsi="Book Antiqua" w:cs="Times New Roman"/>
          <w:sz w:val="21"/>
          <w:szCs w:val="21"/>
        </w:rPr>
        <w:t>D</w:t>
      </w:r>
      <w:r w:rsidRPr="000244E4">
        <w:rPr>
          <w:rFonts w:ascii="Book Antiqua" w:hAnsi="Book Antiqua" w:cs="Times New Roman"/>
          <w:sz w:val="21"/>
          <w:szCs w:val="21"/>
        </w:rPr>
        <w:t>ewan komisaris independen yang dimiliki oleh perusahaan tidak dapat menjalankan peran dan fungsinya.</w:t>
      </w:r>
      <w:proofErr w:type="gramEnd"/>
      <w:r w:rsidRPr="000244E4">
        <w:rPr>
          <w:rFonts w:ascii="Book Antiqua" w:hAnsi="Book Antiqua" w:cs="Times New Roman"/>
          <w:sz w:val="21"/>
          <w:szCs w:val="21"/>
        </w:rPr>
        <w:t xml:space="preserve"> Kepemilikan saham yang terpusat dalam satu kelompok atau satu keluarga, dapat menjadi salah satu penyebab lemahnya posisi dewan komisaris independen, karena pengangkatan posisi anggota komisaris independen diberikan sebagai rasa penghargaan semata maupun berdasarkan hubungan keluarga atau kenalan dekat, padahal integritas, kapabilitas, dan indepedensi seorang komisaris independen merupakan hal yang mendasar agar kualitas laba perusahaan dapat terjaga (Effendi 2009). Hasil penelitian ini sejalan dengan  penelitian sebelumnya yang dilakukan oleh </w:t>
      </w:r>
      <w:r w:rsidRPr="000244E4">
        <w:rPr>
          <w:rFonts w:ascii="Book Antiqua" w:hAnsi="Book Antiqua" w:cs="Times New Roman"/>
          <w:sz w:val="21"/>
          <w:szCs w:val="21"/>
        </w:rPr>
        <w:fldChar w:fldCharType="begin" w:fldLock="1"/>
      </w:r>
      <w:r>
        <w:rPr>
          <w:rFonts w:ascii="Book Antiqua" w:hAnsi="Book Antiqua" w:cs="Times New Roman"/>
          <w:sz w:val="21"/>
          <w:szCs w:val="21"/>
        </w:rPr>
        <w:instrText>ADDIN CSL_CITATION {"citationItems":[{"id":"ITEM-1","itemData":{"author":[{"dropping-particle":"","family":"Nuryana","given":"Yayan","non-dropping-particle":"","parse-names":false,"suffix":""},{"dropping-particle":"","family":"Surjandari","given":"Dwi Asih","non-dropping-particle":"","parse-names":false,"suffix":""}],"container-title":"Global Journal Of Management and Businessn Research","id":"ITEM-1","issue":"1","issued":{"date-parts":[["2019"]]},"page":"26-39","title":"The Effect Of Goood Corporate Governance Mechanism, and Earning Management on Company Financial Performance","type":"article-journal","volume":"19"},"uris":["http://www.mendeley.com/documents/?uuid=3f2bb37c-f06b-45dd-92a1-23cd104953b4"]}],"mendeley":{"formattedCitation":"(Nuryana &amp; Surjandari, 2019)","plainTextFormattedCitation":"(Nuryana &amp; Surjandari, 2019)","previouslyFormattedCitation":"(Nuryana &amp; Surjandari, 2019)"},"properties":{"noteIndex":0},"schema":"https://github.com/citation-style-language/schema/raw/master/csl-citation.json"}</w:instrText>
      </w:r>
      <w:r w:rsidRPr="000244E4">
        <w:rPr>
          <w:rFonts w:ascii="Book Antiqua" w:hAnsi="Book Antiqua" w:cs="Times New Roman"/>
          <w:sz w:val="21"/>
          <w:szCs w:val="21"/>
        </w:rPr>
        <w:fldChar w:fldCharType="separate"/>
      </w:r>
      <w:r w:rsidRPr="002E6060">
        <w:rPr>
          <w:rFonts w:ascii="Book Antiqua" w:hAnsi="Book Antiqua" w:cs="Times New Roman"/>
          <w:noProof/>
          <w:sz w:val="21"/>
          <w:szCs w:val="21"/>
        </w:rPr>
        <w:t>(Nuryana &amp; Surjandari, 2019)</w:t>
      </w:r>
      <w:r w:rsidRPr="000244E4">
        <w:rPr>
          <w:rFonts w:ascii="Book Antiqua" w:hAnsi="Book Antiqua" w:cs="Times New Roman"/>
          <w:sz w:val="21"/>
          <w:szCs w:val="21"/>
        </w:rPr>
        <w:fldChar w:fldCharType="end"/>
      </w:r>
      <w:r w:rsidRPr="000244E4">
        <w:rPr>
          <w:rFonts w:ascii="Book Antiqua" w:hAnsi="Book Antiqua" w:cs="Times New Roman"/>
          <w:sz w:val="21"/>
          <w:szCs w:val="21"/>
        </w:rPr>
        <w:t xml:space="preserve"> </w:t>
      </w:r>
      <w:r>
        <w:rPr>
          <w:rFonts w:ascii="Book Antiqua" w:hAnsi="Book Antiqua" w:cs="Times New Roman"/>
          <w:sz w:val="21"/>
          <w:szCs w:val="21"/>
        </w:rPr>
        <w:t xml:space="preserve">dan </w:t>
      </w:r>
      <w:r w:rsidRPr="000244E4">
        <w:rPr>
          <w:rFonts w:ascii="Book Antiqua" w:hAnsi="Book Antiqua" w:cs="Times New Roman"/>
          <w:sz w:val="21"/>
          <w:szCs w:val="21"/>
        </w:rPr>
        <w:fldChar w:fldCharType="begin" w:fldLock="1"/>
      </w:r>
      <w:r>
        <w:rPr>
          <w:rFonts w:ascii="Book Antiqua" w:hAnsi="Book Antiqua" w:cs="Times New Roman"/>
          <w:sz w:val="21"/>
          <w:szCs w:val="21"/>
        </w:rPr>
        <w:instrText>ADDIN CSL_CITATION {"citationItems":[{"id":"ITEM-1","itemData":{"author":[{"dropping-particle":"","family":"Nanang","given":"Alvin Pranata","non-dropping-particle":"","parse-names":false,"suffix":""},{"dropping-particle":"","family":"Tanusdjaja","given":"Hendang","non-dropping-particle":"","parse-names":false,"suffix":""}],"container-title":"Jurnal Muara Ilmu Ekonomi dan Bisnis","id":"ITEM-1","issue":"2","issued":{"date-parts":[["2019"]]},"page":"267-288","title":"PENGARUH CORPORATE GOVERNANCE ( CG ) TERHADAP KUALITAS LABA DENGAN MANAJEMEN LABA SEBAGAI VARIABEL INTERVENING PADA PERUSAHAAN MANUFAKTUR YANG Latar belakang ( respon ) terhadap pasar ( Wahyuni dan Muslim , 2010 ). Untuk memaksimumkan kualitas laba yang t","type":"article-journal","volume":"3"},"uris":["http://www.mendeley.com/documents/?uuid=f2155352-6964-4bc6-bfe5-8702bbbfa84d"]}],"mendeley":{"formattedCitation":"(Nanang &amp; Tanusdjaja, 2019)","plainTextFormattedCitation":"(Nanang &amp; Tanusdjaja, 2019)","previouslyFormattedCitation":"(Nanang &amp; Tanusdjaja, 2019)"},"properties":{"noteIndex":0},"schema":"https://github.com/citation-style-language/schema/raw/master/csl-citation.json"}</w:instrText>
      </w:r>
      <w:r w:rsidRPr="000244E4">
        <w:rPr>
          <w:rFonts w:ascii="Book Antiqua" w:hAnsi="Book Antiqua" w:cs="Times New Roman"/>
          <w:sz w:val="21"/>
          <w:szCs w:val="21"/>
        </w:rPr>
        <w:fldChar w:fldCharType="separate"/>
      </w:r>
      <w:r w:rsidRPr="002E6060">
        <w:rPr>
          <w:rFonts w:ascii="Book Antiqua" w:hAnsi="Book Antiqua" w:cs="Times New Roman"/>
          <w:noProof/>
          <w:sz w:val="21"/>
          <w:szCs w:val="21"/>
        </w:rPr>
        <w:t>(Nanang &amp; Tanusdjaja, 2019)</w:t>
      </w:r>
      <w:r w:rsidRPr="000244E4">
        <w:rPr>
          <w:rFonts w:ascii="Book Antiqua" w:hAnsi="Book Antiqua" w:cs="Times New Roman"/>
          <w:sz w:val="21"/>
          <w:szCs w:val="21"/>
        </w:rPr>
        <w:fldChar w:fldCharType="end"/>
      </w:r>
      <w:r>
        <w:rPr>
          <w:rFonts w:ascii="Book Antiqua" w:hAnsi="Book Antiqua" w:cs="Times New Roman"/>
          <w:sz w:val="21"/>
          <w:szCs w:val="21"/>
        </w:rPr>
        <w:t xml:space="preserve"> m</w:t>
      </w:r>
      <w:r w:rsidRPr="000244E4">
        <w:rPr>
          <w:rFonts w:ascii="Book Antiqua" w:hAnsi="Book Antiqua" w:cs="Times New Roman"/>
          <w:sz w:val="21"/>
          <w:szCs w:val="21"/>
        </w:rPr>
        <w:t xml:space="preserve">enyatakan bahwa dewan komisaris independen tidak berpengaruh terhadap manajemen laba. Berbeda dengan hasil penelitian yang dilakukan oleh </w:t>
      </w:r>
      <w:r w:rsidRPr="000244E4">
        <w:rPr>
          <w:rFonts w:ascii="Book Antiqua" w:hAnsi="Book Antiqua" w:cs="Times New Roman"/>
          <w:sz w:val="21"/>
          <w:szCs w:val="21"/>
        </w:rPr>
        <w:fldChar w:fldCharType="begin" w:fldLock="1"/>
      </w:r>
      <w:r>
        <w:rPr>
          <w:rFonts w:ascii="Book Antiqua" w:hAnsi="Book Antiqua" w:cs="Times New Roman"/>
          <w:sz w:val="21"/>
          <w:szCs w:val="21"/>
        </w:rPr>
        <w:instrText>ADDIN CSL_CITATION {"citationItems":[{"id":"ITEM-1","itemData":{"DOI":"10.9770/jesi.2019.7.1(15)","ISSN":"23450282","abstract":"The general objective of this research is to explore the model of earnings quality monitoring and to examine the effect of auditor independence on the relationship between corporate governance mechanism and earnings quality. Specifically, this research is aimed to investigate the impact of ownership structure, commissioner board structure, audit committee structure, internal audit function, and internal control activity, on earnings quality by involving an interaction of these variables with auditor independence. Earnings quality is measured with two proxies. The first proxy is performance-adjusted discretionary accruals or also called Total Accrual, while the second utilizes Total Current Accrual. Achieving all objectives above, the author develops a model and analyses this model in two stages. In the first stage, the model is explored using analysis technique of correlation and regression. Second, fittingness of model is attested using regression analysis with a variety of variable controls and sample controls. Research object is the manufacture companies listed in Indonesia Stock Exchange in period 2011-2015. The Sample includes 112 companies with 560 data of research. After conducting outlier test, the suitable amount of data is 553. The Result of hypothesis test indicates that the model of earnings quality monitoring is constructed from the interaction of many variables. Corporate governance mechanism consists of variables such as ownership structure (managerial ownership and institutional ownership), commissioner board structure, audit committee structure, internal audit function, and internal control activity. Adjusted R-Square value is reaching for 3.3% with significance-value of 0.001. Partially, commissioner board structure, internal audit function, and internal control activity have a significant effect on earnings quality. Auditor independence does not moderate the impact of corporate governance components on earnings quality.","author":[{"dropping-particle":"","family":"Arniati","given":"Tutik","non-dropping-particle":"","parse-names":false,"suffix":""},{"dropping-particle":"","family":"Puspita","given":"Dyah Aruning","non-dropping-particle":"","parse-names":false,"suffix":""},{"dropping-particle":"","family":"Amin","given":"Aminul","non-dropping-particle":"","parse-names":false,"suffix":""},{"dropping-particle":"","family":"Pirzada","given":"Kashan","non-dropping-particle":"","parse-names":false,"suffix":""}],"container-title":"Entrepreneurship and Sustainability Issues","id":"ITEM-1","issue":"1","issued":{"date-parts":[["2019"]]},"page":"188-200","title":"The implementation of good corporate governance model and auditor independence in earnings' quality improvement","type":"article-journal","volume":"7"},"uris":["http://www.mendeley.com/documents/?uuid=e6e3f526-2ccf-44c4-940f-cc3600351fbc"]}],"mendeley":{"formattedCitation":"(Arniati et al., 2019)","plainTextFormattedCitation":"(Arniati et al., 2019)","previouslyFormattedCitation":"(Arniati et al., 2019)"},"properties":{"noteIndex":0},"schema":"https://github.com/citation-style-language/schema/raw/master/csl-citation.json"}</w:instrText>
      </w:r>
      <w:r w:rsidRPr="000244E4">
        <w:rPr>
          <w:rFonts w:ascii="Book Antiqua" w:hAnsi="Book Antiqua" w:cs="Times New Roman"/>
          <w:sz w:val="21"/>
          <w:szCs w:val="21"/>
        </w:rPr>
        <w:fldChar w:fldCharType="separate"/>
      </w:r>
      <w:r w:rsidRPr="002E6060">
        <w:rPr>
          <w:rFonts w:ascii="Book Antiqua" w:hAnsi="Book Antiqua" w:cs="Times New Roman"/>
          <w:noProof/>
          <w:sz w:val="21"/>
          <w:szCs w:val="21"/>
        </w:rPr>
        <w:t>(Arniati et al., 2019)</w:t>
      </w:r>
      <w:r w:rsidRPr="000244E4">
        <w:rPr>
          <w:rFonts w:ascii="Book Antiqua" w:hAnsi="Book Antiqua" w:cs="Times New Roman"/>
          <w:sz w:val="21"/>
          <w:szCs w:val="21"/>
        </w:rPr>
        <w:fldChar w:fldCharType="end"/>
      </w:r>
      <w:r w:rsidRPr="000244E4">
        <w:rPr>
          <w:rFonts w:ascii="Book Antiqua" w:hAnsi="Book Antiqua" w:cs="Times New Roman"/>
          <w:sz w:val="21"/>
          <w:szCs w:val="21"/>
        </w:rPr>
        <w:t xml:space="preserve"> menyatakan bahwa dewan komisaris independen berpengaruh signifikan terhadap kualitas laba</w:t>
      </w:r>
      <w:r>
        <w:rPr>
          <w:rFonts w:ascii="Book Antiqua" w:hAnsi="Book Antiqua" w:cs="Times New Roman"/>
          <w:sz w:val="21"/>
          <w:szCs w:val="21"/>
        </w:rPr>
        <w:t>.</w:t>
      </w:r>
    </w:p>
    <w:p w:rsidR="002165D7" w:rsidRDefault="002165D7" w:rsidP="002165D7">
      <w:pPr>
        <w:pStyle w:val="ListParagraph"/>
        <w:tabs>
          <w:tab w:val="left" w:pos="567"/>
        </w:tabs>
        <w:ind w:left="0" w:firstLine="0"/>
        <w:jc w:val="both"/>
        <w:rPr>
          <w:rFonts w:ascii="Book Antiqua" w:hAnsi="Book Antiqua" w:cs="Times New Roman"/>
          <w:b/>
          <w:sz w:val="21"/>
          <w:szCs w:val="21"/>
        </w:rPr>
      </w:pPr>
    </w:p>
    <w:p w:rsidR="002165D7" w:rsidRPr="000244E4" w:rsidRDefault="002165D7" w:rsidP="002165D7">
      <w:pPr>
        <w:pStyle w:val="ListParagraph"/>
        <w:tabs>
          <w:tab w:val="left" w:pos="567"/>
        </w:tabs>
        <w:ind w:left="0" w:firstLine="0"/>
        <w:jc w:val="both"/>
        <w:rPr>
          <w:rFonts w:ascii="Book Antiqua" w:hAnsi="Book Antiqua" w:cs="Times New Roman"/>
          <w:b/>
          <w:sz w:val="21"/>
          <w:szCs w:val="21"/>
        </w:rPr>
      </w:pPr>
      <w:r w:rsidRPr="000244E4">
        <w:rPr>
          <w:rFonts w:ascii="Book Antiqua" w:hAnsi="Book Antiqua" w:cs="Times New Roman"/>
          <w:b/>
          <w:sz w:val="21"/>
          <w:szCs w:val="21"/>
        </w:rPr>
        <w:t>Pengaruh Komite Audit Terhadap Kualitas Laba</w:t>
      </w:r>
    </w:p>
    <w:p w:rsidR="002165D7" w:rsidRPr="000244E4" w:rsidRDefault="002165D7" w:rsidP="002165D7">
      <w:pPr>
        <w:pStyle w:val="ListParagraph"/>
        <w:tabs>
          <w:tab w:val="left" w:pos="567"/>
        </w:tabs>
        <w:ind w:left="0" w:firstLine="0"/>
        <w:jc w:val="both"/>
        <w:rPr>
          <w:rFonts w:ascii="Book Antiqua" w:hAnsi="Book Antiqua" w:cs="Times New Roman"/>
          <w:sz w:val="21"/>
          <w:szCs w:val="21"/>
        </w:rPr>
      </w:pPr>
      <w:r w:rsidRPr="000244E4">
        <w:rPr>
          <w:rFonts w:ascii="Book Antiqua" w:hAnsi="Book Antiqua" w:cs="Times New Roman"/>
          <w:sz w:val="21"/>
          <w:szCs w:val="21"/>
        </w:rPr>
        <w:t xml:space="preserve">Komite </w:t>
      </w:r>
      <w:proofErr w:type="gramStart"/>
      <w:r w:rsidRPr="000244E4">
        <w:rPr>
          <w:rFonts w:ascii="Book Antiqua" w:hAnsi="Book Antiqua" w:cs="Times New Roman"/>
          <w:sz w:val="21"/>
          <w:szCs w:val="21"/>
        </w:rPr>
        <w:t>aud</w:t>
      </w:r>
      <w:r>
        <w:rPr>
          <w:rFonts w:ascii="Book Antiqua" w:hAnsi="Book Antiqua" w:cs="Times New Roman"/>
          <w:sz w:val="21"/>
          <w:szCs w:val="21"/>
        </w:rPr>
        <w:t xml:space="preserve">it  </w:t>
      </w:r>
      <w:r w:rsidRPr="000244E4">
        <w:rPr>
          <w:rFonts w:ascii="Book Antiqua" w:hAnsi="Book Antiqua" w:cs="Times New Roman"/>
          <w:sz w:val="21"/>
          <w:szCs w:val="21"/>
        </w:rPr>
        <w:t>berpengaruh</w:t>
      </w:r>
      <w:proofErr w:type="gramEnd"/>
      <w:r w:rsidRPr="000244E4">
        <w:rPr>
          <w:rFonts w:ascii="Book Antiqua" w:hAnsi="Book Antiqua" w:cs="Times New Roman"/>
          <w:sz w:val="21"/>
          <w:szCs w:val="21"/>
        </w:rPr>
        <w:t xml:space="preserve"> signifikan </w:t>
      </w:r>
      <w:r>
        <w:rPr>
          <w:rFonts w:ascii="Book Antiqua" w:hAnsi="Book Antiqua" w:cs="Times New Roman"/>
          <w:sz w:val="21"/>
          <w:szCs w:val="21"/>
        </w:rPr>
        <w:t xml:space="preserve">positif </w:t>
      </w:r>
      <w:r w:rsidRPr="000244E4">
        <w:rPr>
          <w:rFonts w:ascii="Book Antiqua" w:hAnsi="Book Antiqua" w:cs="Times New Roman"/>
          <w:sz w:val="21"/>
          <w:szCs w:val="21"/>
        </w:rPr>
        <w:t xml:space="preserve">terhadap kualitas laba.  Hal ini menunjukkan semakin tingginya jumlah komite audit maka </w:t>
      </w:r>
      <w:proofErr w:type="gramStart"/>
      <w:r w:rsidRPr="000244E4">
        <w:rPr>
          <w:rFonts w:ascii="Book Antiqua" w:hAnsi="Book Antiqua" w:cs="Times New Roman"/>
          <w:sz w:val="21"/>
          <w:szCs w:val="21"/>
        </w:rPr>
        <w:t>akan</w:t>
      </w:r>
      <w:proofErr w:type="gramEnd"/>
      <w:r w:rsidRPr="000244E4">
        <w:rPr>
          <w:rFonts w:ascii="Book Antiqua" w:hAnsi="Book Antiqua" w:cs="Times New Roman"/>
          <w:sz w:val="21"/>
          <w:szCs w:val="21"/>
        </w:rPr>
        <w:t xml:space="preserve"> semakin tinggi nya kualitas laba. Berpengaruhnya komite audit terhadap kualitas laba dikarenakan komite audit yang beranggotakan pihak independen memiliki pengetahuan yang baik dalam bidang </w:t>
      </w:r>
      <w:r w:rsidRPr="000244E4">
        <w:rPr>
          <w:rFonts w:ascii="Book Antiqua" w:hAnsi="Book Antiqua" w:cs="Times New Roman"/>
          <w:sz w:val="21"/>
          <w:szCs w:val="21"/>
        </w:rPr>
        <w:lastRenderedPageBreak/>
        <w:t xml:space="preserve">keuangan dan akuntansi. Selain itu komite audit menjalankan tugasnya dengan baik antara </w:t>
      </w:r>
      <w:proofErr w:type="gramStart"/>
      <w:r w:rsidRPr="000244E4">
        <w:rPr>
          <w:rFonts w:ascii="Book Antiqua" w:hAnsi="Book Antiqua" w:cs="Times New Roman"/>
          <w:sz w:val="21"/>
          <w:szCs w:val="21"/>
        </w:rPr>
        <w:t>lain</w:t>
      </w:r>
      <w:proofErr w:type="gramEnd"/>
      <w:r w:rsidRPr="000244E4">
        <w:rPr>
          <w:rFonts w:ascii="Book Antiqua" w:hAnsi="Book Antiqua" w:cs="Times New Roman"/>
          <w:sz w:val="21"/>
          <w:szCs w:val="21"/>
        </w:rPr>
        <w:t xml:space="preserve"> menelaah system pelaporan eksternal dan kepatuhan terhadap peraturan serta menyediakan komunikasi formal antara dewan, manajemen, auditor eksternal, dan auditor internal.  Hasil penelitian ini sejalan dengan penelitian sebelumnya yang dilakukan oleh </w:t>
      </w:r>
      <w:r w:rsidRPr="000244E4">
        <w:rPr>
          <w:rFonts w:ascii="Book Antiqua" w:hAnsi="Book Antiqua" w:cs="Times New Roman"/>
          <w:sz w:val="21"/>
          <w:szCs w:val="21"/>
        </w:rPr>
        <w:fldChar w:fldCharType="begin" w:fldLock="1"/>
      </w:r>
      <w:r w:rsidRPr="000244E4">
        <w:rPr>
          <w:rFonts w:ascii="Book Antiqua" w:hAnsi="Book Antiqua" w:cs="Times New Roman"/>
          <w:sz w:val="21"/>
          <w:szCs w:val="21"/>
        </w:rPr>
        <w:instrText>ADDIN CSL_CITATION {"citationItems":[{"id":"ITEM-1","itemData":{"DOI":"10.14254/2071-8330.2020/13-2/9","ISSN":"2306-3483","author":[{"dropping-particle":"","family":"Hamdan","given":"Allam","non-dropping-particle":"","parse-names":false,"suffix":""}],"container-title":"Journal of International Studies","id":"ITEM-1","issue":"2","issued":{"date-parts":[["2020"]]},"page":"127-138","title":"The role of the audit committee in improving earnings quality: The case of industrial companies in GCC","type":"article-journal","volume":"13"},"uris":["http://www.mendeley.com/documents/?uuid=482c1869-50ac-49f1-bcae-b590c9fc1f06"]}],"mendeley":{"formattedCitation":"(Hamdan, 2020)","plainTextFormattedCitation":"(Hamdan, 2020)","previouslyFormattedCitation":"(Hamdan, 2020)"},"properties":{"noteIndex":0},"schema":"https://github.com/citation-style-language/schema/raw/master/csl-citation.json"}</w:instrText>
      </w:r>
      <w:r w:rsidRPr="000244E4">
        <w:rPr>
          <w:rFonts w:ascii="Book Antiqua" w:hAnsi="Book Antiqua" w:cs="Times New Roman"/>
          <w:sz w:val="21"/>
          <w:szCs w:val="21"/>
        </w:rPr>
        <w:fldChar w:fldCharType="separate"/>
      </w:r>
      <w:r w:rsidRPr="000244E4">
        <w:rPr>
          <w:rFonts w:ascii="Book Antiqua" w:hAnsi="Book Antiqua" w:cs="Times New Roman"/>
          <w:noProof/>
          <w:sz w:val="21"/>
          <w:szCs w:val="21"/>
        </w:rPr>
        <w:t>(Hamdan, 2020)</w:t>
      </w:r>
      <w:r w:rsidRPr="000244E4">
        <w:rPr>
          <w:rFonts w:ascii="Book Antiqua" w:hAnsi="Book Antiqua" w:cs="Times New Roman"/>
          <w:sz w:val="21"/>
          <w:szCs w:val="21"/>
        </w:rPr>
        <w:fldChar w:fldCharType="end"/>
      </w:r>
      <w:r w:rsidRPr="000244E4">
        <w:rPr>
          <w:rFonts w:ascii="Book Antiqua" w:hAnsi="Book Antiqua" w:cs="Times New Roman"/>
          <w:sz w:val="21"/>
          <w:szCs w:val="21"/>
        </w:rPr>
        <w:t xml:space="preserve"> dan </w:t>
      </w:r>
      <w:r w:rsidRPr="000244E4">
        <w:rPr>
          <w:rFonts w:ascii="Book Antiqua" w:hAnsi="Book Antiqua" w:cs="Times New Roman"/>
          <w:sz w:val="21"/>
          <w:szCs w:val="21"/>
        </w:rPr>
        <w:fldChar w:fldCharType="begin" w:fldLock="1"/>
      </w:r>
      <w:r>
        <w:rPr>
          <w:rFonts w:ascii="Book Antiqua" w:hAnsi="Book Antiqua" w:cs="Times New Roman"/>
          <w:sz w:val="21"/>
          <w:szCs w:val="21"/>
        </w:rPr>
        <w:instrText>ADDIN CSL_CITATION {"citationItems":[{"id":"ITEM-1","itemData":{"author":[{"dropping-particle":"","family":"Mahdi Obaid","given":"Mohammed","non-dropping-particle":"","parse-names":false,"suffix":""},{"dropping-particle":"","family":"Rajab Amrah","given":"Muneer","non-dropping-particle":"","parse-names":false,"suffix":""}],"container-title":"Internasional Journal Of Research Business and Social Science (IJRBS)","id":"ITEM-1","issue":"3","issued":{"date-parts":[["2020"]]},"page":"157-164","title":"Research in Business &amp; Social Science Emerging policies and the effectiveness of corporate governance mechanisms on earning quality : A conceptual framework for Gulf cooperation council","type":"article-journal","volume":"9"},"uris":["http://www.mendeley.com/documents/?uuid=d688a54a-798e-4cd7-8d10-c56f2754013f"]}],"mendeley":{"formattedCitation":"(Mahdi Obaid &amp; Rajab Amrah, 2020)","plainTextFormattedCitation":"(Mahdi Obaid &amp; Rajab Amrah, 2020)","previouslyFormattedCitation":"(Mahdi Obaid &amp; Rajab Amrah, 2020)"},"properties":{"noteIndex":0},"schema":"https://github.com/citation-style-language/schema/raw/master/csl-citation.json"}</w:instrText>
      </w:r>
      <w:r w:rsidRPr="000244E4">
        <w:rPr>
          <w:rFonts w:ascii="Book Antiqua" w:hAnsi="Book Antiqua" w:cs="Times New Roman"/>
          <w:sz w:val="21"/>
          <w:szCs w:val="21"/>
        </w:rPr>
        <w:fldChar w:fldCharType="separate"/>
      </w:r>
      <w:r w:rsidRPr="002E6060">
        <w:rPr>
          <w:rFonts w:ascii="Book Antiqua" w:hAnsi="Book Antiqua" w:cs="Times New Roman"/>
          <w:noProof/>
          <w:sz w:val="21"/>
          <w:szCs w:val="21"/>
        </w:rPr>
        <w:t>(Mahdi Obaid &amp; Rajab Amrah, 2020)</w:t>
      </w:r>
      <w:r w:rsidRPr="000244E4">
        <w:rPr>
          <w:rFonts w:ascii="Book Antiqua" w:hAnsi="Book Antiqua" w:cs="Times New Roman"/>
          <w:sz w:val="21"/>
          <w:szCs w:val="21"/>
        </w:rPr>
        <w:fldChar w:fldCharType="end"/>
      </w:r>
      <w:r w:rsidRPr="000244E4">
        <w:rPr>
          <w:rFonts w:ascii="Book Antiqua" w:hAnsi="Book Antiqua" w:cs="Times New Roman"/>
          <w:sz w:val="21"/>
          <w:szCs w:val="21"/>
        </w:rPr>
        <w:t xml:space="preserve"> yang menyatakan bahwa komite audit berpengaruh signifikan terhadap kualitas laba. Berbeda dengan hasil yang dilakukan oleh </w:t>
      </w:r>
      <w:r w:rsidRPr="000244E4">
        <w:rPr>
          <w:rFonts w:ascii="Book Antiqua" w:hAnsi="Book Antiqua" w:cs="Times New Roman"/>
          <w:sz w:val="21"/>
          <w:szCs w:val="21"/>
        </w:rPr>
        <w:fldChar w:fldCharType="begin" w:fldLock="1"/>
      </w:r>
      <w:r>
        <w:rPr>
          <w:rFonts w:ascii="Book Antiqua" w:hAnsi="Book Antiqua" w:cs="Times New Roman"/>
          <w:sz w:val="21"/>
          <w:szCs w:val="21"/>
        </w:rPr>
        <w:instrText>ADDIN CSL_CITATION {"citationItems":[{"id":"ITEM-1","itemData":{"DOI":"10.35940/ijrte.e6817.018520","abstract":"Management understands that earnings information is very important for the company's future. Sometimes management does everything to maintain the company's profit trends, even by manipulating financial information. Some methods use by management can be divided into earning management and fraud. One of the common method uses is income smoothing. Income smoothing is a management action in reducing fluctuations in corporate profits. The purpose of this research is to examine factors influencing income smoothing. Populations in this research are companies in the sector of: property, real estate and building construction listed in Indonesia Stock Exchange period 2014-2018. The sampling method used was purposive sampling. Selected samples were 33 companies for 5 years, in total, there are 165 research data. The income smoothing variable is measured by eckel index. The result shows that all independent variables: audit firm size, firm size, audit committee, leverage and managerial ownership do not influence income smoothing","author":[{"dropping-particle":"","family":"Handoko","given":"Bambang Leo","non-dropping-particle":"","parse-names":false,"suffix":""},{"dropping-particle":"","family":"Horison","given":"Ronaldo","non-dropping-particle":"","parse-names":false,"suffix":""}],"container-title":"International Journal of Recent Technology and Engineering","id":"ITEM-1","issue":"5","issued":{"date-parts":[["2020"]]},"page":"4510-4516","title":"The Effect of Firm Size, Audit Committee, Leverage and Institutional Ownership on Earnings Quality","type":"article-journal","volume":"8"},"uris":["http://www.mendeley.com/documents/?uuid=c4442676-aec5-4529-826c-38efaa24f249"]}],"mendeley":{"formattedCitation":"(Handoko &amp; Horison, 2020)","plainTextFormattedCitation":"(Handoko &amp; Horison, 2020)","previouslyFormattedCitation":"(Handoko &amp; Horison, 2020)"},"properties":{"noteIndex":0},"schema":"https://github.com/citation-style-language/schema/raw/master/csl-citation.json"}</w:instrText>
      </w:r>
      <w:r w:rsidRPr="000244E4">
        <w:rPr>
          <w:rFonts w:ascii="Book Antiqua" w:hAnsi="Book Antiqua" w:cs="Times New Roman"/>
          <w:sz w:val="21"/>
          <w:szCs w:val="21"/>
        </w:rPr>
        <w:fldChar w:fldCharType="separate"/>
      </w:r>
      <w:r w:rsidRPr="002E6060">
        <w:rPr>
          <w:rFonts w:ascii="Book Antiqua" w:hAnsi="Book Antiqua" w:cs="Times New Roman"/>
          <w:noProof/>
          <w:sz w:val="21"/>
          <w:szCs w:val="21"/>
        </w:rPr>
        <w:t>(Handoko &amp; Horison, 2020)</w:t>
      </w:r>
      <w:r w:rsidRPr="000244E4">
        <w:rPr>
          <w:rFonts w:ascii="Book Antiqua" w:hAnsi="Book Antiqua" w:cs="Times New Roman"/>
          <w:sz w:val="21"/>
          <w:szCs w:val="21"/>
        </w:rPr>
        <w:fldChar w:fldCharType="end"/>
      </w:r>
      <w:r w:rsidRPr="000244E4">
        <w:rPr>
          <w:rFonts w:ascii="Book Antiqua" w:hAnsi="Book Antiqua" w:cs="Times New Roman"/>
          <w:sz w:val="21"/>
          <w:szCs w:val="21"/>
        </w:rPr>
        <w:t xml:space="preserve">, </w:t>
      </w:r>
      <w:r w:rsidRPr="000244E4">
        <w:rPr>
          <w:rFonts w:ascii="Book Antiqua" w:hAnsi="Book Antiqua" w:cs="Times New Roman"/>
          <w:sz w:val="21"/>
          <w:szCs w:val="21"/>
        </w:rPr>
        <w:fldChar w:fldCharType="begin" w:fldLock="1"/>
      </w:r>
      <w:r>
        <w:rPr>
          <w:rFonts w:ascii="Book Antiqua" w:hAnsi="Book Antiqua" w:cs="Times New Roman"/>
          <w:sz w:val="21"/>
          <w:szCs w:val="21"/>
        </w:rPr>
        <w:instrText>ADDIN CSL_CITATION {"citationItems":[{"id":"ITEM-1","itemData":{"author":[{"dropping-particle":"","family":"Nuryana","given":"Yayan","non-dropping-particle":"","parse-names":false,"suffix":""},{"dropping-particle":"","family":"Surjandari","given":"Dwi Asih","non-dropping-particle":"","parse-names":false,"suffix":""}],"container-title":"Global Journal Of Management and Businessn Research","id":"ITEM-1","issue":"1","issued":{"date-parts":[["2019"]]},"page":"26-39","title":"The Effect Of Goood Corporate Governance Mechanism, and Earning Management on Company Financial Performance","type":"article-journal","volume":"19"},"uris":["http://www.mendeley.com/documents/?uuid=3f2bb37c-f06b-45dd-92a1-23cd104953b4"]}],"mendeley":{"formattedCitation":"(Nuryana &amp; Surjandari, 2019)","plainTextFormattedCitation":"(Nuryana &amp; Surjandari, 2019)","previouslyFormattedCitation":"(Nuryana &amp; Surjandari, 2019)"},"properties":{"noteIndex":0},"schema":"https://github.com/citation-style-language/schema/raw/master/csl-citation.json"}</w:instrText>
      </w:r>
      <w:r w:rsidRPr="000244E4">
        <w:rPr>
          <w:rFonts w:ascii="Book Antiqua" w:hAnsi="Book Antiqua" w:cs="Times New Roman"/>
          <w:sz w:val="21"/>
          <w:szCs w:val="21"/>
        </w:rPr>
        <w:fldChar w:fldCharType="separate"/>
      </w:r>
      <w:r w:rsidRPr="002E6060">
        <w:rPr>
          <w:rFonts w:ascii="Book Antiqua" w:hAnsi="Book Antiqua" w:cs="Times New Roman"/>
          <w:noProof/>
          <w:sz w:val="21"/>
          <w:szCs w:val="21"/>
        </w:rPr>
        <w:t>(Nuryana &amp; Surjandari, 2019)</w:t>
      </w:r>
      <w:r w:rsidRPr="000244E4">
        <w:rPr>
          <w:rFonts w:ascii="Book Antiqua" w:hAnsi="Book Antiqua" w:cs="Times New Roman"/>
          <w:sz w:val="21"/>
          <w:szCs w:val="21"/>
        </w:rPr>
        <w:fldChar w:fldCharType="end"/>
      </w:r>
      <w:r w:rsidRPr="000244E4">
        <w:rPr>
          <w:rFonts w:ascii="Book Antiqua" w:hAnsi="Book Antiqua" w:cs="Times New Roman"/>
          <w:sz w:val="21"/>
          <w:szCs w:val="21"/>
        </w:rPr>
        <w:t xml:space="preserve"> dan </w:t>
      </w:r>
      <w:r w:rsidRPr="000244E4">
        <w:rPr>
          <w:rFonts w:ascii="Book Antiqua" w:hAnsi="Book Antiqua" w:cs="Times New Roman"/>
          <w:sz w:val="21"/>
          <w:szCs w:val="21"/>
        </w:rPr>
        <w:fldChar w:fldCharType="begin" w:fldLock="1"/>
      </w:r>
      <w:r>
        <w:rPr>
          <w:rFonts w:ascii="Book Antiqua" w:hAnsi="Book Antiqua" w:cs="Times New Roman"/>
          <w:sz w:val="21"/>
          <w:szCs w:val="21"/>
        </w:rPr>
        <w:instrText>ADDIN CSL_CITATION {"citationItems":[{"id":"ITEM-1","itemData":{"author":[{"dropping-particle":"","family":"Nanang","given":"Alvin Pranata","non-dropping-particle":"","parse-names":false,"suffix":""},{"dropping-particle":"","family":"Tanusdjaja","given":"Hendang","non-dropping-particle":"","parse-names":false,"suffix":""}],"container-title":"Jurnal Muara Ilmu Ekonomi dan Bisnis","id":"ITEM-1","issue":"2","issued":{"date-parts":[["2019"]]},"page":"267-288","title":"PENGARUH CORPORATE GOVERNANCE ( CG ) TERHADAP KUALITAS LABA DENGAN MANAJEMEN LABA SEBAGAI VARIABEL INTERVENING PADA PERUSAHAAN MANUFAKTUR YANG Latar belakang ( respon ) terhadap pasar ( Wahyuni dan Muslim , 2010 ). Untuk memaksimumkan kualitas laba yang t","type":"article-journal","volume":"3"},"uris":["http://www.mendeley.com/documents/?uuid=f2155352-6964-4bc6-bfe5-8702bbbfa84d"]}],"mendeley":{"formattedCitation":"(Nanang &amp; Tanusdjaja, 2019)","plainTextFormattedCitation":"(Nanang &amp; Tanusdjaja, 2019)","previouslyFormattedCitation":"(Nanang &amp; Tanusdjaja, 2019)"},"properties":{"noteIndex":0},"schema":"https://github.com/citation-style-language/schema/raw/master/csl-citation.json"}</w:instrText>
      </w:r>
      <w:r w:rsidRPr="000244E4">
        <w:rPr>
          <w:rFonts w:ascii="Book Antiqua" w:hAnsi="Book Antiqua" w:cs="Times New Roman"/>
          <w:sz w:val="21"/>
          <w:szCs w:val="21"/>
        </w:rPr>
        <w:fldChar w:fldCharType="separate"/>
      </w:r>
      <w:r w:rsidRPr="002E6060">
        <w:rPr>
          <w:rFonts w:ascii="Book Antiqua" w:hAnsi="Book Antiqua" w:cs="Times New Roman"/>
          <w:noProof/>
          <w:sz w:val="21"/>
          <w:szCs w:val="21"/>
        </w:rPr>
        <w:t>(Nanang &amp; Tanusdjaja, 2019)</w:t>
      </w:r>
      <w:r w:rsidRPr="000244E4">
        <w:rPr>
          <w:rFonts w:ascii="Book Antiqua" w:hAnsi="Book Antiqua" w:cs="Times New Roman"/>
          <w:sz w:val="21"/>
          <w:szCs w:val="21"/>
        </w:rPr>
        <w:fldChar w:fldCharType="end"/>
      </w:r>
      <w:r w:rsidRPr="000244E4">
        <w:rPr>
          <w:rFonts w:ascii="Book Antiqua" w:hAnsi="Book Antiqua" w:cs="Times New Roman"/>
          <w:sz w:val="21"/>
          <w:szCs w:val="21"/>
        </w:rPr>
        <w:t xml:space="preserve"> menyatakan bahwa komite audit tidak berpengaruh terhadap kualitas laba.</w:t>
      </w:r>
      <w:r w:rsidRPr="000244E4">
        <w:rPr>
          <w:rFonts w:ascii="Book Antiqua" w:hAnsi="Book Antiqua" w:cs="Times New Roman"/>
          <w:sz w:val="21"/>
          <w:szCs w:val="21"/>
        </w:rPr>
        <w:tab/>
      </w:r>
    </w:p>
    <w:p w:rsidR="002165D7" w:rsidRDefault="002165D7" w:rsidP="002165D7">
      <w:pPr>
        <w:pStyle w:val="ListParagraph"/>
        <w:tabs>
          <w:tab w:val="left" w:pos="567"/>
        </w:tabs>
        <w:ind w:left="0" w:firstLine="0"/>
        <w:jc w:val="both"/>
        <w:rPr>
          <w:rFonts w:ascii="Book Antiqua" w:hAnsi="Book Antiqua" w:cs="Times New Roman"/>
          <w:b/>
          <w:sz w:val="21"/>
          <w:szCs w:val="21"/>
        </w:rPr>
      </w:pPr>
    </w:p>
    <w:p w:rsidR="002165D7" w:rsidRPr="000244E4" w:rsidRDefault="002165D7" w:rsidP="002165D7">
      <w:pPr>
        <w:pStyle w:val="ListParagraph"/>
        <w:tabs>
          <w:tab w:val="left" w:pos="567"/>
        </w:tabs>
        <w:ind w:left="0" w:firstLine="0"/>
        <w:jc w:val="both"/>
        <w:rPr>
          <w:rFonts w:ascii="Book Antiqua" w:hAnsi="Book Antiqua" w:cs="Times New Roman"/>
          <w:b/>
          <w:sz w:val="21"/>
          <w:szCs w:val="21"/>
        </w:rPr>
      </w:pPr>
      <w:r w:rsidRPr="000244E4">
        <w:rPr>
          <w:rFonts w:ascii="Book Antiqua" w:hAnsi="Book Antiqua" w:cs="Times New Roman"/>
          <w:b/>
          <w:sz w:val="21"/>
          <w:szCs w:val="21"/>
        </w:rPr>
        <w:t xml:space="preserve">Pengaruh Pengungkapan </w:t>
      </w:r>
      <w:r>
        <w:rPr>
          <w:rFonts w:ascii="Book Antiqua" w:hAnsi="Book Antiqua" w:cs="Times New Roman"/>
          <w:b/>
          <w:i/>
          <w:sz w:val="21"/>
          <w:szCs w:val="21"/>
        </w:rPr>
        <w:t xml:space="preserve">CSR </w:t>
      </w:r>
      <w:r w:rsidRPr="000244E4">
        <w:rPr>
          <w:rFonts w:ascii="Book Antiqua" w:hAnsi="Book Antiqua" w:cs="Times New Roman"/>
          <w:b/>
          <w:sz w:val="21"/>
          <w:szCs w:val="21"/>
        </w:rPr>
        <w:t>Terhadap Kualitas Laba</w:t>
      </w:r>
    </w:p>
    <w:p w:rsidR="002165D7" w:rsidRPr="000244E4" w:rsidRDefault="002165D7" w:rsidP="002165D7">
      <w:pPr>
        <w:pStyle w:val="ListParagraph"/>
        <w:tabs>
          <w:tab w:val="left" w:pos="567"/>
        </w:tabs>
        <w:ind w:left="0" w:firstLine="0"/>
        <w:jc w:val="both"/>
        <w:rPr>
          <w:rFonts w:ascii="Book Antiqua" w:hAnsi="Book Antiqua" w:cs="Times New Roman"/>
          <w:sz w:val="21"/>
          <w:szCs w:val="21"/>
        </w:rPr>
      </w:pPr>
      <w:r>
        <w:rPr>
          <w:rFonts w:ascii="Book Antiqua" w:hAnsi="Book Antiqua" w:cs="Times New Roman"/>
          <w:sz w:val="21"/>
          <w:szCs w:val="21"/>
        </w:rPr>
        <w:t xml:space="preserve">Pengungkapan </w:t>
      </w:r>
      <w:proofErr w:type="gramStart"/>
      <w:r>
        <w:rPr>
          <w:rFonts w:ascii="Book Antiqua" w:hAnsi="Book Antiqua" w:cs="Times New Roman"/>
          <w:sz w:val="21"/>
          <w:szCs w:val="21"/>
        </w:rPr>
        <w:t>CSR</w:t>
      </w:r>
      <w:r w:rsidRPr="000244E4">
        <w:rPr>
          <w:rFonts w:ascii="Book Antiqua" w:hAnsi="Book Antiqua" w:cs="Times New Roman"/>
          <w:sz w:val="21"/>
          <w:szCs w:val="21"/>
        </w:rPr>
        <w:t xml:space="preserve">  tidak</w:t>
      </w:r>
      <w:proofErr w:type="gramEnd"/>
      <w:r w:rsidRPr="000244E4">
        <w:rPr>
          <w:rFonts w:ascii="Book Antiqua" w:hAnsi="Book Antiqua" w:cs="Times New Roman"/>
          <w:sz w:val="21"/>
          <w:szCs w:val="21"/>
        </w:rPr>
        <w:t xml:space="preserve"> berpengaruh  terhadap kualitas laba</w:t>
      </w:r>
      <w:r>
        <w:rPr>
          <w:rFonts w:ascii="Book Antiqua" w:hAnsi="Book Antiqua" w:cs="Times New Roman"/>
          <w:sz w:val="21"/>
          <w:szCs w:val="21"/>
        </w:rPr>
        <w:t xml:space="preserve">. </w:t>
      </w:r>
      <w:r w:rsidRPr="000244E4">
        <w:rPr>
          <w:rFonts w:ascii="Book Antiqua" w:hAnsi="Book Antiqua" w:cs="Times New Roman"/>
          <w:sz w:val="21"/>
          <w:szCs w:val="21"/>
        </w:rPr>
        <w:t xml:space="preserve">. </w:t>
      </w:r>
      <w:proofErr w:type="gramStart"/>
      <w:r w:rsidRPr="000244E4">
        <w:rPr>
          <w:rFonts w:ascii="Book Antiqua" w:hAnsi="Book Antiqua" w:cs="Times New Roman"/>
          <w:sz w:val="21"/>
          <w:szCs w:val="21"/>
        </w:rPr>
        <w:t xml:space="preserve">Opportunisme manajerial dimana manajer dapat menggunakan praktik CSR sebagai insentif </w:t>
      </w:r>
      <w:r w:rsidRPr="00852EB4">
        <w:rPr>
          <w:rFonts w:ascii="Book Antiqua" w:hAnsi="Book Antiqua" w:cs="Times New Roman"/>
          <w:i/>
          <w:sz w:val="21"/>
          <w:szCs w:val="21"/>
        </w:rPr>
        <w:t>opportunistic</w:t>
      </w:r>
      <w:r w:rsidRPr="000244E4">
        <w:rPr>
          <w:rFonts w:ascii="Book Antiqua" w:hAnsi="Book Antiqua" w:cs="Times New Roman"/>
          <w:sz w:val="21"/>
          <w:szCs w:val="21"/>
        </w:rPr>
        <w:t xml:space="preserve"> untuk menutupi kesalahan perusahaan.</w:t>
      </w:r>
      <w:proofErr w:type="gramEnd"/>
      <w:r w:rsidRPr="000244E4">
        <w:rPr>
          <w:rFonts w:ascii="Book Antiqua" w:hAnsi="Book Antiqua" w:cs="Times New Roman"/>
          <w:sz w:val="21"/>
          <w:szCs w:val="21"/>
        </w:rPr>
        <w:t xml:space="preserve"> Pengungkapan CSR dapat mengumpulkan masalah agensi dan dapat menjadi katalis bagi orang dalam yang mencari rente untuk menyembunyikan kinerja perusahaan yang sebenarnya </w:t>
      </w:r>
      <w:r w:rsidRPr="000244E4">
        <w:rPr>
          <w:rFonts w:ascii="Book Antiqua" w:hAnsi="Book Antiqua" w:cs="Times New Roman"/>
          <w:sz w:val="21"/>
          <w:szCs w:val="21"/>
        </w:rPr>
        <w:fldChar w:fldCharType="begin" w:fldLock="1"/>
      </w:r>
      <w:r w:rsidRPr="000244E4">
        <w:rPr>
          <w:rFonts w:ascii="Book Antiqua" w:hAnsi="Book Antiqua" w:cs="Times New Roman"/>
          <w:sz w:val="21"/>
          <w:szCs w:val="21"/>
        </w:rPr>
        <w:instrText>ADDIN CSL_CITATION {"citationItems":[{"id":"ITEM-1","itemData":{"DOI":"10.1108/jgr-04-2019-0041","ISSN":"2041-2568","abstract":"Purpose This paper aims to examine whether corporate social\nresponsibility (CSR) is associated with firms' earnings quality (EQ) and\nhow this association is context-specific. The authors consider specific\ninstitutional differences in strength of corporate governance (CG)\nattributes, quality of law enforcement and level of investor protection\nfound between Anglo-American, European and South-Eastern Asian CG models\nto test the impact of above country-level factors on this association.\nDesign/methodology/approach To test the association between CSR and EQ,\nthe authors consider EIRIS (Ethical Investment Research Service) (2018)\nCSR issues of sustainability indicators as proxy to capture CSR.\nFollowing Rezaee and Tuo's (2019) study, the authors classify EQ into\ninnate earnings quality (IEQ) and discretionary earnings quality (DEQ).\nThe authors investigate the innate (discretionary) EQ as to refer to\nfirm's inherent operating uncertainty (earnings management). Several\ndependency models for panel data applying the generalized method of\nmoment (GMM) estimator of Arellano and Bond (1991) are ruled based on\narchival data of 4,206 non-financial international listed firms over the\nperiod 2012-2017. Findings Univariate and GMM multivariate cross-country\nanalyses show that CSR is positively associated with EQ and that this\nassociation is more pronounced for firms within countries where good CG\ntools and higher investor right protection are preserved. The authors\ninterpret the findings as evidence that the CSR-EQ association is shaped\nby the degree of monitoring role played by institutional features at the\ncountry level. The results are robust to a battery of robustness tests.\nOriginality/value The originality of this research is twice. On the one\nhand, it examines whether CSR is a reflection of manager's ethical\nopportunistic behavior resultant on earnings quality derived from a\nfirm's innate traits. On the second hand, it tests whether CSR is a\nreflection of discretionary earnings quality manifested by earnings\nmanagement behavior. This paper is the first to support that\ninstitutional features significantly matter when investigating the\nassociation between CSR and EQ.","author":[{"dropping-particle":"","family":"Jouber","given":"Habib","non-dropping-particle":"","parse-names":false,"suffix":""}],"container-title":"Journal of Global Responsibility","id":"ITEM-1","issue":"1","issued":{"date-parts":[["2019"]]},"page":"54-92","title":"Corporate social responsibility and earnings quality: do institutional features matter?","type":"article-journal","volume":"11"},"uris":["http://www.mendeley.com/documents/?uuid=a8f31a97-8a53-4cf6-8333-f20ad90f6c7e"]}],"mendeley":{"formattedCitation":"(Jouber, 2019)","plainTextFormattedCitation":"(Jouber, 2019)","previouslyFormattedCitation":"(Jouber, 2019)"},"properties":{"noteIndex":0},"schema":"https://github.com/citation-style-language/schema/raw/master/csl-citation.json"}</w:instrText>
      </w:r>
      <w:r w:rsidRPr="000244E4">
        <w:rPr>
          <w:rFonts w:ascii="Book Antiqua" w:hAnsi="Book Antiqua" w:cs="Times New Roman"/>
          <w:sz w:val="21"/>
          <w:szCs w:val="21"/>
        </w:rPr>
        <w:fldChar w:fldCharType="separate"/>
      </w:r>
      <w:r w:rsidRPr="000244E4">
        <w:rPr>
          <w:rFonts w:ascii="Book Antiqua" w:hAnsi="Book Antiqua" w:cs="Times New Roman"/>
          <w:noProof/>
          <w:sz w:val="21"/>
          <w:szCs w:val="21"/>
        </w:rPr>
        <w:t>(Jouber, 2019)</w:t>
      </w:r>
      <w:r w:rsidRPr="000244E4">
        <w:rPr>
          <w:rFonts w:ascii="Book Antiqua" w:hAnsi="Book Antiqua" w:cs="Times New Roman"/>
          <w:sz w:val="21"/>
          <w:szCs w:val="21"/>
        </w:rPr>
        <w:fldChar w:fldCharType="end"/>
      </w:r>
      <w:r>
        <w:rPr>
          <w:rFonts w:ascii="Book Antiqua" w:hAnsi="Book Antiqua" w:cs="Times New Roman"/>
          <w:sz w:val="21"/>
          <w:szCs w:val="21"/>
        </w:rPr>
        <w:t xml:space="preserve">. </w:t>
      </w:r>
      <w:r w:rsidRPr="000244E4">
        <w:rPr>
          <w:rFonts w:ascii="Book Antiqua" w:hAnsi="Book Antiqua" w:cs="Times New Roman"/>
          <w:sz w:val="21"/>
          <w:szCs w:val="21"/>
        </w:rPr>
        <w:t xml:space="preserve">Theory Agency  </w:t>
      </w:r>
      <w:r w:rsidRPr="000244E4">
        <w:rPr>
          <w:rFonts w:ascii="Book Antiqua" w:hAnsi="Book Antiqua" w:cs="Times New Roman"/>
          <w:sz w:val="21"/>
          <w:szCs w:val="21"/>
        </w:rPr>
        <w:fldChar w:fldCharType="begin" w:fldLock="1"/>
      </w:r>
      <w:r>
        <w:rPr>
          <w:rFonts w:ascii="Book Antiqua" w:hAnsi="Book Antiqua" w:cs="Times New Roman"/>
          <w:sz w:val="21"/>
          <w:szCs w:val="21"/>
        </w:rPr>
        <w:instrText>ADDIN CSL_CITATION {"citationItems":[{"id":"ITEM-1","itemData":{"author":[{"dropping-particle":"","family":"Jensen","given":"Michael","non-dropping-particle":"","parse-names":false,"suffix":""},{"dropping-particle":"","family":"Meckling","given":"William H","non-dropping-particle":"","parse-names":false,"suffix":""}],"container-title":"Journal of Financial Economics","id":"ITEM-1","issue":"4","issued":{"date-parts":[["1976"]]},"page":"305-360","title":"Theory of the firm: Managerial behavior, agency costs and ownership structure","type":"article-journal","volume":"3"},"uris":["http://www.mendeley.com/documents/?uuid=fc7e1725-b446-42cd-b499-a0ab603e7046"]}],"mendeley":{"formattedCitation":"(Jensen &amp; Meckling, 1976)","plainTextFormattedCitation":"(Jensen &amp; Meckling, 1976)","previouslyFormattedCitation":"(Jensen &amp; Meckling, 1976)"},"properties":{"noteIndex":0},"schema":"https://github.com/citation-style-language/schema/raw/master/csl-citation.json"}</w:instrText>
      </w:r>
      <w:r w:rsidRPr="000244E4">
        <w:rPr>
          <w:rFonts w:ascii="Book Antiqua" w:hAnsi="Book Antiqua" w:cs="Times New Roman"/>
          <w:sz w:val="21"/>
          <w:szCs w:val="21"/>
        </w:rPr>
        <w:fldChar w:fldCharType="separate"/>
      </w:r>
      <w:r w:rsidRPr="002E6060">
        <w:rPr>
          <w:rFonts w:ascii="Book Antiqua" w:hAnsi="Book Antiqua" w:cs="Times New Roman"/>
          <w:noProof/>
          <w:sz w:val="21"/>
          <w:szCs w:val="21"/>
        </w:rPr>
        <w:t>(Jensen &amp; Meckling, 1976)</w:t>
      </w:r>
      <w:r w:rsidRPr="000244E4">
        <w:rPr>
          <w:rFonts w:ascii="Book Antiqua" w:hAnsi="Book Antiqua" w:cs="Times New Roman"/>
          <w:sz w:val="21"/>
          <w:szCs w:val="21"/>
        </w:rPr>
        <w:fldChar w:fldCharType="end"/>
      </w:r>
      <w:r w:rsidRPr="000244E4">
        <w:rPr>
          <w:rFonts w:ascii="Book Antiqua" w:hAnsi="Book Antiqua" w:cs="Times New Roman"/>
          <w:sz w:val="21"/>
          <w:szCs w:val="21"/>
        </w:rPr>
        <w:t xml:space="preserve"> memprediksikan pengungkapan CSR dengan </w:t>
      </w:r>
      <w:r w:rsidRPr="004D53E9">
        <w:rPr>
          <w:rFonts w:ascii="Book Antiqua" w:hAnsi="Book Antiqua" w:cs="Times New Roman"/>
          <w:i/>
          <w:sz w:val="21"/>
          <w:szCs w:val="21"/>
        </w:rPr>
        <w:t>Earning Quality</w:t>
      </w:r>
      <w:r w:rsidRPr="000244E4">
        <w:rPr>
          <w:rFonts w:ascii="Book Antiqua" w:hAnsi="Book Antiqua" w:cs="Times New Roman"/>
          <w:sz w:val="21"/>
          <w:szCs w:val="21"/>
        </w:rPr>
        <w:t xml:space="preserve"> dengan hipotesis oppotunisme manajerial  yang memprediksikan hubungan negatif antara pengungkapan CSR dengan </w:t>
      </w:r>
      <w:r w:rsidRPr="004D53E9">
        <w:rPr>
          <w:rFonts w:ascii="Book Antiqua" w:hAnsi="Book Antiqua" w:cs="Times New Roman"/>
          <w:i/>
          <w:sz w:val="21"/>
          <w:szCs w:val="21"/>
        </w:rPr>
        <w:t>Earning Quality</w:t>
      </w:r>
      <w:r w:rsidRPr="000244E4">
        <w:rPr>
          <w:rFonts w:ascii="Book Antiqua" w:hAnsi="Book Antiqua" w:cs="Times New Roman"/>
          <w:sz w:val="21"/>
          <w:szCs w:val="21"/>
        </w:rPr>
        <w:t xml:space="preserve">. Hasil penelitian ini sama dengan penelitian sebelumnya yang dilakukan oleh </w:t>
      </w:r>
      <w:r w:rsidRPr="000244E4">
        <w:rPr>
          <w:rFonts w:ascii="Book Antiqua" w:hAnsi="Book Antiqua" w:cs="Times New Roman"/>
          <w:sz w:val="21"/>
          <w:szCs w:val="21"/>
        </w:rPr>
        <w:fldChar w:fldCharType="begin" w:fldLock="1"/>
      </w:r>
      <w:r>
        <w:rPr>
          <w:rFonts w:ascii="Book Antiqua" w:hAnsi="Book Antiqua" w:cs="Times New Roman"/>
          <w:sz w:val="21"/>
          <w:szCs w:val="21"/>
        </w:rPr>
        <w:instrText>ADDIN CSL_CITATION {"citationItems":[{"id":"ITEM-1","itemData":{"author":[{"dropping-particle":"","family":"Hutasoit","given":"Supriani","non-dropping-particle":"","parse-names":false,"suffix":""},{"dropping-particle":"","family":"Harahap","given":"Khairunnisa","non-dropping-particle":"","parse-names":false,"suffix":""},{"dropping-particle":"","family":"Nst","given":"Akmal Huda","non-dropping-particle":"","parse-names":false,"suffix":""},{"dropping-particle":"","family":"Teori","given":"Landasan","non-dropping-particle":"","parse-names":false,"suffix":""},{"dropping-particle":"","family":"Pengembangan","given":"Dan","non-dropping-particle":"","parse-names":false,"suffix":""}],"container-title":"Jurnal Akuntansi, Keuangan dan Perpajakan Indonesia (JAKPI)","id":"ITEM-1","issued":{"date-parts":[["2020"]]},"page":"0-10","title":"Pengaruh Corporate Social Responsibility Terhadap Earning Quality Pada Perusahaan Pertambangan Yang Terdaftar Di Bursa Efek Indonesia Tahun 2015 - 2017","type":"article-journal"},"uris":["http://www.mendeley.com/documents/?uuid=2698de63-bb05-4377-9af8-7953cfd8402f"]}],"mendeley":{"formattedCitation":"(Hutasoit et al., 2020)","plainTextFormattedCitation":"(Hutasoit et al., 2020)","previouslyFormattedCitation":"(Hutasoit et al., 2020)"},"properties":{"noteIndex":0},"schema":"https://github.com/citation-style-language/schema/raw/master/csl-citation.json"}</w:instrText>
      </w:r>
      <w:r w:rsidRPr="000244E4">
        <w:rPr>
          <w:rFonts w:ascii="Book Antiqua" w:hAnsi="Book Antiqua" w:cs="Times New Roman"/>
          <w:sz w:val="21"/>
          <w:szCs w:val="21"/>
        </w:rPr>
        <w:fldChar w:fldCharType="separate"/>
      </w:r>
      <w:r w:rsidRPr="002E6060">
        <w:rPr>
          <w:rFonts w:ascii="Book Antiqua" w:hAnsi="Book Antiqua" w:cs="Times New Roman"/>
          <w:noProof/>
          <w:sz w:val="21"/>
          <w:szCs w:val="21"/>
        </w:rPr>
        <w:t>(Hutasoit et al., 2020)</w:t>
      </w:r>
      <w:r w:rsidRPr="000244E4">
        <w:rPr>
          <w:rFonts w:ascii="Book Antiqua" w:hAnsi="Book Antiqua" w:cs="Times New Roman"/>
          <w:sz w:val="21"/>
          <w:szCs w:val="21"/>
        </w:rPr>
        <w:fldChar w:fldCharType="end"/>
      </w:r>
      <w:r w:rsidRPr="000244E4">
        <w:rPr>
          <w:rFonts w:ascii="Book Antiqua" w:hAnsi="Book Antiqua" w:cs="Times New Roman"/>
          <w:sz w:val="21"/>
          <w:szCs w:val="21"/>
        </w:rPr>
        <w:t xml:space="preserve"> menyatakan bahwa pengungkapan CSR tidak berpengaruh terhadap kualitas laba. Berbeda hasil penelitian sebelumnya yang dilakukan oleh </w:t>
      </w:r>
      <w:r w:rsidRPr="000244E4">
        <w:rPr>
          <w:rFonts w:ascii="Book Antiqua" w:hAnsi="Book Antiqua" w:cs="Times New Roman"/>
          <w:sz w:val="21"/>
          <w:szCs w:val="21"/>
        </w:rPr>
        <w:fldChar w:fldCharType="begin" w:fldLock="1"/>
      </w:r>
      <w:r>
        <w:rPr>
          <w:rFonts w:ascii="Book Antiqua" w:hAnsi="Book Antiqua" w:cs="Times New Roman"/>
          <w:sz w:val="21"/>
          <w:szCs w:val="21"/>
        </w:rPr>
        <w:instrText>ADDIN CSL_CITATION {"citationItems":[{"id":"ITEM-1","itemData":{"DOI":"10.1002/csr.1922","ISSN":"15353966","abstract":"The objective of this study was to investigate the association between corporate social responsibility (CSR) and earnings transparency of Korean companies. Transparency is one of key principles of CSR activities. We will focus on accounting transparency as accounting provides fundamental financial information about a company. Our results showed that companies with superior CSR activities had higher earnings transparency. This suggests that the more a company performs CSR, the more it gets trust from market participants on earnings information. We tested whether continuance of CSR commitments could affect the level of transparency. Our results revealed found that a company with a longer period of CSR activities had higher earnings transparency. This implies that CSR activities on ongoing-basis encourage a company to disclose its information to outside stockholders in an open way.","author":[{"dropping-particle":"","family":"Park","given":"Hee Jin","non-dropping-particle":"","parse-names":false,"suffix":""},{"dropping-particle":"","family":"Ha","given":"Mi Hye","non-dropping-particle":"","parse-names":false,"suffix":""}],"container-title":"Corporate Social Responsibility and Environmental Management","id":"ITEM-1","issue":"3","issued":{"date-parts":[["2020"]]},"page":"1498-1508","title":"Corporate social responsibility and earnings transparency: Evidence from Korea","type":"article-journal","volume":"27"},"uris":["http://www.mendeley.com/documents/?uuid=2b07f64e-6410-43c9-bcc7-80364771adf6"]}],"mendeley":{"formattedCitation":"(Park &amp; Ha, 2020)","plainTextFormattedCitation":"(Park &amp; Ha, 2020)","previouslyFormattedCitation":"(Park &amp; Ha, 2020)"},"properties":{"noteIndex":0},"schema":"https://github.com/citation-style-language/schema/raw/master/csl-citation.json"}</w:instrText>
      </w:r>
      <w:r w:rsidRPr="000244E4">
        <w:rPr>
          <w:rFonts w:ascii="Book Antiqua" w:hAnsi="Book Antiqua" w:cs="Times New Roman"/>
          <w:sz w:val="21"/>
          <w:szCs w:val="21"/>
        </w:rPr>
        <w:fldChar w:fldCharType="separate"/>
      </w:r>
      <w:r w:rsidRPr="002E6060">
        <w:rPr>
          <w:rFonts w:ascii="Book Antiqua" w:hAnsi="Book Antiqua" w:cs="Times New Roman"/>
          <w:noProof/>
          <w:sz w:val="21"/>
          <w:szCs w:val="21"/>
        </w:rPr>
        <w:t>(Park &amp; Ha, 2020)</w:t>
      </w:r>
      <w:r w:rsidRPr="000244E4">
        <w:rPr>
          <w:rFonts w:ascii="Book Antiqua" w:hAnsi="Book Antiqua" w:cs="Times New Roman"/>
          <w:sz w:val="21"/>
          <w:szCs w:val="21"/>
        </w:rPr>
        <w:fldChar w:fldCharType="end"/>
      </w:r>
      <w:r w:rsidRPr="000244E4">
        <w:rPr>
          <w:rFonts w:ascii="Book Antiqua" w:hAnsi="Book Antiqua" w:cs="Times New Roman"/>
          <w:sz w:val="21"/>
          <w:szCs w:val="21"/>
        </w:rPr>
        <w:t xml:space="preserve">  </w:t>
      </w:r>
      <w:r>
        <w:rPr>
          <w:rFonts w:ascii="Book Antiqua" w:hAnsi="Book Antiqua" w:cs="Times New Roman"/>
          <w:sz w:val="21"/>
          <w:szCs w:val="21"/>
        </w:rPr>
        <w:t xml:space="preserve">dan </w:t>
      </w:r>
      <w:r w:rsidRPr="000244E4">
        <w:rPr>
          <w:rFonts w:ascii="Book Antiqua" w:hAnsi="Book Antiqua" w:cs="Times New Roman"/>
          <w:sz w:val="21"/>
          <w:szCs w:val="21"/>
        </w:rPr>
        <w:fldChar w:fldCharType="begin" w:fldLock="1"/>
      </w:r>
      <w:r>
        <w:rPr>
          <w:rFonts w:ascii="Book Antiqua" w:hAnsi="Book Antiqua" w:cs="Times New Roman"/>
          <w:sz w:val="21"/>
          <w:szCs w:val="21"/>
        </w:rPr>
        <w:instrText>ADDIN CSL_CITATION {"citationItems":[{"id":"ITEM-1","itemData":{"DOI":"10.1016/j.gfj.2019.05.002","ISSN":"10440283","abstract":"We examine the association between corporate social responsibility (CSR)and earnings quality using CSR ranking data from Rankins (RKS)and four measures of earnings quality. Using a sample of 2580 Chinese listed firms for fiscal years 2009–2015, with 14,807 firm-year observations, we find that CSR firms and those with higher CSR ratings are less likely to engage in earnings management than non-CSR firms and those with lower CSR ratings, and their earnings are more persistent and more accurately predict future cash flows from operations. State ownership and marketization moderate the relationship between CSR disclosures and earnings quality.","author":[{"dropping-particle":"","family":"Rezaee","given":"Zabihollah","non-dropping-particle":"","parse-names":false,"suffix":""},{"dropping-particle":"","family":"Dou","given":"Huan","non-dropping-particle":"","parse-names":false,"suffix":""},{"dropping-particle":"","family":"Zhang","given":"Huili","non-dropping-particle":"","parse-names":false,"suffix":""}],"container-title":"Global Finance Journal","id":"ITEM-1","issue":"April","issued":{"date-parts":[["2019"]]},"page":"100473","publisher":"Elsevier","title":"Corporate social responsibility and earnings quality: Evidence from China","type":"article-journal"},"uris":["http://www.mendeley.com/documents/?uuid=fbe9a4b8-5836-446c-91d0-90694b7c9d3c"]}],"mendeley":{"formattedCitation":"(Rezaee et al., 2019)","plainTextFormattedCitation":"(Rezaee et al., 2019)","previouslyFormattedCitation":"(Rezaee et al., 2019)"},"properties":{"noteIndex":0},"schema":"https://github.com/citation-style-language/schema/raw/master/csl-citation.json"}</w:instrText>
      </w:r>
      <w:r w:rsidRPr="000244E4">
        <w:rPr>
          <w:rFonts w:ascii="Book Antiqua" w:hAnsi="Book Antiqua" w:cs="Times New Roman"/>
          <w:sz w:val="21"/>
          <w:szCs w:val="21"/>
        </w:rPr>
        <w:fldChar w:fldCharType="separate"/>
      </w:r>
      <w:r w:rsidRPr="002E6060">
        <w:rPr>
          <w:rFonts w:ascii="Book Antiqua" w:hAnsi="Book Antiqua" w:cs="Times New Roman"/>
          <w:noProof/>
          <w:sz w:val="21"/>
          <w:szCs w:val="21"/>
        </w:rPr>
        <w:t>(Rezaee et al., 2019)</w:t>
      </w:r>
      <w:r w:rsidRPr="000244E4">
        <w:rPr>
          <w:rFonts w:ascii="Book Antiqua" w:hAnsi="Book Antiqua" w:cs="Times New Roman"/>
          <w:sz w:val="21"/>
          <w:szCs w:val="21"/>
        </w:rPr>
        <w:fldChar w:fldCharType="end"/>
      </w:r>
      <w:r w:rsidRPr="000244E4">
        <w:rPr>
          <w:rFonts w:ascii="Book Antiqua" w:hAnsi="Book Antiqua" w:cs="Times New Roman"/>
          <w:sz w:val="21"/>
          <w:szCs w:val="21"/>
        </w:rPr>
        <w:t xml:space="preserve">, </w:t>
      </w:r>
      <w:r w:rsidRPr="000244E4">
        <w:rPr>
          <w:rFonts w:ascii="Book Antiqua" w:hAnsi="Book Antiqua" w:cs="Times New Roman"/>
          <w:sz w:val="21"/>
          <w:szCs w:val="21"/>
        </w:rPr>
        <w:fldChar w:fldCharType="begin" w:fldLock="1"/>
      </w:r>
      <w:r w:rsidRPr="000244E4">
        <w:rPr>
          <w:rFonts w:ascii="Book Antiqua" w:hAnsi="Book Antiqua" w:cs="Times New Roman"/>
          <w:sz w:val="21"/>
          <w:szCs w:val="21"/>
        </w:rPr>
        <w:instrText>ADDIN CSL_CITATION {"citationItems":[{"id":"ITEM-1","itemData":{"DOI":"10.1108/jgr-04-2019-0041","ISSN":"2041-2568","abstract":"Purpose This paper aims to examine whether corporate social\nresponsibility (CSR) is associated with firms' earnings quality (EQ) and\nhow this association is context-specific. The authors consider specific\ninstitutional differences in strength of corporate governance (CG)\nattributes, quality of law enforcement and level of investor protection\nfound between Anglo-American, European and South-Eastern Asian CG models\nto test the impact of above country-level factors on this association.\nDesign/methodology/approach To test the association between CSR and EQ,\nthe authors consider EIRIS (Ethical Investment Research Service) (2018)\nCSR issues of sustainability indicators as proxy to capture CSR.\nFollowing Rezaee and Tuo's (2019) study, the authors classify EQ into\ninnate earnings quality (IEQ) and discretionary earnings quality (DEQ).\nThe authors investigate the innate (discretionary) EQ as to refer to\nfirm's inherent operating uncertainty (earnings management). Several\ndependency models for panel data applying the generalized method of\nmoment (GMM) estimator of Arellano and Bond (1991) are ruled based on\narchival data of 4,206 non-financial international listed firms over the\nperiod 2012-2017. Findings Univariate and GMM multivariate cross-country\nanalyses show that CSR is positively associated with EQ and that this\nassociation is more pronounced for firms within countries where good CG\ntools and higher investor right protection are preserved. The authors\ninterpret the findings as evidence that the CSR-EQ association is shaped\nby the degree of monitoring role played by institutional features at the\ncountry level. The results are robust to a battery of robustness tests.\nOriginality/value The originality of this research is twice. On the one\nhand, it examines whether CSR is a reflection of manager's ethical\nopportunistic behavior resultant on earnings quality derived from a\nfirm's innate traits. On the second hand, it tests whether CSR is a\nreflection of discretionary earnings quality manifested by earnings\nmanagement behavior. This paper is the first to support that\ninstitutional features significantly matter when investigating the\nassociation between CSR and EQ.","author":[{"dropping-particle":"","family":"Jouber","given":"Habib","non-dropping-particle":"","parse-names":false,"suffix":""}],"container-title":"Journal of Global Responsibility","id":"ITEM-1","issue":"1","issued":{"date-parts":[["2019"]]},"page":"54-92","title":"Corporate social responsibility and earnings quality: do institutional features matter?","type":"article-journal","volume":"11"},"uris":["http://www.mendeley.com/documents/?uuid=a8f31a97-8a53-4cf6-8333-f20ad90f6c7e"]}],"mendeley":{"formattedCitation":"(Jouber, 2019)","plainTextFormattedCitation":"(Jouber, 2019)","previouslyFormattedCitation":"(Jouber, 2019)"},"properties":{"noteIndex":0},"schema":"https://github.com/citation-style-language/schema/raw/master/csl-citation.json"}</w:instrText>
      </w:r>
      <w:r w:rsidRPr="000244E4">
        <w:rPr>
          <w:rFonts w:ascii="Book Antiqua" w:hAnsi="Book Antiqua" w:cs="Times New Roman"/>
          <w:sz w:val="21"/>
          <w:szCs w:val="21"/>
        </w:rPr>
        <w:fldChar w:fldCharType="separate"/>
      </w:r>
      <w:r w:rsidRPr="000244E4">
        <w:rPr>
          <w:rFonts w:ascii="Book Antiqua" w:hAnsi="Book Antiqua" w:cs="Times New Roman"/>
          <w:noProof/>
          <w:sz w:val="21"/>
          <w:szCs w:val="21"/>
        </w:rPr>
        <w:t>(Jouber, 2019)</w:t>
      </w:r>
      <w:r w:rsidRPr="000244E4">
        <w:rPr>
          <w:rFonts w:ascii="Book Antiqua" w:hAnsi="Book Antiqua" w:cs="Times New Roman"/>
          <w:sz w:val="21"/>
          <w:szCs w:val="21"/>
        </w:rPr>
        <w:fldChar w:fldCharType="end"/>
      </w:r>
      <w:r w:rsidRPr="000244E4">
        <w:rPr>
          <w:rFonts w:ascii="Book Antiqua" w:hAnsi="Book Antiqua" w:cs="Times New Roman"/>
          <w:sz w:val="21"/>
          <w:szCs w:val="21"/>
        </w:rPr>
        <w:t xml:space="preserve"> dan </w:t>
      </w:r>
      <w:r w:rsidRPr="000244E4">
        <w:rPr>
          <w:rFonts w:ascii="Book Antiqua" w:hAnsi="Book Antiqua" w:cs="Times New Roman"/>
          <w:sz w:val="21"/>
          <w:szCs w:val="21"/>
        </w:rPr>
        <w:fldChar w:fldCharType="begin" w:fldLock="1"/>
      </w:r>
      <w:r>
        <w:rPr>
          <w:rFonts w:ascii="Book Antiqua" w:hAnsi="Book Antiqua" w:cs="Times New Roman"/>
          <w:sz w:val="21"/>
          <w:szCs w:val="21"/>
        </w:rPr>
        <w:instrText>ADDIN CSL_CITATION {"citationItems":[{"id":"ITEM-1","itemData":{"abstract":"Tujuan penelitian ini adalah untuk mengetahui valuasi kesadaran lingkungan dan Corporate Social Responsbility dengan moderasi komite audit. Penelitian ini menggunakan metode survei. Populasi 135 BUMN bidang kontruksi dan industri properti sebanyak 96 BUMN. Pengambilan sampel dengan purposive sampling sebanyak 49 BUMN. Hasil penelitian ini menunjukkan bahwa tidak ada pengaruh yang signifikan antara kesadaran lingkungan terhadap kualitas laba BUMN. Ada pengaruh yang signifikan antara Corporate Social Responsibility terhadap kualitas laba BUMN. Namun Komite Audit independen tidak memoderasi pengaruh CSR terhadap kualitas laba BUMN.Temuan penelitian ini adalah rata-rata industri konstruksi menyajikan kesadaran lingkungan tidak begitu terperinci baik dari aspek akuntansi dan faktor keuangan, litigasi lingkungan, pencegahan polusi lingkungan, dan aspek lainnya, hanya menunjukkan bahwa perusahaan telah melakukan kegiatan sosial yang berkaitan dengan lingkungan dan sebagai voluntary disclosure. Semakin tinggi indeks CSR maka semakin tinggi kualitas laba perusahaan kontruksi dan sebagai mandatory disclosure. Komite audit independen belum berperan dalam meningkatkan kualitas laba, karena masih sebatas memenuhi syarat dari Otoritas Jasa Keuangan","author":[{"dropping-particle":"","family":"Bagus","given":"Ronny","non-dropping-particle":"","parse-names":false,"suffix":""},{"dropping-particle":"","family":"Djaddang","given":"Syahril","non-dropping-particle":"","parse-names":false,"suffix":""}],"container-title":"Jurnal Ekonomi dan Bisnis","id":"ITEM-1","issue":"1","issued":{"date-parts":[["2018"]]},"page":"97-114","title":"Valuasi kesadaran lingkungan , corporate social responsibility terhadap kualitas laba dengan moderasi komite audit","type":"article-journal","volume":"21"},"uris":["http://www.mendeley.com/documents/?uuid=6caa384c-3acb-4da7-b439-d80ccaf6881b"]}],"mendeley":{"formattedCitation":"(Bagus &amp; Djaddang, 2018)","plainTextFormattedCitation":"(Bagus &amp; Djaddang, 2018)","previouslyFormattedCitation":"(Bagus &amp; Djaddang, 2018)"},"properties":{"noteIndex":0},"schema":"https://github.com/citation-style-language/schema/raw/master/csl-citation.json"}</w:instrText>
      </w:r>
      <w:r w:rsidRPr="000244E4">
        <w:rPr>
          <w:rFonts w:ascii="Book Antiqua" w:hAnsi="Book Antiqua" w:cs="Times New Roman"/>
          <w:sz w:val="21"/>
          <w:szCs w:val="21"/>
        </w:rPr>
        <w:fldChar w:fldCharType="separate"/>
      </w:r>
      <w:r w:rsidRPr="002E6060">
        <w:rPr>
          <w:rFonts w:ascii="Book Antiqua" w:hAnsi="Book Antiqua" w:cs="Times New Roman"/>
          <w:noProof/>
          <w:sz w:val="21"/>
          <w:szCs w:val="21"/>
        </w:rPr>
        <w:t>(Bagus &amp; Djaddang, 2018)</w:t>
      </w:r>
      <w:r w:rsidRPr="000244E4">
        <w:rPr>
          <w:rFonts w:ascii="Book Antiqua" w:hAnsi="Book Antiqua" w:cs="Times New Roman"/>
          <w:sz w:val="21"/>
          <w:szCs w:val="21"/>
        </w:rPr>
        <w:fldChar w:fldCharType="end"/>
      </w:r>
      <w:r>
        <w:rPr>
          <w:rFonts w:ascii="Book Antiqua" w:hAnsi="Book Antiqua" w:cs="Times New Roman"/>
          <w:sz w:val="21"/>
          <w:szCs w:val="21"/>
        </w:rPr>
        <w:t xml:space="preserve"> </w:t>
      </w:r>
      <w:r w:rsidRPr="000244E4">
        <w:rPr>
          <w:rFonts w:ascii="Book Antiqua" w:hAnsi="Book Antiqua" w:cs="Times New Roman"/>
          <w:sz w:val="21"/>
          <w:szCs w:val="21"/>
        </w:rPr>
        <w:t>menyatakan bahwa pengungkapan CSR berpengaruh positif, hal ini mengimplikasikan bahwa semakin banyak suatu perusahaan melakukan CSR, semakin memperoleh kepercayaan pelak</w:t>
      </w:r>
      <w:r>
        <w:rPr>
          <w:rFonts w:ascii="Book Antiqua" w:hAnsi="Book Antiqua" w:cs="Times New Roman"/>
          <w:sz w:val="21"/>
          <w:szCs w:val="21"/>
        </w:rPr>
        <w:t>u pasar terhadap informasi laba</w:t>
      </w:r>
      <w:r w:rsidRPr="000244E4">
        <w:rPr>
          <w:rFonts w:ascii="Book Antiqua" w:hAnsi="Book Antiqua" w:cs="Times New Roman"/>
          <w:sz w:val="21"/>
          <w:szCs w:val="21"/>
        </w:rPr>
        <w:t>.</w:t>
      </w:r>
    </w:p>
    <w:p w:rsidR="002165D7" w:rsidRDefault="002165D7" w:rsidP="002165D7">
      <w:pPr>
        <w:pStyle w:val="ListParagraph"/>
        <w:tabs>
          <w:tab w:val="left" w:pos="567"/>
        </w:tabs>
        <w:ind w:left="0" w:firstLine="0"/>
        <w:jc w:val="both"/>
        <w:rPr>
          <w:rFonts w:ascii="Book Antiqua" w:hAnsi="Book Antiqua" w:cs="Times New Roman"/>
          <w:b/>
          <w:sz w:val="21"/>
          <w:szCs w:val="21"/>
        </w:rPr>
      </w:pPr>
    </w:p>
    <w:p w:rsidR="002165D7" w:rsidRPr="000244E4" w:rsidRDefault="002165D7" w:rsidP="002165D7">
      <w:pPr>
        <w:pStyle w:val="ListParagraph"/>
        <w:tabs>
          <w:tab w:val="left" w:pos="567"/>
        </w:tabs>
        <w:ind w:left="0" w:firstLine="0"/>
        <w:jc w:val="both"/>
        <w:rPr>
          <w:rFonts w:ascii="Book Antiqua" w:hAnsi="Book Antiqua" w:cs="Times New Roman"/>
          <w:b/>
          <w:sz w:val="21"/>
          <w:szCs w:val="21"/>
        </w:rPr>
      </w:pPr>
      <w:r w:rsidRPr="000244E4">
        <w:rPr>
          <w:rFonts w:ascii="Book Antiqua" w:hAnsi="Book Antiqua" w:cs="Times New Roman"/>
          <w:b/>
          <w:sz w:val="21"/>
          <w:szCs w:val="21"/>
        </w:rPr>
        <w:t xml:space="preserve">Pengaruh Kualitas Laba Terhadap </w:t>
      </w:r>
      <w:r w:rsidRPr="000244E4">
        <w:rPr>
          <w:rFonts w:ascii="Book Antiqua" w:hAnsi="Book Antiqua" w:cs="Times New Roman"/>
          <w:b/>
          <w:i/>
          <w:sz w:val="21"/>
          <w:szCs w:val="21"/>
        </w:rPr>
        <w:t>Return</w:t>
      </w:r>
      <w:r w:rsidRPr="000244E4">
        <w:rPr>
          <w:rFonts w:ascii="Book Antiqua" w:hAnsi="Book Antiqua" w:cs="Times New Roman"/>
          <w:b/>
          <w:sz w:val="21"/>
          <w:szCs w:val="21"/>
        </w:rPr>
        <w:t xml:space="preserve"> Saham</w:t>
      </w:r>
    </w:p>
    <w:p w:rsidR="002165D7" w:rsidRPr="00597A13" w:rsidRDefault="002165D7" w:rsidP="002165D7">
      <w:pPr>
        <w:pStyle w:val="ListParagraph"/>
        <w:tabs>
          <w:tab w:val="left" w:pos="567"/>
        </w:tabs>
        <w:ind w:left="0" w:firstLine="0"/>
        <w:jc w:val="both"/>
        <w:rPr>
          <w:rFonts w:ascii="Book Antiqua" w:hAnsi="Book Antiqua" w:cs="Times New Roman"/>
          <w:sz w:val="21"/>
          <w:szCs w:val="21"/>
        </w:rPr>
      </w:pPr>
      <w:r>
        <w:rPr>
          <w:rFonts w:ascii="Book Antiqua" w:hAnsi="Book Antiqua" w:cs="Times New Roman"/>
          <w:sz w:val="21"/>
          <w:szCs w:val="21"/>
        </w:rPr>
        <w:t xml:space="preserve">Kualitas </w:t>
      </w:r>
      <w:proofErr w:type="gramStart"/>
      <w:r>
        <w:rPr>
          <w:rFonts w:ascii="Book Antiqua" w:hAnsi="Book Antiqua" w:cs="Times New Roman"/>
          <w:sz w:val="21"/>
          <w:szCs w:val="21"/>
        </w:rPr>
        <w:t xml:space="preserve">laba  </w:t>
      </w:r>
      <w:r w:rsidRPr="000244E4">
        <w:rPr>
          <w:rFonts w:ascii="Book Antiqua" w:hAnsi="Book Antiqua" w:cs="Times New Roman"/>
          <w:sz w:val="21"/>
          <w:szCs w:val="21"/>
        </w:rPr>
        <w:t>berpengaruh</w:t>
      </w:r>
      <w:proofErr w:type="gramEnd"/>
      <w:r w:rsidRPr="000244E4">
        <w:rPr>
          <w:rFonts w:ascii="Book Antiqua" w:hAnsi="Book Antiqua" w:cs="Times New Roman"/>
          <w:sz w:val="21"/>
          <w:szCs w:val="21"/>
        </w:rPr>
        <w:t xml:space="preserve"> signifikan </w:t>
      </w:r>
      <w:r>
        <w:rPr>
          <w:rFonts w:ascii="Book Antiqua" w:hAnsi="Book Antiqua" w:cs="Times New Roman"/>
          <w:sz w:val="21"/>
          <w:szCs w:val="21"/>
        </w:rPr>
        <w:t xml:space="preserve">positif </w:t>
      </w:r>
      <w:r w:rsidRPr="000244E4">
        <w:rPr>
          <w:rFonts w:ascii="Book Antiqua" w:hAnsi="Book Antiqua" w:cs="Times New Roman"/>
          <w:sz w:val="21"/>
          <w:szCs w:val="21"/>
        </w:rPr>
        <w:t xml:space="preserve">terhadap </w:t>
      </w:r>
      <w:r w:rsidRPr="000244E4">
        <w:rPr>
          <w:rFonts w:ascii="Book Antiqua" w:hAnsi="Book Antiqua" w:cs="Times New Roman"/>
          <w:i/>
          <w:sz w:val="21"/>
          <w:szCs w:val="21"/>
        </w:rPr>
        <w:t>return</w:t>
      </w:r>
      <w:r w:rsidRPr="000244E4">
        <w:rPr>
          <w:rFonts w:ascii="Book Antiqua" w:hAnsi="Book Antiqua" w:cs="Times New Roman"/>
          <w:sz w:val="21"/>
          <w:szCs w:val="21"/>
        </w:rPr>
        <w:t xml:space="preserve"> saham. Secara teoritis, semakin tinggi </w:t>
      </w:r>
      <w:r w:rsidRPr="000244E4">
        <w:rPr>
          <w:rFonts w:ascii="Book Antiqua" w:hAnsi="Book Antiqua" w:cs="Times New Roman"/>
          <w:i/>
          <w:sz w:val="21"/>
          <w:szCs w:val="21"/>
        </w:rPr>
        <w:t>earning</w:t>
      </w:r>
      <w:r w:rsidRPr="000244E4">
        <w:rPr>
          <w:rFonts w:ascii="Book Antiqua" w:hAnsi="Book Antiqua" w:cs="Times New Roman"/>
          <w:sz w:val="21"/>
          <w:szCs w:val="21"/>
        </w:rPr>
        <w:t xml:space="preserve"> maka </w:t>
      </w:r>
      <w:proofErr w:type="gramStart"/>
      <w:r w:rsidRPr="000244E4">
        <w:rPr>
          <w:rFonts w:ascii="Book Antiqua" w:hAnsi="Book Antiqua" w:cs="Times New Roman"/>
          <w:sz w:val="21"/>
          <w:szCs w:val="21"/>
        </w:rPr>
        <w:t>akan</w:t>
      </w:r>
      <w:proofErr w:type="gramEnd"/>
      <w:r w:rsidRPr="000244E4">
        <w:rPr>
          <w:rFonts w:ascii="Book Antiqua" w:hAnsi="Book Antiqua" w:cs="Times New Roman"/>
          <w:sz w:val="21"/>
          <w:szCs w:val="21"/>
        </w:rPr>
        <w:t xml:space="preserve"> semakin tinggi keuntungan atas penjualan saham (</w:t>
      </w:r>
      <w:r w:rsidRPr="000244E4">
        <w:rPr>
          <w:rFonts w:ascii="Book Antiqua" w:hAnsi="Book Antiqua" w:cs="Times New Roman"/>
          <w:i/>
          <w:sz w:val="21"/>
          <w:szCs w:val="21"/>
        </w:rPr>
        <w:t>return</w:t>
      </w:r>
      <w:r w:rsidRPr="000244E4">
        <w:rPr>
          <w:rFonts w:ascii="Book Antiqua" w:hAnsi="Book Antiqua" w:cs="Times New Roman"/>
          <w:sz w:val="21"/>
          <w:szCs w:val="21"/>
        </w:rPr>
        <w:t xml:space="preserve"> saham) perusahaan. Hal ini dikarenakan   informasi kualitas </w:t>
      </w:r>
      <w:proofErr w:type="gramStart"/>
      <w:r w:rsidRPr="000244E4">
        <w:rPr>
          <w:rFonts w:ascii="Book Antiqua" w:hAnsi="Book Antiqua" w:cs="Times New Roman"/>
          <w:sz w:val="21"/>
          <w:szCs w:val="21"/>
        </w:rPr>
        <w:t>laba  yang</w:t>
      </w:r>
      <w:proofErr w:type="gramEnd"/>
      <w:r w:rsidRPr="000244E4">
        <w:rPr>
          <w:rFonts w:ascii="Book Antiqua" w:hAnsi="Book Antiqua" w:cs="Times New Roman"/>
          <w:sz w:val="21"/>
          <w:szCs w:val="21"/>
        </w:rPr>
        <w:t xml:space="preserve"> dikeluarkan oleh perusahaan menggambarkan fakta sebenarnya kinerja perusahaan dan ini ditanggapi positif oleh investor,  informasi kualitas laba  mencerminkan kinerja perusahaan yang baik. </w:t>
      </w:r>
      <w:proofErr w:type="gramStart"/>
      <w:r w:rsidRPr="000244E4">
        <w:rPr>
          <w:rFonts w:ascii="Book Antiqua" w:hAnsi="Book Antiqua" w:cs="Times New Roman"/>
          <w:sz w:val="21"/>
          <w:szCs w:val="21"/>
        </w:rPr>
        <w:t xml:space="preserve">Teori </w:t>
      </w:r>
      <w:r w:rsidRPr="000244E4">
        <w:rPr>
          <w:rFonts w:ascii="Book Antiqua" w:hAnsi="Book Antiqua" w:cs="Times New Roman"/>
          <w:sz w:val="21"/>
          <w:szCs w:val="21"/>
        </w:rPr>
        <w:lastRenderedPageBreak/>
        <w:t>sinyal memberikan penekanan terhadap pentingnya informasi yang dikeluarkan oleh perusahaan terhadap keputusan investasi pihak di luar perusahaan.</w:t>
      </w:r>
      <w:proofErr w:type="gramEnd"/>
      <w:r w:rsidRPr="000244E4">
        <w:rPr>
          <w:rFonts w:ascii="Book Antiqua" w:hAnsi="Book Antiqua" w:cs="Times New Roman"/>
          <w:sz w:val="21"/>
          <w:szCs w:val="21"/>
        </w:rPr>
        <w:t xml:space="preserve"> Hasil penelitian</w:t>
      </w:r>
      <w:r>
        <w:rPr>
          <w:rFonts w:ascii="Book Antiqua" w:hAnsi="Book Antiqua" w:cs="Times New Roman"/>
          <w:sz w:val="21"/>
          <w:szCs w:val="21"/>
        </w:rPr>
        <w:t xml:space="preserve"> sejalan </w:t>
      </w:r>
      <w:r w:rsidRPr="000244E4">
        <w:rPr>
          <w:rFonts w:ascii="Book Antiqua" w:hAnsi="Book Antiqua" w:cs="Times New Roman"/>
          <w:sz w:val="21"/>
          <w:szCs w:val="21"/>
        </w:rPr>
        <w:t xml:space="preserve"> d</w:t>
      </w:r>
      <w:r>
        <w:rPr>
          <w:rFonts w:ascii="Book Antiqua" w:hAnsi="Book Antiqua" w:cs="Times New Roman"/>
          <w:sz w:val="21"/>
          <w:szCs w:val="21"/>
        </w:rPr>
        <w:t>engan penelitian sebelumnya</w:t>
      </w:r>
      <w:r w:rsidRPr="000244E4">
        <w:rPr>
          <w:rFonts w:ascii="Book Antiqua" w:hAnsi="Book Antiqua" w:cs="Times New Roman"/>
          <w:sz w:val="21"/>
          <w:szCs w:val="21"/>
        </w:rPr>
        <w:t xml:space="preserve"> </w:t>
      </w:r>
      <w:r w:rsidRPr="000244E4">
        <w:rPr>
          <w:rFonts w:ascii="Book Antiqua" w:hAnsi="Book Antiqua" w:cs="Times New Roman"/>
          <w:sz w:val="21"/>
          <w:szCs w:val="21"/>
        </w:rPr>
        <w:fldChar w:fldCharType="begin" w:fldLock="1"/>
      </w:r>
      <w:r w:rsidRPr="000244E4">
        <w:rPr>
          <w:rFonts w:ascii="Book Antiqua" w:hAnsi="Book Antiqua" w:cs="Times New Roman"/>
          <w:sz w:val="21"/>
          <w:szCs w:val="21"/>
        </w:rPr>
        <w:instrText>ADDIN CSL_CITATION {"citationItems":[{"id":"ITEM-1","itemData":{"DOI":"10.34208/jba.v21i2.616","ISSN":"1410-9875","abstract":"This research aims to know the influence of return on asset, return on equity, and net profit margin on stock return. The population used Minning Company on the BEI with the observation periods during 2013 until 2017 as many as 13 companies. The source of the secondary data has been obtained from Indonesia Stock Exchange. The data analysis technique has been carried out by using multiple linear regressions analysis. Based on the result of the analysis indicate that return on asset, return on equity, and net profit margin significant effect on stock return of banking company. Based on the test results are partially, return on asset has a negative and significant effect on stock returns, return on equity and net profit margin have influence to the stock return of Minning Company.","author":[{"dropping-particle":"","family":"Simorangkir","given":"Rona Tumiur Mauli Carolin","non-dropping-particle":"","parse-names":false,"suffix":""}],"container-title":"Jurnal Bisnis dan Akuntansi","id":"ITEM-1","issue":"2","issued":{"date-parts":[["2019"]]},"page":"155-164","title":"Pengaruh Kinerja Keuangan Terhadap Return Saham Perusahaan Pertambangan","type":"article-journal","volume":"21"},"uris":["http://www.mendeley.com/documents/?uuid=734258ce-54e6-4000-8054-20d0fc7a5afa"]}],"mendeley":{"formattedCitation":"(Simorangkir, 2019)","plainTextFormattedCitation":"(Simorangkir, 2019)","previouslyFormattedCitation":"(Simorangkir, 2019)"},"properties":{"noteIndex":0},"schema":"https://github.com/citation-style-language/schema/raw/master/csl-citation.json"}</w:instrText>
      </w:r>
      <w:r w:rsidRPr="000244E4">
        <w:rPr>
          <w:rFonts w:ascii="Book Antiqua" w:hAnsi="Book Antiqua" w:cs="Times New Roman"/>
          <w:sz w:val="21"/>
          <w:szCs w:val="21"/>
        </w:rPr>
        <w:fldChar w:fldCharType="separate"/>
      </w:r>
      <w:r w:rsidRPr="000244E4">
        <w:rPr>
          <w:rFonts w:ascii="Book Antiqua" w:hAnsi="Book Antiqua" w:cs="Times New Roman"/>
          <w:noProof/>
          <w:sz w:val="21"/>
          <w:szCs w:val="21"/>
        </w:rPr>
        <w:t>(Simorangkir, 2019)</w:t>
      </w:r>
      <w:r w:rsidRPr="000244E4">
        <w:rPr>
          <w:rFonts w:ascii="Book Antiqua" w:hAnsi="Book Antiqua" w:cs="Times New Roman"/>
          <w:sz w:val="21"/>
          <w:szCs w:val="21"/>
        </w:rPr>
        <w:fldChar w:fldCharType="end"/>
      </w:r>
      <w:r>
        <w:rPr>
          <w:rFonts w:ascii="Book Antiqua" w:hAnsi="Book Antiqua" w:cs="Times New Roman"/>
          <w:sz w:val="21"/>
          <w:szCs w:val="21"/>
        </w:rPr>
        <w:t xml:space="preserve">, </w:t>
      </w:r>
      <w:r w:rsidRPr="000244E4">
        <w:rPr>
          <w:rFonts w:ascii="Book Antiqua" w:hAnsi="Book Antiqua" w:cs="Times New Roman"/>
          <w:sz w:val="21"/>
          <w:szCs w:val="21"/>
        </w:rPr>
        <w:fldChar w:fldCharType="begin" w:fldLock="1"/>
      </w:r>
      <w:r w:rsidRPr="000244E4">
        <w:rPr>
          <w:rFonts w:ascii="Book Antiqua" w:hAnsi="Book Antiqua" w:cs="Times New Roman"/>
          <w:sz w:val="21"/>
          <w:szCs w:val="21"/>
        </w:rPr>
        <w:instrText>ADDIN CSL_CITATION {"citationItems":[{"id":"ITEM-1","itemData":{"DOI":"10.14419/ijet.v7i4.9.21089","abstract":"This study was conducted by the firm that included the stock index of IDX (Indonesian stock exchange) consist of the 45 best stocks (LQ45 index companies) that are listed on the Indonesian Securities. This study aims to assess the effect of earnings per share and the firm size on stock prices. The purpose of this study is also to prove that the size of the firm can moderate the relationship between earnings per share and stock prices. By conducting a regression analysis, this study gives evidence that earnings per share and firm size have a significant effect on stock prices. The size of the firm is also able to moderate the relationship between earnings per share and stock prices. The results of this study gave evidence that profit and the size of the company can provide important information for investors in making decisions. ","author":[{"dropping-particle":"","family":"Yuliza","given":"Arma","non-dropping-particle":"","parse-names":false,"suffix":""}],"container-title":"International Journal of Engineering &amp; Technology","id":"ITEM-1","issue":"4.9","issued":{"date-parts":[["2018"]]},"page":"247","title":"The Effects of Earnings Per Share and Firm Size to Stock Price LQ45 Company Listed in Indonesian Securities","type":"article-journal","volume":"7"},"uris":["http://www.mendeley.com/documents/?uuid=65280c2c-7de8-4bba-8bbe-10422b22ebe5"]}],"mendeley":{"formattedCitation":"(Yuliza, 2018)","plainTextFormattedCitation":"(Yuliza, 2018)","previouslyFormattedCitation":"(Yuliza, 2018)"},"properties":{"noteIndex":0},"schema":"https://github.com/citation-style-language/schema/raw/master/csl-citation.json"}</w:instrText>
      </w:r>
      <w:r w:rsidRPr="000244E4">
        <w:rPr>
          <w:rFonts w:ascii="Book Antiqua" w:hAnsi="Book Antiqua" w:cs="Times New Roman"/>
          <w:sz w:val="21"/>
          <w:szCs w:val="21"/>
        </w:rPr>
        <w:fldChar w:fldCharType="separate"/>
      </w:r>
      <w:r w:rsidRPr="000244E4">
        <w:rPr>
          <w:rFonts w:ascii="Book Antiqua" w:hAnsi="Book Antiqua" w:cs="Times New Roman"/>
          <w:noProof/>
          <w:sz w:val="21"/>
          <w:szCs w:val="21"/>
        </w:rPr>
        <w:t>(Yuliza, 2018)</w:t>
      </w:r>
      <w:r w:rsidRPr="000244E4">
        <w:rPr>
          <w:rFonts w:ascii="Book Antiqua" w:hAnsi="Book Antiqua" w:cs="Times New Roman"/>
          <w:sz w:val="21"/>
          <w:szCs w:val="21"/>
        </w:rPr>
        <w:fldChar w:fldCharType="end"/>
      </w:r>
      <w:r w:rsidRPr="000244E4">
        <w:rPr>
          <w:rFonts w:ascii="Book Antiqua" w:hAnsi="Book Antiqua" w:cs="Times New Roman"/>
          <w:sz w:val="21"/>
          <w:szCs w:val="21"/>
        </w:rPr>
        <w:t xml:space="preserve"> </w:t>
      </w:r>
      <w:r>
        <w:rPr>
          <w:rFonts w:ascii="Book Antiqua" w:hAnsi="Book Antiqua" w:cs="Times New Roman"/>
          <w:sz w:val="21"/>
          <w:szCs w:val="21"/>
        </w:rPr>
        <w:t>dan</w:t>
      </w:r>
      <w:r w:rsidRPr="000244E4">
        <w:rPr>
          <w:rFonts w:ascii="Book Antiqua" w:hAnsi="Book Antiqua" w:cs="Times New Roman"/>
          <w:sz w:val="21"/>
          <w:szCs w:val="21"/>
        </w:rPr>
        <w:t xml:space="preserve"> m </w:t>
      </w:r>
      <w:r w:rsidRPr="000244E4">
        <w:rPr>
          <w:rFonts w:ascii="Book Antiqua" w:hAnsi="Book Antiqua" w:cs="Times New Roman"/>
          <w:sz w:val="21"/>
          <w:szCs w:val="21"/>
        </w:rPr>
        <w:fldChar w:fldCharType="begin" w:fldLock="1"/>
      </w:r>
      <w:r>
        <w:rPr>
          <w:rFonts w:ascii="Book Antiqua" w:hAnsi="Book Antiqua" w:cs="Times New Roman"/>
          <w:sz w:val="21"/>
          <w:szCs w:val="21"/>
        </w:rPr>
        <w:instrText>ADDIN CSL_CITATION {"citationItems":[{"id":"ITEM-1","itemData":{"author":[{"dropping-particle":"","family":"Damanik","given":"Pala Juni","non-dropping-particle":"","parse-names":false,"suffix":""},{"dropping-particle":"","family":"Pancasila","given":"Universitas","non-dropping-particle":"","parse-names":false,"suffix":""},{"dropping-particle":"","family":"Akuntansi","given":"Magister","non-dropping-particle":"","parse-names":false,"suffix":""},{"dropping-particle":"","family":"Pancasila","given":"Universitas","non-dropping-particle":"","parse-names":false,"suffix":""}],"container-title":"Jurnal Riset Akuntansi dan Perpajakan","id":"ITEM-1","issue":"1","issued":{"date-parts":[["2019"]]},"page":"63-74","title":"Kemampuan Net Income , Other Comprehensive Income , Return dan Peran Pemoderasi Kualitas Laba","type":"article-journal","volume":"6"},"uris":["http://www.mendeley.com/documents/?uuid=95480002-3ac1-4251-8528-4c71997bdff7"]}],"mendeley":{"formattedCitation":"(Damanik et al., 2019)","plainTextFormattedCitation":"(Damanik et al., 2019)","previouslyFormattedCitation":"(Damanik et al., 2019)"},"properties":{"noteIndex":0},"schema":"https://github.com/citation-style-language/schema/raw/master/csl-citation.json"}</w:instrText>
      </w:r>
      <w:r w:rsidRPr="000244E4">
        <w:rPr>
          <w:rFonts w:ascii="Book Antiqua" w:hAnsi="Book Antiqua" w:cs="Times New Roman"/>
          <w:sz w:val="21"/>
          <w:szCs w:val="21"/>
        </w:rPr>
        <w:fldChar w:fldCharType="separate"/>
      </w:r>
      <w:r w:rsidRPr="002E6060">
        <w:rPr>
          <w:rFonts w:ascii="Book Antiqua" w:hAnsi="Book Antiqua" w:cs="Times New Roman"/>
          <w:noProof/>
          <w:sz w:val="21"/>
          <w:szCs w:val="21"/>
        </w:rPr>
        <w:t>(Damanik et al., 2019)</w:t>
      </w:r>
      <w:r w:rsidRPr="000244E4">
        <w:rPr>
          <w:rFonts w:ascii="Book Antiqua" w:hAnsi="Book Antiqua" w:cs="Times New Roman"/>
          <w:sz w:val="21"/>
          <w:szCs w:val="21"/>
        </w:rPr>
        <w:fldChar w:fldCharType="end"/>
      </w:r>
      <w:r>
        <w:rPr>
          <w:rFonts w:ascii="Book Antiqua" w:hAnsi="Book Antiqua" w:cs="Times New Roman"/>
          <w:sz w:val="21"/>
          <w:szCs w:val="21"/>
        </w:rPr>
        <w:t xml:space="preserve"> m</w:t>
      </w:r>
      <w:r w:rsidRPr="000244E4">
        <w:rPr>
          <w:rFonts w:ascii="Book Antiqua" w:hAnsi="Book Antiqua" w:cs="Times New Roman"/>
          <w:sz w:val="21"/>
          <w:szCs w:val="21"/>
        </w:rPr>
        <w:t xml:space="preserve">enyatakan bahwa </w:t>
      </w:r>
      <w:r>
        <w:rPr>
          <w:rFonts w:ascii="Book Antiqua" w:hAnsi="Book Antiqua" w:cs="Times New Roman"/>
          <w:sz w:val="21"/>
          <w:szCs w:val="21"/>
        </w:rPr>
        <w:t xml:space="preserve">Kualitas laba </w:t>
      </w:r>
      <w:r w:rsidRPr="000244E4">
        <w:rPr>
          <w:rFonts w:ascii="Book Antiqua" w:hAnsi="Book Antiqua" w:cs="Times New Roman"/>
          <w:sz w:val="21"/>
          <w:szCs w:val="21"/>
        </w:rPr>
        <w:t xml:space="preserve">berpengaruh </w:t>
      </w:r>
      <w:r>
        <w:rPr>
          <w:rFonts w:ascii="Book Antiqua" w:hAnsi="Book Antiqua" w:cs="Times New Roman"/>
          <w:sz w:val="21"/>
          <w:szCs w:val="21"/>
        </w:rPr>
        <w:t>signifikan positif</w:t>
      </w:r>
      <w:r w:rsidRPr="000244E4">
        <w:rPr>
          <w:rFonts w:ascii="Book Antiqua" w:hAnsi="Book Antiqua" w:cs="Times New Roman"/>
          <w:sz w:val="21"/>
          <w:szCs w:val="21"/>
        </w:rPr>
        <w:t xml:space="preserve"> terhadap </w:t>
      </w:r>
      <w:r w:rsidRPr="000244E4">
        <w:rPr>
          <w:rFonts w:ascii="Book Antiqua" w:hAnsi="Book Antiqua" w:cs="Times New Roman"/>
          <w:i/>
          <w:sz w:val="21"/>
          <w:szCs w:val="21"/>
        </w:rPr>
        <w:t>Return</w:t>
      </w:r>
      <w:r w:rsidRPr="000244E4">
        <w:rPr>
          <w:rFonts w:ascii="Book Antiqua" w:hAnsi="Book Antiqua" w:cs="Times New Roman"/>
          <w:sz w:val="21"/>
          <w:szCs w:val="21"/>
        </w:rPr>
        <w:t xml:space="preserve"> Saham. Berbeda dengan penelitian sebelumnya yang dilakukan oleh  </w:t>
      </w:r>
      <w:r w:rsidRPr="000244E4">
        <w:rPr>
          <w:rFonts w:ascii="Book Antiqua" w:hAnsi="Book Antiqua" w:cs="Times New Roman"/>
          <w:sz w:val="21"/>
          <w:szCs w:val="21"/>
        </w:rPr>
        <w:fldChar w:fldCharType="begin" w:fldLock="1"/>
      </w:r>
      <w:r>
        <w:rPr>
          <w:rFonts w:ascii="Book Antiqua" w:hAnsi="Book Antiqua" w:cs="Times New Roman"/>
          <w:sz w:val="21"/>
          <w:szCs w:val="21"/>
        </w:rPr>
        <w:instrText>ADDIN CSL_CITATION {"citationItems":[{"id":"ITEM-1","itemData":{"DOI":"10.32493/skt.v2i1.1959","ISSN":"2581-2696","abstract":"ABSTRACT Tujuan dari penelitian ini adalah untuk mengetahui apakah terdapat pengaruh yang signifikan antara rasio keuangan (Current Ratio, Return on Equity dan Debt to Equity Ratio) dan pertumbuhan pendapatan terhadap return saham, baik secara parsial maupun simultan. Return saham merupakan tingkat keuntungan yang akan diperoleh investor. Penelitian ini menggunakan teknik purposing sampling, dimana sampel yang diambil adalah data perusahaan yang sudah terdaftar di BEI sejak 1 Januari 2010 dan perusahaan tersebut mencantumkan laporan keuangannya secara lengkap. Data dalam penelitian ini adalah data panel, yaitu terdiri dari data cross section (7 perusahaan perkebunan) dan data time series (8 tahun). Data akan diolah dengan menggunakan eview versi 10. Pada penelitian ini dilakukan berbagai uji, yaitu : uji estimasi model regresi linier, uji asumsi klasik dan uji hipotesis. Hasil penelitian menunjukkan bahwa secara parsial, CR, ROE dan pertumbuhan pendapatan tidak berpengaruh signifikan terhadap return saham. Sedangkan DER berpengaruh negatif signifikan terhadap return saham. Rasio keuangan (CR, ROE, DER) dan pertumbuhan pendapatan secara simultan berpengaruh signifikan terhadap return saham, sebesar 29%.","author":[{"dropping-particle":"","family":"Nurmasari","given":"Ifa","non-dropping-particle":"","parse-names":false,"suffix":""}],"container-title":"Jurnal SEKURITAS (Saham, Ekonomi, Keuangan dan Investasi)","id":"ITEM-1","issue":"1","issued":{"date-parts":[["2018"]]},"title":"Pengaruh Rasio Keuangan Dan Pertumbuhan Pendapatan Terhadap Return Saham Pada Perusahaan Perkebunan Di Bursa Efek Indonesia 2010-2017","type":"article-journal","volume":"2"},"uris":["http://www.mendeley.com/documents/?uuid=e32ae412-0e54-46cc-b9f9-e099f82c5f1b"]}],"mendeley":{"formattedCitation":"(Nurmasari, 2018)","plainTextFormattedCitation":"(Nurmasari, 2018)","previouslyFormattedCitation":"(Nurmasari, 2018)"},"properties":{"noteIndex":0},"schema":"https://github.com/citation-style-language/schema/raw/master/csl-citation.json"}</w:instrText>
      </w:r>
      <w:r w:rsidRPr="000244E4">
        <w:rPr>
          <w:rFonts w:ascii="Book Antiqua" w:hAnsi="Book Antiqua" w:cs="Times New Roman"/>
          <w:sz w:val="21"/>
          <w:szCs w:val="21"/>
        </w:rPr>
        <w:fldChar w:fldCharType="separate"/>
      </w:r>
      <w:r w:rsidRPr="000244E4">
        <w:rPr>
          <w:rFonts w:ascii="Book Antiqua" w:hAnsi="Book Antiqua" w:cs="Times New Roman"/>
          <w:noProof/>
          <w:sz w:val="21"/>
          <w:szCs w:val="21"/>
        </w:rPr>
        <w:t>(Nurmasari, 2018)</w:t>
      </w:r>
      <w:r w:rsidRPr="000244E4">
        <w:rPr>
          <w:rFonts w:ascii="Book Antiqua" w:hAnsi="Book Antiqua" w:cs="Times New Roman"/>
          <w:sz w:val="21"/>
          <w:szCs w:val="21"/>
        </w:rPr>
        <w:fldChar w:fldCharType="end"/>
      </w:r>
      <w:r w:rsidRPr="000244E4">
        <w:rPr>
          <w:rFonts w:ascii="Book Antiqua" w:hAnsi="Book Antiqua" w:cs="Times New Roman"/>
          <w:sz w:val="21"/>
          <w:szCs w:val="21"/>
        </w:rPr>
        <w:t xml:space="preserve">  yang menyatakan</w:t>
      </w:r>
      <w:r>
        <w:rPr>
          <w:rFonts w:ascii="Book Antiqua" w:hAnsi="Book Antiqua" w:cs="Times New Roman"/>
          <w:sz w:val="21"/>
          <w:szCs w:val="21"/>
        </w:rPr>
        <w:t xml:space="preserve"> kualitas laba </w:t>
      </w:r>
      <w:r w:rsidRPr="000244E4">
        <w:rPr>
          <w:rFonts w:ascii="Book Antiqua" w:hAnsi="Book Antiqua" w:cs="Times New Roman"/>
          <w:sz w:val="21"/>
          <w:szCs w:val="21"/>
        </w:rPr>
        <w:t xml:space="preserve"> </w:t>
      </w:r>
      <w:r>
        <w:rPr>
          <w:rFonts w:ascii="Book Antiqua" w:hAnsi="Book Antiqua" w:cs="Times New Roman"/>
          <w:sz w:val="21"/>
          <w:szCs w:val="21"/>
        </w:rPr>
        <w:t xml:space="preserve">tidak berpengaruh </w:t>
      </w:r>
      <w:r w:rsidRPr="000244E4">
        <w:rPr>
          <w:rFonts w:ascii="Book Antiqua" w:hAnsi="Book Antiqua" w:cs="Times New Roman"/>
          <w:sz w:val="21"/>
          <w:szCs w:val="21"/>
        </w:rPr>
        <w:t xml:space="preserve">terhadap </w:t>
      </w:r>
      <w:r w:rsidRPr="000244E4">
        <w:rPr>
          <w:rFonts w:ascii="Book Antiqua" w:hAnsi="Book Antiqua" w:cs="Times New Roman"/>
          <w:i/>
          <w:sz w:val="21"/>
          <w:szCs w:val="21"/>
        </w:rPr>
        <w:t>return</w:t>
      </w:r>
      <w:r>
        <w:rPr>
          <w:rFonts w:ascii="Book Antiqua" w:hAnsi="Book Antiqua" w:cs="Times New Roman"/>
          <w:sz w:val="21"/>
          <w:szCs w:val="21"/>
        </w:rPr>
        <w:t xml:space="preserve"> saham.</w:t>
      </w:r>
    </w:p>
    <w:p w:rsidR="002165D7" w:rsidRPr="000244E4" w:rsidRDefault="002165D7" w:rsidP="002165D7">
      <w:pPr>
        <w:pStyle w:val="ListParagraph"/>
        <w:tabs>
          <w:tab w:val="left" w:pos="567"/>
        </w:tabs>
        <w:ind w:left="720" w:firstLine="0"/>
        <w:jc w:val="both"/>
        <w:rPr>
          <w:rFonts w:ascii="Book Antiqua" w:hAnsi="Book Antiqua" w:cs="Times New Roman"/>
          <w:sz w:val="21"/>
          <w:szCs w:val="21"/>
        </w:rPr>
      </w:pPr>
    </w:p>
    <w:p w:rsidR="002165D7" w:rsidRPr="000244E4" w:rsidRDefault="002165D7" w:rsidP="002165D7">
      <w:pPr>
        <w:pStyle w:val="ListParagraph"/>
        <w:tabs>
          <w:tab w:val="left" w:pos="567"/>
        </w:tabs>
        <w:ind w:left="0" w:firstLine="0"/>
        <w:jc w:val="both"/>
        <w:rPr>
          <w:rFonts w:ascii="Book Antiqua" w:hAnsi="Book Antiqua" w:cs="Times New Roman"/>
          <w:b/>
          <w:sz w:val="21"/>
          <w:szCs w:val="21"/>
        </w:rPr>
      </w:pPr>
      <w:r>
        <w:rPr>
          <w:rFonts w:ascii="Book Antiqua" w:hAnsi="Book Antiqua" w:cs="Times New Roman"/>
          <w:b/>
          <w:sz w:val="21"/>
          <w:szCs w:val="21"/>
        </w:rPr>
        <w:t>6</w:t>
      </w:r>
      <w:r w:rsidRPr="000244E4">
        <w:rPr>
          <w:rFonts w:ascii="Book Antiqua" w:hAnsi="Book Antiqua" w:cs="Times New Roman"/>
          <w:b/>
          <w:sz w:val="21"/>
          <w:szCs w:val="21"/>
        </w:rPr>
        <w:t>. Simpulan dan Saran</w:t>
      </w:r>
    </w:p>
    <w:p w:rsidR="002165D7" w:rsidRPr="000244E4" w:rsidRDefault="002165D7" w:rsidP="002165D7">
      <w:pPr>
        <w:pStyle w:val="ListParagraph"/>
        <w:ind w:left="0" w:firstLine="0"/>
        <w:jc w:val="both"/>
        <w:rPr>
          <w:rFonts w:ascii="Book Antiqua" w:hAnsi="Book Antiqua" w:cs="Times New Roman"/>
          <w:b/>
          <w:sz w:val="21"/>
          <w:szCs w:val="21"/>
        </w:rPr>
      </w:pPr>
      <w:r w:rsidRPr="000244E4">
        <w:rPr>
          <w:rFonts w:ascii="Book Antiqua" w:hAnsi="Book Antiqua" w:cs="Times New Roman"/>
          <w:b/>
          <w:sz w:val="21"/>
          <w:szCs w:val="21"/>
        </w:rPr>
        <w:t>a. Simpulan</w:t>
      </w:r>
    </w:p>
    <w:p w:rsidR="002165D7" w:rsidRPr="002165D7" w:rsidRDefault="002165D7" w:rsidP="002165D7">
      <w:pPr>
        <w:tabs>
          <w:tab w:val="left" w:pos="567"/>
        </w:tabs>
        <w:jc w:val="both"/>
        <w:rPr>
          <w:rFonts w:cs="Times New Roman"/>
          <w:sz w:val="21"/>
          <w:szCs w:val="21"/>
        </w:rPr>
      </w:pPr>
      <w:r>
        <w:rPr>
          <w:rFonts w:cs="Times New Roman"/>
          <w:sz w:val="21"/>
          <w:szCs w:val="21"/>
        </w:rPr>
        <w:tab/>
      </w:r>
      <w:r w:rsidRPr="002165D7">
        <w:rPr>
          <w:rFonts w:cs="Times New Roman"/>
          <w:sz w:val="21"/>
          <w:szCs w:val="21"/>
        </w:rPr>
        <w:t xml:space="preserve">Kepemilikan Manajerial tidak </w:t>
      </w:r>
      <w:proofErr w:type="gramStart"/>
      <w:r w:rsidRPr="002165D7">
        <w:rPr>
          <w:rFonts w:cs="Times New Roman"/>
          <w:sz w:val="21"/>
          <w:szCs w:val="21"/>
        </w:rPr>
        <w:t>berpengaruh  terhadap</w:t>
      </w:r>
      <w:proofErr w:type="gramEnd"/>
      <w:r w:rsidRPr="002165D7">
        <w:rPr>
          <w:rFonts w:cs="Times New Roman"/>
          <w:sz w:val="21"/>
          <w:szCs w:val="21"/>
        </w:rPr>
        <w:t xml:space="preserve"> Kualitas Laba. </w:t>
      </w:r>
      <w:proofErr w:type="gramStart"/>
      <w:r w:rsidRPr="002165D7">
        <w:rPr>
          <w:rFonts w:cs="Times New Roman"/>
          <w:sz w:val="21"/>
          <w:szCs w:val="21"/>
        </w:rPr>
        <w:t>Kepemilikan manajemen yang relatif kecil menyebabkan manajemen kurang dapat mempengaruhi pengambilan keputusan dalam menjalankan operasional perusahaan.</w:t>
      </w:r>
      <w:proofErr w:type="gramEnd"/>
    </w:p>
    <w:p w:rsidR="002165D7" w:rsidRPr="002165D7" w:rsidRDefault="002165D7" w:rsidP="002165D7">
      <w:pPr>
        <w:tabs>
          <w:tab w:val="left" w:pos="567"/>
        </w:tabs>
        <w:jc w:val="both"/>
        <w:rPr>
          <w:rFonts w:cs="Times New Roman"/>
          <w:b/>
          <w:sz w:val="21"/>
          <w:szCs w:val="21"/>
        </w:rPr>
      </w:pPr>
      <w:r>
        <w:rPr>
          <w:rFonts w:cs="Times New Roman"/>
          <w:sz w:val="21"/>
          <w:szCs w:val="21"/>
        </w:rPr>
        <w:tab/>
      </w:r>
      <w:r w:rsidRPr="002165D7">
        <w:rPr>
          <w:rFonts w:cs="Times New Roman"/>
          <w:sz w:val="21"/>
          <w:szCs w:val="21"/>
        </w:rPr>
        <w:t xml:space="preserve">Kepemilikan </w:t>
      </w:r>
      <w:proofErr w:type="gramStart"/>
      <w:r w:rsidRPr="002165D7">
        <w:rPr>
          <w:rFonts w:cs="Times New Roman"/>
          <w:sz w:val="21"/>
          <w:szCs w:val="21"/>
        </w:rPr>
        <w:t>Institusional  tidak</w:t>
      </w:r>
      <w:proofErr w:type="gramEnd"/>
      <w:r w:rsidRPr="002165D7">
        <w:rPr>
          <w:rFonts w:cs="Times New Roman"/>
          <w:sz w:val="21"/>
          <w:szCs w:val="21"/>
        </w:rPr>
        <w:t xml:space="preserve"> berpengaruh  terhadap Kualitas Laba. </w:t>
      </w:r>
      <w:proofErr w:type="gramStart"/>
      <w:r w:rsidRPr="002165D7">
        <w:rPr>
          <w:rFonts w:cs="Times New Roman"/>
          <w:sz w:val="21"/>
          <w:szCs w:val="21"/>
        </w:rPr>
        <w:t>Kurangnya pengawasan terhadap kinerja manajemen sehingga kurang optimalnya hasil kinerja manajemen perusahaan.</w:t>
      </w:r>
      <w:proofErr w:type="gramEnd"/>
    </w:p>
    <w:p w:rsidR="002165D7" w:rsidRPr="002165D7" w:rsidRDefault="002165D7" w:rsidP="002165D7">
      <w:pPr>
        <w:tabs>
          <w:tab w:val="left" w:pos="567"/>
        </w:tabs>
        <w:jc w:val="both"/>
        <w:rPr>
          <w:rFonts w:cs="Times New Roman"/>
          <w:b/>
          <w:sz w:val="21"/>
          <w:szCs w:val="21"/>
        </w:rPr>
      </w:pPr>
      <w:r>
        <w:rPr>
          <w:rFonts w:cs="Times New Roman"/>
          <w:sz w:val="21"/>
          <w:szCs w:val="21"/>
        </w:rPr>
        <w:tab/>
      </w:r>
      <w:proofErr w:type="gramStart"/>
      <w:r w:rsidRPr="002165D7">
        <w:rPr>
          <w:rFonts w:cs="Times New Roman"/>
          <w:sz w:val="21"/>
          <w:szCs w:val="21"/>
        </w:rPr>
        <w:t>Dewan Komisaris Independen tidak berpengaruh terhadap kualitas laba.</w:t>
      </w:r>
      <w:proofErr w:type="gramEnd"/>
      <w:r w:rsidRPr="002165D7">
        <w:rPr>
          <w:rFonts w:cs="Times New Roman"/>
          <w:sz w:val="21"/>
          <w:szCs w:val="21"/>
        </w:rPr>
        <w:t xml:space="preserve"> </w:t>
      </w:r>
      <w:proofErr w:type="gramStart"/>
      <w:r w:rsidRPr="002165D7">
        <w:rPr>
          <w:rFonts w:cs="Times New Roman"/>
          <w:sz w:val="21"/>
          <w:szCs w:val="21"/>
        </w:rPr>
        <w:t>Dewan komisaris independen yang dimiliki oleh perusahaan tidak dapat menjalankan peran dan fungsinya.</w:t>
      </w:r>
      <w:proofErr w:type="gramEnd"/>
    </w:p>
    <w:p w:rsidR="002165D7" w:rsidRPr="002165D7" w:rsidRDefault="002165D7" w:rsidP="002165D7">
      <w:pPr>
        <w:tabs>
          <w:tab w:val="left" w:pos="567"/>
        </w:tabs>
        <w:jc w:val="both"/>
        <w:rPr>
          <w:rFonts w:cs="Times New Roman"/>
          <w:b/>
          <w:sz w:val="21"/>
          <w:szCs w:val="21"/>
        </w:rPr>
      </w:pPr>
      <w:r>
        <w:rPr>
          <w:rFonts w:cs="Times New Roman"/>
          <w:sz w:val="21"/>
          <w:szCs w:val="21"/>
        </w:rPr>
        <w:tab/>
      </w:r>
      <w:proofErr w:type="gramStart"/>
      <w:r w:rsidRPr="002165D7">
        <w:rPr>
          <w:rFonts w:cs="Times New Roman"/>
          <w:sz w:val="21"/>
          <w:szCs w:val="21"/>
        </w:rPr>
        <w:t>Komite Audit berpengaruh signifikan positif terhadap kualitas laba.</w:t>
      </w:r>
      <w:proofErr w:type="gramEnd"/>
      <w:r w:rsidRPr="002165D7">
        <w:rPr>
          <w:rFonts w:cs="Times New Roman"/>
          <w:sz w:val="21"/>
          <w:szCs w:val="21"/>
        </w:rPr>
        <w:t xml:space="preserve">  Komite audit yang beranggotakan pihak independen memiliki pengetahuan yang baik dalam bidang keuangan dan akuntansi. </w:t>
      </w:r>
    </w:p>
    <w:p w:rsidR="002165D7" w:rsidRPr="002165D7" w:rsidRDefault="002165D7" w:rsidP="002165D7">
      <w:pPr>
        <w:tabs>
          <w:tab w:val="left" w:pos="567"/>
        </w:tabs>
        <w:jc w:val="both"/>
        <w:rPr>
          <w:rFonts w:cs="Times New Roman"/>
          <w:b/>
          <w:sz w:val="21"/>
          <w:szCs w:val="21"/>
        </w:rPr>
      </w:pPr>
      <w:r>
        <w:rPr>
          <w:rFonts w:cs="Times New Roman"/>
          <w:sz w:val="21"/>
          <w:szCs w:val="21"/>
        </w:rPr>
        <w:tab/>
      </w:r>
      <w:r w:rsidRPr="002165D7">
        <w:rPr>
          <w:rFonts w:cs="Times New Roman"/>
          <w:sz w:val="21"/>
          <w:szCs w:val="21"/>
        </w:rPr>
        <w:t xml:space="preserve">Pengungkapan CSR tidak </w:t>
      </w:r>
      <w:proofErr w:type="gramStart"/>
      <w:r w:rsidRPr="002165D7">
        <w:rPr>
          <w:rFonts w:cs="Times New Roman"/>
          <w:sz w:val="21"/>
          <w:szCs w:val="21"/>
        </w:rPr>
        <w:t>berpengaruh  terhadap</w:t>
      </w:r>
      <w:proofErr w:type="gramEnd"/>
      <w:r w:rsidRPr="002165D7">
        <w:rPr>
          <w:rFonts w:cs="Times New Roman"/>
          <w:sz w:val="21"/>
          <w:szCs w:val="21"/>
        </w:rPr>
        <w:t xml:space="preserve"> kualitas laba. </w:t>
      </w:r>
      <w:proofErr w:type="gramStart"/>
      <w:r w:rsidRPr="002165D7">
        <w:rPr>
          <w:rFonts w:cs="Times New Roman"/>
          <w:sz w:val="21"/>
          <w:szCs w:val="21"/>
        </w:rPr>
        <w:t>Pengungkapan CSR dianggap sebagai suatu kewajiban moral yang mampu membentuk karakter perilaku manajer untuk berprilaku jujur, beretika, dapat dipercaya serta patuh terhadap standat yang berlaku dengan menjalankan bisnis sehingga perusahaan lebih mungkin untuk menghindari atau mengurangi manipulasi laba.</w:t>
      </w:r>
      <w:proofErr w:type="gramEnd"/>
    </w:p>
    <w:p w:rsidR="002165D7" w:rsidRPr="002165D7" w:rsidRDefault="002165D7" w:rsidP="002165D7">
      <w:pPr>
        <w:tabs>
          <w:tab w:val="left" w:pos="567"/>
        </w:tabs>
        <w:jc w:val="both"/>
        <w:rPr>
          <w:rFonts w:cs="Times New Roman"/>
          <w:b/>
          <w:sz w:val="21"/>
          <w:szCs w:val="21"/>
        </w:rPr>
      </w:pPr>
      <w:r>
        <w:rPr>
          <w:rFonts w:cs="Times New Roman"/>
          <w:sz w:val="21"/>
          <w:szCs w:val="21"/>
        </w:rPr>
        <w:tab/>
      </w:r>
      <w:r w:rsidRPr="002165D7">
        <w:rPr>
          <w:rFonts w:cs="Times New Roman"/>
          <w:sz w:val="21"/>
          <w:szCs w:val="21"/>
        </w:rPr>
        <w:t xml:space="preserve">Kualitas </w:t>
      </w:r>
      <w:proofErr w:type="gramStart"/>
      <w:r w:rsidRPr="002165D7">
        <w:rPr>
          <w:rFonts w:cs="Times New Roman"/>
          <w:sz w:val="21"/>
          <w:szCs w:val="21"/>
        </w:rPr>
        <w:t>laba  berpengaruh</w:t>
      </w:r>
      <w:proofErr w:type="gramEnd"/>
      <w:r w:rsidRPr="002165D7">
        <w:rPr>
          <w:rFonts w:cs="Times New Roman"/>
          <w:sz w:val="21"/>
          <w:szCs w:val="21"/>
        </w:rPr>
        <w:t xml:space="preserve"> signifikan positif terhadap Return Saham.  Informasi kualitas </w:t>
      </w:r>
      <w:proofErr w:type="gramStart"/>
      <w:r w:rsidRPr="002165D7">
        <w:rPr>
          <w:rFonts w:cs="Times New Roman"/>
          <w:sz w:val="21"/>
          <w:szCs w:val="21"/>
        </w:rPr>
        <w:t>laba  yang</w:t>
      </w:r>
      <w:proofErr w:type="gramEnd"/>
      <w:r w:rsidRPr="002165D7">
        <w:rPr>
          <w:rFonts w:cs="Times New Roman"/>
          <w:sz w:val="21"/>
          <w:szCs w:val="21"/>
        </w:rPr>
        <w:t xml:space="preserve"> dikeluarkan oleh perusahaan ditanggapi positif oleh investor,  diman informasi kualitas laba  mencerminkan kinerja perusahaan yang baik atau informasi yang dikeluarkan menggambarkan fakta yang sebenarnya. </w:t>
      </w:r>
    </w:p>
    <w:p w:rsidR="002165D7" w:rsidRPr="000244E4" w:rsidRDefault="002165D7" w:rsidP="002165D7">
      <w:pPr>
        <w:pStyle w:val="ListParagraph"/>
        <w:tabs>
          <w:tab w:val="left" w:pos="567"/>
        </w:tabs>
        <w:ind w:left="1080" w:firstLine="0"/>
        <w:jc w:val="both"/>
        <w:rPr>
          <w:rFonts w:ascii="Book Antiqua" w:hAnsi="Book Antiqua" w:cs="Times New Roman"/>
          <w:b/>
          <w:sz w:val="21"/>
          <w:szCs w:val="21"/>
        </w:rPr>
      </w:pPr>
    </w:p>
    <w:p w:rsidR="002165D7" w:rsidRPr="000244E4" w:rsidRDefault="002165D7" w:rsidP="002165D7">
      <w:pPr>
        <w:pStyle w:val="ListParagraph"/>
        <w:tabs>
          <w:tab w:val="left" w:pos="567"/>
        </w:tabs>
        <w:ind w:left="0" w:firstLine="0"/>
        <w:jc w:val="both"/>
        <w:rPr>
          <w:rFonts w:ascii="Book Antiqua" w:hAnsi="Book Antiqua" w:cs="Times New Roman"/>
          <w:b/>
          <w:sz w:val="21"/>
          <w:szCs w:val="21"/>
        </w:rPr>
      </w:pPr>
      <w:r w:rsidRPr="000244E4">
        <w:rPr>
          <w:rFonts w:ascii="Book Antiqua" w:hAnsi="Book Antiqua" w:cs="Times New Roman"/>
          <w:b/>
          <w:sz w:val="21"/>
          <w:szCs w:val="21"/>
        </w:rPr>
        <w:t>b. Saran</w:t>
      </w:r>
    </w:p>
    <w:p w:rsidR="002165D7" w:rsidRPr="000244E4" w:rsidRDefault="002165D7" w:rsidP="002165D7">
      <w:pPr>
        <w:pStyle w:val="ListParagraph"/>
        <w:tabs>
          <w:tab w:val="left" w:pos="567"/>
        </w:tabs>
        <w:ind w:left="0" w:firstLine="0"/>
        <w:jc w:val="both"/>
        <w:rPr>
          <w:rFonts w:ascii="Book Antiqua" w:hAnsi="Book Antiqua" w:cs="Times New Roman"/>
          <w:sz w:val="21"/>
          <w:szCs w:val="21"/>
        </w:rPr>
      </w:pPr>
      <w:r>
        <w:rPr>
          <w:rFonts w:ascii="Book Antiqua" w:hAnsi="Book Antiqua" w:cs="Times New Roman"/>
          <w:sz w:val="21"/>
          <w:szCs w:val="21"/>
        </w:rPr>
        <w:tab/>
      </w:r>
      <w:proofErr w:type="gramStart"/>
      <w:r w:rsidRPr="000244E4">
        <w:rPr>
          <w:rFonts w:ascii="Book Antiqua" w:hAnsi="Book Antiqua" w:cs="Times New Roman"/>
          <w:sz w:val="21"/>
          <w:szCs w:val="21"/>
        </w:rPr>
        <w:t>perusahaan</w:t>
      </w:r>
      <w:proofErr w:type="gramEnd"/>
      <w:r w:rsidRPr="000244E4">
        <w:rPr>
          <w:rFonts w:ascii="Book Antiqua" w:hAnsi="Book Antiqua" w:cs="Times New Roman"/>
          <w:sz w:val="21"/>
          <w:szCs w:val="21"/>
        </w:rPr>
        <w:t xml:space="preserve"> pertambangan untuk lebih meningkatkan  mekanisme GCG dengan cara menerapkan prinsip-prinsip dari GCG yaitu </w:t>
      </w:r>
      <w:r w:rsidRPr="000244E4">
        <w:rPr>
          <w:rFonts w:ascii="Book Antiqua" w:hAnsi="Book Antiqua" w:cs="Times New Roman"/>
          <w:sz w:val="21"/>
          <w:szCs w:val="21"/>
        </w:rPr>
        <w:lastRenderedPageBreak/>
        <w:t xml:space="preserve">Transparansi, Akuntabilitas, Independensi, Responsibility dan Kewajaran. Diharapkan </w:t>
      </w:r>
      <w:proofErr w:type="gramStart"/>
      <w:r w:rsidRPr="000244E4">
        <w:rPr>
          <w:rFonts w:ascii="Book Antiqua" w:hAnsi="Book Antiqua" w:cs="Times New Roman"/>
          <w:sz w:val="21"/>
          <w:szCs w:val="21"/>
        </w:rPr>
        <w:t>dengan  implementasi</w:t>
      </w:r>
      <w:proofErr w:type="gramEnd"/>
      <w:r w:rsidRPr="000244E4">
        <w:rPr>
          <w:rFonts w:ascii="Book Antiqua" w:hAnsi="Book Antiqua" w:cs="Times New Roman"/>
          <w:sz w:val="21"/>
          <w:szCs w:val="21"/>
        </w:rPr>
        <w:t xml:space="preserve"> prinsip-prinsip GCG diharapkan mekanisme GCG akan lebih baik yang tercermin dari kinerja perusahaan dan kepercayaan investor</w:t>
      </w:r>
    </w:p>
    <w:p w:rsidR="002165D7" w:rsidRPr="00D84A48" w:rsidRDefault="002165D7" w:rsidP="002165D7">
      <w:pPr>
        <w:spacing w:line="256" w:lineRule="auto"/>
        <w:ind w:firstLine="720"/>
        <w:jc w:val="both"/>
        <w:rPr>
          <w:sz w:val="21"/>
          <w:szCs w:val="21"/>
        </w:rPr>
      </w:pPr>
      <w:r w:rsidRPr="000244E4">
        <w:rPr>
          <w:rFonts w:cs="Times New Roman"/>
          <w:sz w:val="21"/>
          <w:szCs w:val="21"/>
        </w:rPr>
        <w:t xml:space="preserve">Bagi investor dan calon investor dalam pengambilan keputusan harus lebih memperhatikan fenomena yang mengimplikasikan bahwa </w:t>
      </w:r>
      <w:r w:rsidRPr="000244E4">
        <w:rPr>
          <w:rFonts w:cs="Times New Roman"/>
          <w:sz w:val="21"/>
          <w:szCs w:val="21"/>
        </w:rPr>
        <w:lastRenderedPageBreak/>
        <w:t xml:space="preserve">perusahaan pada masa kini tidak hanya sekedar memperhatikan profit, tapi lebih kepada Konsep </w:t>
      </w:r>
      <w:r w:rsidRPr="00852EB4">
        <w:rPr>
          <w:rFonts w:cs="Times New Roman"/>
          <w:i/>
          <w:sz w:val="21"/>
          <w:szCs w:val="21"/>
        </w:rPr>
        <w:t>Triple Bottom Lines</w:t>
      </w:r>
      <w:r w:rsidRPr="000244E4">
        <w:rPr>
          <w:rFonts w:cs="Times New Roman"/>
          <w:sz w:val="21"/>
          <w:szCs w:val="21"/>
        </w:rPr>
        <w:t xml:space="preserve"> (TBL) dimana perusahaan  harus dalam  mengimplikasikan lebih</w:t>
      </w:r>
      <w:r>
        <w:rPr>
          <w:rFonts w:cs="Times New Roman"/>
          <w:sz w:val="21"/>
          <w:szCs w:val="21"/>
        </w:rPr>
        <w:t xml:space="preserve"> mengutamakan kepentingan </w:t>
      </w:r>
      <w:r w:rsidRPr="00852EB4">
        <w:rPr>
          <w:rFonts w:cs="Times New Roman"/>
          <w:i/>
          <w:sz w:val="21"/>
          <w:szCs w:val="21"/>
        </w:rPr>
        <w:t>stakeholder</w:t>
      </w:r>
      <w:r w:rsidRPr="000244E4">
        <w:rPr>
          <w:rFonts w:cs="Times New Roman"/>
          <w:sz w:val="21"/>
          <w:szCs w:val="21"/>
        </w:rPr>
        <w:t xml:space="preserve"> </w:t>
      </w:r>
      <w:r>
        <w:rPr>
          <w:rFonts w:cs="Times New Roman"/>
          <w:sz w:val="21"/>
          <w:szCs w:val="21"/>
        </w:rPr>
        <w:t xml:space="preserve"> dari pada kepentingan </w:t>
      </w:r>
      <w:r w:rsidRPr="00852EB4">
        <w:rPr>
          <w:rFonts w:cs="Times New Roman"/>
          <w:i/>
          <w:sz w:val="21"/>
          <w:szCs w:val="21"/>
        </w:rPr>
        <w:t xml:space="preserve">shareholder </w:t>
      </w:r>
      <w:r>
        <w:rPr>
          <w:rFonts w:cs="Times New Roman"/>
          <w:sz w:val="21"/>
          <w:szCs w:val="21"/>
        </w:rPr>
        <w:t>(pemegang saham)</w:t>
      </w:r>
    </w:p>
    <w:p w:rsidR="002165D7" w:rsidRDefault="002165D7" w:rsidP="002165D7">
      <w:pPr>
        <w:spacing w:line="256" w:lineRule="auto"/>
        <w:jc w:val="both"/>
      </w:pPr>
    </w:p>
    <w:p w:rsidR="002165D7" w:rsidRDefault="002165D7" w:rsidP="002165D7">
      <w:pPr>
        <w:spacing w:line="256" w:lineRule="auto"/>
        <w:jc w:val="both"/>
        <w:sectPr w:rsidR="002165D7" w:rsidSect="002165D7">
          <w:type w:val="continuous"/>
          <w:pgSz w:w="12190" w:h="15880"/>
          <w:pgMar w:top="1040" w:right="1020" w:bottom="280" w:left="1020" w:header="720" w:footer="720" w:gutter="0"/>
          <w:cols w:num="2" w:space="284"/>
        </w:sectPr>
      </w:pPr>
    </w:p>
    <w:p w:rsidR="002165D7" w:rsidRDefault="002165D7" w:rsidP="002165D7">
      <w:pPr>
        <w:pStyle w:val="BodyText"/>
        <w:spacing w:line="20" w:lineRule="exact"/>
        <w:ind w:left="109"/>
        <w:rPr>
          <w:sz w:val="2"/>
        </w:rPr>
      </w:pPr>
      <w:r>
        <w:rPr>
          <w:noProof/>
          <w:sz w:val="2"/>
          <w:lang w:bidi="ar-SA"/>
        </w:rPr>
        <w:lastRenderedPageBreak/>
        <mc:AlternateContent>
          <mc:Choice Requires="wpg">
            <w:drawing>
              <wp:inline distT="0" distB="0" distL="0" distR="0">
                <wp:extent cx="6300470" cy="6350"/>
                <wp:effectExtent l="12065" t="10160" r="12065" b="254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0470" cy="6350"/>
                          <a:chOff x="0" y="0"/>
                          <a:chExt cx="9922" cy="10"/>
                        </a:xfrm>
                      </wpg:grpSpPr>
                      <wps:wsp>
                        <wps:cNvPr id="6" name="Line 3"/>
                        <wps:cNvCnPr/>
                        <wps:spPr bwMode="auto">
                          <a:xfrm>
                            <a:off x="0" y="5"/>
                            <a:ext cx="9922" cy="0"/>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496.1pt;height:.5pt;mso-position-horizontal-relative:char;mso-position-vertical-relative:line" coordsize="99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">
                <v:line id="Line 3" o:spid="_x0000_s1027" style="position:absolute;visibility:visible;mso-wrap-style:square" from="0,5" to="99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mf8AAAADaAAAADwAAAGRycy9kb3ducmV2LnhtbESPzarCMBSE94LvEI7gTlNdyKUaRfxB&#10;XcnVPsChObbV5KQ0sda3N8KFuxxm5htmseqsES01vnKsYDJOQBDnTldcKMiu+9EPCB+QNRrHpOBN&#10;HlbLfm+BqXYv/qX2EgoRIexTVFCGUKdS+rwki37sauLo3VxjMUTZFFI3+Ipwa+Q0SWbSYsVxocSa&#10;NiXlj8vTKjC7jdudp9dsb7e5a7OnOdxPRqnhoFvPQQTqwn/4r33UCmbwvRJvgF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spn/AAAAA2gAAAA8AAAAAAAAAAAAAAAAA&#10;oQIAAGRycy9kb3ducmV2LnhtbFBLBQYAAAAABAAEAPkAAACOAwAAAAA=&#10;" strokecolor="#231f20" strokeweight=".48pt"/>
                <w10:anchorlock/>
              </v:group>
            </w:pict>
          </mc:Fallback>
        </mc:AlternateContent>
      </w:r>
    </w:p>
    <w:p w:rsidR="002165D7" w:rsidRDefault="002165D7" w:rsidP="002165D7">
      <w:pPr>
        <w:pStyle w:val="BodyText"/>
        <w:spacing w:before="6"/>
        <w:rPr>
          <w:sz w:val="13"/>
        </w:rPr>
      </w:pPr>
    </w:p>
    <w:p w:rsidR="002165D7" w:rsidRDefault="002165D7" w:rsidP="002165D7">
      <w:pPr>
        <w:spacing w:before="52"/>
        <w:rPr>
          <w:rFonts w:ascii="Calibri"/>
          <w:b/>
          <w:color w:val="231F20"/>
          <w:sz w:val="24"/>
        </w:rPr>
        <w:sectPr w:rsidR="002165D7" w:rsidSect="002165D7">
          <w:type w:val="continuous"/>
          <w:pgSz w:w="12190" w:h="15880"/>
          <w:pgMar w:top="1040" w:right="1020" w:bottom="280" w:left="1020" w:header="720" w:footer="720" w:gutter="0"/>
          <w:cols w:num="2" w:space="284"/>
        </w:sectPr>
      </w:pPr>
    </w:p>
    <w:p w:rsidR="002165D7" w:rsidRPr="006A07F6" w:rsidRDefault="002165D7" w:rsidP="002165D7">
      <w:pPr>
        <w:spacing w:before="52"/>
        <w:rPr>
          <w:rFonts w:ascii="Century" w:hAnsi="Century"/>
          <w:b/>
          <w:sz w:val="18"/>
          <w:szCs w:val="18"/>
        </w:rPr>
        <w:sectPr w:rsidR="002165D7" w:rsidRPr="006A07F6" w:rsidSect="002165D7">
          <w:type w:val="continuous"/>
          <w:pgSz w:w="12190" w:h="15880"/>
          <w:pgMar w:top="1040" w:right="1020" w:bottom="280" w:left="1020" w:header="720" w:footer="720" w:gutter="0"/>
          <w:cols w:num="2" w:space="284"/>
        </w:sectPr>
      </w:pPr>
      <w:r w:rsidRPr="006A07F6">
        <w:rPr>
          <w:rFonts w:ascii="Century" w:hAnsi="Century"/>
          <w:b/>
          <w:color w:val="231F20"/>
          <w:sz w:val="18"/>
          <w:szCs w:val="18"/>
        </w:rPr>
        <w:lastRenderedPageBreak/>
        <w:t>Daftar Pustaka</w:t>
      </w:r>
    </w:p>
    <w:p w:rsidR="002165D7" w:rsidRDefault="002165D7" w:rsidP="002165D7">
      <w:pPr>
        <w:adjustRightInd w:val="0"/>
        <w:ind w:left="480" w:hanging="480"/>
        <w:jc w:val="both"/>
        <w:rPr>
          <w:rFonts w:ascii="Century" w:hAnsi="Century" w:cs="Times New Roman"/>
          <w:sz w:val="18"/>
          <w:szCs w:val="18"/>
        </w:rPr>
        <w:sectPr w:rsidR="002165D7" w:rsidSect="002165D7">
          <w:type w:val="continuous"/>
          <w:pgSz w:w="12190" w:h="15880"/>
          <w:pgMar w:top="1040" w:right="1020" w:bottom="280" w:left="1020" w:header="720" w:footer="720" w:gutter="0"/>
          <w:cols w:num="2" w:space="284"/>
        </w:sectPr>
      </w:pPr>
      <w:r>
        <w:rPr>
          <w:rFonts w:ascii="Century" w:hAnsi="Century" w:cs="Times New Roman"/>
          <w:sz w:val="18"/>
          <w:szCs w:val="18"/>
        </w:rPr>
        <w:lastRenderedPageBreak/>
        <w:fldChar w:fldCharType="begin" w:fldLock="1"/>
      </w:r>
      <w:r>
        <w:rPr>
          <w:rFonts w:ascii="Century" w:hAnsi="Century" w:cs="Times New Roman"/>
          <w:sz w:val="18"/>
          <w:szCs w:val="18"/>
        </w:rPr>
        <w:instrText xml:space="preserve">ADDIN Mendeley Bibliography CSL_BIBLIOGRAPHY </w:instrText>
      </w:r>
      <w:r>
        <w:rPr>
          <w:rFonts w:ascii="Century" w:hAnsi="Century" w:cs="Times New Roman"/>
          <w:sz w:val="18"/>
          <w:szCs w:val="18"/>
        </w:rPr>
        <w:fldChar w:fldCharType="separate"/>
      </w:r>
    </w:p>
    <w:p w:rsidR="002165D7" w:rsidRPr="00591ECB" w:rsidRDefault="002165D7" w:rsidP="002165D7">
      <w:pPr>
        <w:adjustRightInd w:val="0"/>
        <w:ind w:left="480" w:hanging="480"/>
        <w:jc w:val="both"/>
        <w:rPr>
          <w:rFonts w:ascii="Century" w:hAnsi="Century" w:cs="Times New Roman"/>
          <w:sz w:val="18"/>
          <w:szCs w:val="18"/>
        </w:rPr>
      </w:pPr>
      <w:r w:rsidRPr="00591ECB">
        <w:rPr>
          <w:rFonts w:ascii="Century" w:hAnsi="Century" w:cs="Times New Roman"/>
          <w:sz w:val="18"/>
          <w:szCs w:val="18"/>
        </w:rPr>
        <w:lastRenderedPageBreak/>
        <w:t xml:space="preserve">Anggraini, D. (2015). </w:t>
      </w:r>
      <w:r w:rsidRPr="00591ECB">
        <w:rPr>
          <w:rFonts w:ascii="Century" w:hAnsi="Century" w:cs="Times New Roman"/>
          <w:i/>
          <w:iCs/>
          <w:sz w:val="18"/>
          <w:szCs w:val="18"/>
        </w:rPr>
        <w:t>P</w:t>
      </w:r>
      <w:r w:rsidRPr="00591ECB">
        <w:rPr>
          <w:rFonts w:ascii="Century" w:hAnsi="Century" w:cs="Times New Roman"/>
          <w:iCs/>
          <w:sz w:val="18"/>
          <w:szCs w:val="18"/>
        </w:rPr>
        <w:t>roven Again</w:t>
      </w:r>
      <w:r w:rsidRPr="00591ECB">
        <w:rPr>
          <w:rFonts w:ascii="Times New Roman" w:hAnsi="Times New Roman" w:cs="Times New Roman"/>
          <w:iCs/>
          <w:sz w:val="18"/>
          <w:szCs w:val="18"/>
        </w:rPr>
        <w:t> </w:t>
      </w:r>
      <w:r w:rsidRPr="00591ECB">
        <w:rPr>
          <w:rFonts w:ascii="Century" w:hAnsi="Century" w:cs="Times New Roman"/>
          <w:iCs/>
          <w:sz w:val="18"/>
          <w:szCs w:val="18"/>
        </w:rPr>
        <w:t xml:space="preserve">: Corporate Social Responsibility </w:t>
      </w:r>
      <w:proofErr w:type="gramStart"/>
      <w:r w:rsidRPr="00591ECB">
        <w:rPr>
          <w:rFonts w:ascii="Century" w:hAnsi="Century" w:cs="Times New Roman"/>
          <w:iCs/>
          <w:sz w:val="18"/>
          <w:szCs w:val="18"/>
        </w:rPr>
        <w:t>As</w:t>
      </w:r>
      <w:proofErr w:type="gramEnd"/>
      <w:r w:rsidRPr="00591ECB">
        <w:rPr>
          <w:rFonts w:ascii="Century" w:hAnsi="Century" w:cs="Times New Roman"/>
          <w:iCs/>
          <w:sz w:val="18"/>
          <w:szCs w:val="18"/>
        </w:rPr>
        <w:t xml:space="preserve"> One Of Influential Factors Towards Stock Return</w:t>
      </w:r>
      <w:r w:rsidRPr="00591ECB">
        <w:rPr>
          <w:rFonts w:ascii="Century" w:hAnsi="Century" w:cs="Times New Roman"/>
          <w:sz w:val="18"/>
          <w:szCs w:val="18"/>
        </w:rPr>
        <w:t>.</w:t>
      </w:r>
      <w:r w:rsidRPr="00591ECB">
        <w:rPr>
          <w:rFonts w:ascii="Century" w:hAnsi="Century" w:cs="Times New Roman"/>
          <w:i/>
          <w:sz w:val="18"/>
          <w:szCs w:val="18"/>
        </w:rPr>
        <w:t xml:space="preserve"> European Journal of Business and Management </w:t>
      </w:r>
      <w:r w:rsidRPr="00591ECB">
        <w:rPr>
          <w:rFonts w:ascii="Century" w:hAnsi="Century" w:cs="Times New Roman"/>
          <w:sz w:val="18"/>
          <w:szCs w:val="18"/>
        </w:rPr>
        <w:t xml:space="preserve">Vol. </w:t>
      </w:r>
      <w:r w:rsidRPr="00591ECB">
        <w:rPr>
          <w:rFonts w:ascii="Century" w:hAnsi="Century" w:cs="Times New Roman"/>
          <w:iCs/>
          <w:sz w:val="18"/>
          <w:szCs w:val="18"/>
        </w:rPr>
        <w:t>7</w:t>
      </w:r>
      <w:r w:rsidRPr="00591ECB">
        <w:rPr>
          <w:rFonts w:ascii="Century" w:hAnsi="Century" w:cs="Times New Roman"/>
          <w:sz w:val="18"/>
          <w:szCs w:val="18"/>
        </w:rPr>
        <w:t>(3), 151–160.</w:t>
      </w:r>
    </w:p>
    <w:p w:rsidR="002165D7" w:rsidRPr="00591ECB" w:rsidRDefault="002165D7" w:rsidP="002165D7">
      <w:pPr>
        <w:adjustRightInd w:val="0"/>
        <w:ind w:left="480" w:hanging="480"/>
        <w:jc w:val="both"/>
        <w:rPr>
          <w:rFonts w:ascii="Century" w:hAnsi="Century" w:cs="Times New Roman"/>
          <w:sz w:val="18"/>
          <w:szCs w:val="18"/>
        </w:rPr>
      </w:pPr>
      <w:r w:rsidRPr="00591ECB">
        <w:rPr>
          <w:rFonts w:ascii="Century" w:hAnsi="Century" w:cs="Times New Roman"/>
          <w:sz w:val="18"/>
          <w:szCs w:val="18"/>
        </w:rPr>
        <w:t xml:space="preserve">Arisanti, I. (2020). </w:t>
      </w:r>
      <w:proofErr w:type="gramStart"/>
      <w:r w:rsidRPr="00591ECB">
        <w:rPr>
          <w:rFonts w:ascii="Century" w:hAnsi="Century" w:cs="Times New Roman"/>
          <w:sz w:val="18"/>
          <w:szCs w:val="18"/>
        </w:rPr>
        <w:t>Analysis on Earnings Persistence, Independent Commissioner and Herding Behavior on Eraning Quality.</w:t>
      </w:r>
      <w:proofErr w:type="gramEnd"/>
      <w:r w:rsidRPr="00591ECB">
        <w:rPr>
          <w:rFonts w:ascii="Century" w:hAnsi="Century" w:cs="Times New Roman"/>
          <w:sz w:val="18"/>
          <w:szCs w:val="18"/>
        </w:rPr>
        <w:t xml:space="preserve"> </w:t>
      </w:r>
      <w:r w:rsidRPr="00591ECB">
        <w:rPr>
          <w:rFonts w:ascii="Century" w:hAnsi="Century" w:cs="Times New Roman"/>
          <w:i/>
          <w:iCs/>
          <w:sz w:val="18"/>
          <w:szCs w:val="18"/>
        </w:rPr>
        <w:t xml:space="preserve">Journal </w:t>
      </w:r>
      <w:proofErr w:type="gramStart"/>
      <w:r w:rsidRPr="00591ECB">
        <w:rPr>
          <w:rFonts w:ascii="Century" w:hAnsi="Century" w:cs="Times New Roman"/>
          <w:i/>
          <w:iCs/>
          <w:sz w:val="18"/>
          <w:szCs w:val="18"/>
        </w:rPr>
        <w:t>Of</w:t>
      </w:r>
      <w:proofErr w:type="gramEnd"/>
      <w:r w:rsidRPr="00591ECB">
        <w:rPr>
          <w:rFonts w:ascii="Century" w:hAnsi="Century" w:cs="Times New Roman"/>
          <w:i/>
          <w:iCs/>
          <w:sz w:val="18"/>
          <w:szCs w:val="18"/>
        </w:rPr>
        <w:t xml:space="preserve"> Accounting and Business Education</w:t>
      </w:r>
      <w:r w:rsidRPr="00591ECB">
        <w:rPr>
          <w:rFonts w:ascii="Century" w:hAnsi="Century" w:cs="Times New Roman"/>
          <w:sz w:val="18"/>
          <w:szCs w:val="18"/>
        </w:rPr>
        <w:t xml:space="preserve">, </w:t>
      </w:r>
      <w:r w:rsidRPr="00591ECB">
        <w:rPr>
          <w:rFonts w:ascii="Century" w:hAnsi="Century" w:cs="Times New Roman"/>
          <w:i/>
          <w:iCs/>
          <w:sz w:val="18"/>
          <w:szCs w:val="18"/>
        </w:rPr>
        <w:t>5</w:t>
      </w:r>
      <w:r w:rsidRPr="00591ECB">
        <w:rPr>
          <w:rFonts w:ascii="Century" w:hAnsi="Century" w:cs="Times New Roman"/>
          <w:sz w:val="18"/>
          <w:szCs w:val="18"/>
        </w:rPr>
        <w:t>(September), 38–53.</w:t>
      </w:r>
    </w:p>
    <w:p w:rsidR="002165D7" w:rsidRPr="00591ECB" w:rsidRDefault="002165D7" w:rsidP="002165D7">
      <w:pPr>
        <w:adjustRightInd w:val="0"/>
        <w:ind w:left="480" w:hanging="480"/>
        <w:jc w:val="both"/>
        <w:rPr>
          <w:rFonts w:ascii="Century" w:hAnsi="Century" w:cs="Times New Roman"/>
          <w:sz w:val="18"/>
          <w:szCs w:val="18"/>
        </w:rPr>
      </w:pPr>
      <w:proofErr w:type="gramStart"/>
      <w:r w:rsidRPr="00591ECB">
        <w:rPr>
          <w:rFonts w:ascii="Century" w:hAnsi="Century" w:cs="Times New Roman"/>
          <w:sz w:val="18"/>
          <w:szCs w:val="18"/>
        </w:rPr>
        <w:t>Arniati, T., Puspita, D. A., Amin,</w:t>
      </w:r>
      <w:r>
        <w:rPr>
          <w:rFonts w:ascii="Century" w:hAnsi="Century" w:cs="Times New Roman"/>
          <w:sz w:val="18"/>
          <w:szCs w:val="18"/>
        </w:rPr>
        <w:t xml:space="preserve"> A., &amp; Pirzada, K. (2019).</w:t>
      </w:r>
      <w:proofErr w:type="gramEnd"/>
      <w:r>
        <w:rPr>
          <w:rFonts w:ascii="Century" w:hAnsi="Century" w:cs="Times New Roman"/>
          <w:sz w:val="18"/>
          <w:szCs w:val="18"/>
        </w:rPr>
        <w:t xml:space="preserve"> </w:t>
      </w:r>
      <w:proofErr w:type="gramStart"/>
      <w:r>
        <w:rPr>
          <w:rFonts w:ascii="Century" w:hAnsi="Century" w:cs="Times New Roman"/>
          <w:sz w:val="18"/>
          <w:szCs w:val="18"/>
        </w:rPr>
        <w:t>The Implementation of Good Corporate Governance Model and Auditor Independence in Earnings’ Quality I</w:t>
      </w:r>
      <w:r w:rsidRPr="00591ECB">
        <w:rPr>
          <w:rFonts w:ascii="Century" w:hAnsi="Century" w:cs="Times New Roman"/>
          <w:sz w:val="18"/>
          <w:szCs w:val="18"/>
        </w:rPr>
        <w:t>mprovement.</w:t>
      </w:r>
      <w:proofErr w:type="gramEnd"/>
      <w:r w:rsidRPr="00591ECB">
        <w:rPr>
          <w:rFonts w:ascii="Century" w:hAnsi="Century" w:cs="Times New Roman"/>
          <w:sz w:val="18"/>
          <w:szCs w:val="18"/>
        </w:rPr>
        <w:t xml:space="preserve"> </w:t>
      </w:r>
      <w:r w:rsidRPr="00591ECB">
        <w:rPr>
          <w:rFonts w:ascii="Century" w:hAnsi="Century" w:cs="Times New Roman"/>
          <w:i/>
          <w:iCs/>
          <w:sz w:val="18"/>
          <w:szCs w:val="18"/>
        </w:rPr>
        <w:t>Entrepreneurship and Sustainability Issues</w:t>
      </w:r>
      <w:proofErr w:type="gramStart"/>
      <w:r>
        <w:rPr>
          <w:rFonts w:ascii="Century" w:hAnsi="Century" w:cs="Times New Roman"/>
          <w:sz w:val="18"/>
          <w:szCs w:val="18"/>
        </w:rPr>
        <w:t>,</w:t>
      </w:r>
      <w:r w:rsidRPr="00591ECB">
        <w:rPr>
          <w:rFonts w:ascii="Century" w:hAnsi="Century" w:cs="Times New Roman"/>
          <w:i/>
          <w:iCs/>
          <w:sz w:val="18"/>
          <w:szCs w:val="18"/>
        </w:rPr>
        <w:t>7</w:t>
      </w:r>
      <w:proofErr w:type="gramEnd"/>
      <w:r w:rsidRPr="00591ECB">
        <w:rPr>
          <w:rFonts w:ascii="Century" w:hAnsi="Century" w:cs="Times New Roman"/>
          <w:sz w:val="18"/>
          <w:szCs w:val="18"/>
        </w:rPr>
        <w:t xml:space="preserve">(1)188–200. </w:t>
      </w:r>
    </w:p>
    <w:p w:rsidR="002165D7" w:rsidRPr="00591ECB" w:rsidRDefault="002165D7" w:rsidP="002165D7">
      <w:pPr>
        <w:adjustRightInd w:val="0"/>
        <w:ind w:left="480" w:hanging="480"/>
        <w:jc w:val="both"/>
        <w:rPr>
          <w:rFonts w:ascii="Century" w:hAnsi="Century" w:cs="Times New Roman"/>
          <w:sz w:val="18"/>
          <w:szCs w:val="18"/>
        </w:rPr>
      </w:pPr>
      <w:r w:rsidRPr="00591ECB">
        <w:rPr>
          <w:rFonts w:ascii="Century" w:hAnsi="Century" w:cs="Times New Roman"/>
          <w:sz w:val="18"/>
          <w:szCs w:val="18"/>
        </w:rPr>
        <w:t xml:space="preserve">Bagus, R., &amp; Djaddang, S. (2018). </w:t>
      </w:r>
      <w:r>
        <w:rPr>
          <w:rFonts w:ascii="Century" w:hAnsi="Century" w:cs="Times New Roman"/>
          <w:sz w:val="18"/>
          <w:szCs w:val="18"/>
        </w:rPr>
        <w:t xml:space="preserve">Valuasi kesadaran </w:t>
      </w:r>
      <w:proofErr w:type="gramStart"/>
      <w:r>
        <w:rPr>
          <w:rFonts w:ascii="Century" w:hAnsi="Century" w:cs="Times New Roman"/>
          <w:sz w:val="18"/>
          <w:szCs w:val="18"/>
        </w:rPr>
        <w:t>lingkungan ,</w:t>
      </w:r>
      <w:proofErr w:type="gramEnd"/>
      <w:r>
        <w:rPr>
          <w:rFonts w:ascii="Century" w:hAnsi="Century" w:cs="Times New Roman"/>
          <w:sz w:val="18"/>
          <w:szCs w:val="18"/>
        </w:rPr>
        <w:t xml:space="preserve"> Corporate Social Responsibility Terhadap Kualitas Laba dengan Moderasi Komite A</w:t>
      </w:r>
      <w:r w:rsidRPr="00591ECB">
        <w:rPr>
          <w:rFonts w:ascii="Century" w:hAnsi="Century" w:cs="Times New Roman"/>
          <w:sz w:val="18"/>
          <w:szCs w:val="18"/>
        </w:rPr>
        <w:t xml:space="preserve">udit. </w:t>
      </w:r>
      <w:r w:rsidRPr="00591ECB">
        <w:rPr>
          <w:rFonts w:ascii="Century" w:hAnsi="Century" w:cs="Times New Roman"/>
          <w:i/>
          <w:iCs/>
          <w:sz w:val="18"/>
          <w:szCs w:val="18"/>
        </w:rPr>
        <w:t>Jurnal Ekonomi Dan Bisnis</w:t>
      </w:r>
      <w:r w:rsidRPr="00591ECB">
        <w:rPr>
          <w:rFonts w:ascii="Century" w:hAnsi="Century" w:cs="Times New Roman"/>
          <w:sz w:val="18"/>
          <w:szCs w:val="18"/>
        </w:rPr>
        <w:t xml:space="preserve">, </w:t>
      </w:r>
      <w:r w:rsidRPr="00591ECB">
        <w:rPr>
          <w:rFonts w:ascii="Century" w:hAnsi="Century" w:cs="Times New Roman"/>
          <w:i/>
          <w:iCs/>
          <w:sz w:val="18"/>
          <w:szCs w:val="18"/>
        </w:rPr>
        <w:t>21</w:t>
      </w:r>
      <w:r w:rsidRPr="00591ECB">
        <w:rPr>
          <w:rFonts w:ascii="Century" w:hAnsi="Century" w:cs="Times New Roman"/>
          <w:sz w:val="18"/>
          <w:szCs w:val="18"/>
        </w:rPr>
        <w:t>(1), 97–114.</w:t>
      </w:r>
    </w:p>
    <w:p w:rsidR="002165D7" w:rsidRPr="00591ECB" w:rsidRDefault="002165D7" w:rsidP="002165D7">
      <w:pPr>
        <w:adjustRightInd w:val="0"/>
        <w:ind w:left="480" w:hanging="480"/>
        <w:jc w:val="both"/>
        <w:rPr>
          <w:rFonts w:ascii="Century" w:hAnsi="Century" w:cs="Times New Roman"/>
          <w:sz w:val="18"/>
          <w:szCs w:val="18"/>
        </w:rPr>
      </w:pPr>
      <w:proofErr w:type="gramStart"/>
      <w:r w:rsidRPr="00591ECB">
        <w:rPr>
          <w:rFonts w:ascii="Century" w:hAnsi="Century" w:cs="Times New Roman"/>
          <w:sz w:val="18"/>
          <w:szCs w:val="18"/>
        </w:rPr>
        <w:t>Barkadehi, H. K., &amp; Mirbargkar, S. M. (2017).</w:t>
      </w:r>
      <w:proofErr w:type="gramEnd"/>
      <w:r w:rsidRPr="00591ECB">
        <w:rPr>
          <w:rFonts w:ascii="Century" w:hAnsi="Century" w:cs="Times New Roman"/>
          <w:sz w:val="18"/>
          <w:szCs w:val="18"/>
        </w:rPr>
        <w:t xml:space="preserve"> The Role of Ownership in the Earning Quality</w:t>
      </w:r>
      <w:r w:rsidRPr="00591ECB">
        <w:rPr>
          <w:rFonts w:ascii="Times New Roman" w:hAnsi="Times New Roman" w:cs="Times New Roman"/>
          <w:sz w:val="18"/>
          <w:szCs w:val="18"/>
        </w:rPr>
        <w:t> </w:t>
      </w:r>
      <w:r w:rsidRPr="00591ECB">
        <w:rPr>
          <w:rFonts w:ascii="Century" w:hAnsi="Century" w:cs="Times New Roman"/>
          <w:sz w:val="18"/>
          <w:szCs w:val="18"/>
        </w:rPr>
        <w:t xml:space="preserve">: Evidence from Listed Firms of Tehran Stock Exchange. </w:t>
      </w:r>
      <w:r w:rsidRPr="00591ECB">
        <w:rPr>
          <w:rFonts w:ascii="Century" w:hAnsi="Century" w:cs="Times New Roman"/>
          <w:i/>
          <w:iCs/>
          <w:sz w:val="18"/>
          <w:szCs w:val="18"/>
        </w:rPr>
        <w:t>International Journal of Economic Perspective</w:t>
      </w:r>
      <w:r w:rsidRPr="00591ECB">
        <w:rPr>
          <w:rFonts w:ascii="Century" w:hAnsi="Century" w:cs="Times New Roman"/>
          <w:sz w:val="18"/>
          <w:szCs w:val="18"/>
        </w:rPr>
        <w:t xml:space="preserve">, </w:t>
      </w:r>
      <w:r w:rsidRPr="00591ECB">
        <w:rPr>
          <w:rFonts w:ascii="Century" w:hAnsi="Century" w:cs="Times New Roman"/>
          <w:i/>
          <w:iCs/>
          <w:sz w:val="18"/>
          <w:szCs w:val="18"/>
        </w:rPr>
        <w:t>11</w:t>
      </w:r>
      <w:r w:rsidRPr="00591ECB">
        <w:rPr>
          <w:rFonts w:ascii="Century" w:hAnsi="Century" w:cs="Times New Roman"/>
          <w:sz w:val="18"/>
          <w:szCs w:val="18"/>
        </w:rPr>
        <w:t>(1), 1109–1118.</w:t>
      </w:r>
    </w:p>
    <w:p w:rsidR="002165D7" w:rsidRPr="00591ECB" w:rsidRDefault="002165D7" w:rsidP="002165D7">
      <w:pPr>
        <w:adjustRightInd w:val="0"/>
        <w:ind w:left="480" w:hanging="480"/>
        <w:jc w:val="both"/>
        <w:rPr>
          <w:rFonts w:ascii="Century" w:hAnsi="Century" w:cs="Times New Roman"/>
          <w:sz w:val="18"/>
          <w:szCs w:val="18"/>
        </w:rPr>
      </w:pPr>
      <w:proofErr w:type="gramStart"/>
      <w:r w:rsidRPr="00591ECB">
        <w:rPr>
          <w:rFonts w:ascii="Century" w:hAnsi="Century" w:cs="Times New Roman"/>
          <w:sz w:val="18"/>
          <w:szCs w:val="18"/>
        </w:rPr>
        <w:t>Brailsford, T. J., Oliver, B. R., &amp; Pua, S. L. H. (2002)</w:t>
      </w:r>
      <w:r>
        <w:rPr>
          <w:rFonts w:ascii="Century" w:hAnsi="Century" w:cs="Times New Roman"/>
          <w:sz w:val="18"/>
          <w:szCs w:val="18"/>
        </w:rPr>
        <w:t>.</w:t>
      </w:r>
      <w:proofErr w:type="gramEnd"/>
      <w:r>
        <w:rPr>
          <w:rFonts w:ascii="Century" w:hAnsi="Century" w:cs="Times New Roman"/>
          <w:sz w:val="18"/>
          <w:szCs w:val="18"/>
        </w:rPr>
        <w:t xml:space="preserve"> On The Relation </w:t>
      </w:r>
      <w:proofErr w:type="gramStart"/>
      <w:r>
        <w:rPr>
          <w:rFonts w:ascii="Century" w:hAnsi="Century" w:cs="Times New Roman"/>
          <w:sz w:val="18"/>
          <w:szCs w:val="18"/>
        </w:rPr>
        <w:t>Between</w:t>
      </w:r>
      <w:proofErr w:type="gramEnd"/>
      <w:r>
        <w:rPr>
          <w:rFonts w:ascii="Century" w:hAnsi="Century" w:cs="Times New Roman"/>
          <w:sz w:val="18"/>
          <w:szCs w:val="18"/>
        </w:rPr>
        <w:t xml:space="preserve"> Ownership Structure and Capital S</w:t>
      </w:r>
      <w:r w:rsidRPr="00591ECB">
        <w:rPr>
          <w:rFonts w:ascii="Century" w:hAnsi="Century" w:cs="Times New Roman"/>
          <w:sz w:val="18"/>
          <w:szCs w:val="18"/>
        </w:rPr>
        <w:t xml:space="preserve">tructure. </w:t>
      </w:r>
      <w:r w:rsidRPr="00591ECB">
        <w:rPr>
          <w:rFonts w:ascii="Century" w:hAnsi="Century" w:cs="Times New Roman"/>
          <w:i/>
          <w:iCs/>
          <w:sz w:val="18"/>
          <w:szCs w:val="18"/>
        </w:rPr>
        <w:t>Accounting and Finance</w:t>
      </w:r>
      <w:r w:rsidRPr="00591ECB">
        <w:rPr>
          <w:rFonts w:ascii="Century" w:hAnsi="Century" w:cs="Times New Roman"/>
          <w:sz w:val="18"/>
          <w:szCs w:val="18"/>
        </w:rPr>
        <w:t xml:space="preserve">, </w:t>
      </w:r>
      <w:r w:rsidRPr="00591ECB">
        <w:rPr>
          <w:rFonts w:ascii="Century" w:hAnsi="Century" w:cs="Times New Roman"/>
          <w:i/>
          <w:iCs/>
          <w:sz w:val="18"/>
          <w:szCs w:val="18"/>
        </w:rPr>
        <w:t>42</w:t>
      </w:r>
      <w:r w:rsidRPr="00591ECB">
        <w:rPr>
          <w:rFonts w:ascii="Century" w:hAnsi="Century" w:cs="Times New Roman"/>
          <w:sz w:val="18"/>
          <w:szCs w:val="18"/>
        </w:rPr>
        <w:t xml:space="preserve">(1), 1–26. </w:t>
      </w:r>
    </w:p>
    <w:p w:rsidR="002165D7" w:rsidRPr="00591ECB" w:rsidRDefault="002165D7" w:rsidP="002165D7">
      <w:pPr>
        <w:adjustRightInd w:val="0"/>
        <w:ind w:left="480" w:hanging="480"/>
        <w:jc w:val="both"/>
        <w:rPr>
          <w:rFonts w:ascii="Century" w:hAnsi="Century" w:cs="Times New Roman"/>
          <w:sz w:val="18"/>
          <w:szCs w:val="18"/>
        </w:rPr>
      </w:pPr>
      <w:proofErr w:type="gramStart"/>
      <w:r w:rsidRPr="00591ECB">
        <w:rPr>
          <w:rFonts w:ascii="Century" w:hAnsi="Century" w:cs="Times New Roman"/>
          <w:sz w:val="18"/>
          <w:szCs w:val="18"/>
        </w:rPr>
        <w:t>Brigham, E. dan J. F. H. (2019).</w:t>
      </w:r>
      <w:proofErr w:type="gramEnd"/>
      <w:r w:rsidRPr="00591ECB">
        <w:rPr>
          <w:rFonts w:ascii="Century" w:hAnsi="Century" w:cs="Times New Roman"/>
          <w:sz w:val="18"/>
          <w:szCs w:val="18"/>
        </w:rPr>
        <w:t xml:space="preserve"> </w:t>
      </w:r>
      <w:proofErr w:type="gramStart"/>
      <w:r w:rsidRPr="00591ECB">
        <w:rPr>
          <w:rFonts w:ascii="Century" w:hAnsi="Century" w:cs="Times New Roman"/>
          <w:i/>
          <w:iCs/>
          <w:sz w:val="18"/>
          <w:szCs w:val="18"/>
        </w:rPr>
        <w:t>Dasar-Dasar Manajemen Keuangan.</w:t>
      </w:r>
      <w:proofErr w:type="gramEnd"/>
      <w:r w:rsidRPr="00591ECB">
        <w:rPr>
          <w:rFonts w:ascii="Century" w:hAnsi="Century" w:cs="Times New Roman"/>
          <w:i/>
          <w:iCs/>
          <w:sz w:val="18"/>
          <w:szCs w:val="18"/>
        </w:rPr>
        <w:t xml:space="preserve"> </w:t>
      </w:r>
      <w:proofErr w:type="gramStart"/>
      <w:r w:rsidRPr="00591ECB">
        <w:rPr>
          <w:rFonts w:ascii="Century" w:hAnsi="Century" w:cs="Times New Roman"/>
          <w:i/>
          <w:iCs/>
          <w:sz w:val="18"/>
          <w:szCs w:val="18"/>
        </w:rPr>
        <w:t>Buku 1.</w:t>
      </w:r>
      <w:proofErr w:type="gramEnd"/>
      <w:r w:rsidRPr="00591ECB">
        <w:rPr>
          <w:rFonts w:ascii="Century" w:hAnsi="Century" w:cs="Times New Roman"/>
          <w:i/>
          <w:iCs/>
          <w:sz w:val="18"/>
          <w:szCs w:val="18"/>
        </w:rPr>
        <w:t xml:space="preserve"> </w:t>
      </w:r>
      <w:proofErr w:type="gramStart"/>
      <w:r w:rsidRPr="00591ECB">
        <w:rPr>
          <w:rFonts w:ascii="Century" w:hAnsi="Century" w:cs="Times New Roman"/>
          <w:i/>
          <w:iCs/>
          <w:sz w:val="18"/>
          <w:szCs w:val="18"/>
        </w:rPr>
        <w:t>Edisi 14.</w:t>
      </w:r>
      <w:proofErr w:type="gramEnd"/>
      <w:r w:rsidRPr="00591ECB">
        <w:rPr>
          <w:rFonts w:ascii="Century" w:hAnsi="Century" w:cs="Times New Roman"/>
          <w:i/>
          <w:iCs/>
          <w:sz w:val="18"/>
          <w:szCs w:val="18"/>
        </w:rPr>
        <w:t xml:space="preserve"> Penerjemah Ali Akbar Yulianto. Jakarta. Salemba Empat.</w:t>
      </w:r>
    </w:p>
    <w:p w:rsidR="002165D7" w:rsidRPr="00591ECB" w:rsidRDefault="002165D7" w:rsidP="002165D7">
      <w:pPr>
        <w:adjustRightInd w:val="0"/>
        <w:ind w:left="480" w:hanging="480"/>
        <w:jc w:val="both"/>
        <w:rPr>
          <w:rFonts w:ascii="Century" w:hAnsi="Century" w:cs="Times New Roman"/>
          <w:sz w:val="18"/>
          <w:szCs w:val="18"/>
        </w:rPr>
      </w:pPr>
      <w:proofErr w:type="gramStart"/>
      <w:r w:rsidRPr="00591ECB">
        <w:rPr>
          <w:rFonts w:ascii="Century" w:hAnsi="Century" w:cs="Times New Roman"/>
          <w:sz w:val="18"/>
          <w:szCs w:val="18"/>
        </w:rPr>
        <w:t>Connelly, B. L., Certo, S. T., Ireland, R. D., &amp; Reutzel, C. R. (2011).</w:t>
      </w:r>
      <w:proofErr w:type="gramEnd"/>
      <w:r w:rsidRPr="00591ECB">
        <w:rPr>
          <w:rFonts w:ascii="Century" w:hAnsi="Century" w:cs="Times New Roman"/>
          <w:sz w:val="18"/>
          <w:szCs w:val="18"/>
        </w:rPr>
        <w:t xml:space="preserve"> </w:t>
      </w:r>
      <w:proofErr w:type="gramStart"/>
      <w:r w:rsidRPr="00591ECB">
        <w:rPr>
          <w:rFonts w:ascii="Century" w:hAnsi="Century" w:cs="Times New Roman"/>
          <w:sz w:val="18"/>
          <w:szCs w:val="18"/>
        </w:rPr>
        <w:t>Signaling theory: A review and assessment.</w:t>
      </w:r>
      <w:proofErr w:type="gramEnd"/>
      <w:r w:rsidRPr="00591ECB">
        <w:rPr>
          <w:rFonts w:ascii="Century" w:hAnsi="Century" w:cs="Times New Roman"/>
          <w:sz w:val="18"/>
          <w:szCs w:val="18"/>
        </w:rPr>
        <w:t xml:space="preserve"> </w:t>
      </w:r>
      <w:r w:rsidRPr="00591ECB">
        <w:rPr>
          <w:rFonts w:ascii="Century" w:hAnsi="Century" w:cs="Times New Roman"/>
          <w:i/>
          <w:iCs/>
          <w:sz w:val="18"/>
          <w:szCs w:val="18"/>
        </w:rPr>
        <w:t>Journal of Management</w:t>
      </w:r>
      <w:r w:rsidRPr="00591ECB">
        <w:rPr>
          <w:rFonts w:ascii="Century" w:hAnsi="Century" w:cs="Times New Roman"/>
          <w:sz w:val="18"/>
          <w:szCs w:val="18"/>
        </w:rPr>
        <w:t xml:space="preserve">, </w:t>
      </w:r>
      <w:r w:rsidRPr="00591ECB">
        <w:rPr>
          <w:rFonts w:ascii="Century" w:hAnsi="Century" w:cs="Times New Roman"/>
          <w:i/>
          <w:iCs/>
          <w:sz w:val="18"/>
          <w:szCs w:val="18"/>
        </w:rPr>
        <w:t>37</w:t>
      </w:r>
      <w:r w:rsidRPr="00591ECB">
        <w:rPr>
          <w:rFonts w:ascii="Century" w:hAnsi="Century" w:cs="Times New Roman"/>
          <w:sz w:val="18"/>
          <w:szCs w:val="18"/>
        </w:rPr>
        <w:t>(1), 39–67. https://doi.org/10.1177/0149206310388419</w:t>
      </w:r>
    </w:p>
    <w:p w:rsidR="002165D7" w:rsidRPr="00591ECB" w:rsidRDefault="002165D7" w:rsidP="002165D7">
      <w:pPr>
        <w:adjustRightInd w:val="0"/>
        <w:ind w:left="480" w:hanging="480"/>
        <w:jc w:val="both"/>
        <w:rPr>
          <w:rFonts w:ascii="Century" w:hAnsi="Century" w:cs="Times New Roman"/>
          <w:sz w:val="18"/>
          <w:szCs w:val="18"/>
        </w:rPr>
      </w:pPr>
      <w:proofErr w:type="gramStart"/>
      <w:r w:rsidRPr="00591ECB">
        <w:rPr>
          <w:rFonts w:ascii="Century" w:hAnsi="Century" w:cs="Times New Roman"/>
          <w:sz w:val="18"/>
          <w:szCs w:val="18"/>
        </w:rPr>
        <w:t>Damanik, P. J., Pancasila, U., Akuntansi, M., &amp; Pancasila, U. (2019).</w:t>
      </w:r>
      <w:proofErr w:type="gramEnd"/>
      <w:r w:rsidRPr="00591ECB">
        <w:rPr>
          <w:rFonts w:ascii="Century" w:hAnsi="Century" w:cs="Times New Roman"/>
          <w:sz w:val="18"/>
          <w:szCs w:val="18"/>
        </w:rPr>
        <w:t xml:space="preserve"> Kemampuan Net </w:t>
      </w:r>
      <w:proofErr w:type="gramStart"/>
      <w:r w:rsidRPr="00591ECB">
        <w:rPr>
          <w:rFonts w:ascii="Century" w:hAnsi="Century" w:cs="Times New Roman"/>
          <w:sz w:val="18"/>
          <w:szCs w:val="18"/>
        </w:rPr>
        <w:t>Income ,</w:t>
      </w:r>
      <w:proofErr w:type="gramEnd"/>
      <w:r w:rsidRPr="00591ECB">
        <w:rPr>
          <w:rFonts w:ascii="Century" w:hAnsi="Century" w:cs="Times New Roman"/>
          <w:sz w:val="18"/>
          <w:szCs w:val="18"/>
        </w:rPr>
        <w:t xml:space="preserve"> Other Comprehensive Income , Return dan Peran Pemoderasi Kualitas Laba. </w:t>
      </w:r>
      <w:r w:rsidRPr="00591ECB">
        <w:rPr>
          <w:rFonts w:ascii="Century" w:hAnsi="Century" w:cs="Times New Roman"/>
          <w:i/>
          <w:iCs/>
          <w:sz w:val="18"/>
          <w:szCs w:val="18"/>
        </w:rPr>
        <w:t>Jurnal Riset Akuntansi Dan Perpajakan</w:t>
      </w:r>
      <w:r w:rsidRPr="00591ECB">
        <w:rPr>
          <w:rFonts w:ascii="Century" w:hAnsi="Century" w:cs="Times New Roman"/>
          <w:sz w:val="18"/>
          <w:szCs w:val="18"/>
        </w:rPr>
        <w:t xml:space="preserve">, </w:t>
      </w:r>
      <w:r w:rsidRPr="00591ECB">
        <w:rPr>
          <w:rFonts w:ascii="Century" w:hAnsi="Century" w:cs="Times New Roman"/>
          <w:i/>
          <w:iCs/>
          <w:sz w:val="18"/>
          <w:szCs w:val="18"/>
        </w:rPr>
        <w:t>6</w:t>
      </w:r>
      <w:r w:rsidRPr="00591ECB">
        <w:rPr>
          <w:rFonts w:ascii="Century" w:hAnsi="Century" w:cs="Times New Roman"/>
          <w:sz w:val="18"/>
          <w:szCs w:val="18"/>
        </w:rPr>
        <w:t>(1), 63–74.</w:t>
      </w:r>
    </w:p>
    <w:p w:rsidR="002165D7" w:rsidRPr="00591ECB" w:rsidRDefault="002165D7" w:rsidP="002165D7">
      <w:pPr>
        <w:adjustRightInd w:val="0"/>
        <w:ind w:left="480" w:hanging="480"/>
        <w:jc w:val="both"/>
        <w:rPr>
          <w:rFonts w:ascii="Century" w:hAnsi="Century" w:cs="Times New Roman"/>
          <w:sz w:val="18"/>
          <w:szCs w:val="18"/>
        </w:rPr>
      </w:pPr>
      <w:r w:rsidRPr="00591ECB">
        <w:rPr>
          <w:rFonts w:ascii="Century" w:hAnsi="Century" w:cs="Times New Roman"/>
          <w:sz w:val="18"/>
          <w:szCs w:val="18"/>
        </w:rPr>
        <w:t xml:space="preserve">Dechow, P., Ge, W., &amp; Schrand, C. (2010). Understanding earnings quality: A review of the proxies, their determinants and their consequences. </w:t>
      </w:r>
      <w:r w:rsidRPr="00591ECB">
        <w:rPr>
          <w:rFonts w:ascii="Century" w:hAnsi="Century" w:cs="Times New Roman"/>
          <w:i/>
          <w:iCs/>
          <w:sz w:val="18"/>
          <w:szCs w:val="18"/>
        </w:rPr>
        <w:t>Journal of Accounting and Economics</w:t>
      </w:r>
      <w:r w:rsidRPr="00591ECB">
        <w:rPr>
          <w:rFonts w:ascii="Century" w:hAnsi="Century" w:cs="Times New Roman"/>
          <w:sz w:val="18"/>
          <w:szCs w:val="18"/>
        </w:rPr>
        <w:t xml:space="preserve">, </w:t>
      </w:r>
      <w:r w:rsidRPr="00591ECB">
        <w:rPr>
          <w:rFonts w:ascii="Century" w:hAnsi="Century" w:cs="Times New Roman"/>
          <w:i/>
          <w:iCs/>
          <w:sz w:val="18"/>
          <w:szCs w:val="18"/>
        </w:rPr>
        <w:t>50</w:t>
      </w:r>
      <w:r w:rsidRPr="00591ECB">
        <w:rPr>
          <w:rFonts w:ascii="Century" w:hAnsi="Century" w:cs="Times New Roman"/>
          <w:sz w:val="18"/>
          <w:szCs w:val="18"/>
        </w:rPr>
        <w:t xml:space="preserve">(2–3), 344–401. </w:t>
      </w:r>
    </w:p>
    <w:p w:rsidR="002165D7" w:rsidRPr="00591ECB" w:rsidRDefault="002165D7" w:rsidP="002165D7">
      <w:pPr>
        <w:adjustRightInd w:val="0"/>
        <w:ind w:left="480" w:hanging="480"/>
        <w:jc w:val="both"/>
        <w:rPr>
          <w:rFonts w:ascii="Century" w:hAnsi="Century" w:cs="Times New Roman"/>
          <w:sz w:val="18"/>
          <w:szCs w:val="18"/>
        </w:rPr>
      </w:pPr>
      <w:proofErr w:type="gramStart"/>
      <w:r w:rsidRPr="00591ECB">
        <w:rPr>
          <w:rFonts w:ascii="Century" w:hAnsi="Century" w:cs="Times New Roman"/>
          <w:sz w:val="18"/>
          <w:szCs w:val="18"/>
        </w:rPr>
        <w:t>Eugene F. brigham, J. F. H. (n.d.).</w:t>
      </w:r>
      <w:proofErr w:type="gramEnd"/>
      <w:r w:rsidRPr="00591ECB">
        <w:rPr>
          <w:rFonts w:ascii="Century" w:hAnsi="Century" w:cs="Times New Roman"/>
          <w:sz w:val="18"/>
          <w:szCs w:val="18"/>
        </w:rPr>
        <w:t xml:space="preserve"> </w:t>
      </w:r>
      <w:r w:rsidRPr="00591ECB">
        <w:rPr>
          <w:rFonts w:ascii="Century" w:hAnsi="Century" w:cs="Times New Roman"/>
          <w:i/>
          <w:iCs/>
          <w:sz w:val="18"/>
          <w:szCs w:val="18"/>
        </w:rPr>
        <w:t>Fundamentals of Financial Management (15th Edition) - eBook</w:t>
      </w:r>
      <w:r w:rsidRPr="00591ECB">
        <w:rPr>
          <w:rFonts w:ascii="Century" w:hAnsi="Century" w:cs="Times New Roman"/>
          <w:sz w:val="18"/>
          <w:szCs w:val="18"/>
        </w:rPr>
        <w:t>. Cengage Learning.</w:t>
      </w:r>
    </w:p>
    <w:p w:rsidR="002165D7" w:rsidRPr="00591ECB" w:rsidRDefault="002165D7" w:rsidP="002165D7">
      <w:pPr>
        <w:adjustRightInd w:val="0"/>
        <w:ind w:left="480" w:hanging="480"/>
        <w:jc w:val="both"/>
        <w:rPr>
          <w:rFonts w:ascii="Century" w:hAnsi="Century" w:cs="Times New Roman"/>
          <w:sz w:val="18"/>
          <w:szCs w:val="18"/>
        </w:rPr>
      </w:pPr>
      <w:r>
        <w:rPr>
          <w:rFonts w:ascii="Century" w:hAnsi="Century" w:cs="Times New Roman"/>
          <w:sz w:val="18"/>
          <w:szCs w:val="18"/>
        </w:rPr>
        <w:t xml:space="preserve">Hamdan, A. (2020). The Role of </w:t>
      </w:r>
      <w:proofErr w:type="gramStart"/>
      <w:r>
        <w:rPr>
          <w:rFonts w:ascii="Century" w:hAnsi="Century" w:cs="Times New Roman"/>
          <w:sz w:val="18"/>
          <w:szCs w:val="18"/>
        </w:rPr>
        <w:t>The</w:t>
      </w:r>
      <w:proofErr w:type="gramEnd"/>
      <w:r>
        <w:rPr>
          <w:rFonts w:ascii="Century" w:hAnsi="Century" w:cs="Times New Roman"/>
          <w:sz w:val="18"/>
          <w:szCs w:val="18"/>
        </w:rPr>
        <w:t xml:space="preserve"> Audit Committee in Improving Earnings Quality: The Case of Industrial C</w:t>
      </w:r>
      <w:r w:rsidRPr="00591ECB">
        <w:rPr>
          <w:rFonts w:ascii="Century" w:hAnsi="Century" w:cs="Times New Roman"/>
          <w:sz w:val="18"/>
          <w:szCs w:val="18"/>
        </w:rPr>
        <w:t xml:space="preserve">ompanies in GCC. </w:t>
      </w:r>
      <w:r w:rsidRPr="00591ECB">
        <w:rPr>
          <w:rFonts w:ascii="Century" w:hAnsi="Century" w:cs="Times New Roman"/>
          <w:i/>
          <w:iCs/>
          <w:sz w:val="18"/>
          <w:szCs w:val="18"/>
        </w:rPr>
        <w:t>Journal of International Studies</w:t>
      </w:r>
      <w:r w:rsidRPr="00591ECB">
        <w:rPr>
          <w:rFonts w:ascii="Century" w:hAnsi="Century" w:cs="Times New Roman"/>
          <w:sz w:val="18"/>
          <w:szCs w:val="18"/>
        </w:rPr>
        <w:t xml:space="preserve">, </w:t>
      </w:r>
      <w:r w:rsidRPr="00591ECB">
        <w:rPr>
          <w:rFonts w:ascii="Century" w:hAnsi="Century" w:cs="Times New Roman"/>
          <w:i/>
          <w:iCs/>
          <w:sz w:val="18"/>
          <w:szCs w:val="18"/>
        </w:rPr>
        <w:t>13</w:t>
      </w:r>
      <w:r w:rsidRPr="00591ECB">
        <w:rPr>
          <w:rFonts w:ascii="Century" w:hAnsi="Century" w:cs="Times New Roman"/>
          <w:sz w:val="18"/>
          <w:szCs w:val="18"/>
        </w:rPr>
        <w:t xml:space="preserve">(2), 127–138. </w:t>
      </w:r>
    </w:p>
    <w:p w:rsidR="002165D7" w:rsidRPr="00591ECB" w:rsidRDefault="002165D7" w:rsidP="002165D7">
      <w:pPr>
        <w:adjustRightInd w:val="0"/>
        <w:ind w:left="480" w:hanging="480"/>
        <w:jc w:val="both"/>
        <w:rPr>
          <w:rFonts w:ascii="Century" w:hAnsi="Century" w:cs="Times New Roman"/>
          <w:sz w:val="18"/>
          <w:szCs w:val="18"/>
        </w:rPr>
      </w:pPr>
      <w:proofErr w:type="gramStart"/>
      <w:r w:rsidRPr="00591ECB">
        <w:rPr>
          <w:rFonts w:ascii="Century" w:hAnsi="Century" w:cs="Times New Roman"/>
          <w:sz w:val="18"/>
          <w:szCs w:val="18"/>
        </w:rPr>
        <w:t>Handoko, B.</w:t>
      </w:r>
      <w:r>
        <w:rPr>
          <w:rFonts w:ascii="Century" w:hAnsi="Century" w:cs="Times New Roman"/>
          <w:sz w:val="18"/>
          <w:szCs w:val="18"/>
        </w:rPr>
        <w:t xml:space="preserve"> L., &amp; Arbi, D. Y. (2020).</w:t>
      </w:r>
      <w:proofErr w:type="gramEnd"/>
      <w:r>
        <w:rPr>
          <w:rFonts w:ascii="Century" w:hAnsi="Century" w:cs="Times New Roman"/>
          <w:sz w:val="18"/>
          <w:szCs w:val="18"/>
        </w:rPr>
        <w:t xml:space="preserve"> How Corporate Governance Able to Moderate Income Smoothing in Mining S</w:t>
      </w:r>
      <w:r w:rsidRPr="00591ECB">
        <w:rPr>
          <w:rFonts w:ascii="Century" w:hAnsi="Century" w:cs="Times New Roman"/>
          <w:sz w:val="18"/>
          <w:szCs w:val="18"/>
        </w:rPr>
        <w:t xml:space="preserve">ector. </w:t>
      </w:r>
      <w:r w:rsidRPr="00591ECB">
        <w:rPr>
          <w:rFonts w:ascii="Century" w:hAnsi="Century" w:cs="Times New Roman"/>
          <w:i/>
          <w:iCs/>
          <w:sz w:val="18"/>
          <w:szCs w:val="18"/>
        </w:rPr>
        <w:t xml:space="preserve">International Journal of </w:t>
      </w:r>
      <w:r w:rsidRPr="00591ECB">
        <w:rPr>
          <w:rFonts w:ascii="Century" w:hAnsi="Century" w:cs="Times New Roman"/>
          <w:i/>
          <w:iCs/>
          <w:sz w:val="18"/>
          <w:szCs w:val="18"/>
        </w:rPr>
        <w:lastRenderedPageBreak/>
        <w:t>Management</w:t>
      </w:r>
      <w:r w:rsidRPr="00591ECB">
        <w:rPr>
          <w:rFonts w:ascii="Century" w:hAnsi="Century" w:cs="Times New Roman"/>
          <w:sz w:val="18"/>
          <w:szCs w:val="18"/>
        </w:rPr>
        <w:t xml:space="preserve">, </w:t>
      </w:r>
      <w:r w:rsidRPr="00591ECB">
        <w:rPr>
          <w:rFonts w:ascii="Century" w:hAnsi="Century" w:cs="Times New Roman"/>
          <w:i/>
          <w:iCs/>
          <w:sz w:val="18"/>
          <w:szCs w:val="18"/>
        </w:rPr>
        <w:t>11</w:t>
      </w:r>
      <w:r w:rsidRPr="00591ECB">
        <w:rPr>
          <w:rFonts w:ascii="Century" w:hAnsi="Century" w:cs="Times New Roman"/>
          <w:sz w:val="18"/>
          <w:szCs w:val="18"/>
        </w:rPr>
        <w:t xml:space="preserve">(5), 486–496. </w:t>
      </w:r>
    </w:p>
    <w:p w:rsidR="002165D7" w:rsidRPr="00591ECB" w:rsidRDefault="002165D7" w:rsidP="002165D7">
      <w:pPr>
        <w:adjustRightInd w:val="0"/>
        <w:ind w:left="480" w:hanging="480"/>
        <w:jc w:val="both"/>
        <w:rPr>
          <w:rFonts w:ascii="Century" w:hAnsi="Century" w:cs="Times New Roman"/>
          <w:sz w:val="18"/>
          <w:szCs w:val="18"/>
        </w:rPr>
      </w:pPr>
      <w:proofErr w:type="gramStart"/>
      <w:r w:rsidRPr="00591ECB">
        <w:rPr>
          <w:rFonts w:ascii="Century" w:hAnsi="Century" w:cs="Times New Roman"/>
          <w:sz w:val="18"/>
          <w:szCs w:val="18"/>
        </w:rPr>
        <w:t>Handoko, B. L., &amp; Horison, R. (2020).</w:t>
      </w:r>
      <w:proofErr w:type="gramEnd"/>
      <w:r w:rsidRPr="00591ECB">
        <w:rPr>
          <w:rFonts w:ascii="Century" w:hAnsi="Century" w:cs="Times New Roman"/>
          <w:sz w:val="18"/>
          <w:szCs w:val="18"/>
        </w:rPr>
        <w:t xml:space="preserve"> </w:t>
      </w:r>
      <w:proofErr w:type="gramStart"/>
      <w:r w:rsidRPr="00591ECB">
        <w:rPr>
          <w:rFonts w:ascii="Century" w:hAnsi="Century" w:cs="Times New Roman"/>
          <w:sz w:val="18"/>
          <w:szCs w:val="18"/>
        </w:rPr>
        <w:t>The Effect of Firm Size, Audit Committee, Leverage and Institutional Ownership on Earnings Quality.</w:t>
      </w:r>
      <w:proofErr w:type="gramEnd"/>
      <w:r w:rsidRPr="00591ECB">
        <w:rPr>
          <w:rFonts w:ascii="Century" w:hAnsi="Century" w:cs="Times New Roman"/>
          <w:sz w:val="18"/>
          <w:szCs w:val="18"/>
        </w:rPr>
        <w:t xml:space="preserve"> </w:t>
      </w:r>
      <w:proofErr w:type="gramStart"/>
      <w:r w:rsidRPr="00591ECB">
        <w:rPr>
          <w:rFonts w:ascii="Century" w:hAnsi="Century" w:cs="Times New Roman"/>
          <w:i/>
          <w:iCs/>
          <w:sz w:val="18"/>
          <w:szCs w:val="18"/>
        </w:rPr>
        <w:t>International Journal of Recent Technology and Engineering</w:t>
      </w:r>
      <w:r w:rsidRPr="00591ECB">
        <w:rPr>
          <w:rFonts w:ascii="Century" w:hAnsi="Century" w:cs="Times New Roman"/>
          <w:sz w:val="18"/>
          <w:szCs w:val="18"/>
        </w:rPr>
        <w:t xml:space="preserve">, </w:t>
      </w:r>
      <w:r w:rsidRPr="00591ECB">
        <w:rPr>
          <w:rFonts w:ascii="Century" w:hAnsi="Century" w:cs="Times New Roman"/>
          <w:i/>
          <w:iCs/>
          <w:sz w:val="18"/>
          <w:szCs w:val="18"/>
        </w:rPr>
        <w:t>8</w:t>
      </w:r>
      <w:r w:rsidRPr="00591ECB">
        <w:rPr>
          <w:rFonts w:ascii="Century" w:hAnsi="Century" w:cs="Times New Roman"/>
          <w:sz w:val="18"/>
          <w:szCs w:val="18"/>
        </w:rPr>
        <w:t>(5), 4510–4516.</w:t>
      </w:r>
      <w:proofErr w:type="gramEnd"/>
      <w:r w:rsidRPr="00591ECB">
        <w:rPr>
          <w:rFonts w:ascii="Century" w:hAnsi="Century" w:cs="Times New Roman"/>
          <w:sz w:val="18"/>
          <w:szCs w:val="18"/>
        </w:rPr>
        <w:t xml:space="preserve"> </w:t>
      </w:r>
    </w:p>
    <w:p w:rsidR="002165D7" w:rsidRPr="00591ECB" w:rsidRDefault="002165D7" w:rsidP="002165D7">
      <w:pPr>
        <w:adjustRightInd w:val="0"/>
        <w:ind w:left="480" w:hanging="480"/>
        <w:jc w:val="both"/>
        <w:rPr>
          <w:rFonts w:ascii="Century" w:hAnsi="Century" w:cs="Times New Roman"/>
          <w:sz w:val="18"/>
          <w:szCs w:val="18"/>
        </w:rPr>
      </w:pPr>
      <w:proofErr w:type="gramStart"/>
      <w:r w:rsidRPr="00591ECB">
        <w:rPr>
          <w:rFonts w:ascii="Century" w:hAnsi="Century" w:cs="Times New Roman"/>
          <w:sz w:val="18"/>
          <w:szCs w:val="18"/>
        </w:rPr>
        <w:t>Hapsoro, D., &amp; Shufia, A. M. (2018).</w:t>
      </w:r>
      <w:proofErr w:type="gramEnd"/>
      <w:r w:rsidRPr="00591ECB">
        <w:rPr>
          <w:rFonts w:ascii="Century" w:hAnsi="Century" w:cs="Times New Roman"/>
          <w:sz w:val="18"/>
          <w:szCs w:val="18"/>
        </w:rPr>
        <w:t xml:space="preserve"> Does Managerial Ownership Moderate the Effect of Managerial Ability on Earnings Quality? </w:t>
      </w:r>
      <w:proofErr w:type="gramStart"/>
      <w:r w:rsidRPr="00591ECB">
        <w:rPr>
          <w:rFonts w:ascii="Century" w:hAnsi="Century" w:cs="Times New Roman"/>
          <w:sz w:val="18"/>
          <w:szCs w:val="18"/>
        </w:rPr>
        <w:t>A comparative Study of Manufacturing Companies in Indonesia and Malaysia.</w:t>
      </w:r>
      <w:proofErr w:type="gramEnd"/>
      <w:r w:rsidRPr="00591ECB">
        <w:rPr>
          <w:rFonts w:ascii="Century" w:hAnsi="Century" w:cs="Times New Roman"/>
          <w:sz w:val="18"/>
          <w:szCs w:val="18"/>
        </w:rPr>
        <w:t xml:space="preserve"> </w:t>
      </w:r>
      <w:r w:rsidRPr="00591ECB">
        <w:rPr>
          <w:rFonts w:ascii="Century" w:hAnsi="Century" w:cs="Times New Roman"/>
          <w:i/>
          <w:iCs/>
          <w:sz w:val="18"/>
          <w:szCs w:val="18"/>
        </w:rPr>
        <w:t>The Journal of Social Sciences Research</w:t>
      </w:r>
      <w:r w:rsidRPr="00591ECB">
        <w:rPr>
          <w:rFonts w:ascii="Century" w:hAnsi="Century" w:cs="Times New Roman"/>
          <w:sz w:val="18"/>
          <w:szCs w:val="18"/>
        </w:rPr>
        <w:t xml:space="preserve">, (SPI 2), 639–647. </w:t>
      </w:r>
    </w:p>
    <w:p w:rsidR="002165D7" w:rsidRPr="00591ECB" w:rsidRDefault="002165D7" w:rsidP="002165D7">
      <w:pPr>
        <w:adjustRightInd w:val="0"/>
        <w:ind w:left="480" w:hanging="480"/>
        <w:jc w:val="both"/>
        <w:rPr>
          <w:rFonts w:ascii="Century" w:hAnsi="Century" w:cs="Times New Roman"/>
          <w:sz w:val="18"/>
          <w:szCs w:val="18"/>
        </w:rPr>
      </w:pPr>
      <w:r w:rsidRPr="00591ECB">
        <w:rPr>
          <w:rFonts w:ascii="Century" w:hAnsi="Century" w:cs="Times New Roman"/>
          <w:sz w:val="18"/>
          <w:szCs w:val="18"/>
        </w:rPr>
        <w:t xml:space="preserve">Hartono, J. (2017). </w:t>
      </w:r>
      <w:proofErr w:type="gramStart"/>
      <w:r w:rsidRPr="00591ECB">
        <w:rPr>
          <w:rFonts w:ascii="Century" w:hAnsi="Century" w:cs="Times New Roman"/>
          <w:i/>
          <w:iCs/>
          <w:sz w:val="18"/>
          <w:szCs w:val="18"/>
        </w:rPr>
        <w:t>Teori Portofolio dan Analisis Investasi, Edisi 11</w:t>
      </w:r>
      <w:r w:rsidRPr="00591ECB">
        <w:rPr>
          <w:rFonts w:ascii="Century" w:hAnsi="Century" w:cs="Times New Roman"/>
          <w:sz w:val="18"/>
          <w:szCs w:val="18"/>
        </w:rPr>
        <w:t>.</w:t>
      </w:r>
      <w:proofErr w:type="gramEnd"/>
      <w:r w:rsidRPr="00591ECB">
        <w:rPr>
          <w:rFonts w:ascii="Century" w:hAnsi="Century" w:cs="Times New Roman"/>
          <w:sz w:val="18"/>
          <w:szCs w:val="18"/>
        </w:rPr>
        <w:t xml:space="preserve"> Yogyakarta</w:t>
      </w:r>
      <w:r w:rsidRPr="00591ECB">
        <w:rPr>
          <w:rFonts w:ascii="Times New Roman" w:hAnsi="Times New Roman" w:cs="Times New Roman"/>
          <w:sz w:val="18"/>
          <w:szCs w:val="18"/>
        </w:rPr>
        <w:t> </w:t>
      </w:r>
      <w:r w:rsidRPr="00591ECB">
        <w:rPr>
          <w:rFonts w:ascii="Century" w:hAnsi="Century" w:cs="Times New Roman"/>
          <w:sz w:val="18"/>
          <w:szCs w:val="18"/>
        </w:rPr>
        <w:t>: BPFE.</w:t>
      </w:r>
    </w:p>
    <w:p w:rsidR="002165D7" w:rsidRPr="00591ECB" w:rsidRDefault="002165D7" w:rsidP="002165D7">
      <w:pPr>
        <w:adjustRightInd w:val="0"/>
        <w:ind w:left="480" w:hanging="480"/>
        <w:jc w:val="both"/>
        <w:rPr>
          <w:rFonts w:ascii="Century" w:hAnsi="Century" w:cs="Times New Roman"/>
          <w:sz w:val="18"/>
          <w:szCs w:val="18"/>
        </w:rPr>
      </w:pPr>
      <w:proofErr w:type="gramStart"/>
      <w:r w:rsidRPr="00591ECB">
        <w:rPr>
          <w:rFonts w:ascii="Century" w:hAnsi="Century" w:cs="Times New Roman"/>
          <w:sz w:val="18"/>
          <w:szCs w:val="18"/>
        </w:rPr>
        <w:t>Hutasoit, S., Harahap, K., Nst, A. H., Teori, L., &amp; Pengembangan, D. (2020).</w:t>
      </w:r>
      <w:proofErr w:type="gramEnd"/>
      <w:r w:rsidRPr="00591ECB">
        <w:rPr>
          <w:rFonts w:ascii="Century" w:hAnsi="Century" w:cs="Times New Roman"/>
          <w:sz w:val="18"/>
          <w:szCs w:val="18"/>
        </w:rPr>
        <w:t xml:space="preserve"> Pengaruh Corporate Social Responsibility Terhadap Earning Quality Pada Perusahaan Pertambangan Yang Terdaftar Di Bursa Efek Indonesia Tahun 2015 - 2017. </w:t>
      </w:r>
      <w:r w:rsidRPr="00591ECB">
        <w:rPr>
          <w:rFonts w:ascii="Century" w:hAnsi="Century" w:cs="Times New Roman"/>
          <w:i/>
          <w:iCs/>
          <w:sz w:val="18"/>
          <w:szCs w:val="18"/>
        </w:rPr>
        <w:t>Jurnal Akuntansi, Keuangan Dan Perpajakan Indonesia (JAKPI)</w:t>
      </w:r>
      <w:r w:rsidRPr="00591ECB">
        <w:rPr>
          <w:rFonts w:ascii="Century" w:hAnsi="Century" w:cs="Times New Roman"/>
          <w:sz w:val="18"/>
          <w:szCs w:val="18"/>
        </w:rPr>
        <w:t>, 0–10.</w:t>
      </w:r>
    </w:p>
    <w:p w:rsidR="002165D7" w:rsidRPr="00591ECB" w:rsidRDefault="002165D7" w:rsidP="002165D7">
      <w:pPr>
        <w:adjustRightInd w:val="0"/>
        <w:ind w:left="480" w:hanging="480"/>
        <w:jc w:val="both"/>
        <w:rPr>
          <w:rFonts w:ascii="Century" w:hAnsi="Century" w:cs="Times New Roman"/>
          <w:sz w:val="18"/>
          <w:szCs w:val="18"/>
        </w:rPr>
      </w:pPr>
      <w:proofErr w:type="gramStart"/>
      <w:r w:rsidRPr="00591ECB">
        <w:rPr>
          <w:rFonts w:ascii="Century" w:hAnsi="Century" w:cs="Times New Roman"/>
          <w:sz w:val="18"/>
          <w:szCs w:val="18"/>
        </w:rPr>
        <w:t>Ismail.</w:t>
      </w:r>
      <w:proofErr w:type="gramEnd"/>
      <w:r w:rsidRPr="00591ECB">
        <w:rPr>
          <w:rFonts w:ascii="Century" w:hAnsi="Century" w:cs="Times New Roman"/>
          <w:sz w:val="18"/>
          <w:szCs w:val="18"/>
        </w:rPr>
        <w:t xml:space="preserve"> </w:t>
      </w:r>
      <w:proofErr w:type="gramStart"/>
      <w:r w:rsidRPr="00591ECB">
        <w:rPr>
          <w:rFonts w:ascii="Century" w:hAnsi="Century" w:cs="Times New Roman"/>
          <w:sz w:val="18"/>
          <w:szCs w:val="18"/>
        </w:rPr>
        <w:t>(2018). Pengaruh Prinsip Konservatisme Akuntansi Terhadap Mekanisme Good Corporate Governance dan Kualitas Laba Perusahaan.</w:t>
      </w:r>
      <w:proofErr w:type="gramEnd"/>
      <w:r w:rsidRPr="00591ECB">
        <w:rPr>
          <w:rFonts w:ascii="Century" w:hAnsi="Century" w:cs="Times New Roman"/>
          <w:sz w:val="18"/>
          <w:szCs w:val="18"/>
        </w:rPr>
        <w:t xml:space="preserve"> </w:t>
      </w:r>
      <w:r w:rsidRPr="00591ECB">
        <w:rPr>
          <w:rFonts w:ascii="Century" w:hAnsi="Century" w:cs="Times New Roman"/>
          <w:i/>
          <w:iCs/>
          <w:sz w:val="18"/>
          <w:szCs w:val="18"/>
        </w:rPr>
        <w:t>Bongaya Journal for Research in Accounting</w:t>
      </w:r>
      <w:r w:rsidRPr="00591ECB">
        <w:rPr>
          <w:rFonts w:ascii="Century" w:hAnsi="Century" w:cs="Times New Roman"/>
          <w:sz w:val="18"/>
          <w:szCs w:val="18"/>
        </w:rPr>
        <w:t xml:space="preserve">, </w:t>
      </w:r>
      <w:r w:rsidRPr="00591ECB">
        <w:rPr>
          <w:rFonts w:ascii="Century" w:hAnsi="Century" w:cs="Times New Roman"/>
          <w:i/>
          <w:iCs/>
          <w:sz w:val="18"/>
          <w:szCs w:val="18"/>
        </w:rPr>
        <w:t>1</w:t>
      </w:r>
      <w:r w:rsidRPr="00591ECB">
        <w:rPr>
          <w:rFonts w:ascii="Century" w:hAnsi="Century" w:cs="Times New Roman"/>
          <w:sz w:val="18"/>
          <w:szCs w:val="18"/>
        </w:rPr>
        <w:t>(1), 1–7.</w:t>
      </w:r>
    </w:p>
    <w:p w:rsidR="002165D7" w:rsidRPr="00591ECB" w:rsidRDefault="002165D7" w:rsidP="002165D7">
      <w:pPr>
        <w:adjustRightInd w:val="0"/>
        <w:ind w:left="480" w:hanging="480"/>
        <w:jc w:val="both"/>
        <w:rPr>
          <w:rFonts w:ascii="Century" w:hAnsi="Century" w:cs="Times New Roman"/>
          <w:sz w:val="18"/>
          <w:szCs w:val="18"/>
        </w:rPr>
      </w:pPr>
      <w:r w:rsidRPr="00591ECB">
        <w:rPr>
          <w:rFonts w:ascii="Century" w:hAnsi="Century" w:cs="Times New Roman"/>
          <w:sz w:val="18"/>
          <w:szCs w:val="18"/>
        </w:rPr>
        <w:t xml:space="preserve">James Ohlson. </w:t>
      </w:r>
      <w:proofErr w:type="gramStart"/>
      <w:r w:rsidRPr="00591ECB">
        <w:rPr>
          <w:rFonts w:ascii="Century" w:hAnsi="Century" w:cs="Times New Roman"/>
          <w:sz w:val="18"/>
          <w:szCs w:val="18"/>
        </w:rPr>
        <w:t>(1995). Earnings, book-values, and dividends in equity valuation.</w:t>
      </w:r>
      <w:proofErr w:type="gramEnd"/>
      <w:r w:rsidRPr="00591ECB">
        <w:rPr>
          <w:rFonts w:ascii="Century" w:hAnsi="Century" w:cs="Times New Roman"/>
          <w:sz w:val="18"/>
          <w:szCs w:val="18"/>
        </w:rPr>
        <w:t xml:space="preserve"> </w:t>
      </w:r>
      <w:r w:rsidRPr="00591ECB">
        <w:rPr>
          <w:rFonts w:ascii="Century" w:hAnsi="Century" w:cs="Times New Roman"/>
          <w:i/>
          <w:iCs/>
          <w:sz w:val="18"/>
          <w:szCs w:val="18"/>
        </w:rPr>
        <w:t>Contemporary Accounting Research</w:t>
      </w:r>
      <w:r w:rsidRPr="00591ECB">
        <w:rPr>
          <w:rFonts w:ascii="Century" w:hAnsi="Century" w:cs="Times New Roman"/>
          <w:sz w:val="18"/>
          <w:szCs w:val="18"/>
        </w:rPr>
        <w:t xml:space="preserve">, </w:t>
      </w:r>
      <w:r w:rsidRPr="00591ECB">
        <w:rPr>
          <w:rFonts w:ascii="Century" w:hAnsi="Century" w:cs="Times New Roman"/>
          <w:i/>
          <w:iCs/>
          <w:sz w:val="18"/>
          <w:szCs w:val="18"/>
        </w:rPr>
        <w:t>11</w:t>
      </w:r>
      <w:r w:rsidRPr="00591ECB">
        <w:rPr>
          <w:rFonts w:ascii="Century" w:hAnsi="Century" w:cs="Times New Roman"/>
          <w:sz w:val="18"/>
          <w:szCs w:val="18"/>
        </w:rPr>
        <w:t>(11), 661–687.</w:t>
      </w:r>
    </w:p>
    <w:p w:rsidR="002165D7" w:rsidRPr="00591ECB" w:rsidRDefault="002165D7" w:rsidP="002165D7">
      <w:pPr>
        <w:adjustRightInd w:val="0"/>
        <w:ind w:left="480" w:hanging="480"/>
        <w:jc w:val="both"/>
        <w:rPr>
          <w:rFonts w:ascii="Century" w:hAnsi="Century" w:cs="Times New Roman"/>
          <w:sz w:val="18"/>
          <w:szCs w:val="18"/>
        </w:rPr>
      </w:pPr>
      <w:proofErr w:type="gramStart"/>
      <w:r w:rsidRPr="00591ECB">
        <w:rPr>
          <w:rFonts w:ascii="Century" w:hAnsi="Century" w:cs="Times New Roman"/>
          <w:sz w:val="18"/>
          <w:szCs w:val="18"/>
        </w:rPr>
        <w:t>Jensen, M., &amp; Meckling, W. H. (1976).</w:t>
      </w:r>
      <w:proofErr w:type="gramEnd"/>
      <w:r w:rsidRPr="00591ECB">
        <w:rPr>
          <w:rFonts w:ascii="Century" w:hAnsi="Century" w:cs="Times New Roman"/>
          <w:sz w:val="18"/>
          <w:szCs w:val="18"/>
        </w:rPr>
        <w:t xml:space="preserve"> Theory of the firm: Managerial behavior, agency costs and ownership structure. </w:t>
      </w:r>
      <w:r w:rsidRPr="00591ECB">
        <w:rPr>
          <w:rFonts w:ascii="Century" w:hAnsi="Century" w:cs="Times New Roman"/>
          <w:i/>
          <w:iCs/>
          <w:sz w:val="18"/>
          <w:szCs w:val="18"/>
        </w:rPr>
        <w:t>Journal of Financial Economics</w:t>
      </w:r>
      <w:r w:rsidRPr="00591ECB">
        <w:rPr>
          <w:rFonts w:ascii="Century" w:hAnsi="Century" w:cs="Times New Roman"/>
          <w:sz w:val="18"/>
          <w:szCs w:val="18"/>
        </w:rPr>
        <w:t xml:space="preserve">, </w:t>
      </w:r>
      <w:r w:rsidRPr="00591ECB">
        <w:rPr>
          <w:rFonts w:ascii="Century" w:hAnsi="Century" w:cs="Times New Roman"/>
          <w:i/>
          <w:iCs/>
          <w:sz w:val="18"/>
          <w:szCs w:val="18"/>
        </w:rPr>
        <w:t>3</w:t>
      </w:r>
      <w:r w:rsidRPr="00591ECB">
        <w:rPr>
          <w:rFonts w:ascii="Century" w:hAnsi="Century" w:cs="Times New Roman"/>
          <w:sz w:val="18"/>
          <w:szCs w:val="18"/>
        </w:rPr>
        <w:t>(4), 305–360.</w:t>
      </w:r>
    </w:p>
    <w:p w:rsidR="002165D7" w:rsidRPr="00591ECB" w:rsidRDefault="002165D7" w:rsidP="002165D7">
      <w:pPr>
        <w:adjustRightInd w:val="0"/>
        <w:ind w:left="480" w:hanging="480"/>
        <w:jc w:val="both"/>
        <w:rPr>
          <w:rFonts w:ascii="Century" w:hAnsi="Century" w:cs="Times New Roman"/>
          <w:sz w:val="18"/>
          <w:szCs w:val="18"/>
        </w:rPr>
      </w:pPr>
      <w:r w:rsidRPr="00591ECB">
        <w:rPr>
          <w:rFonts w:ascii="Century" w:hAnsi="Century" w:cs="Times New Roman"/>
          <w:sz w:val="18"/>
          <w:szCs w:val="18"/>
        </w:rPr>
        <w:t xml:space="preserve">Jouber, H. (2019). Corporate social responsibility and earnings quality: do institutional features matter? </w:t>
      </w:r>
      <w:r w:rsidRPr="00591ECB">
        <w:rPr>
          <w:rFonts w:ascii="Century" w:hAnsi="Century" w:cs="Times New Roman"/>
          <w:i/>
          <w:iCs/>
          <w:sz w:val="18"/>
          <w:szCs w:val="18"/>
        </w:rPr>
        <w:t>Journal of Global Responsibility</w:t>
      </w:r>
      <w:r w:rsidRPr="00591ECB">
        <w:rPr>
          <w:rFonts w:ascii="Century" w:hAnsi="Century" w:cs="Times New Roman"/>
          <w:sz w:val="18"/>
          <w:szCs w:val="18"/>
        </w:rPr>
        <w:t xml:space="preserve">, </w:t>
      </w:r>
      <w:r w:rsidRPr="00591ECB">
        <w:rPr>
          <w:rFonts w:ascii="Century" w:hAnsi="Century" w:cs="Times New Roman"/>
          <w:i/>
          <w:iCs/>
          <w:sz w:val="18"/>
          <w:szCs w:val="18"/>
        </w:rPr>
        <w:t>11</w:t>
      </w:r>
      <w:r w:rsidRPr="00591ECB">
        <w:rPr>
          <w:rFonts w:ascii="Century" w:hAnsi="Century" w:cs="Times New Roman"/>
          <w:sz w:val="18"/>
          <w:szCs w:val="18"/>
        </w:rPr>
        <w:t xml:space="preserve">(1), 54–92. </w:t>
      </w:r>
    </w:p>
    <w:p w:rsidR="002165D7" w:rsidRPr="00591ECB" w:rsidRDefault="002165D7" w:rsidP="002165D7">
      <w:pPr>
        <w:adjustRightInd w:val="0"/>
        <w:ind w:left="480" w:hanging="480"/>
        <w:jc w:val="both"/>
        <w:rPr>
          <w:rFonts w:ascii="Century" w:hAnsi="Century" w:cs="Times New Roman"/>
          <w:sz w:val="18"/>
          <w:szCs w:val="18"/>
        </w:rPr>
      </w:pPr>
      <w:proofErr w:type="gramStart"/>
      <w:r w:rsidRPr="00591ECB">
        <w:rPr>
          <w:rFonts w:ascii="Century" w:hAnsi="Century" w:cs="Times New Roman"/>
          <w:sz w:val="18"/>
          <w:szCs w:val="18"/>
        </w:rPr>
        <w:t>Listyaningsih,</w:t>
      </w:r>
      <w:proofErr w:type="gramEnd"/>
      <w:r w:rsidRPr="00591ECB">
        <w:rPr>
          <w:rFonts w:ascii="Century" w:hAnsi="Century" w:cs="Times New Roman"/>
          <w:sz w:val="18"/>
          <w:szCs w:val="18"/>
        </w:rPr>
        <w:t xml:space="preserve"> &amp; Fransisca. (2020). Investment Opportunity Set and Good Corporate Governance </w:t>
      </w:r>
      <w:proofErr w:type="gramStart"/>
      <w:r w:rsidRPr="00591ECB">
        <w:rPr>
          <w:rFonts w:ascii="Century" w:hAnsi="Century" w:cs="Times New Roman"/>
          <w:sz w:val="18"/>
          <w:szCs w:val="18"/>
        </w:rPr>
        <w:t>To</w:t>
      </w:r>
      <w:proofErr w:type="gramEnd"/>
      <w:r w:rsidRPr="00591ECB">
        <w:rPr>
          <w:rFonts w:ascii="Century" w:hAnsi="Century" w:cs="Times New Roman"/>
          <w:sz w:val="18"/>
          <w:szCs w:val="18"/>
        </w:rPr>
        <w:t xml:space="preserve"> Earnings quality. </w:t>
      </w:r>
      <w:r w:rsidRPr="00591ECB">
        <w:rPr>
          <w:rFonts w:ascii="Century" w:hAnsi="Century" w:cs="Times New Roman"/>
          <w:i/>
          <w:iCs/>
          <w:sz w:val="18"/>
          <w:szCs w:val="18"/>
        </w:rPr>
        <w:t>EPRA International Journal of Multidisciplinary Research (IJMR)-Peer Reviewed Journal</w:t>
      </w:r>
      <w:r w:rsidRPr="00591ECB">
        <w:rPr>
          <w:rFonts w:ascii="Century" w:hAnsi="Century" w:cs="Times New Roman"/>
          <w:sz w:val="18"/>
          <w:szCs w:val="18"/>
        </w:rPr>
        <w:t xml:space="preserve">, (2), 242–251. </w:t>
      </w:r>
    </w:p>
    <w:p w:rsidR="002165D7" w:rsidRPr="00591ECB" w:rsidRDefault="002165D7" w:rsidP="002165D7">
      <w:pPr>
        <w:adjustRightInd w:val="0"/>
        <w:ind w:left="480" w:hanging="480"/>
        <w:jc w:val="both"/>
        <w:rPr>
          <w:rFonts w:ascii="Century" w:hAnsi="Century" w:cs="Times New Roman"/>
          <w:sz w:val="18"/>
          <w:szCs w:val="18"/>
        </w:rPr>
      </w:pPr>
      <w:proofErr w:type="gramStart"/>
      <w:r w:rsidRPr="00591ECB">
        <w:rPr>
          <w:rFonts w:ascii="Century" w:hAnsi="Century" w:cs="Times New Roman"/>
          <w:sz w:val="18"/>
          <w:szCs w:val="18"/>
        </w:rPr>
        <w:t xml:space="preserve">Mahdi Obaid, M., </w:t>
      </w:r>
      <w:r>
        <w:rPr>
          <w:rFonts w:ascii="Century" w:hAnsi="Century" w:cs="Times New Roman"/>
          <w:sz w:val="18"/>
          <w:szCs w:val="18"/>
        </w:rPr>
        <w:t>&amp; Rajab Amrah, M. (2020).</w:t>
      </w:r>
      <w:proofErr w:type="gramEnd"/>
      <w:r>
        <w:rPr>
          <w:rFonts w:ascii="Century" w:hAnsi="Century" w:cs="Times New Roman"/>
          <w:sz w:val="18"/>
          <w:szCs w:val="18"/>
        </w:rPr>
        <w:t xml:space="preserve"> </w:t>
      </w:r>
      <w:r w:rsidRPr="00591ECB">
        <w:rPr>
          <w:rFonts w:ascii="Century" w:hAnsi="Century" w:cs="Times New Roman"/>
          <w:sz w:val="18"/>
          <w:szCs w:val="18"/>
        </w:rPr>
        <w:t>Emerging policies and the effectiveness of corporate governance mechanisms on earning quality</w:t>
      </w:r>
      <w:r w:rsidRPr="00591ECB">
        <w:rPr>
          <w:rFonts w:ascii="Times New Roman" w:hAnsi="Times New Roman" w:cs="Times New Roman"/>
          <w:sz w:val="18"/>
          <w:szCs w:val="18"/>
        </w:rPr>
        <w:t> </w:t>
      </w:r>
      <w:r w:rsidRPr="00591ECB">
        <w:rPr>
          <w:rFonts w:ascii="Century" w:hAnsi="Century" w:cs="Times New Roman"/>
          <w:sz w:val="18"/>
          <w:szCs w:val="18"/>
        </w:rPr>
        <w:t xml:space="preserve">: A conceptual framework for Gulf cooperation council. </w:t>
      </w:r>
      <w:r w:rsidRPr="00591ECB">
        <w:rPr>
          <w:rFonts w:ascii="Century" w:hAnsi="Century" w:cs="Times New Roman"/>
          <w:i/>
          <w:iCs/>
          <w:sz w:val="18"/>
          <w:szCs w:val="18"/>
        </w:rPr>
        <w:t xml:space="preserve">Internasional Journal </w:t>
      </w:r>
      <w:proofErr w:type="gramStart"/>
      <w:r w:rsidRPr="00591ECB">
        <w:rPr>
          <w:rFonts w:ascii="Century" w:hAnsi="Century" w:cs="Times New Roman"/>
          <w:i/>
          <w:iCs/>
          <w:sz w:val="18"/>
          <w:szCs w:val="18"/>
        </w:rPr>
        <w:t>Of</w:t>
      </w:r>
      <w:proofErr w:type="gramEnd"/>
      <w:r w:rsidRPr="00591ECB">
        <w:rPr>
          <w:rFonts w:ascii="Century" w:hAnsi="Century" w:cs="Times New Roman"/>
          <w:i/>
          <w:iCs/>
          <w:sz w:val="18"/>
          <w:szCs w:val="18"/>
        </w:rPr>
        <w:t xml:space="preserve"> Research Business and Social Science (IJRBS)</w:t>
      </w:r>
      <w:r w:rsidRPr="00591ECB">
        <w:rPr>
          <w:rFonts w:ascii="Century" w:hAnsi="Century" w:cs="Times New Roman"/>
          <w:sz w:val="18"/>
          <w:szCs w:val="18"/>
        </w:rPr>
        <w:t xml:space="preserve">, </w:t>
      </w:r>
      <w:r w:rsidRPr="00591ECB">
        <w:rPr>
          <w:rFonts w:ascii="Century" w:hAnsi="Century" w:cs="Times New Roman"/>
          <w:i/>
          <w:iCs/>
          <w:sz w:val="18"/>
          <w:szCs w:val="18"/>
        </w:rPr>
        <w:t>9</w:t>
      </w:r>
      <w:r w:rsidRPr="00591ECB">
        <w:rPr>
          <w:rFonts w:ascii="Century" w:hAnsi="Century" w:cs="Times New Roman"/>
          <w:sz w:val="18"/>
          <w:szCs w:val="18"/>
        </w:rPr>
        <w:t>(3), 157–164.</w:t>
      </w:r>
    </w:p>
    <w:p w:rsidR="002165D7" w:rsidRPr="00591ECB" w:rsidRDefault="002165D7" w:rsidP="002165D7">
      <w:pPr>
        <w:adjustRightInd w:val="0"/>
        <w:ind w:left="480" w:hanging="480"/>
        <w:jc w:val="both"/>
        <w:rPr>
          <w:rFonts w:ascii="Century" w:hAnsi="Century" w:cs="Times New Roman"/>
          <w:sz w:val="18"/>
          <w:szCs w:val="18"/>
        </w:rPr>
      </w:pPr>
      <w:proofErr w:type="gramStart"/>
      <w:r w:rsidRPr="00591ECB">
        <w:rPr>
          <w:rFonts w:ascii="Century" w:hAnsi="Century" w:cs="Times New Roman"/>
          <w:sz w:val="18"/>
          <w:szCs w:val="18"/>
        </w:rPr>
        <w:t>Mehrani, S., Moradi, M., &amp; Eskandar, H. (2017).</w:t>
      </w:r>
      <w:proofErr w:type="gramEnd"/>
      <w:r w:rsidRPr="00591ECB">
        <w:rPr>
          <w:rFonts w:ascii="Century" w:hAnsi="Century" w:cs="Times New Roman"/>
          <w:sz w:val="18"/>
          <w:szCs w:val="18"/>
        </w:rPr>
        <w:t xml:space="preserve"> Institutional Ownership Type and Earnings Quality: Evidence from Iran. </w:t>
      </w:r>
      <w:proofErr w:type="gramStart"/>
      <w:r w:rsidRPr="00591ECB">
        <w:rPr>
          <w:rFonts w:ascii="Century" w:hAnsi="Century" w:cs="Times New Roman"/>
          <w:i/>
          <w:iCs/>
          <w:sz w:val="18"/>
          <w:szCs w:val="18"/>
        </w:rPr>
        <w:t>Journal of Emerging Markets Finance and Trade</w:t>
      </w:r>
      <w:r w:rsidRPr="00591ECB">
        <w:rPr>
          <w:rFonts w:ascii="Century" w:hAnsi="Century" w:cs="Times New Roman"/>
          <w:sz w:val="18"/>
          <w:szCs w:val="18"/>
        </w:rPr>
        <w:t xml:space="preserve">, </w:t>
      </w:r>
      <w:r w:rsidRPr="00591ECB">
        <w:rPr>
          <w:rFonts w:ascii="Century" w:hAnsi="Century" w:cs="Times New Roman"/>
          <w:i/>
          <w:iCs/>
          <w:sz w:val="18"/>
          <w:szCs w:val="18"/>
        </w:rPr>
        <w:t>53</w:t>
      </w:r>
      <w:r w:rsidRPr="00591ECB">
        <w:rPr>
          <w:rFonts w:ascii="Century" w:hAnsi="Century" w:cs="Times New Roman"/>
          <w:sz w:val="18"/>
          <w:szCs w:val="18"/>
        </w:rPr>
        <w:t>(1), 54–73.</w:t>
      </w:r>
      <w:proofErr w:type="gramEnd"/>
      <w:r w:rsidRPr="00591ECB">
        <w:rPr>
          <w:rFonts w:ascii="Century" w:hAnsi="Century" w:cs="Times New Roman"/>
          <w:sz w:val="18"/>
          <w:szCs w:val="18"/>
        </w:rPr>
        <w:t xml:space="preserve"> </w:t>
      </w:r>
    </w:p>
    <w:p w:rsidR="002165D7" w:rsidRPr="00591ECB" w:rsidRDefault="002165D7" w:rsidP="002165D7">
      <w:pPr>
        <w:adjustRightInd w:val="0"/>
        <w:ind w:left="480" w:hanging="480"/>
        <w:jc w:val="both"/>
        <w:rPr>
          <w:rFonts w:ascii="Century" w:hAnsi="Century" w:cs="Times New Roman"/>
          <w:sz w:val="18"/>
          <w:szCs w:val="18"/>
        </w:rPr>
      </w:pPr>
      <w:proofErr w:type="gramStart"/>
      <w:r w:rsidRPr="00591ECB">
        <w:rPr>
          <w:rFonts w:ascii="Century" w:hAnsi="Century" w:cs="Times New Roman"/>
          <w:sz w:val="18"/>
          <w:szCs w:val="18"/>
        </w:rPr>
        <w:t>Mukhtaruddin, Ferina, I. S., &amp; Nurcahaya, C. (2014).</w:t>
      </w:r>
      <w:proofErr w:type="gramEnd"/>
      <w:r w:rsidRPr="00591ECB">
        <w:rPr>
          <w:rFonts w:ascii="Century" w:hAnsi="Century" w:cs="Times New Roman"/>
          <w:sz w:val="18"/>
          <w:szCs w:val="18"/>
        </w:rPr>
        <w:t xml:space="preserve"> </w:t>
      </w:r>
      <w:r w:rsidRPr="00591ECB">
        <w:rPr>
          <w:rFonts w:ascii="Century" w:hAnsi="Century" w:cs="Times New Roman"/>
          <w:sz w:val="18"/>
          <w:szCs w:val="18"/>
        </w:rPr>
        <w:lastRenderedPageBreak/>
        <w:t>Ownership Structure and Firm Values</w:t>
      </w:r>
      <w:r w:rsidRPr="00591ECB">
        <w:rPr>
          <w:rFonts w:ascii="Times New Roman" w:hAnsi="Times New Roman" w:cs="Times New Roman"/>
          <w:sz w:val="18"/>
          <w:szCs w:val="18"/>
        </w:rPr>
        <w:t> </w:t>
      </w:r>
      <w:r w:rsidRPr="00591ECB">
        <w:rPr>
          <w:rFonts w:ascii="Century" w:hAnsi="Century" w:cs="Times New Roman"/>
          <w:sz w:val="18"/>
          <w:szCs w:val="18"/>
        </w:rPr>
        <w:t xml:space="preserve">: Empirical Study on Indonesia Manufacturing Listed Companies. </w:t>
      </w:r>
      <w:r w:rsidRPr="00591ECB">
        <w:rPr>
          <w:rFonts w:ascii="Century" w:hAnsi="Century" w:cs="Times New Roman"/>
          <w:i/>
          <w:iCs/>
          <w:sz w:val="18"/>
          <w:szCs w:val="18"/>
        </w:rPr>
        <w:t>Journal Of Arts, Science &amp; Commerce</w:t>
      </w:r>
      <w:r w:rsidRPr="00591ECB">
        <w:rPr>
          <w:rFonts w:ascii="Century" w:hAnsi="Century" w:cs="Times New Roman"/>
          <w:sz w:val="18"/>
          <w:szCs w:val="18"/>
        </w:rPr>
        <w:t xml:space="preserve">, </w:t>
      </w:r>
      <w:proofErr w:type="gramStart"/>
      <w:r w:rsidRPr="00591ECB">
        <w:rPr>
          <w:rFonts w:ascii="Century" w:hAnsi="Century" w:cs="Times New Roman"/>
          <w:i/>
          <w:iCs/>
          <w:sz w:val="18"/>
          <w:szCs w:val="18"/>
        </w:rPr>
        <w:t>V</w:t>
      </w:r>
      <w:r w:rsidRPr="00591ECB">
        <w:rPr>
          <w:rFonts w:ascii="Century" w:hAnsi="Century" w:cs="Times New Roman"/>
          <w:sz w:val="18"/>
          <w:szCs w:val="18"/>
        </w:rPr>
        <w:t>(</w:t>
      </w:r>
      <w:proofErr w:type="gramEnd"/>
      <w:r w:rsidRPr="00591ECB">
        <w:rPr>
          <w:rFonts w:ascii="Century" w:hAnsi="Century" w:cs="Times New Roman"/>
          <w:sz w:val="18"/>
          <w:szCs w:val="18"/>
        </w:rPr>
        <w:t>4), 1–14.</w:t>
      </w:r>
    </w:p>
    <w:p w:rsidR="002165D7" w:rsidRPr="00591ECB" w:rsidRDefault="002165D7" w:rsidP="002165D7">
      <w:pPr>
        <w:adjustRightInd w:val="0"/>
        <w:ind w:left="480" w:hanging="480"/>
        <w:jc w:val="both"/>
        <w:rPr>
          <w:rFonts w:ascii="Century" w:hAnsi="Century" w:cs="Times New Roman"/>
          <w:sz w:val="18"/>
          <w:szCs w:val="18"/>
        </w:rPr>
      </w:pPr>
      <w:proofErr w:type="gramStart"/>
      <w:r w:rsidRPr="00591ECB">
        <w:rPr>
          <w:rFonts w:ascii="Century" w:hAnsi="Century" w:cs="Times New Roman"/>
          <w:sz w:val="18"/>
          <w:szCs w:val="18"/>
        </w:rPr>
        <w:t>Muttakin, M. B., Khan, A., &amp; Azim, M. I. (2015).</w:t>
      </w:r>
      <w:proofErr w:type="gramEnd"/>
      <w:r w:rsidRPr="00591ECB">
        <w:rPr>
          <w:rFonts w:ascii="Century" w:hAnsi="Century" w:cs="Times New Roman"/>
          <w:sz w:val="18"/>
          <w:szCs w:val="18"/>
        </w:rPr>
        <w:t xml:space="preserve"> Corporate social responsibility disclosures and earnings quality: Are they a reflection of managers’ opportunistic behavior? </w:t>
      </w:r>
      <w:r w:rsidRPr="00591ECB">
        <w:rPr>
          <w:rFonts w:ascii="Century" w:hAnsi="Century" w:cs="Times New Roman"/>
          <w:i/>
          <w:iCs/>
          <w:sz w:val="18"/>
          <w:szCs w:val="18"/>
        </w:rPr>
        <w:t>Managerial Auditing Journal</w:t>
      </w:r>
      <w:r w:rsidRPr="00591ECB">
        <w:rPr>
          <w:rFonts w:ascii="Century" w:hAnsi="Century" w:cs="Times New Roman"/>
          <w:sz w:val="18"/>
          <w:szCs w:val="18"/>
        </w:rPr>
        <w:t xml:space="preserve">, </w:t>
      </w:r>
      <w:r w:rsidRPr="00591ECB">
        <w:rPr>
          <w:rFonts w:ascii="Century" w:hAnsi="Century" w:cs="Times New Roman"/>
          <w:i/>
          <w:iCs/>
          <w:sz w:val="18"/>
          <w:szCs w:val="18"/>
        </w:rPr>
        <w:t>30</w:t>
      </w:r>
      <w:r w:rsidRPr="00591ECB">
        <w:rPr>
          <w:rFonts w:ascii="Century" w:hAnsi="Century" w:cs="Times New Roman"/>
          <w:sz w:val="18"/>
          <w:szCs w:val="18"/>
        </w:rPr>
        <w:t xml:space="preserve">(3), 277–298. </w:t>
      </w:r>
    </w:p>
    <w:p w:rsidR="002165D7" w:rsidRPr="00591ECB" w:rsidRDefault="002165D7" w:rsidP="002165D7">
      <w:pPr>
        <w:adjustRightInd w:val="0"/>
        <w:ind w:left="480" w:hanging="480"/>
        <w:jc w:val="both"/>
        <w:rPr>
          <w:rFonts w:ascii="Century" w:hAnsi="Century" w:cs="Times New Roman"/>
          <w:sz w:val="18"/>
          <w:szCs w:val="18"/>
        </w:rPr>
      </w:pPr>
      <w:proofErr w:type="gramStart"/>
      <w:r w:rsidRPr="00591ECB">
        <w:rPr>
          <w:rFonts w:ascii="Century" w:hAnsi="Century" w:cs="Times New Roman"/>
          <w:sz w:val="18"/>
          <w:szCs w:val="18"/>
        </w:rPr>
        <w:t>Nanang, A. P., &amp; Tanusdjaja, H. (2019).</w:t>
      </w:r>
      <w:proofErr w:type="gramEnd"/>
      <w:r w:rsidRPr="00591ECB">
        <w:rPr>
          <w:rFonts w:ascii="Century" w:hAnsi="Century" w:cs="Times New Roman"/>
          <w:sz w:val="18"/>
          <w:szCs w:val="18"/>
        </w:rPr>
        <w:t xml:space="preserve"> </w:t>
      </w:r>
      <w:proofErr w:type="gramStart"/>
      <w:r w:rsidRPr="00591ECB">
        <w:rPr>
          <w:rFonts w:ascii="Century" w:hAnsi="Century" w:cs="Times New Roman"/>
          <w:sz w:val="18"/>
          <w:szCs w:val="18"/>
        </w:rPr>
        <w:t>P</w:t>
      </w:r>
      <w:r>
        <w:rPr>
          <w:rFonts w:ascii="Century" w:hAnsi="Century" w:cs="Times New Roman"/>
          <w:sz w:val="18"/>
          <w:szCs w:val="18"/>
        </w:rPr>
        <w:t>engaruh Corporate Governanve (CG) Terhadap Kualitas Laba dengan Manajemen Laba Sebagai Variabel Intervening pada Perusahaan Manufaktur</w:t>
      </w:r>
      <w:r w:rsidRPr="00591ECB">
        <w:rPr>
          <w:rFonts w:ascii="Century" w:hAnsi="Century" w:cs="Times New Roman"/>
          <w:sz w:val="18"/>
          <w:szCs w:val="18"/>
        </w:rPr>
        <w:t>.</w:t>
      </w:r>
      <w:proofErr w:type="gramEnd"/>
      <w:r w:rsidRPr="00591ECB">
        <w:rPr>
          <w:rFonts w:ascii="Century" w:hAnsi="Century" w:cs="Times New Roman"/>
          <w:sz w:val="18"/>
          <w:szCs w:val="18"/>
        </w:rPr>
        <w:t xml:space="preserve"> </w:t>
      </w:r>
      <w:r w:rsidRPr="00591ECB">
        <w:rPr>
          <w:rFonts w:ascii="Century" w:hAnsi="Century" w:cs="Times New Roman"/>
          <w:i/>
          <w:iCs/>
          <w:sz w:val="18"/>
          <w:szCs w:val="18"/>
        </w:rPr>
        <w:t>Jurnal Muara Ilmu Ekonomi Dan Bisnis</w:t>
      </w:r>
      <w:r w:rsidRPr="00591ECB">
        <w:rPr>
          <w:rFonts w:ascii="Century" w:hAnsi="Century" w:cs="Times New Roman"/>
          <w:sz w:val="18"/>
          <w:szCs w:val="18"/>
        </w:rPr>
        <w:t xml:space="preserve">, </w:t>
      </w:r>
      <w:r w:rsidRPr="00591ECB">
        <w:rPr>
          <w:rFonts w:ascii="Century" w:hAnsi="Century" w:cs="Times New Roman"/>
          <w:i/>
          <w:iCs/>
          <w:sz w:val="18"/>
          <w:szCs w:val="18"/>
        </w:rPr>
        <w:t>3</w:t>
      </w:r>
      <w:r w:rsidRPr="00591ECB">
        <w:rPr>
          <w:rFonts w:ascii="Century" w:hAnsi="Century" w:cs="Times New Roman"/>
          <w:sz w:val="18"/>
          <w:szCs w:val="18"/>
        </w:rPr>
        <w:t>(2), 267–288.</w:t>
      </w:r>
    </w:p>
    <w:p w:rsidR="002165D7" w:rsidRPr="00591ECB" w:rsidRDefault="002165D7" w:rsidP="002165D7">
      <w:pPr>
        <w:adjustRightInd w:val="0"/>
        <w:ind w:left="480" w:hanging="480"/>
        <w:jc w:val="both"/>
        <w:rPr>
          <w:rFonts w:ascii="Century" w:hAnsi="Century" w:cs="Times New Roman"/>
          <w:sz w:val="18"/>
          <w:szCs w:val="18"/>
        </w:rPr>
      </w:pPr>
      <w:r w:rsidRPr="00591ECB">
        <w:rPr>
          <w:rFonts w:ascii="Century" w:hAnsi="Century" w:cs="Times New Roman"/>
          <w:sz w:val="18"/>
          <w:szCs w:val="18"/>
        </w:rPr>
        <w:t xml:space="preserve">Nurmasari, I. (2018). Pengaruh Rasio Keuangan Dan Pertumbuhan Pendapatan Terhadap Return Saham Pada Perusahaan Perkebunan Di Bursa Efek Indonesia 2010-2017. </w:t>
      </w:r>
      <w:proofErr w:type="gramStart"/>
      <w:r w:rsidRPr="00591ECB">
        <w:rPr>
          <w:rFonts w:ascii="Century" w:hAnsi="Century" w:cs="Times New Roman"/>
          <w:i/>
          <w:iCs/>
          <w:sz w:val="18"/>
          <w:szCs w:val="18"/>
        </w:rPr>
        <w:t>Jurnal SEKURITAS (Saham, Ekonomi, Keuangan Dan Investasi)</w:t>
      </w:r>
      <w:r w:rsidRPr="00591ECB">
        <w:rPr>
          <w:rFonts w:ascii="Century" w:hAnsi="Century" w:cs="Times New Roman"/>
          <w:sz w:val="18"/>
          <w:szCs w:val="18"/>
        </w:rPr>
        <w:t xml:space="preserve">, </w:t>
      </w:r>
      <w:r w:rsidRPr="00591ECB">
        <w:rPr>
          <w:rFonts w:ascii="Century" w:hAnsi="Century" w:cs="Times New Roman"/>
          <w:i/>
          <w:iCs/>
          <w:sz w:val="18"/>
          <w:szCs w:val="18"/>
        </w:rPr>
        <w:t>2</w:t>
      </w:r>
      <w:r w:rsidRPr="00591ECB">
        <w:rPr>
          <w:rFonts w:ascii="Century" w:hAnsi="Century" w:cs="Times New Roman"/>
          <w:sz w:val="18"/>
          <w:szCs w:val="18"/>
        </w:rPr>
        <w:t>(1).</w:t>
      </w:r>
      <w:proofErr w:type="gramEnd"/>
    </w:p>
    <w:p w:rsidR="002165D7" w:rsidRPr="00591ECB" w:rsidRDefault="002165D7" w:rsidP="002165D7">
      <w:pPr>
        <w:adjustRightInd w:val="0"/>
        <w:ind w:left="480" w:hanging="480"/>
        <w:jc w:val="both"/>
        <w:rPr>
          <w:rFonts w:ascii="Century" w:hAnsi="Century" w:cs="Times New Roman"/>
          <w:sz w:val="18"/>
          <w:szCs w:val="18"/>
        </w:rPr>
      </w:pPr>
      <w:proofErr w:type="gramStart"/>
      <w:r w:rsidRPr="00591ECB">
        <w:rPr>
          <w:rFonts w:ascii="Century" w:hAnsi="Century" w:cs="Times New Roman"/>
          <w:sz w:val="18"/>
          <w:szCs w:val="18"/>
        </w:rPr>
        <w:t>Nuryana, Y., &amp; Surjandari, D. A. (2019).</w:t>
      </w:r>
      <w:proofErr w:type="gramEnd"/>
      <w:r w:rsidRPr="00591ECB">
        <w:rPr>
          <w:rFonts w:ascii="Century" w:hAnsi="Century" w:cs="Times New Roman"/>
          <w:sz w:val="18"/>
          <w:szCs w:val="18"/>
        </w:rPr>
        <w:t xml:space="preserve"> The Effect </w:t>
      </w:r>
      <w:proofErr w:type="gramStart"/>
      <w:r w:rsidRPr="00591ECB">
        <w:rPr>
          <w:rFonts w:ascii="Century" w:hAnsi="Century" w:cs="Times New Roman"/>
          <w:sz w:val="18"/>
          <w:szCs w:val="18"/>
        </w:rPr>
        <w:t>Of</w:t>
      </w:r>
      <w:proofErr w:type="gramEnd"/>
      <w:r w:rsidRPr="00591ECB">
        <w:rPr>
          <w:rFonts w:ascii="Century" w:hAnsi="Century" w:cs="Times New Roman"/>
          <w:sz w:val="18"/>
          <w:szCs w:val="18"/>
        </w:rPr>
        <w:t xml:space="preserve"> Goood Corporate Governance Mechanism, and Earning Management on Company Financial Performance. </w:t>
      </w:r>
      <w:r w:rsidRPr="00591ECB">
        <w:rPr>
          <w:rFonts w:ascii="Century" w:hAnsi="Century" w:cs="Times New Roman"/>
          <w:i/>
          <w:iCs/>
          <w:sz w:val="18"/>
          <w:szCs w:val="18"/>
        </w:rPr>
        <w:t xml:space="preserve">Global Journal </w:t>
      </w:r>
      <w:proofErr w:type="gramStart"/>
      <w:r w:rsidRPr="00591ECB">
        <w:rPr>
          <w:rFonts w:ascii="Century" w:hAnsi="Century" w:cs="Times New Roman"/>
          <w:i/>
          <w:iCs/>
          <w:sz w:val="18"/>
          <w:szCs w:val="18"/>
        </w:rPr>
        <w:t>Of</w:t>
      </w:r>
      <w:proofErr w:type="gramEnd"/>
      <w:r w:rsidRPr="00591ECB">
        <w:rPr>
          <w:rFonts w:ascii="Century" w:hAnsi="Century" w:cs="Times New Roman"/>
          <w:i/>
          <w:iCs/>
          <w:sz w:val="18"/>
          <w:szCs w:val="18"/>
        </w:rPr>
        <w:t xml:space="preserve"> Management and Businessn Research</w:t>
      </w:r>
      <w:r w:rsidRPr="00591ECB">
        <w:rPr>
          <w:rFonts w:ascii="Century" w:hAnsi="Century" w:cs="Times New Roman"/>
          <w:sz w:val="18"/>
          <w:szCs w:val="18"/>
        </w:rPr>
        <w:t xml:space="preserve">, </w:t>
      </w:r>
      <w:r w:rsidRPr="00591ECB">
        <w:rPr>
          <w:rFonts w:ascii="Century" w:hAnsi="Century" w:cs="Times New Roman"/>
          <w:i/>
          <w:iCs/>
          <w:sz w:val="18"/>
          <w:szCs w:val="18"/>
        </w:rPr>
        <w:t>19</w:t>
      </w:r>
      <w:r w:rsidRPr="00591ECB">
        <w:rPr>
          <w:rFonts w:ascii="Century" w:hAnsi="Century" w:cs="Times New Roman"/>
          <w:sz w:val="18"/>
          <w:szCs w:val="18"/>
        </w:rPr>
        <w:t>(1), 26–39.</w:t>
      </w:r>
    </w:p>
    <w:p w:rsidR="002165D7" w:rsidRPr="00591ECB" w:rsidRDefault="002165D7" w:rsidP="002165D7">
      <w:pPr>
        <w:adjustRightInd w:val="0"/>
        <w:ind w:left="480" w:hanging="480"/>
        <w:jc w:val="both"/>
        <w:rPr>
          <w:rFonts w:ascii="Century" w:hAnsi="Century" w:cs="Times New Roman"/>
          <w:sz w:val="18"/>
          <w:szCs w:val="18"/>
        </w:rPr>
      </w:pPr>
      <w:proofErr w:type="gramStart"/>
      <w:r w:rsidRPr="00591ECB">
        <w:rPr>
          <w:rFonts w:ascii="Century" w:hAnsi="Century" w:cs="Times New Roman"/>
          <w:sz w:val="18"/>
          <w:szCs w:val="18"/>
        </w:rPr>
        <w:t>Park, H. J.,</w:t>
      </w:r>
      <w:r>
        <w:rPr>
          <w:rFonts w:ascii="Century" w:hAnsi="Century" w:cs="Times New Roman"/>
          <w:sz w:val="18"/>
          <w:szCs w:val="18"/>
        </w:rPr>
        <w:t xml:space="preserve"> &amp; Ha, M. H. (2020).</w:t>
      </w:r>
      <w:proofErr w:type="gramEnd"/>
      <w:r>
        <w:rPr>
          <w:rFonts w:ascii="Century" w:hAnsi="Century" w:cs="Times New Roman"/>
          <w:sz w:val="18"/>
          <w:szCs w:val="18"/>
        </w:rPr>
        <w:t xml:space="preserve"> Corporate Social Responsibility and Earnings T</w:t>
      </w:r>
      <w:r w:rsidRPr="00591ECB">
        <w:rPr>
          <w:rFonts w:ascii="Century" w:hAnsi="Century" w:cs="Times New Roman"/>
          <w:sz w:val="18"/>
          <w:szCs w:val="18"/>
        </w:rPr>
        <w:t xml:space="preserve">ransparency: Evidence from Korea. </w:t>
      </w:r>
      <w:r w:rsidRPr="00591ECB">
        <w:rPr>
          <w:rFonts w:ascii="Century" w:hAnsi="Century" w:cs="Times New Roman"/>
          <w:i/>
          <w:iCs/>
          <w:sz w:val="18"/>
          <w:szCs w:val="18"/>
        </w:rPr>
        <w:t>Corporate Social Responsibility and Environmental Management</w:t>
      </w:r>
      <w:r w:rsidRPr="00591ECB">
        <w:rPr>
          <w:rFonts w:ascii="Century" w:hAnsi="Century" w:cs="Times New Roman"/>
          <w:sz w:val="18"/>
          <w:szCs w:val="18"/>
        </w:rPr>
        <w:t xml:space="preserve">, </w:t>
      </w:r>
      <w:r w:rsidRPr="00591ECB">
        <w:rPr>
          <w:rFonts w:ascii="Century" w:hAnsi="Century" w:cs="Times New Roman"/>
          <w:i/>
          <w:iCs/>
          <w:sz w:val="18"/>
          <w:szCs w:val="18"/>
        </w:rPr>
        <w:t>27</w:t>
      </w:r>
      <w:r w:rsidRPr="00591ECB">
        <w:rPr>
          <w:rFonts w:ascii="Century" w:hAnsi="Century" w:cs="Times New Roman"/>
          <w:sz w:val="18"/>
          <w:szCs w:val="18"/>
        </w:rPr>
        <w:t>(3), 1498–1508.</w:t>
      </w:r>
    </w:p>
    <w:p w:rsidR="002165D7" w:rsidRPr="00591ECB" w:rsidRDefault="002165D7" w:rsidP="002165D7">
      <w:pPr>
        <w:adjustRightInd w:val="0"/>
        <w:ind w:left="480" w:hanging="480"/>
        <w:jc w:val="both"/>
        <w:rPr>
          <w:rFonts w:ascii="Century" w:hAnsi="Century" w:cs="Times New Roman"/>
          <w:sz w:val="18"/>
          <w:szCs w:val="18"/>
        </w:rPr>
      </w:pPr>
      <w:r w:rsidRPr="00591ECB">
        <w:rPr>
          <w:rFonts w:ascii="Century" w:hAnsi="Century" w:cs="Times New Roman"/>
          <w:sz w:val="18"/>
          <w:szCs w:val="18"/>
        </w:rPr>
        <w:t xml:space="preserve">Polimpung, L. J. C. (2020). Pengaruh Good Corporate Governance Terhadap Kualitas Laba Perusahaan (Studi pada Perusahaan Sektor Consumer Goods dalam Bursa Efek Indonesia Periode 2016-2018). </w:t>
      </w:r>
      <w:r w:rsidRPr="00591ECB">
        <w:rPr>
          <w:rFonts w:ascii="Century" w:hAnsi="Century" w:cs="Times New Roman"/>
          <w:i/>
          <w:iCs/>
          <w:sz w:val="18"/>
          <w:szCs w:val="18"/>
        </w:rPr>
        <w:t>Jurnal Akuntansi</w:t>
      </w:r>
      <w:r w:rsidRPr="00591ECB">
        <w:rPr>
          <w:rFonts w:ascii="Century" w:hAnsi="Century" w:cs="Times New Roman"/>
          <w:sz w:val="18"/>
          <w:szCs w:val="18"/>
        </w:rPr>
        <w:t xml:space="preserve">, </w:t>
      </w:r>
      <w:r w:rsidRPr="00591ECB">
        <w:rPr>
          <w:rFonts w:ascii="Century" w:hAnsi="Century" w:cs="Times New Roman"/>
          <w:i/>
          <w:iCs/>
          <w:sz w:val="18"/>
          <w:szCs w:val="18"/>
        </w:rPr>
        <w:t>12</w:t>
      </w:r>
      <w:r w:rsidRPr="00591ECB">
        <w:rPr>
          <w:rFonts w:ascii="Century" w:hAnsi="Century" w:cs="Times New Roman"/>
          <w:sz w:val="18"/>
          <w:szCs w:val="18"/>
        </w:rPr>
        <w:t xml:space="preserve">(2), </w:t>
      </w:r>
    </w:p>
    <w:p w:rsidR="002165D7" w:rsidRPr="00591ECB" w:rsidRDefault="002165D7" w:rsidP="002165D7">
      <w:pPr>
        <w:adjustRightInd w:val="0"/>
        <w:ind w:left="480" w:hanging="480"/>
        <w:jc w:val="both"/>
        <w:rPr>
          <w:rFonts w:ascii="Century" w:hAnsi="Century" w:cs="Times New Roman"/>
          <w:sz w:val="18"/>
          <w:szCs w:val="18"/>
        </w:rPr>
      </w:pPr>
      <w:r w:rsidRPr="00591ECB">
        <w:rPr>
          <w:rFonts w:ascii="Century" w:hAnsi="Century" w:cs="Times New Roman"/>
          <w:sz w:val="18"/>
          <w:szCs w:val="18"/>
        </w:rPr>
        <w:t xml:space="preserve">Putra, R. A. K. (2020). Analisis Ukuran Perusahaan Dan Peluang Investasi Di Masa Depan. </w:t>
      </w:r>
      <w:r w:rsidRPr="00591ECB">
        <w:rPr>
          <w:rFonts w:ascii="Century" w:hAnsi="Century" w:cs="Times New Roman"/>
          <w:i/>
          <w:iCs/>
          <w:sz w:val="18"/>
          <w:szCs w:val="18"/>
        </w:rPr>
        <w:t>Jurnal Ekonomi Dan Bisnis</w:t>
      </w:r>
      <w:r w:rsidRPr="00591ECB">
        <w:rPr>
          <w:rFonts w:ascii="Century" w:hAnsi="Century" w:cs="Times New Roman"/>
          <w:sz w:val="18"/>
          <w:szCs w:val="18"/>
        </w:rPr>
        <w:t xml:space="preserve">, </w:t>
      </w:r>
      <w:r w:rsidRPr="00591ECB">
        <w:rPr>
          <w:rFonts w:ascii="Century" w:hAnsi="Century" w:cs="Times New Roman"/>
          <w:i/>
          <w:iCs/>
          <w:sz w:val="18"/>
          <w:szCs w:val="18"/>
        </w:rPr>
        <w:t>7</w:t>
      </w:r>
      <w:r w:rsidRPr="00591ECB">
        <w:rPr>
          <w:rFonts w:ascii="Century" w:hAnsi="Century" w:cs="Times New Roman"/>
          <w:sz w:val="18"/>
          <w:szCs w:val="18"/>
        </w:rPr>
        <w:t>(2), 117–125.</w:t>
      </w:r>
    </w:p>
    <w:p w:rsidR="002165D7" w:rsidRPr="00591ECB" w:rsidRDefault="002165D7" w:rsidP="002165D7">
      <w:pPr>
        <w:adjustRightInd w:val="0"/>
        <w:ind w:left="480" w:hanging="480"/>
        <w:jc w:val="both"/>
        <w:rPr>
          <w:rFonts w:ascii="Century" w:hAnsi="Century" w:cs="Times New Roman"/>
          <w:sz w:val="18"/>
          <w:szCs w:val="18"/>
        </w:rPr>
      </w:pPr>
      <w:proofErr w:type="gramStart"/>
      <w:r w:rsidRPr="00591ECB">
        <w:rPr>
          <w:rFonts w:ascii="Century" w:hAnsi="Century" w:cs="Times New Roman"/>
          <w:sz w:val="18"/>
          <w:szCs w:val="18"/>
        </w:rPr>
        <w:t>Ray, B., &amp; Philip, B. (1968).</w:t>
      </w:r>
      <w:proofErr w:type="gramEnd"/>
      <w:r w:rsidRPr="00591ECB">
        <w:rPr>
          <w:rFonts w:ascii="Century" w:hAnsi="Century" w:cs="Times New Roman"/>
          <w:sz w:val="18"/>
          <w:szCs w:val="18"/>
        </w:rPr>
        <w:t xml:space="preserve"> </w:t>
      </w:r>
      <w:proofErr w:type="gramStart"/>
      <w:r w:rsidRPr="00591ECB">
        <w:rPr>
          <w:rFonts w:ascii="Century" w:hAnsi="Century" w:cs="Times New Roman"/>
          <w:sz w:val="18"/>
          <w:szCs w:val="18"/>
        </w:rPr>
        <w:t>Empirical evaluation of accounting income numbers.</w:t>
      </w:r>
      <w:proofErr w:type="gramEnd"/>
      <w:r w:rsidRPr="00591ECB">
        <w:rPr>
          <w:rFonts w:ascii="Century" w:hAnsi="Century" w:cs="Times New Roman"/>
          <w:sz w:val="18"/>
          <w:szCs w:val="18"/>
        </w:rPr>
        <w:t xml:space="preserve"> </w:t>
      </w:r>
      <w:r w:rsidRPr="00591ECB">
        <w:rPr>
          <w:rFonts w:ascii="Century" w:hAnsi="Century" w:cs="Times New Roman"/>
          <w:i/>
          <w:iCs/>
          <w:sz w:val="18"/>
          <w:szCs w:val="18"/>
        </w:rPr>
        <w:t>Journal of Accounting Research</w:t>
      </w:r>
      <w:r w:rsidRPr="00591ECB">
        <w:rPr>
          <w:rFonts w:ascii="Century" w:hAnsi="Century" w:cs="Times New Roman"/>
          <w:sz w:val="18"/>
          <w:szCs w:val="18"/>
        </w:rPr>
        <w:t xml:space="preserve">, </w:t>
      </w:r>
      <w:r w:rsidRPr="00591ECB">
        <w:rPr>
          <w:rFonts w:ascii="Century" w:hAnsi="Century" w:cs="Times New Roman"/>
          <w:i/>
          <w:iCs/>
          <w:sz w:val="18"/>
          <w:szCs w:val="18"/>
        </w:rPr>
        <w:t>Vol 6</w:t>
      </w:r>
      <w:r w:rsidRPr="00591ECB">
        <w:rPr>
          <w:rFonts w:ascii="Century" w:hAnsi="Century" w:cs="Times New Roman"/>
          <w:sz w:val="18"/>
          <w:szCs w:val="18"/>
        </w:rPr>
        <w:t>(1929), p 159-178.</w:t>
      </w:r>
    </w:p>
    <w:p w:rsidR="002165D7" w:rsidRPr="00591ECB" w:rsidRDefault="002165D7" w:rsidP="002165D7">
      <w:pPr>
        <w:adjustRightInd w:val="0"/>
        <w:ind w:left="480" w:hanging="480"/>
        <w:jc w:val="both"/>
        <w:rPr>
          <w:rFonts w:ascii="Century" w:hAnsi="Century" w:cs="Times New Roman"/>
          <w:sz w:val="18"/>
          <w:szCs w:val="18"/>
        </w:rPr>
      </w:pPr>
      <w:proofErr w:type="gramStart"/>
      <w:r w:rsidRPr="00591ECB">
        <w:rPr>
          <w:rFonts w:ascii="Century" w:hAnsi="Century" w:cs="Times New Roman"/>
          <w:sz w:val="18"/>
          <w:szCs w:val="18"/>
        </w:rPr>
        <w:t>Rezaee, Z., Dou, H., &amp; Zhang, H. (2019).</w:t>
      </w:r>
      <w:proofErr w:type="gramEnd"/>
      <w:r w:rsidRPr="00591ECB">
        <w:rPr>
          <w:rFonts w:ascii="Century" w:hAnsi="Century" w:cs="Times New Roman"/>
          <w:sz w:val="18"/>
          <w:szCs w:val="18"/>
        </w:rPr>
        <w:t xml:space="preserve"> Corporate social responsibility and earnings quality: Evidence from China. </w:t>
      </w:r>
      <w:proofErr w:type="gramStart"/>
      <w:r w:rsidRPr="00591ECB">
        <w:rPr>
          <w:rFonts w:ascii="Century" w:hAnsi="Century" w:cs="Times New Roman"/>
          <w:i/>
          <w:iCs/>
          <w:sz w:val="18"/>
          <w:szCs w:val="18"/>
        </w:rPr>
        <w:t>Global Finance Journal</w:t>
      </w:r>
      <w:r w:rsidRPr="00591ECB">
        <w:rPr>
          <w:rFonts w:ascii="Century" w:hAnsi="Century" w:cs="Times New Roman"/>
          <w:sz w:val="18"/>
          <w:szCs w:val="18"/>
        </w:rPr>
        <w:t>, (April), 100473.</w:t>
      </w:r>
      <w:proofErr w:type="gramEnd"/>
      <w:r w:rsidRPr="00591ECB">
        <w:rPr>
          <w:rFonts w:ascii="Century" w:hAnsi="Century" w:cs="Times New Roman"/>
          <w:sz w:val="18"/>
          <w:szCs w:val="18"/>
        </w:rPr>
        <w:t xml:space="preserve"> </w:t>
      </w:r>
    </w:p>
    <w:p w:rsidR="002165D7" w:rsidRPr="00591ECB" w:rsidRDefault="002165D7" w:rsidP="002165D7">
      <w:pPr>
        <w:adjustRightInd w:val="0"/>
        <w:ind w:left="480" w:hanging="480"/>
        <w:jc w:val="both"/>
        <w:rPr>
          <w:rFonts w:ascii="Century" w:hAnsi="Century" w:cs="Times New Roman"/>
          <w:sz w:val="18"/>
          <w:szCs w:val="18"/>
        </w:rPr>
      </w:pPr>
      <w:proofErr w:type="gramStart"/>
      <w:r w:rsidRPr="00591ECB">
        <w:rPr>
          <w:rFonts w:ascii="Century" w:hAnsi="Century" w:cs="Times New Roman"/>
          <w:sz w:val="18"/>
          <w:szCs w:val="18"/>
        </w:rPr>
        <w:t>Setiyawati, H., &amp; Basar, Y. S. (2017).</w:t>
      </w:r>
      <w:proofErr w:type="gramEnd"/>
      <w:r w:rsidRPr="00591ECB">
        <w:rPr>
          <w:rFonts w:ascii="Century" w:hAnsi="Century" w:cs="Times New Roman"/>
          <w:sz w:val="18"/>
          <w:szCs w:val="18"/>
        </w:rPr>
        <w:t xml:space="preserve"> Pengaruh </w:t>
      </w:r>
      <w:r w:rsidRPr="00591ECB">
        <w:rPr>
          <w:rFonts w:ascii="Century" w:hAnsi="Century" w:cs="Times New Roman"/>
          <w:sz w:val="18"/>
          <w:szCs w:val="18"/>
        </w:rPr>
        <w:lastRenderedPageBreak/>
        <w:t xml:space="preserve">Pengungkapan Corporate Social Responsibility dan Penerapan Good Corporate Governance Terhadap Tingkat Profitabilitas (Studi Empiris Pada Perusahaan Sektor Pertambangan Yang Terdaftar Di </w:t>
      </w:r>
      <w:proofErr w:type="gramStart"/>
      <w:r w:rsidRPr="00591ECB">
        <w:rPr>
          <w:rFonts w:ascii="Century" w:hAnsi="Century" w:cs="Times New Roman"/>
          <w:sz w:val="18"/>
          <w:szCs w:val="18"/>
        </w:rPr>
        <w:t>BEI )</w:t>
      </w:r>
      <w:proofErr w:type="gramEnd"/>
      <w:r w:rsidRPr="00591ECB">
        <w:rPr>
          <w:rFonts w:ascii="Century" w:hAnsi="Century" w:cs="Times New Roman"/>
          <w:sz w:val="18"/>
          <w:szCs w:val="18"/>
        </w:rPr>
        <w:t xml:space="preserve">. </w:t>
      </w:r>
      <w:r w:rsidRPr="00591ECB">
        <w:rPr>
          <w:rFonts w:ascii="Century" w:hAnsi="Century" w:cs="Times New Roman"/>
          <w:i/>
          <w:iCs/>
          <w:sz w:val="18"/>
          <w:szCs w:val="18"/>
        </w:rPr>
        <w:t>Jurnal Akuntansi</w:t>
      </w:r>
      <w:r w:rsidRPr="00591ECB">
        <w:rPr>
          <w:rFonts w:ascii="Century" w:hAnsi="Century" w:cs="Times New Roman"/>
          <w:sz w:val="18"/>
          <w:szCs w:val="18"/>
        </w:rPr>
        <w:t xml:space="preserve">, </w:t>
      </w:r>
      <w:r w:rsidRPr="00591ECB">
        <w:rPr>
          <w:rFonts w:ascii="Century" w:hAnsi="Century" w:cs="Times New Roman"/>
          <w:i/>
          <w:iCs/>
          <w:sz w:val="18"/>
          <w:szCs w:val="18"/>
        </w:rPr>
        <w:t>21</w:t>
      </w:r>
      <w:r w:rsidRPr="00591ECB">
        <w:rPr>
          <w:rFonts w:ascii="Century" w:hAnsi="Century" w:cs="Times New Roman"/>
          <w:sz w:val="18"/>
          <w:szCs w:val="18"/>
        </w:rPr>
        <w:t>(3), 351.</w:t>
      </w:r>
    </w:p>
    <w:p w:rsidR="002165D7" w:rsidRPr="00591ECB" w:rsidRDefault="002165D7" w:rsidP="002165D7">
      <w:pPr>
        <w:adjustRightInd w:val="0"/>
        <w:ind w:left="480" w:hanging="480"/>
        <w:jc w:val="both"/>
        <w:rPr>
          <w:rFonts w:ascii="Century" w:hAnsi="Century" w:cs="Times New Roman"/>
          <w:sz w:val="18"/>
          <w:szCs w:val="18"/>
        </w:rPr>
      </w:pPr>
      <w:proofErr w:type="gramStart"/>
      <w:r w:rsidRPr="00591ECB">
        <w:rPr>
          <w:rFonts w:ascii="Century" w:hAnsi="Century" w:cs="Times New Roman"/>
          <w:sz w:val="18"/>
          <w:szCs w:val="18"/>
        </w:rPr>
        <w:t>Siallagan, H., &amp; Machfoedz, M. (2006).</w:t>
      </w:r>
      <w:proofErr w:type="gramEnd"/>
      <w:r w:rsidRPr="00591ECB">
        <w:rPr>
          <w:rFonts w:ascii="Century" w:hAnsi="Century" w:cs="Times New Roman"/>
          <w:sz w:val="18"/>
          <w:szCs w:val="18"/>
        </w:rPr>
        <w:t xml:space="preserve"> “Mekanisme Good Corporate Governance, Kualitas Laba dan Nilai Perusahaan". </w:t>
      </w:r>
      <w:proofErr w:type="gramStart"/>
      <w:r w:rsidRPr="00591ECB">
        <w:rPr>
          <w:rFonts w:ascii="Century" w:hAnsi="Century" w:cs="Times New Roman"/>
          <w:i/>
          <w:iCs/>
          <w:sz w:val="18"/>
          <w:szCs w:val="18"/>
        </w:rPr>
        <w:t>Simposium Nasional Akuntansi IX Padang.</w:t>
      </w:r>
      <w:proofErr w:type="gramEnd"/>
    </w:p>
    <w:p w:rsidR="002165D7" w:rsidRPr="00591ECB" w:rsidRDefault="002165D7" w:rsidP="002165D7">
      <w:pPr>
        <w:adjustRightInd w:val="0"/>
        <w:ind w:left="480" w:hanging="480"/>
        <w:jc w:val="both"/>
        <w:rPr>
          <w:rFonts w:ascii="Century" w:hAnsi="Century" w:cs="Times New Roman"/>
          <w:sz w:val="18"/>
          <w:szCs w:val="18"/>
        </w:rPr>
      </w:pPr>
      <w:r w:rsidRPr="00591ECB">
        <w:rPr>
          <w:rFonts w:ascii="Century" w:hAnsi="Century" w:cs="Times New Roman"/>
          <w:sz w:val="18"/>
          <w:szCs w:val="18"/>
        </w:rPr>
        <w:t xml:space="preserve">Simorangkir, R. T. M. C. (2019). Pengaruh Kinerja Keuangan Terhadap Return Saham Perusahaan Pertambangan. </w:t>
      </w:r>
      <w:r w:rsidRPr="00591ECB">
        <w:rPr>
          <w:rFonts w:ascii="Century" w:hAnsi="Century" w:cs="Times New Roman"/>
          <w:i/>
          <w:iCs/>
          <w:sz w:val="18"/>
          <w:szCs w:val="18"/>
        </w:rPr>
        <w:t>Jurnal Bisnis Dan Akuntansi</w:t>
      </w:r>
      <w:r w:rsidRPr="00591ECB">
        <w:rPr>
          <w:rFonts w:ascii="Century" w:hAnsi="Century" w:cs="Times New Roman"/>
          <w:sz w:val="18"/>
          <w:szCs w:val="18"/>
        </w:rPr>
        <w:t xml:space="preserve">, </w:t>
      </w:r>
      <w:r w:rsidRPr="00591ECB">
        <w:rPr>
          <w:rFonts w:ascii="Century" w:hAnsi="Century" w:cs="Times New Roman"/>
          <w:i/>
          <w:iCs/>
          <w:sz w:val="18"/>
          <w:szCs w:val="18"/>
        </w:rPr>
        <w:t>21</w:t>
      </w:r>
      <w:r w:rsidRPr="00591ECB">
        <w:rPr>
          <w:rFonts w:ascii="Century" w:hAnsi="Century" w:cs="Times New Roman"/>
          <w:sz w:val="18"/>
          <w:szCs w:val="18"/>
        </w:rPr>
        <w:t xml:space="preserve">(2), 155–164. </w:t>
      </w:r>
    </w:p>
    <w:p w:rsidR="002165D7" w:rsidRPr="00591ECB" w:rsidRDefault="002165D7" w:rsidP="002165D7">
      <w:pPr>
        <w:adjustRightInd w:val="0"/>
        <w:ind w:left="480" w:hanging="480"/>
        <w:jc w:val="both"/>
        <w:rPr>
          <w:rFonts w:ascii="Century" w:hAnsi="Century" w:cs="Times New Roman"/>
          <w:sz w:val="18"/>
          <w:szCs w:val="18"/>
        </w:rPr>
      </w:pPr>
      <w:proofErr w:type="gramStart"/>
      <w:r w:rsidRPr="00591ECB">
        <w:rPr>
          <w:rFonts w:ascii="Century" w:hAnsi="Century" w:cs="Times New Roman"/>
          <w:sz w:val="18"/>
          <w:szCs w:val="18"/>
        </w:rPr>
        <w:t>Sulistyanto, &amp; Sri, H. (2014).</w:t>
      </w:r>
      <w:proofErr w:type="gramEnd"/>
      <w:r w:rsidRPr="00591ECB">
        <w:rPr>
          <w:rFonts w:ascii="Century" w:hAnsi="Century" w:cs="Times New Roman"/>
          <w:sz w:val="18"/>
          <w:szCs w:val="18"/>
        </w:rPr>
        <w:t xml:space="preserve"> </w:t>
      </w:r>
      <w:r w:rsidRPr="00591ECB">
        <w:rPr>
          <w:rFonts w:ascii="Century" w:hAnsi="Century" w:cs="Times New Roman"/>
          <w:i/>
          <w:iCs/>
          <w:sz w:val="18"/>
          <w:szCs w:val="18"/>
        </w:rPr>
        <w:t>Manajemen Laba</w:t>
      </w:r>
      <w:r w:rsidRPr="00591ECB">
        <w:rPr>
          <w:rFonts w:ascii="Times New Roman" w:hAnsi="Times New Roman" w:cs="Times New Roman"/>
          <w:i/>
          <w:iCs/>
          <w:sz w:val="18"/>
          <w:szCs w:val="18"/>
        </w:rPr>
        <w:t> </w:t>
      </w:r>
      <w:r w:rsidRPr="00591ECB">
        <w:rPr>
          <w:rFonts w:ascii="Century" w:hAnsi="Century" w:cs="Times New Roman"/>
          <w:i/>
          <w:iCs/>
          <w:sz w:val="18"/>
          <w:szCs w:val="18"/>
        </w:rPr>
        <w:t>: Teori dan Model Empiris</w:t>
      </w:r>
      <w:r w:rsidRPr="00591ECB">
        <w:rPr>
          <w:rFonts w:ascii="Century" w:hAnsi="Century" w:cs="Times New Roman"/>
          <w:sz w:val="18"/>
          <w:szCs w:val="18"/>
        </w:rPr>
        <w:t>. Jakarta</w:t>
      </w:r>
      <w:r w:rsidRPr="00591ECB">
        <w:rPr>
          <w:rFonts w:ascii="Times New Roman" w:hAnsi="Times New Roman" w:cs="Times New Roman"/>
          <w:sz w:val="18"/>
          <w:szCs w:val="18"/>
        </w:rPr>
        <w:t> </w:t>
      </w:r>
      <w:r w:rsidRPr="00591ECB">
        <w:rPr>
          <w:rFonts w:ascii="Century" w:hAnsi="Century" w:cs="Times New Roman"/>
          <w:sz w:val="18"/>
          <w:szCs w:val="18"/>
        </w:rPr>
        <w:t>: Grasindo.</w:t>
      </w:r>
    </w:p>
    <w:p w:rsidR="002165D7" w:rsidRPr="00591ECB" w:rsidRDefault="002165D7" w:rsidP="002165D7">
      <w:pPr>
        <w:adjustRightInd w:val="0"/>
        <w:ind w:left="480" w:hanging="480"/>
        <w:jc w:val="both"/>
        <w:rPr>
          <w:rFonts w:ascii="Century" w:hAnsi="Century" w:cs="Times New Roman"/>
          <w:sz w:val="18"/>
          <w:szCs w:val="18"/>
        </w:rPr>
      </w:pPr>
      <w:r w:rsidRPr="00591ECB">
        <w:rPr>
          <w:rFonts w:ascii="Century" w:hAnsi="Century" w:cs="Times New Roman"/>
          <w:sz w:val="18"/>
          <w:szCs w:val="18"/>
        </w:rPr>
        <w:t xml:space="preserve">Surjandari, D. A., &amp; Wati, L. N. (2020). </w:t>
      </w:r>
      <w:proofErr w:type="gramStart"/>
      <w:r w:rsidRPr="00591ECB">
        <w:rPr>
          <w:rFonts w:ascii="Century" w:hAnsi="Century" w:cs="Times New Roman"/>
          <w:sz w:val="18"/>
          <w:szCs w:val="18"/>
        </w:rPr>
        <w:t>Dividend Policy, Economic Value Added, Market β, Firm Size and Stock Return.</w:t>
      </w:r>
      <w:proofErr w:type="gramEnd"/>
      <w:r w:rsidRPr="00591ECB">
        <w:rPr>
          <w:rFonts w:ascii="Century" w:hAnsi="Century" w:cs="Times New Roman"/>
          <w:sz w:val="18"/>
          <w:szCs w:val="18"/>
        </w:rPr>
        <w:t xml:space="preserve"> </w:t>
      </w:r>
      <w:proofErr w:type="gramStart"/>
      <w:r w:rsidRPr="00591ECB">
        <w:rPr>
          <w:rFonts w:ascii="Century" w:hAnsi="Century" w:cs="Times New Roman"/>
          <w:i/>
          <w:iCs/>
          <w:sz w:val="18"/>
          <w:szCs w:val="18"/>
        </w:rPr>
        <w:t>Accounting and Finance Research</w:t>
      </w:r>
      <w:r w:rsidRPr="00591ECB">
        <w:rPr>
          <w:rFonts w:ascii="Century" w:hAnsi="Century" w:cs="Times New Roman"/>
          <w:sz w:val="18"/>
          <w:szCs w:val="18"/>
        </w:rPr>
        <w:t xml:space="preserve">, </w:t>
      </w:r>
      <w:r w:rsidRPr="00591ECB">
        <w:rPr>
          <w:rFonts w:ascii="Century" w:hAnsi="Century" w:cs="Times New Roman"/>
          <w:i/>
          <w:iCs/>
          <w:sz w:val="18"/>
          <w:szCs w:val="18"/>
        </w:rPr>
        <w:t>9</w:t>
      </w:r>
      <w:r w:rsidRPr="00591ECB">
        <w:rPr>
          <w:rFonts w:ascii="Century" w:hAnsi="Century" w:cs="Times New Roman"/>
          <w:sz w:val="18"/>
          <w:szCs w:val="18"/>
        </w:rPr>
        <w:t>(3), 53.</w:t>
      </w:r>
      <w:proofErr w:type="gramEnd"/>
    </w:p>
    <w:p w:rsidR="002165D7" w:rsidRPr="00591ECB" w:rsidRDefault="002165D7" w:rsidP="002165D7">
      <w:pPr>
        <w:adjustRightInd w:val="0"/>
        <w:ind w:left="480" w:hanging="480"/>
        <w:jc w:val="both"/>
        <w:rPr>
          <w:rFonts w:ascii="Century" w:hAnsi="Century" w:cs="Times New Roman"/>
          <w:sz w:val="18"/>
          <w:szCs w:val="18"/>
        </w:rPr>
      </w:pPr>
      <w:proofErr w:type="gramStart"/>
      <w:r w:rsidRPr="00591ECB">
        <w:rPr>
          <w:rFonts w:ascii="Century" w:hAnsi="Century" w:cs="Times New Roman"/>
          <w:sz w:val="18"/>
          <w:szCs w:val="18"/>
        </w:rPr>
        <w:t>Suwarno, S., Rahmawati, R., Djuminah, D., &amp; Muthmainah, M. (2020).</w:t>
      </w:r>
      <w:proofErr w:type="gramEnd"/>
      <w:r w:rsidRPr="00591ECB">
        <w:rPr>
          <w:rFonts w:ascii="Century" w:hAnsi="Century" w:cs="Times New Roman"/>
          <w:sz w:val="18"/>
          <w:szCs w:val="18"/>
        </w:rPr>
        <w:t xml:space="preserve"> Is Corporate Social Responsibility Disclosure Good for Accrual Profit and Real Manipulative Profit Managements</w:t>
      </w:r>
      <w:r w:rsidRPr="00591ECB">
        <w:rPr>
          <w:rFonts w:ascii="Times New Roman" w:hAnsi="Times New Roman" w:cs="Times New Roman"/>
          <w:sz w:val="18"/>
          <w:szCs w:val="18"/>
        </w:rPr>
        <w:t> </w:t>
      </w:r>
      <w:r w:rsidRPr="00591ECB">
        <w:rPr>
          <w:rFonts w:ascii="Century" w:hAnsi="Century" w:cs="Times New Roman"/>
          <w:sz w:val="18"/>
          <w:szCs w:val="18"/>
        </w:rPr>
        <w:t xml:space="preserve">? </w:t>
      </w:r>
      <w:proofErr w:type="gramStart"/>
      <w:r w:rsidRPr="00591ECB">
        <w:rPr>
          <w:rFonts w:ascii="Century" w:hAnsi="Century" w:cs="Times New Roman"/>
          <w:i/>
          <w:iCs/>
          <w:sz w:val="18"/>
          <w:szCs w:val="18"/>
        </w:rPr>
        <w:t>Journal of Southwest Jiaotong University</w:t>
      </w:r>
      <w:r w:rsidRPr="00591ECB">
        <w:rPr>
          <w:rFonts w:ascii="Century" w:hAnsi="Century" w:cs="Times New Roman"/>
          <w:sz w:val="18"/>
          <w:szCs w:val="18"/>
        </w:rPr>
        <w:t xml:space="preserve">, </w:t>
      </w:r>
      <w:r w:rsidRPr="00591ECB">
        <w:rPr>
          <w:rFonts w:ascii="Century" w:hAnsi="Century" w:cs="Times New Roman"/>
          <w:i/>
          <w:iCs/>
          <w:sz w:val="18"/>
          <w:szCs w:val="18"/>
        </w:rPr>
        <w:t>55</w:t>
      </w:r>
      <w:r w:rsidRPr="00591ECB">
        <w:rPr>
          <w:rFonts w:ascii="Century" w:hAnsi="Century" w:cs="Times New Roman"/>
          <w:sz w:val="18"/>
          <w:szCs w:val="18"/>
        </w:rPr>
        <w:t>(2).</w:t>
      </w:r>
      <w:proofErr w:type="gramEnd"/>
    </w:p>
    <w:p w:rsidR="002165D7" w:rsidRPr="00591ECB" w:rsidRDefault="002165D7" w:rsidP="002165D7">
      <w:pPr>
        <w:adjustRightInd w:val="0"/>
        <w:ind w:left="480" w:hanging="480"/>
        <w:jc w:val="both"/>
        <w:rPr>
          <w:rFonts w:ascii="Century" w:hAnsi="Century" w:cs="Times New Roman"/>
          <w:sz w:val="18"/>
          <w:szCs w:val="18"/>
        </w:rPr>
      </w:pPr>
      <w:proofErr w:type="gramStart"/>
      <w:r w:rsidRPr="00591ECB">
        <w:rPr>
          <w:rFonts w:ascii="Century" w:hAnsi="Century" w:cs="Times New Roman"/>
          <w:sz w:val="18"/>
          <w:szCs w:val="18"/>
        </w:rPr>
        <w:t>Wahyudi, W., Setiany, E., &amp; Utami, W. (2020).</w:t>
      </w:r>
      <w:proofErr w:type="gramEnd"/>
      <w:r w:rsidRPr="00591ECB">
        <w:rPr>
          <w:rFonts w:ascii="Century" w:hAnsi="Century" w:cs="Times New Roman"/>
          <w:sz w:val="18"/>
          <w:szCs w:val="18"/>
        </w:rPr>
        <w:t xml:space="preserve"> The good corporate governance mechanism and earnings management: Evidence from Indonesian and Malaysian manufacturing companies. </w:t>
      </w:r>
      <w:r w:rsidRPr="00591ECB">
        <w:rPr>
          <w:rFonts w:ascii="Century" w:hAnsi="Century" w:cs="Times New Roman"/>
          <w:i/>
          <w:iCs/>
          <w:sz w:val="18"/>
          <w:szCs w:val="18"/>
        </w:rPr>
        <w:t>Public Sector Accountants and Quantum Leap: How Far We Can Survive in Industrial Revolution 4.0</w:t>
      </w:r>
      <w:proofErr w:type="gramStart"/>
      <w:r w:rsidRPr="00591ECB">
        <w:rPr>
          <w:rFonts w:ascii="Century" w:hAnsi="Century" w:cs="Times New Roman"/>
          <w:i/>
          <w:iCs/>
          <w:sz w:val="18"/>
          <w:szCs w:val="18"/>
        </w:rPr>
        <w:t>?</w:t>
      </w:r>
      <w:r w:rsidRPr="00591ECB">
        <w:rPr>
          <w:rFonts w:ascii="Century" w:hAnsi="Century" w:cs="Times New Roman"/>
          <w:sz w:val="18"/>
          <w:szCs w:val="18"/>
        </w:rPr>
        <w:t>,</w:t>
      </w:r>
      <w:proofErr w:type="gramEnd"/>
      <w:r w:rsidRPr="00591ECB">
        <w:rPr>
          <w:rFonts w:ascii="Century" w:hAnsi="Century" w:cs="Times New Roman"/>
          <w:sz w:val="18"/>
          <w:szCs w:val="18"/>
        </w:rPr>
        <w:t xml:space="preserve"> pp. 89–94.</w:t>
      </w:r>
    </w:p>
    <w:p w:rsidR="002165D7" w:rsidRPr="00591ECB" w:rsidRDefault="002165D7" w:rsidP="002165D7">
      <w:pPr>
        <w:adjustRightInd w:val="0"/>
        <w:ind w:left="480" w:hanging="480"/>
        <w:jc w:val="both"/>
        <w:rPr>
          <w:rFonts w:ascii="Century" w:hAnsi="Century" w:cs="Times New Roman"/>
          <w:sz w:val="18"/>
          <w:szCs w:val="18"/>
        </w:rPr>
      </w:pPr>
      <w:proofErr w:type="gramStart"/>
      <w:r w:rsidRPr="00591ECB">
        <w:rPr>
          <w:rFonts w:ascii="Century" w:hAnsi="Century" w:cs="Times New Roman"/>
          <w:sz w:val="18"/>
          <w:szCs w:val="18"/>
        </w:rPr>
        <w:t>Warianto, P., &amp; Rusiti, C. (2014).</w:t>
      </w:r>
      <w:proofErr w:type="gramEnd"/>
      <w:r w:rsidRPr="00591ECB">
        <w:rPr>
          <w:rFonts w:ascii="Century" w:hAnsi="Century" w:cs="Times New Roman"/>
          <w:sz w:val="18"/>
          <w:szCs w:val="18"/>
        </w:rPr>
        <w:t xml:space="preserve"> Pengaruh Ukuran Perusahaan, Struktur Modal, Likuiditas Dan Investment Opportunity Set (Ios) Terhadap Kualitas Laba Pada Perusahaan Manufaktur Yang Terdaftar Di Bei. </w:t>
      </w:r>
      <w:r w:rsidRPr="00591ECB">
        <w:rPr>
          <w:rFonts w:ascii="Century" w:hAnsi="Century" w:cs="Times New Roman"/>
          <w:i/>
          <w:iCs/>
          <w:sz w:val="18"/>
          <w:szCs w:val="18"/>
        </w:rPr>
        <w:t>Modus Jurnal Ekonomi Dan Bisnis</w:t>
      </w:r>
      <w:r w:rsidRPr="00591ECB">
        <w:rPr>
          <w:rFonts w:ascii="Century" w:hAnsi="Century" w:cs="Times New Roman"/>
          <w:sz w:val="18"/>
          <w:szCs w:val="18"/>
        </w:rPr>
        <w:t xml:space="preserve">, </w:t>
      </w:r>
      <w:r w:rsidRPr="00591ECB">
        <w:rPr>
          <w:rFonts w:ascii="Century" w:hAnsi="Century" w:cs="Times New Roman"/>
          <w:i/>
          <w:iCs/>
          <w:sz w:val="18"/>
          <w:szCs w:val="18"/>
        </w:rPr>
        <w:t>26</w:t>
      </w:r>
      <w:r w:rsidRPr="00591ECB">
        <w:rPr>
          <w:rFonts w:ascii="Century" w:hAnsi="Century" w:cs="Times New Roman"/>
          <w:sz w:val="18"/>
          <w:szCs w:val="18"/>
        </w:rPr>
        <w:t xml:space="preserve">(1), 19. </w:t>
      </w:r>
    </w:p>
    <w:p w:rsidR="002165D7" w:rsidRDefault="002165D7" w:rsidP="002165D7">
      <w:pPr>
        <w:adjustRightInd w:val="0"/>
        <w:ind w:left="480" w:hanging="480"/>
        <w:jc w:val="both"/>
        <w:rPr>
          <w:rFonts w:ascii="Century" w:hAnsi="Century" w:cs="Times New Roman"/>
          <w:sz w:val="18"/>
          <w:szCs w:val="18"/>
        </w:rPr>
      </w:pPr>
      <w:r w:rsidRPr="00591ECB">
        <w:rPr>
          <w:rFonts w:ascii="Century" w:hAnsi="Century" w:cs="Times New Roman"/>
          <w:sz w:val="18"/>
          <w:szCs w:val="18"/>
        </w:rPr>
        <w:t xml:space="preserve">Watts, Ross L: Zimmerman, J. L. (1986). </w:t>
      </w:r>
      <w:proofErr w:type="gramStart"/>
      <w:r w:rsidRPr="00591ECB">
        <w:rPr>
          <w:rFonts w:ascii="Century" w:hAnsi="Century" w:cs="Times New Roman"/>
          <w:i/>
          <w:iCs/>
          <w:sz w:val="18"/>
          <w:szCs w:val="18"/>
        </w:rPr>
        <w:t>Positive Accounting Theory, Prentice Hall, Inc. Chapter 1, 2, 14, dan 15.</w:t>
      </w:r>
      <w:proofErr w:type="gramEnd"/>
    </w:p>
    <w:p w:rsidR="002165D7" w:rsidRDefault="002165D7" w:rsidP="002165D7">
      <w:pPr>
        <w:adjustRightInd w:val="0"/>
        <w:ind w:left="480" w:hanging="480"/>
        <w:jc w:val="both"/>
        <w:rPr>
          <w:rFonts w:ascii="Century" w:hAnsi="Century" w:cs="Times New Roman"/>
          <w:sz w:val="18"/>
          <w:szCs w:val="18"/>
        </w:rPr>
      </w:pPr>
      <w:r w:rsidRPr="00591ECB">
        <w:rPr>
          <w:rFonts w:ascii="Century" w:hAnsi="Century" w:cs="Times New Roman"/>
          <w:sz w:val="18"/>
          <w:szCs w:val="18"/>
        </w:rPr>
        <w:t xml:space="preserve">Yuliza, A. (2018). The Effects of Earnings Per Share and Firm Size to Stock Price LQ45 Company Listed in Indonesian Securities. </w:t>
      </w:r>
      <w:proofErr w:type="gramStart"/>
      <w:r w:rsidRPr="00591ECB">
        <w:rPr>
          <w:rFonts w:ascii="Century" w:hAnsi="Century" w:cs="Times New Roman"/>
          <w:i/>
          <w:iCs/>
          <w:sz w:val="18"/>
          <w:szCs w:val="18"/>
        </w:rPr>
        <w:t>International Journal of Engineering &amp; Technology</w:t>
      </w:r>
      <w:r w:rsidRPr="00591ECB">
        <w:rPr>
          <w:rFonts w:ascii="Century" w:hAnsi="Century" w:cs="Times New Roman"/>
          <w:sz w:val="18"/>
          <w:szCs w:val="18"/>
        </w:rPr>
        <w:t xml:space="preserve">, </w:t>
      </w:r>
      <w:r w:rsidRPr="00591ECB">
        <w:rPr>
          <w:rFonts w:ascii="Century" w:hAnsi="Century" w:cs="Times New Roman"/>
          <w:i/>
          <w:iCs/>
          <w:sz w:val="18"/>
          <w:szCs w:val="18"/>
        </w:rPr>
        <w:t>7</w:t>
      </w:r>
      <w:r w:rsidRPr="00591ECB">
        <w:rPr>
          <w:rFonts w:ascii="Century" w:hAnsi="Century" w:cs="Times New Roman"/>
          <w:sz w:val="18"/>
          <w:szCs w:val="18"/>
        </w:rPr>
        <w:t>(4.9), 247.</w:t>
      </w:r>
      <w:proofErr w:type="gramEnd"/>
      <w:r w:rsidRPr="00591ECB">
        <w:rPr>
          <w:rFonts w:ascii="Century" w:hAnsi="Century" w:cs="Times New Roman"/>
          <w:sz w:val="18"/>
          <w:szCs w:val="18"/>
        </w:rPr>
        <w:t xml:space="preserve"> </w:t>
      </w:r>
    </w:p>
    <w:p w:rsidR="002165D7" w:rsidRDefault="002165D7" w:rsidP="002165D7">
      <w:pPr>
        <w:adjustRightInd w:val="0"/>
        <w:spacing w:after="140"/>
        <w:jc w:val="both"/>
        <w:rPr>
          <w:rFonts w:ascii="Century" w:hAnsi="Century" w:cs="Times New Roman"/>
          <w:sz w:val="18"/>
          <w:szCs w:val="18"/>
        </w:rPr>
        <w:sectPr w:rsidR="002165D7" w:rsidSect="002165D7">
          <w:type w:val="continuous"/>
          <w:pgSz w:w="12190" w:h="15880"/>
          <w:pgMar w:top="1040" w:right="1020" w:bottom="280" w:left="1020" w:header="720" w:footer="720" w:gutter="0"/>
          <w:cols w:num="2" w:space="284"/>
        </w:sectPr>
      </w:pPr>
    </w:p>
    <w:p w:rsidR="002165D7" w:rsidRPr="003E17F8" w:rsidRDefault="002165D7" w:rsidP="002165D7">
      <w:pPr>
        <w:adjustRightInd w:val="0"/>
        <w:spacing w:after="140"/>
        <w:rPr>
          <w:rFonts w:ascii="Century" w:hAnsi="Century" w:cs="Times New Roman"/>
          <w:sz w:val="18"/>
          <w:szCs w:val="18"/>
          <w:lang w:val="id-ID"/>
        </w:rPr>
        <w:sectPr w:rsidR="002165D7" w:rsidRPr="003E17F8" w:rsidSect="002165D7">
          <w:type w:val="continuous"/>
          <w:pgSz w:w="12190" w:h="15880"/>
          <w:pgMar w:top="1040" w:right="1020" w:bottom="280" w:left="1020" w:header="720" w:footer="720" w:gutter="0"/>
          <w:cols w:num="2" w:space="284"/>
        </w:sectPr>
      </w:pPr>
      <w:r>
        <w:rPr>
          <w:rFonts w:ascii="Century" w:hAnsi="Century" w:cs="Times New Roman"/>
          <w:sz w:val="18"/>
          <w:szCs w:val="18"/>
        </w:rPr>
        <w:lastRenderedPageBreak/>
        <w:fldChar w:fldCharType="end"/>
      </w:r>
    </w:p>
    <w:p w:rsidR="002165D7" w:rsidRPr="009A25A8" w:rsidRDefault="002165D7" w:rsidP="002165D7">
      <w:pPr>
        <w:pStyle w:val="BodyText"/>
        <w:spacing w:before="7"/>
        <w:rPr>
          <w:rFonts w:ascii="Century"/>
          <w:sz w:val="16"/>
          <w:lang w:val="id-ID"/>
        </w:rPr>
        <w:sectPr w:rsidR="002165D7" w:rsidRPr="009A25A8" w:rsidSect="002165D7">
          <w:type w:val="continuous"/>
          <w:pgSz w:w="12190" w:h="15880"/>
          <w:pgMar w:top="1040" w:right="1020" w:bottom="280" w:left="1020" w:header="720" w:footer="720" w:gutter="0"/>
          <w:cols w:num="2" w:space="284"/>
        </w:sectPr>
      </w:pPr>
      <w:r>
        <w:rPr>
          <w:noProof/>
          <w:lang w:bidi="ar-SA"/>
        </w:rPr>
        <w:lastRenderedPageBreak/>
        <mc:AlternateContent>
          <mc:Choice Requires="wps">
            <w:drawing>
              <wp:anchor distT="0" distB="0" distL="0" distR="0" simplePos="0" relativeHeight="251671552" behindDoc="1" locked="0" layoutInCell="1" allowOverlap="1">
                <wp:simplePos x="0" y="0"/>
                <wp:positionH relativeFrom="page">
                  <wp:posOffset>720090</wp:posOffset>
                </wp:positionH>
                <wp:positionV relativeFrom="paragraph">
                  <wp:posOffset>212090</wp:posOffset>
                </wp:positionV>
                <wp:extent cx="6300470" cy="0"/>
                <wp:effectExtent l="15240" t="8890" r="8890" b="1016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0470" cy="0"/>
                        </a:xfrm>
                        <a:prstGeom prst="line">
                          <a:avLst/>
                        </a:prstGeom>
                        <a:noFill/>
                        <a:ln w="1219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6.7pt" to="552.8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" strokecolor="#231f20" strokeweight=".96pt">
                <w10:wrap type="topAndBottom" anchorx="page"/>
              </v:line>
            </w:pict>
          </mc:Fallback>
        </mc:AlternateContent>
      </w:r>
    </w:p>
    <w:p w:rsidR="002165D7" w:rsidRPr="003E17F8" w:rsidRDefault="002165D7" w:rsidP="002165D7">
      <w:pPr>
        <w:tabs>
          <w:tab w:val="left" w:pos="1575"/>
        </w:tabs>
        <w:rPr>
          <w:lang w:val="id-ID"/>
        </w:rPr>
      </w:pPr>
    </w:p>
    <w:p w:rsidR="00EA2C12" w:rsidRDefault="00EA2C12"/>
    <w:sectPr w:rsidR="00EA2C12">
      <w:pgSz w:w="12190" w:h="15880"/>
      <w:pgMar w:top="1560" w:right="1020" w:bottom="1360" w:left="1020" w:header="1132" w:footer="11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5D7" w:rsidRDefault="002165D7">
    <w:pPr>
      <w:pStyle w:val="Footer"/>
    </w:pPr>
    <w:r>
      <w:rPr>
        <w:noProof/>
        <w:lang w:bidi="ar-SA"/>
      </w:rPr>
      <mc:AlternateContent>
        <mc:Choice Requires="wps">
          <w:drawing>
            <wp:anchor distT="0" distB="0" distL="114300" distR="114300" simplePos="0" relativeHeight="251660288" behindDoc="1" locked="0" layoutInCell="1" allowOverlap="1">
              <wp:simplePos x="0" y="0"/>
              <wp:positionH relativeFrom="margin">
                <wp:align>center</wp:align>
              </wp:positionH>
              <wp:positionV relativeFrom="page">
                <wp:posOffset>9725025</wp:posOffset>
              </wp:positionV>
              <wp:extent cx="397510" cy="401955"/>
              <wp:effectExtent l="4445"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5D7" w:rsidRDefault="002165D7" w:rsidP="002165D7">
                          <w:pPr>
                            <w:spacing w:line="225" w:lineRule="exact"/>
                            <w:ind w:left="20"/>
                            <w:rPr>
                              <w:rFonts w:ascii="Calibri"/>
                              <w:b/>
                              <w:sz w:val="20"/>
                            </w:rPr>
                          </w:pPr>
                          <w:r>
                            <w:rPr>
                              <w:rFonts w:ascii="Calibri"/>
                              <w:b/>
                              <w:sz w:val="20"/>
                            </w:rPr>
                            <w:t xml:space="preserve">| </w:t>
                          </w:r>
                          <w:r>
                            <w:fldChar w:fldCharType="begin"/>
                          </w:r>
                          <w:r>
                            <w:rPr>
                              <w:rFonts w:ascii="Calibri"/>
                              <w:b/>
                              <w:sz w:val="20"/>
                            </w:rPr>
                            <w:instrText xml:space="preserve"> PAGE </w:instrText>
                          </w:r>
                          <w:r>
                            <w:fldChar w:fldCharType="separate"/>
                          </w:r>
                          <w:r w:rsidR="00883FC3">
                            <w:rPr>
                              <w:rFonts w:ascii="Calibri"/>
                              <w:b/>
                              <w:noProof/>
                              <w:sz w:val="20"/>
                            </w:rPr>
                            <w:t>7</w:t>
                          </w:r>
                          <w:r>
                            <w:fldChar w:fldCharType="end"/>
                          </w:r>
                          <w:r>
                            <w:rPr>
                              <w:rFonts w:ascii="Calibri"/>
                              <w:b/>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margin-left:0;margin-top:765.75pt;width:31.3pt;height:31.6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" filled="f" stroked="f">
              <v:textbox inset="0,0,0,0">
                <w:txbxContent>
                  <w:p w:rsidR="002165D7" w:rsidRDefault="002165D7" w:rsidP="002165D7">
                    <w:pPr>
                      <w:spacing w:line="225" w:lineRule="exact"/>
                      <w:ind w:left="20"/>
                      <w:rPr>
                        <w:rFonts w:ascii="Calibri"/>
                        <w:b/>
                        <w:sz w:val="20"/>
                      </w:rPr>
                    </w:pPr>
                    <w:r>
                      <w:rPr>
                        <w:rFonts w:ascii="Calibri"/>
                        <w:b/>
                        <w:sz w:val="20"/>
                      </w:rPr>
                      <w:t xml:space="preserve">| </w:t>
                    </w:r>
                    <w:r>
                      <w:fldChar w:fldCharType="begin"/>
                    </w:r>
                    <w:r>
                      <w:rPr>
                        <w:rFonts w:ascii="Calibri"/>
                        <w:b/>
                        <w:sz w:val="20"/>
                      </w:rPr>
                      <w:instrText xml:space="preserve"> PAGE </w:instrText>
                    </w:r>
                    <w:r>
                      <w:fldChar w:fldCharType="separate"/>
                    </w:r>
                    <w:r w:rsidR="00883FC3">
                      <w:rPr>
                        <w:rFonts w:ascii="Calibri"/>
                        <w:b/>
                        <w:noProof/>
                        <w:sz w:val="20"/>
                      </w:rPr>
                      <w:t>7</w:t>
                    </w:r>
                    <w:r>
                      <w:fldChar w:fldCharType="end"/>
                    </w:r>
                    <w:r>
                      <w:rPr>
                        <w:rFonts w:ascii="Calibri"/>
                        <w:b/>
                        <w:sz w:val="20"/>
                      </w:rPr>
                      <w:t xml:space="preserve"> |</w:t>
                    </w:r>
                  </w:p>
                </w:txbxContent>
              </v:textbox>
              <w10:wrap anchorx="margin"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5D7" w:rsidRDefault="002165D7">
    <w:pPr>
      <w:pStyle w:val="Footer"/>
    </w:pPr>
    <w:r>
      <w:rPr>
        <w:noProof/>
        <w:lang w:bidi="ar-SA"/>
      </w:rPr>
      <mc:AlternateContent>
        <mc:Choice Requires="wps">
          <w:drawing>
            <wp:anchor distT="0" distB="0" distL="114300" distR="114300" simplePos="0" relativeHeight="251661312" behindDoc="1" locked="0" layoutInCell="1" allowOverlap="1">
              <wp:simplePos x="0" y="0"/>
              <wp:positionH relativeFrom="margin">
                <wp:align>center</wp:align>
              </wp:positionH>
              <wp:positionV relativeFrom="page">
                <wp:posOffset>9648825</wp:posOffset>
              </wp:positionV>
              <wp:extent cx="397510" cy="156210"/>
              <wp:effectExtent l="4445"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5D7" w:rsidRDefault="002165D7" w:rsidP="002165D7">
                          <w:pPr>
                            <w:spacing w:line="225" w:lineRule="exact"/>
                            <w:ind w:left="20"/>
                            <w:rPr>
                              <w:rFonts w:ascii="Calibri"/>
                              <w:b/>
                              <w:sz w:val="20"/>
                            </w:rPr>
                          </w:pPr>
                          <w:r>
                            <w:rPr>
                              <w:rFonts w:ascii="Calibri"/>
                              <w:b/>
                              <w:sz w:val="20"/>
                            </w:rPr>
                            <w:t xml:space="preserve">| </w:t>
                          </w:r>
                          <w:r>
                            <w:fldChar w:fldCharType="begin"/>
                          </w:r>
                          <w:r>
                            <w:rPr>
                              <w:rFonts w:ascii="Calibri"/>
                              <w:b/>
                              <w:sz w:val="20"/>
                            </w:rPr>
                            <w:instrText xml:space="preserve"> PAGE </w:instrText>
                          </w:r>
                          <w:r>
                            <w:fldChar w:fldCharType="separate"/>
                          </w:r>
                          <w:r w:rsidR="00883FC3">
                            <w:rPr>
                              <w:rFonts w:ascii="Calibri"/>
                              <w:b/>
                              <w:noProof/>
                              <w:sz w:val="20"/>
                            </w:rPr>
                            <w:t>1</w:t>
                          </w:r>
                          <w:r>
                            <w:fldChar w:fldCharType="end"/>
                          </w:r>
                          <w:r>
                            <w:rPr>
                              <w:rFonts w:ascii="Calibri"/>
                              <w:b/>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1" type="#_x0000_t202" style="position:absolute;margin-left:0;margin-top:759.75pt;width:31.3pt;height:12.3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" filled="f" stroked="f">
              <v:textbox inset="0,0,0,0">
                <w:txbxContent>
                  <w:p w:rsidR="002165D7" w:rsidRDefault="002165D7" w:rsidP="002165D7">
                    <w:pPr>
                      <w:spacing w:line="225" w:lineRule="exact"/>
                      <w:ind w:left="20"/>
                      <w:rPr>
                        <w:rFonts w:ascii="Calibri"/>
                        <w:b/>
                        <w:sz w:val="20"/>
                      </w:rPr>
                    </w:pPr>
                    <w:r>
                      <w:rPr>
                        <w:rFonts w:ascii="Calibri"/>
                        <w:b/>
                        <w:sz w:val="20"/>
                      </w:rPr>
                      <w:t xml:space="preserve">| </w:t>
                    </w:r>
                    <w:r>
                      <w:fldChar w:fldCharType="begin"/>
                    </w:r>
                    <w:r>
                      <w:rPr>
                        <w:rFonts w:ascii="Calibri"/>
                        <w:b/>
                        <w:sz w:val="20"/>
                      </w:rPr>
                      <w:instrText xml:space="preserve"> PAGE </w:instrText>
                    </w:r>
                    <w:r>
                      <w:fldChar w:fldCharType="separate"/>
                    </w:r>
                    <w:r w:rsidR="00883FC3">
                      <w:rPr>
                        <w:rFonts w:ascii="Calibri"/>
                        <w:b/>
                        <w:noProof/>
                        <w:sz w:val="20"/>
                      </w:rPr>
                      <w:t>1</w:t>
                    </w:r>
                    <w:r>
                      <w:fldChar w:fldCharType="end"/>
                    </w:r>
                    <w:r>
                      <w:rPr>
                        <w:rFonts w:ascii="Calibri"/>
                        <w:b/>
                        <w:sz w:val="20"/>
                      </w:rPr>
                      <w:t xml:space="preserve"> |</w:t>
                    </w:r>
                  </w:p>
                </w:txbxContent>
              </v:textbox>
              <w10:wrap anchorx="margin"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5D7" w:rsidRDefault="002165D7">
    <w:pPr>
      <w:pStyle w:val="BodyText"/>
      <w:spacing w:line="14" w:lineRule="auto"/>
      <w:rPr>
        <w:sz w:val="20"/>
      </w:rPr>
    </w:pPr>
    <w:r>
      <w:rPr>
        <w:noProof/>
        <w:sz w:val="20"/>
        <w:lang w:bidi="ar-SA"/>
      </w:rPr>
      <mc:AlternateContent>
        <mc:Choice Requires="wps">
          <w:drawing>
            <wp:anchor distT="0" distB="0" distL="114300" distR="114300" simplePos="0" relativeHeight="251662336" behindDoc="1" locked="0" layoutInCell="1" allowOverlap="1">
              <wp:simplePos x="0" y="0"/>
              <wp:positionH relativeFrom="page">
                <wp:posOffset>3824605</wp:posOffset>
              </wp:positionH>
              <wp:positionV relativeFrom="page">
                <wp:posOffset>9814560</wp:posOffset>
              </wp:positionV>
              <wp:extent cx="397510" cy="156210"/>
              <wp:effectExtent l="0" t="3810" r="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5D7" w:rsidRDefault="002165D7" w:rsidP="002165D7">
                          <w:pPr>
                            <w:spacing w:line="225" w:lineRule="exact"/>
                            <w:ind w:left="20"/>
                            <w:rPr>
                              <w:rFonts w:ascii="Calibri"/>
                              <w:b/>
                              <w:sz w:val="20"/>
                            </w:rPr>
                          </w:pPr>
                          <w:r>
                            <w:rPr>
                              <w:rFonts w:ascii="Calibri"/>
                              <w:b/>
                              <w:sz w:val="20"/>
                            </w:rPr>
                            <w:t xml:space="preserve">| </w:t>
                          </w:r>
                          <w:r>
                            <w:fldChar w:fldCharType="begin"/>
                          </w:r>
                          <w:r>
                            <w:rPr>
                              <w:rFonts w:ascii="Calibri"/>
                              <w:b/>
                              <w:sz w:val="20"/>
                            </w:rPr>
                            <w:instrText xml:space="preserve"> PAGE </w:instrText>
                          </w:r>
                          <w:r>
                            <w:fldChar w:fldCharType="separate"/>
                          </w:r>
                          <w:r>
                            <w:rPr>
                              <w:rFonts w:ascii="Calibri"/>
                              <w:b/>
                              <w:noProof/>
                              <w:sz w:val="20"/>
                            </w:rPr>
                            <w:t>12</w:t>
                          </w:r>
                          <w:r>
                            <w:fldChar w:fldCharType="end"/>
                          </w:r>
                          <w:r>
                            <w:rPr>
                              <w:rFonts w:ascii="Calibri"/>
                              <w:b/>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2" type="#_x0000_t202" style="position:absolute;margin-left:301.15pt;margin-top:772.8pt;width:31.3pt;height:12.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" filled="f" stroked="f">
              <v:textbox inset="0,0,0,0">
                <w:txbxContent>
                  <w:p w:rsidR="002165D7" w:rsidRDefault="002165D7" w:rsidP="002165D7">
                    <w:pPr>
                      <w:spacing w:line="225" w:lineRule="exact"/>
                      <w:ind w:left="20"/>
                      <w:rPr>
                        <w:rFonts w:ascii="Calibri"/>
                        <w:b/>
                        <w:sz w:val="20"/>
                      </w:rPr>
                    </w:pPr>
                    <w:r>
                      <w:rPr>
                        <w:rFonts w:ascii="Calibri"/>
                        <w:b/>
                        <w:sz w:val="20"/>
                      </w:rPr>
                      <w:t xml:space="preserve">| </w:t>
                    </w:r>
                    <w:r>
                      <w:fldChar w:fldCharType="begin"/>
                    </w:r>
                    <w:r>
                      <w:rPr>
                        <w:rFonts w:ascii="Calibri"/>
                        <w:b/>
                        <w:sz w:val="20"/>
                      </w:rPr>
                      <w:instrText xml:space="preserve"> PAGE </w:instrText>
                    </w:r>
                    <w:r>
                      <w:fldChar w:fldCharType="separate"/>
                    </w:r>
                    <w:r>
                      <w:rPr>
                        <w:rFonts w:ascii="Calibri"/>
                        <w:b/>
                        <w:noProof/>
                        <w:sz w:val="20"/>
                      </w:rPr>
                      <w:t>12</w:t>
                    </w:r>
                    <w:r>
                      <w:fldChar w:fldCharType="end"/>
                    </w:r>
                    <w:r>
                      <w:rPr>
                        <w:rFonts w:ascii="Calibri"/>
                        <w:b/>
                        <w:sz w:val="20"/>
                      </w:rPr>
                      <w:t xml:space="preserve"> |</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5D7" w:rsidRDefault="002165D7">
    <w:pPr>
      <w:pStyle w:val="BodyText"/>
      <w:spacing w:line="14" w:lineRule="auto"/>
      <w:rPr>
        <w:sz w:val="20"/>
      </w:rPr>
    </w:pPr>
    <w:r>
      <w:rPr>
        <w:noProof/>
        <w:lang w:bidi="ar-SA"/>
      </w:rPr>
      <mc:AlternateContent>
        <mc:Choice Requires="wps">
          <w:drawing>
            <wp:anchor distT="0" distB="0" distL="114300" distR="114300" simplePos="0" relativeHeight="251659264" behindDoc="1" locked="0" layoutInCell="1" allowOverlap="1">
              <wp:simplePos x="0" y="0"/>
              <wp:positionH relativeFrom="page">
                <wp:posOffset>3672205</wp:posOffset>
              </wp:positionH>
              <wp:positionV relativeFrom="page">
                <wp:posOffset>9818370</wp:posOffset>
              </wp:positionV>
              <wp:extent cx="397510" cy="15621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5D7" w:rsidRDefault="002165D7">
                          <w:pPr>
                            <w:spacing w:line="225" w:lineRule="exact"/>
                            <w:ind w:left="20"/>
                            <w:rPr>
                              <w:rFonts w:ascii="Calibri"/>
                              <w:b/>
                              <w:sz w:val="20"/>
                            </w:rPr>
                          </w:pPr>
                          <w:r>
                            <w:rPr>
                              <w:rFonts w:ascii="Calibri"/>
                              <w:b/>
                              <w:sz w:val="20"/>
                            </w:rPr>
                            <w:t xml:space="preserve">| </w:t>
                          </w:r>
                          <w:r>
                            <w:fldChar w:fldCharType="begin"/>
                          </w:r>
                          <w:r>
                            <w:rPr>
                              <w:rFonts w:ascii="Calibri"/>
                              <w:b/>
                              <w:sz w:val="20"/>
                            </w:rPr>
                            <w:instrText xml:space="preserve"> PAGE </w:instrText>
                          </w:r>
                          <w:r>
                            <w:fldChar w:fldCharType="separate"/>
                          </w:r>
                          <w:r w:rsidR="00883FC3">
                            <w:rPr>
                              <w:rFonts w:ascii="Calibri"/>
                              <w:b/>
                              <w:noProof/>
                              <w:sz w:val="20"/>
                            </w:rPr>
                            <w:t>3</w:t>
                          </w:r>
                          <w:r>
                            <w:fldChar w:fldCharType="end"/>
                          </w:r>
                          <w:r>
                            <w:rPr>
                              <w:rFonts w:ascii="Calibri"/>
                              <w:b/>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3" type="#_x0000_t202" style="position:absolute;margin-left:289.15pt;margin-top:773.1pt;width:31.3pt;height:12.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" filled="f" stroked="f">
              <v:textbox inset="0,0,0,0">
                <w:txbxContent>
                  <w:p w:rsidR="002165D7" w:rsidRDefault="002165D7">
                    <w:pPr>
                      <w:spacing w:line="225" w:lineRule="exact"/>
                      <w:ind w:left="20"/>
                      <w:rPr>
                        <w:rFonts w:ascii="Calibri"/>
                        <w:b/>
                        <w:sz w:val="20"/>
                      </w:rPr>
                    </w:pPr>
                    <w:r>
                      <w:rPr>
                        <w:rFonts w:ascii="Calibri"/>
                        <w:b/>
                        <w:sz w:val="20"/>
                      </w:rPr>
                      <w:t xml:space="preserve">| </w:t>
                    </w:r>
                    <w:r>
                      <w:fldChar w:fldCharType="begin"/>
                    </w:r>
                    <w:r>
                      <w:rPr>
                        <w:rFonts w:ascii="Calibri"/>
                        <w:b/>
                        <w:sz w:val="20"/>
                      </w:rPr>
                      <w:instrText xml:space="preserve"> PAGE </w:instrText>
                    </w:r>
                    <w:r>
                      <w:fldChar w:fldCharType="separate"/>
                    </w:r>
                    <w:r w:rsidR="00883FC3">
                      <w:rPr>
                        <w:rFonts w:ascii="Calibri"/>
                        <w:b/>
                        <w:noProof/>
                        <w:sz w:val="20"/>
                      </w:rPr>
                      <w:t>3</w:t>
                    </w:r>
                    <w:r>
                      <w:fldChar w:fldCharType="end"/>
                    </w:r>
                    <w:r>
                      <w:rPr>
                        <w:rFonts w:ascii="Calibri"/>
                        <w:b/>
                        <w:sz w:val="20"/>
                      </w:rPr>
                      <w:t xml:space="preserve"> |</w:t>
                    </w:r>
                  </w:p>
                </w:txbxContent>
              </v:textbox>
              <w10:wrap anchorx="page" anchory="pag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5D7" w:rsidRDefault="002165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039"/>
    <w:multiLevelType w:val="hybridMultilevel"/>
    <w:tmpl w:val="3FC4998C"/>
    <w:lvl w:ilvl="0" w:tplc="FF0AC96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50882"/>
    <w:multiLevelType w:val="hybridMultilevel"/>
    <w:tmpl w:val="792AA40A"/>
    <w:lvl w:ilvl="0" w:tplc="16F0555E">
      <w:start w:val="1"/>
      <w:numFmt w:val="decimal"/>
      <w:lvlText w:val="%1."/>
      <w:lvlJc w:val="left"/>
      <w:pPr>
        <w:ind w:left="679" w:hanging="567"/>
        <w:jc w:val="left"/>
      </w:pPr>
      <w:rPr>
        <w:rFonts w:ascii="Calibri" w:eastAsia="Calibri" w:hAnsi="Calibri" w:cs="Calibri" w:hint="default"/>
        <w:b/>
        <w:bCs/>
        <w:spacing w:val="-2"/>
        <w:w w:val="99"/>
        <w:sz w:val="24"/>
        <w:szCs w:val="24"/>
        <w:lang w:val="en-US" w:eastAsia="en-US" w:bidi="en-US"/>
      </w:rPr>
    </w:lvl>
    <w:lvl w:ilvl="1" w:tplc="490226B8">
      <w:numFmt w:val="bullet"/>
      <w:lvlText w:val="•"/>
      <w:lvlJc w:val="left"/>
      <w:pPr>
        <w:ind w:left="1109" w:hanging="567"/>
      </w:pPr>
      <w:rPr>
        <w:rFonts w:hint="default"/>
        <w:lang w:val="en-US" w:eastAsia="en-US" w:bidi="en-US"/>
      </w:rPr>
    </w:lvl>
    <w:lvl w:ilvl="2" w:tplc="A6CA19B8">
      <w:numFmt w:val="bullet"/>
      <w:lvlText w:val="•"/>
      <w:lvlJc w:val="left"/>
      <w:pPr>
        <w:ind w:left="1538" w:hanging="567"/>
      </w:pPr>
      <w:rPr>
        <w:rFonts w:hint="default"/>
        <w:lang w:val="en-US" w:eastAsia="en-US" w:bidi="en-US"/>
      </w:rPr>
    </w:lvl>
    <w:lvl w:ilvl="3" w:tplc="29D8CAC6">
      <w:numFmt w:val="bullet"/>
      <w:lvlText w:val="•"/>
      <w:lvlJc w:val="left"/>
      <w:pPr>
        <w:ind w:left="1967" w:hanging="567"/>
      </w:pPr>
      <w:rPr>
        <w:rFonts w:hint="default"/>
        <w:lang w:val="en-US" w:eastAsia="en-US" w:bidi="en-US"/>
      </w:rPr>
    </w:lvl>
    <w:lvl w:ilvl="4" w:tplc="901AA77A">
      <w:numFmt w:val="bullet"/>
      <w:lvlText w:val="•"/>
      <w:lvlJc w:val="left"/>
      <w:pPr>
        <w:ind w:left="2397" w:hanging="567"/>
      </w:pPr>
      <w:rPr>
        <w:rFonts w:hint="default"/>
        <w:lang w:val="en-US" w:eastAsia="en-US" w:bidi="en-US"/>
      </w:rPr>
    </w:lvl>
    <w:lvl w:ilvl="5" w:tplc="892E2A80">
      <w:numFmt w:val="bullet"/>
      <w:lvlText w:val="•"/>
      <w:lvlJc w:val="left"/>
      <w:pPr>
        <w:ind w:left="2826" w:hanging="567"/>
      </w:pPr>
      <w:rPr>
        <w:rFonts w:hint="default"/>
        <w:lang w:val="en-US" w:eastAsia="en-US" w:bidi="en-US"/>
      </w:rPr>
    </w:lvl>
    <w:lvl w:ilvl="6" w:tplc="FF7012E2">
      <w:numFmt w:val="bullet"/>
      <w:lvlText w:val="•"/>
      <w:lvlJc w:val="left"/>
      <w:pPr>
        <w:ind w:left="3255" w:hanging="567"/>
      </w:pPr>
      <w:rPr>
        <w:rFonts w:hint="default"/>
        <w:lang w:val="en-US" w:eastAsia="en-US" w:bidi="en-US"/>
      </w:rPr>
    </w:lvl>
    <w:lvl w:ilvl="7" w:tplc="B360D9C4">
      <w:numFmt w:val="bullet"/>
      <w:lvlText w:val="•"/>
      <w:lvlJc w:val="left"/>
      <w:pPr>
        <w:ind w:left="3684" w:hanging="567"/>
      </w:pPr>
      <w:rPr>
        <w:rFonts w:hint="default"/>
        <w:lang w:val="en-US" w:eastAsia="en-US" w:bidi="en-US"/>
      </w:rPr>
    </w:lvl>
    <w:lvl w:ilvl="8" w:tplc="BFE093FE">
      <w:numFmt w:val="bullet"/>
      <w:lvlText w:val="•"/>
      <w:lvlJc w:val="left"/>
      <w:pPr>
        <w:ind w:left="4114" w:hanging="567"/>
      </w:pPr>
      <w:rPr>
        <w:rFonts w:hint="default"/>
        <w:lang w:val="en-US" w:eastAsia="en-US" w:bidi="en-US"/>
      </w:rPr>
    </w:lvl>
  </w:abstractNum>
  <w:abstractNum w:abstractNumId="2">
    <w:nsid w:val="140F3091"/>
    <w:multiLevelType w:val="hybridMultilevel"/>
    <w:tmpl w:val="34E4576A"/>
    <w:lvl w:ilvl="0" w:tplc="16F0555E">
      <w:start w:val="1"/>
      <w:numFmt w:val="decimal"/>
      <w:lvlText w:val="%1."/>
      <w:lvlJc w:val="left"/>
      <w:pPr>
        <w:ind w:left="679" w:hanging="567"/>
        <w:jc w:val="left"/>
      </w:pPr>
      <w:rPr>
        <w:rFonts w:ascii="Calibri" w:eastAsia="Calibri" w:hAnsi="Calibri" w:cs="Calibri" w:hint="default"/>
        <w:b/>
        <w:bCs/>
        <w:spacing w:val="-2"/>
        <w:w w:val="99"/>
        <w:sz w:val="24"/>
        <w:szCs w:val="24"/>
        <w:lang w:val="en-US" w:eastAsia="en-US" w:bidi="en-US"/>
      </w:rPr>
    </w:lvl>
    <w:lvl w:ilvl="1" w:tplc="490226B8">
      <w:numFmt w:val="bullet"/>
      <w:lvlText w:val="•"/>
      <w:lvlJc w:val="left"/>
      <w:pPr>
        <w:ind w:left="1109" w:hanging="567"/>
      </w:pPr>
      <w:rPr>
        <w:rFonts w:hint="default"/>
        <w:lang w:val="en-US" w:eastAsia="en-US" w:bidi="en-US"/>
      </w:rPr>
    </w:lvl>
    <w:lvl w:ilvl="2" w:tplc="A6CA19B8">
      <w:numFmt w:val="bullet"/>
      <w:lvlText w:val="•"/>
      <w:lvlJc w:val="left"/>
      <w:pPr>
        <w:ind w:left="1538" w:hanging="567"/>
      </w:pPr>
      <w:rPr>
        <w:rFonts w:hint="default"/>
        <w:lang w:val="en-US" w:eastAsia="en-US" w:bidi="en-US"/>
      </w:rPr>
    </w:lvl>
    <w:lvl w:ilvl="3" w:tplc="29D8CAC6">
      <w:numFmt w:val="bullet"/>
      <w:lvlText w:val="•"/>
      <w:lvlJc w:val="left"/>
      <w:pPr>
        <w:ind w:left="1967" w:hanging="567"/>
      </w:pPr>
      <w:rPr>
        <w:rFonts w:hint="default"/>
        <w:lang w:val="en-US" w:eastAsia="en-US" w:bidi="en-US"/>
      </w:rPr>
    </w:lvl>
    <w:lvl w:ilvl="4" w:tplc="901AA77A">
      <w:numFmt w:val="bullet"/>
      <w:lvlText w:val="•"/>
      <w:lvlJc w:val="left"/>
      <w:pPr>
        <w:ind w:left="2397" w:hanging="567"/>
      </w:pPr>
      <w:rPr>
        <w:rFonts w:hint="default"/>
        <w:lang w:val="en-US" w:eastAsia="en-US" w:bidi="en-US"/>
      </w:rPr>
    </w:lvl>
    <w:lvl w:ilvl="5" w:tplc="892E2A80">
      <w:numFmt w:val="bullet"/>
      <w:lvlText w:val="•"/>
      <w:lvlJc w:val="left"/>
      <w:pPr>
        <w:ind w:left="2826" w:hanging="567"/>
      </w:pPr>
      <w:rPr>
        <w:rFonts w:hint="default"/>
        <w:lang w:val="en-US" w:eastAsia="en-US" w:bidi="en-US"/>
      </w:rPr>
    </w:lvl>
    <w:lvl w:ilvl="6" w:tplc="FF7012E2">
      <w:numFmt w:val="bullet"/>
      <w:lvlText w:val="•"/>
      <w:lvlJc w:val="left"/>
      <w:pPr>
        <w:ind w:left="3255" w:hanging="567"/>
      </w:pPr>
      <w:rPr>
        <w:rFonts w:hint="default"/>
        <w:lang w:val="en-US" w:eastAsia="en-US" w:bidi="en-US"/>
      </w:rPr>
    </w:lvl>
    <w:lvl w:ilvl="7" w:tplc="B360D9C4">
      <w:numFmt w:val="bullet"/>
      <w:lvlText w:val="•"/>
      <w:lvlJc w:val="left"/>
      <w:pPr>
        <w:ind w:left="3684" w:hanging="567"/>
      </w:pPr>
      <w:rPr>
        <w:rFonts w:hint="default"/>
        <w:lang w:val="en-US" w:eastAsia="en-US" w:bidi="en-US"/>
      </w:rPr>
    </w:lvl>
    <w:lvl w:ilvl="8" w:tplc="BFE093FE">
      <w:numFmt w:val="bullet"/>
      <w:lvlText w:val="•"/>
      <w:lvlJc w:val="left"/>
      <w:pPr>
        <w:ind w:left="4114" w:hanging="567"/>
      </w:pPr>
      <w:rPr>
        <w:rFonts w:hint="default"/>
        <w:lang w:val="en-US" w:eastAsia="en-US" w:bidi="en-US"/>
      </w:rPr>
    </w:lvl>
  </w:abstractNum>
  <w:abstractNum w:abstractNumId="3">
    <w:nsid w:val="308B7677"/>
    <w:multiLevelType w:val="hybridMultilevel"/>
    <w:tmpl w:val="EF96E5F2"/>
    <w:lvl w:ilvl="0" w:tplc="D5768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D8C1AF9"/>
    <w:multiLevelType w:val="hybridMultilevel"/>
    <w:tmpl w:val="1A684CB2"/>
    <w:lvl w:ilvl="0" w:tplc="A75877B4">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205F9C"/>
    <w:multiLevelType w:val="hybridMultilevel"/>
    <w:tmpl w:val="A7AC1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5D7"/>
    <w:rsid w:val="002165D7"/>
    <w:rsid w:val="00883FC3"/>
    <w:rsid w:val="00EA2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165D7"/>
    <w:pPr>
      <w:widowControl w:val="0"/>
      <w:autoSpaceDE w:val="0"/>
      <w:autoSpaceDN w:val="0"/>
      <w:spacing w:after="0" w:line="240" w:lineRule="auto"/>
    </w:pPr>
    <w:rPr>
      <w:rFonts w:ascii="Book Antiqua" w:eastAsia="Book Antiqua" w:hAnsi="Book Antiqua" w:cs="Book Antiqua"/>
      <w:lang w:bidi="en-US"/>
    </w:rPr>
  </w:style>
  <w:style w:type="paragraph" w:styleId="Heading1">
    <w:name w:val="heading 1"/>
    <w:basedOn w:val="Normal"/>
    <w:link w:val="Heading1Char"/>
    <w:uiPriority w:val="1"/>
    <w:qFormat/>
    <w:rsid w:val="002165D7"/>
    <w:pPr>
      <w:ind w:left="112"/>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165D7"/>
    <w:rPr>
      <w:rFonts w:ascii="Calibri" w:eastAsia="Calibri" w:hAnsi="Calibri" w:cs="Calibri"/>
      <w:b/>
      <w:bCs/>
      <w:sz w:val="24"/>
      <w:szCs w:val="24"/>
      <w:lang w:bidi="en-US"/>
    </w:rPr>
  </w:style>
  <w:style w:type="paragraph" w:styleId="BodyText">
    <w:name w:val="Body Text"/>
    <w:basedOn w:val="Normal"/>
    <w:link w:val="BodyTextChar"/>
    <w:uiPriority w:val="1"/>
    <w:qFormat/>
    <w:rsid w:val="002165D7"/>
    <w:rPr>
      <w:sz w:val="21"/>
      <w:szCs w:val="21"/>
    </w:rPr>
  </w:style>
  <w:style w:type="character" w:customStyle="1" w:styleId="BodyTextChar">
    <w:name w:val="Body Text Char"/>
    <w:basedOn w:val="DefaultParagraphFont"/>
    <w:link w:val="BodyText"/>
    <w:uiPriority w:val="1"/>
    <w:rsid w:val="002165D7"/>
    <w:rPr>
      <w:rFonts w:ascii="Book Antiqua" w:eastAsia="Book Antiqua" w:hAnsi="Book Antiqua" w:cs="Book Antiqua"/>
      <w:sz w:val="21"/>
      <w:szCs w:val="21"/>
      <w:lang w:bidi="en-US"/>
    </w:rPr>
  </w:style>
  <w:style w:type="paragraph" w:styleId="ListParagraph">
    <w:name w:val="List Paragraph"/>
    <w:basedOn w:val="Normal"/>
    <w:uiPriority w:val="34"/>
    <w:qFormat/>
    <w:rsid w:val="002165D7"/>
    <w:pPr>
      <w:ind w:left="679" w:hanging="568"/>
    </w:pPr>
    <w:rPr>
      <w:rFonts w:ascii="Calibri" w:eastAsia="Calibri" w:hAnsi="Calibri" w:cs="Calibri"/>
    </w:rPr>
  </w:style>
  <w:style w:type="paragraph" w:customStyle="1" w:styleId="TableParagraph">
    <w:name w:val="Table Paragraph"/>
    <w:basedOn w:val="Normal"/>
    <w:uiPriority w:val="1"/>
    <w:qFormat/>
    <w:rsid w:val="002165D7"/>
    <w:pPr>
      <w:spacing w:line="206" w:lineRule="exact"/>
      <w:jc w:val="center"/>
    </w:pPr>
  </w:style>
  <w:style w:type="paragraph" w:styleId="BalloonText">
    <w:name w:val="Balloon Text"/>
    <w:basedOn w:val="Normal"/>
    <w:link w:val="BalloonTextChar"/>
    <w:uiPriority w:val="99"/>
    <w:semiHidden/>
    <w:unhideWhenUsed/>
    <w:rsid w:val="002165D7"/>
    <w:rPr>
      <w:rFonts w:ascii="Tahoma" w:hAnsi="Tahoma" w:cs="Tahoma"/>
      <w:sz w:val="16"/>
      <w:szCs w:val="16"/>
    </w:rPr>
  </w:style>
  <w:style w:type="character" w:customStyle="1" w:styleId="BalloonTextChar">
    <w:name w:val="Balloon Text Char"/>
    <w:basedOn w:val="DefaultParagraphFont"/>
    <w:link w:val="BalloonText"/>
    <w:uiPriority w:val="99"/>
    <w:semiHidden/>
    <w:rsid w:val="002165D7"/>
    <w:rPr>
      <w:rFonts w:ascii="Tahoma" w:eastAsia="Book Antiqua" w:hAnsi="Tahoma" w:cs="Tahoma"/>
      <w:sz w:val="16"/>
      <w:szCs w:val="16"/>
      <w:lang w:bidi="en-US"/>
    </w:rPr>
  </w:style>
  <w:style w:type="character" w:styleId="Hyperlink">
    <w:name w:val="Hyperlink"/>
    <w:basedOn w:val="DefaultParagraphFont"/>
    <w:uiPriority w:val="99"/>
    <w:unhideWhenUsed/>
    <w:rsid w:val="002165D7"/>
    <w:rPr>
      <w:color w:val="0000FF" w:themeColor="hyperlink"/>
      <w:u w:val="single"/>
    </w:rPr>
  </w:style>
  <w:style w:type="paragraph" w:styleId="Caption">
    <w:name w:val="caption"/>
    <w:basedOn w:val="Normal"/>
    <w:next w:val="Normal"/>
    <w:qFormat/>
    <w:rsid w:val="002165D7"/>
    <w:pPr>
      <w:keepLines/>
      <w:autoSpaceDE/>
      <w:autoSpaceDN/>
      <w:spacing w:before="200" w:after="240" w:line="200" w:lineRule="exact"/>
    </w:pPr>
    <w:rPr>
      <w:rFonts w:ascii="Times New Roman" w:eastAsia="SimSun" w:hAnsi="Times New Roman" w:cs="Times New Roman"/>
      <w:sz w:val="16"/>
      <w:szCs w:val="20"/>
      <w:lang w:val="en-GB" w:bidi="ar-SA"/>
    </w:rPr>
  </w:style>
  <w:style w:type="paragraph" w:styleId="Header">
    <w:name w:val="header"/>
    <w:basedOn w:val="Normal"/>
    <w:link w:val="HeaderChar"/>
    <w:uiPriority w:val="99"/>
    <w:unhideWhenUsed/>
    <w:rsid w:val="002165D7"/>
    <w:pPr>
      <w:tabs>
        <w:tab w:val="center" w:pos="4680"/>
        <w:tab w:val="right" w:pos="9360"/>
      </w:tabs>
    </w:pPr>
  </w:style>
  <w:style w:type="character" w:customStyle="1" w:styleId="HeaderChar">
    <w:name w:val="Header Char"/>
    <w:basedOn w:val="DefaultParagraphFont"/>
    <w:link w:val="Header"/>
    <w:uiPriority w:val="99"/>
    <w:rsid w:val="002165D7"/>
    <w:rPr>
      <w:rFonts w:ascii="Book Antiqua" w:eastAsia="Book Antiqua" w:hAnsi="Book Antiqua" w:cs="Book Antiqua"/>
      <w:lang w:bidi="en-US"/>
    </w:rPr>
  </w:style>
  <w:style w:type="paragraph" w:styleId="Footer">
    <w:name w:val="footer"/>
    <w:basedOn w:val="Normal"/>
    <w:link w:val="FooterChar"/>
    <w:uiPriority w:val="99"/>
    <w:unhideWhenUsed/>
    <w:rsid w:val="002165D7"/>
    <w:pPr>
      <w:tabs>
        <w:tab w:val="center" w:pos="4680"/>
        <w:tab w:val="right" w:pos="9360"/>
      </w:tabs>
    </w:pPr>
  </w:style>
  <w:style w:type="character" w:customStyle="1" w:styleId="FooterChar">
    <w:name w:val="Footer Char"/>
    <w:basedOn w:val="DefaultParagraphFont"/>
    <w:link w:val="Footer"/>
    <w:uiPriority w:val="99"/>
    <w:rsid w:val="002165D7"/>
    <w:rPr>
      <w:rFonts w:ascii="Book Antiqua" w:eastAsia="Book Antiqua" w:hAnsi="Book Antiqua" w:cs="Book Antiqua"/>
      <w:lang w:bidi="en-US"/>
    </w:rPr>
  </w:style>
  <w:style w:type="table" w:styleId="TableGrid">
    <w:name w:val="Table Grid"/>
    <w:basedOn w:val="TableNormal"/>
    <w:uiPriority w:val="59"/>
    <w:rsid w:val="002165D7"/>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165D7"/>
    <w:pPr>
      <w:widowControl w:val="0"/>
      <w:autoSpaceDE w:val="0"/>
      <w:autoSpaceDN w:val="0"/>
      <w:spacing w:after="0" w:line="240" w:lineRule="auto"/>
    </w:pPr>
    <w:rPr>
      <w:rFonts w:ascii="Book Antiqua" w:eastAsia="Book Antiqua" w:hAnsi="Book Antiqua" w:cs="Book Antiqua"/>
      <w:lang w:bidi="en-US"/>
    </w:rPr>
  </w:style>
  <w:style w:type="paragraph" w:styleId="Heading1">
    <w:name w:val="heading 1"/>
    <w:basedOn w:val="Normal"/>
    <w:link w:val="Heading1Char"/>
    <w:uiPriority w:val="1"/>
    <w:qFormat/>
    <w:rsid w:val="002165D7"/>
    <w:pPr>
      <w:ind w:left="112"/>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165D7"/>
    <w:rPr>
      <w:rFonts w:ascii="Calibri" w:eastAsia="Calibri" w:hAnsi="Calibri" w:cs="Calibri"/>
      <w:b/>
      <w:bCs/>
      <w:sz w:val="24"/>
      <w:szCs w:val="24"/>
      <w:lang w:bidi="en-US"/>
    </w:rPr>
  </w:style>
  <w:style w:type="paragraph" w:styleId="BodyText">
    <w:name w:val="Body Text"/>
    <w:basedOn w:val="Normal"/>
    <w:link w:val="BodyTextChar"/>
    <w:uiPriority w:val="1"/>
    <w:qFormat/>
    <w:rsid w:val="002165D7"/>
    <w:rPr>
      <w:sz w:val="21"/>
      <w:szCs w:val="21"/>
    </w:rPr>
  </w:style>
  <w:style w:type="character" w:customStyle="1" w:styleId="BodyTextChar">
    <w:name w:val="Body Text Char"/>
    <w:basedOn w:val="DefaultParagraphFont"/>
    <w:link w:val="BodyText"/>
    <w:uiPriority w:val="1"/>
    <w:rsid w:val="002165D7"/>
    <w:rPr>
      <w:rFonts w:ascii="Book Antiqua" w:eastAsia="Book Antiqua" w:hAnsi="Book Antiqua" w:cs="Book Antiqua"/>
      <w:sz w:val="21"/>
      <w:szCs w:val="21"/>
      <w:lang w:bidi="en-US"/>
    </w:rPr>
  </w:style>
  <w:style w:type="paragraph" w:styleId="ListParagraph">
    <w:name w:val="List Paragraph"/>
    <w:basedOn w:val="Normal"/>
    <w:uiPriority w:val="34"/>
    <w:qFormat/>
    <w:rsid w:val="002165D7"/>
    <w:pPr>
      <w:ind w:left="679" w:hanging="568"/>
    </w:pPr>
    <w:rPr>
      <w:rFonts w:ascii="Calibri" w:eastAsia="Calibri" w:hAnsi="Calibri" w:cs="Calibri"/>
    </w:rPr>
  </w:style>
  <w:style w:type="paragraph" w:customStyle="1" w:styleId="TableParagraph">
    <w:name w:val="Table Paragraph"/>
    <w:basedOn w:val="Normal"/>
    <w:uiPriority w:val="1"/>
    <w:qFormat/>
    <w:rsid w:val="002165D7"/>
    <w:pPr>
      <w:spacing w:line="206" w:lineRule="exact"/>
      <w:jc w:val="center"/>
    </w:pPr>
  </w:style>
  <w:style w:type="paragraph" w:styleId="BalloonText">
    <w:name w:val="Balloon Text"/>
    <w:basedOn w:val="Normal"/>
    <w:link w:val="BalloonTextChar"/>
    <w:uiPriority w:val="99"/>
    <w:semiHidden/>
    <w:unhideWhenUsed/>
    <w:rsid w:val="002165D7"/>
    <w:rPr>
      <w:rFonts w:ascii="Tahoma" w:hAnsi="Tahoma" w:cs="Tahoma"/>
      <w:sz w:val="16"/>
      <w:szCs w:val="16"/>
    </w:rPr>
  </w:style>
  <w:style w:type="character" w:customStyle="1" w:styleId="BalloonTextChar">
    <w:name w:val="Balloon Text Char"/>
    <w:basedOn w:val="DefaultParagraphFont"/>
    <w:link w:val="BalloonText"/>
    <w:uiPriority w:val="99"/>
    <w:semiHidden/>
    <w:rsid w:val="002165D7"/>
    <w:rPr>
      <w:rFonts w:ascii="Tahoma" w:eastAsia="Book Antiqua" w:hAnsi="Tahoma" w:cs="Tahoma"/>
      <w:sz w:val="16"/>
      <w:szCs w:val="16"/>
      <w:lang w:bidi="en-US"/>
    </w:rPr>
  </w:style>
  <w:style w:type="character" w:styleId="Hyperlink">
    <w:name w:val="Hyperlink"/>
    <w:basedOn w:val="DefaultParagraphFont"/>
    <w:uiPriority w:val="99"/>
    <w:unhideWhenUsed/>
    <w:rsid w:val="002165D7"/>
    <w:rPr>
      <w:color w:val="0000FF" w:themeColor="hyperlink"/>
      <w:u w:val="single"/>
    </w:rPr>
  </w:style>
  <w:style w:type="paragraph" w:styleId="Caption">
    <w:name w:val="caption"/>
    <w:basedOn w:val="Normal"/>
    <w:next w:val="Normal"/>
    <w:qFormat/>
    <w:rsid w:val="002165D7"/>
    <w:pPr>
      <w:keepLines/>
      <w:autoSpaceDE/>
      <w:autoSpaceDN/>
      <w:spacing w:before="200" w:after="240" w:line="200" w:lineRule="exact"/>
    </w:pPr>
    <w:rPr>
      <w:rFonts w:ascii="Times New Roman" w:eastAsia="SimSun" w:hAnsi="Times New Roman" w:cs="Times New Roman"/>
      <w:sz w:val="16"/>
      <w:szCs w:val="20"/>
      <w:lang w:val="en-GB" w:bidi="ar-SA"/>
    </w:rPr>
  </w:style>
  <w:style w:type="paragraph" w:styleId="Header">
    <w:name w:val="header"/>
    <w:basedOn w:val="Normal"/>
    <w:link w:val="HeaderChar"/>
    <w:uiPriority w:val="99"/>
    <w:unhideWhenUsed/>
    <w:rsid w:val="002165D7"/>
    <w:pPr>
      <w:tabs>
        <w:tab w:val="center" w:pos="4680"/>
        <w:tab w:val="right" w:pos="9360"/>
      </w:tabs>
    </w:pPr>
  </w:style>
  <w:style w:type="character" w:customStyle="1" w:styleId="HeaderChar">
    <w:name w:val="Header Char"/>
    <w:basedOn w:val="DefaultParagraphFont"/>
    <w:link w:val="Header"/>
    <w:uiPriority w:val="99"/>
    <w:rsid w:val="002165D7"/>
    <w:rPr>
      <w:rFonts w:ascii="Book Antiqua" w:eastAsia="Book Antiqua" w:hAnsi="Book Antiqua" w:cs="Book Antiqua"/>
      <w:lang w:bidi="en-US"/>
    </w:rPr>
  </w:style>
  <w:style w:type="paragraph" w:styleId="Footer">
    <w:name w:val="footer"/>
    <w:basedOn w:val="Normal"/>
    <w:link w:val="FooterChar"/>
    <w:uiPriority w:val="99"/>
    <w:unhideWhenUsed/>
    <w:rsid w:val="002165D7"/>
    <w:pPr>
      <w:tabs>
        <w:tab w:val="center" w:pos="4680"/>
        <w:tab w:val="right" w:pos="9360"/>
      </w:tabs>
    </w:pPr>
  </w:style>
  <w:style w:type="character" w:customStyle="1" w:styleId="FooterChar">
    <w:name w:val="Footer Char"/>
    <w:basedOn w:val="DefaultParagraphFont"/>
    <w:link w:val="Footer"/>
    <w:uiPriority w:val="99"/>
    <w:rsid w:val="002165D7"/>
    <w:rPr>
      <w:rFonts w:ascii="Book Antiqua" w:eastAsia="Book Antiqua" w:hAnsi="Book Antiqua" w:cs="Book Antiqua"/>
      <w:lang w:bidi="en-US"/>
    </w:rPr>
  </w:style>
  <w:style w:type="table" w:styleId="TableGrid">
    <w:name w:val="Table Grid"/>
    <w:basedOn w:val="TableNormal"/>
    <w:uiPriority w:val="59"/>
    <w:rsid w:val="002165D7"/>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jurnal.unmer.ac.id/index.php/jkdp"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F1B15-9D6C-411D-87E3-442858423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30782</Words>
  <Characters>175461</Characters>
  <Application>Microsoft Office Word</Application>
  <DocSecurity>0</DocSecurity>
  <Lines>1462</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2021-02-02T08:40:00Z</dcterms:created>
  <dcterms:modified xsi:type="dcterms:W3CDTF">2021-02-02T08:57:00Z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