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EB5E" w14:textId="5C145713" w:rsidR="009D5576" w:rsidRPr="00B07C46" w:rsidRDefault="00B136FE" w:rsidP="009D5576">
      <w:pPr>
        <w:jc w:val="center"/>
        <w:rPr>
          <w:rFonts w:ascii="Book Antiqua" w:eastAsia="Times New Roman" w:hAnsi="Book Antiqua" w:cs="Times New Roman"/>
          <w:b/>
          <w:sz w:val="28"/>
          <w:szCs w:val="28"/>
        </w:rPr>
      </w:pPr>
      <w:r w:rsidRPr="00B07C46">
        <w:rPr>
          <w:rFonts w:ascii="Book Antiqua" w:eastAsia="Times New Roman" w:hAnsi="Book Antiqua" w:cs="Times New Roman"/>
          <w:sz w:val="20"/>
          <w:szCs w:val="20"/>
        </w:rPr>
        <w:br/>
      </w:r>
      <w:r w:rsidR="00C74D32" w:rsidRPr="00B07C46">
        <w:rPr>
          <w:rFonts w:ascii="Book Antiqua" w:eastAsia="Times New Roman" w:hAnsi="Book Antiqua" w:cs="Times New Roman"/>
          <w:b/>
          <w:sz w:val="28"/>
          <w:szCs w:val="28"/>
        </w:rPr>
        <w:t>COVID-19 Outbreak Impact on Stock Return in Indonesia and Malaysia</w:t>
      </w:r>
    </w:p>
    <w:p w14:paraId="56E042EC" w14:textId="73825265" w:rsidR="00B136FE" w:rsidRPr="00B07C46" w:rsidRDefault="00C74D32" w:rsidP="009D5576">
      <w:pPr>
        <w:spacing w:after="240" w:line="240" w:lineRule="auto"/>
        <w:jc w:val="center"/>
        <w:rPr>
          <w:rFonts w:ascii="Book Antiqua" w:eastAsia="Times New Roman" w:hAnsi="Book Antiqua" w:cs="Times New Roman"/>
          <w:b/>
          <w:bCs/>
          <w:color w:val="000000"/>
          <w:sz w:val="24"/>
          <w:szCs w:val="24"/>
        </w:rPr>
      </w:pPr>
      <w:r w:rsidRPr="00B07C46">
        <w:rPr>
          <w:rFonts w:ascii="Book Antiqua" w:eastAsia="Times New Roman" w:hAnsi="Book Antiqua" w:cs="Times New Roman"/>
          <w:b/>
          <w:bCs/>
          <w:color w:val="000000"/>
          <w:sz w:val="24"/>
          <w:szCs w:val="24"/>
        </w:rPr>
        <w:t>Merinda Wijaya</w:t>
      </w:r>
      <w:r w:rsidR="00B136FE" w:rsidRPr="00B07C46">
        <w:rPr>
          <w:rFonts w:ascii="Book Antiqua" w:eastAsia="Times New Roman" w:hAnsi="Book Antiqua" w:cs="Times New Roman"/>
          <w:b/>
          <w:bCs/>
          <w:color w:val="000000"/>
          <w:sz w:val="24"/>
          <w:szCs w:val="24"/>
          <w:vertAlign w:val="superscript"/>
        </w:rPr>
        <w:t>1</w:t>
      </w:r>
      <w:r w:rsidR="00B136FE" w:rsidRPr="00B07C46">
        <w:rPr>
          <w:rFonts w:ascii="Book Antiqua" w:eastAsia="Times New Roman" w:hAnsi="Book Antiqua" w:cs="Times New Roman"/>
          <w:b/>
          <w:bCs/>
          <w:color w:val="000000"/>
          <w:sz w:val="24"/>
          <w:szCs w:val="24"/>
        </w:rPr>
        <w:t xml:space="preserve">, </w:t>
      </w:r>
      <w:r w:rsidRPr="00B07C46">
        <w:rPr>
          <w:rFonts w:ascii="Book Antiqua" w:eastAsia="Times New Roman" w:hAnsi="Book Antiqua" w:cs="Times New Roman"/>
          <w:b/>
          <w:bCs/>
          <w:color w:val="000000"/>
          <w:sz w:val="24"/>
          <w:szCs w:val="24"/>
        </w:rPr>
        <w:t>Hesniati</w:t>
      </w:r>
      <w:r w:rsidR="00B136FE" w:rsidRPr="00B07C46">
        <w:rPr>
          <w:rFonts w:ascii="Book Antiqua" w:eastAsia="Times New Roman" w:hAnsi="Book Antiqua" w:cs="Times New Roman"/>
          <w:b/>
          <w:bCs/>
          <w:color w:val="000000"/>
          <w:sz w:val="24"/>
          <w:szCs w:val="24"/>
          <w:vertAlign w:val="superscript"/>
        </w:rPr>
        <w:t>2</w:t>
      </w:r>
      <w:r w:rsidR="00B136FE" w:rsidRPr="00B07C46">
        <w:rPr>
          <w:rFonts w:ascii="Book Antiqua" w:eastAsia="Times New Roman" w:hAnsi="Book Antiqua" w:cs="Times New Roman"/>
          <w:b/>
          <w:bCs/>
          <w:color w:val="000000"/>
          <w:sz w:val="24"/>
          <w:szCs w:val="24"/>
        </w:rPr>
        <w:t xml:space="preserve">, </w:t>
      </w:r>
      <w:r w:rsidRPr="00B07C46">
        <w:rPr>
          <w:rFonts w:ascii="Book Antiqua" w:eastAsia="Times New Roman" w:hAnsi="Book Antiqua" w:cs="Times New Roman"/>
          <w:b/>
          <w:bCs/>
          <w:color w:val="000000"/>
          <w:sz w:val="24"/>
          <w:szCs w:val="24"/>
        </w:rPr>
        <w:t>Robin</w:t>
      </w:r>
      <w:r w:rsidR="00B136FE" w:rsidRPr="00B07C46">
        <w:rPr>
          <w:rFonts w:ascii="Book Antiqua" w:eastAsia="Times New Roman" w:hAnsi="Book Antiqua" w:cs="Times New Roman"/>
          <w:b/>
          <w:bCs/>
          <w:color w:val="000000"/>
          <w:sz w:val="24"/>
          <w:szCs w:val="24"/>
          <w:vertAlign w:val="superscript"/>
        </w:rPr>
        <w:t>3</w:t>
      </w:r>
    </w:p>
    <w:p w14:paraId="69ACCD4A" w14:textId="18452714" w:rsidR="00B136FE" w:rsidRDefault="00B136FE" w:rsidP="00F83AA8">
      <w:pPr>
        <w:spacing w:after="0" w:line="240" w:lineRule="auto"/>
        <w:jc w:val="center"/>
        <w:rPr>
          <w:rFonts w:ascii="Book Antiqua" w:eastAsia="Times New Roman" w:hAnsi="Book Antiqua" w:cs="Times New Roman"/>
          <w:bCs/>
          <w:color w:val="000000"/>
          <w:sz w:val="20"/>
          <w:szCs w:val="20"/>
        </w:rPr>
      </w:pPr>
      <w:r w:rsidRPr="00B07C46">
        <w:rPr>
          <w:rFonts w:ascii="Book Antiqua" w:eastAsia="Times New Roman" w:hAnsi="Book Antiqua" w:cs="Times New Roman"/>
          <w:bCs/>
          <w:color w:val="000000"/>
          <w:sz w:val="20"/>
          <w:szCs w:val="20"/>
          <w:vertAlign w:val="superscript"/>
        </w:rPr>
        <w:t>1</w:t>
      </w:r>
      <w:r w:rsidR="00F83AA8" w:rsidRPr="00B07C46">
        <w:rPr>
          <w:rFonts w:ascii="Book Antiqua" w:eastAsia="Times New Roman" w:hAnsi="Book Antiqua" w:cs="Times New Roman"/>
          <w:bCs/>
          <w:color w:val="000000"/>
          <w:sz w:val="20"/>
          <w:szCs w:val="20"/>
          <w:vertAlign w:val="superscript"/>
        </w:rPr>
        <w:t>,</w:t>
      </w:r>
      <w:r w:rsidR="00C74D32" w:rsidRPr="00B07C46">
        <w:rPr>
          <w:rFonts w:ascii="Book Antiqua" w:eastAsia="Times New Roman" w:hAnsi="Book Antiqua" w:cs="Times New Roman"/>
          <w:bCs/>
          <w:color w:val="000000"/>
          <w:sz w:val="20"/>
          <w:szCs w:val="20"/>
          <w:vertAlign w:val="superscript"/>
        </w:rPr>
        <w:t>2</w:t>
      </w:r>
      <w:r w:rsidR="00F83AA8" w:rsidRPr="00B07C46">
        <w:rPr>
          <w:rFonts w:ascii="Book Antiqua" w:eastAsia="Times New Roman" w:hAnsi="Book Antiqua" w:cs="Times New Roman"/>
          <w:bCs/>
          <w:color w:val="000000"/>
          <w:sz w:val="20"/>
          <w:szCs w:val="20"/>
          <w:vertAlign w:val="superscript"/>
        </w:rPr>
        <w:t>,</w:t>
      </w:r>
      <w:r w:rsidR="00C74D32" w:rsidRPr="00B07C46">
        <w:rPr>
          <w:rFonts w:ascii="Book Antiqua" w:eastAsia="Times New Roman" w:hAnsi="Book Antiqua" w:cs="Times New Roman"/>
          <w:bCs/>
          <w:color w:val="000000"/>
          <w:sz w:val="20"/>
          <w:szCs w:val="20"/>
          <w:vertAlign w:val="superscript"/>
        </w:rPr>
        <w:t>3</w:t>
      </w:r>
      <w:r w:rsidR="00F83AA8" w:rsidRPr="00B07C46">
        <w:rPr>
          <w:rFonts w:ascii="Book Antiqua" w:eastAsia="Times New Roman" w:hAnsi="Book Antiqua" w:cs="Times New Roman"/>
          <w:bCs/>
          <w:color w:val="000000"/>
          <w:sz w:val="20"/>
          <w:szCs w:val="20"/>
        </w:rPr>
        <w:t xml:space="preserve">School of Business and Management, Universitas </w:t>
      </w:r>
      <w:proofErr w:type="spellStart"/>
      <w:r w:rsidR="00F83AA8" w:rsidRPr="00B07C46">
        <w:rPr>
          <w:rFonts w:ascii="Book Antiqua" w:eastAsia="Times New Roman" w:hAnsi="Book Antiqua" w:cs="Times New Roman"/>
          <w:bCs/>
          <w:color w:val="000000"/>
          <w:sz w:val="20"/>
          <w:szCs w:val="20"/>
        </w:rPr>
        <w:t>Internasional</w:t>
      </w:r>
      <w:proofErr w:type="spellEnd"/>
      <w:r w:rsidR="00F83AA8" w:rsidRPr="00B07C46">
        <w:rPr>
          <w:rFonts w:ascii="Book Antiqua" w:eastAsia="Times New Roman" w:hAnsi="Book Antiqua" w:cs="Times New Roman"/>
          <w:bCs/>
          <w:color w:val="000000"/>
          <w:sz w:val="20"/>
          <w:szCs w:val="20"/>
        </w:rPr>
        <w:t xml:space="preserve"> Batam, Indonesia</w:t>
      </w:r>
    </w:p>
    <w:p w14:paraId="2FF8D7C0" w14:textId="77777777" w:rsidR="00BE2D5C" w:rsidRPr="00B07C46" w:rsidRDefault="00BE2D5C" w:rsidP="00F83AA8">
      <w:pPr>
        <w:spacing w:after="0" w:line="240" w:lineRule="auto"/>
        <w:jc w:val="center"/>
        <w:rPr>
          <w:rFonts w:ascii="Book Antiqua" w:eastAsia="Times New Roman" w:hAnsi="Book Antiqua" w:cs="Times New Roman"/>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2410"/>
      </w:tblGrid>
      <w:tr w:rsidR="00B136FE" w:rsidRPr="00B07C46" w14:paraId="038AE91F" w14:textId="77777777" w:rsidTr="008A00D4">
        <w:trPr>
          <w:trHeight w:val="870"/>
        </w:trPr>
        <w:tc>
          <w:tcPr>
            <w:tcW w:w="2410" w:type="dxa"/>
            <w:shd w:val="clear" w:color="auto" w:fill="auto"/>
          </w:tcPr>
          <w:p w14:paraId="254C7616" w14:textId="77777777" w:rsidR="00B136FE" w:rsidRPr="00B07C46" w:rsidRDefault="00B136FE" w:rsidP="00B136FE">
            <w:pPr>
              <w:spacing w:after="0" w:line="240" w:lineRule="auto"/>
              <w:rPr>
                <w:rFonts w:ascii="Book Antiqua" w:eastAsia="Calibri" w:hAnsi="Book Antiqua"/>
                <w:b/>
                <w:color w:val="000000"/>
                <w:sz w:val="18"/>
                <w:szCs w:val="18"/>
              </w:rPr>
            </w:pPr>
            <w:r w:rsidRPr="00B07C46">
              <w:rPr>
                <w:rFonts w:ascii="Book Antiqua" w:eastAsia="Calibri" w:hAnsi="Book Antiqua"/>
                <w:b/>
                <w:color w:val="000000"/>
                <w:sz w:val="18"/>
                <w:szCs w:val="18"/>
              </w:rPr>
              <w:t>Article history:</w:t>
            </w:r>
          </w:p>
          <w:p w14:paraId="015AFA8B" w14:textId="77777777" w:rsidR="00B136FE" w:rsidRPr="00B07C46" w:rsidRDefault="00B136FE" w:rsidP="00B136FE">
            <w:pPr>
              <w:spacing w:after="0" w:line="240" w:lineRule="auto"/>
              <w:rPr>
                <w:rFonts w:ascii="Book Antiqua" w:eastAsia="Calibri" w:hAnsi="Book Antiqua"/>
                <w:color w:val="000000"/>
                <w:sz w:val="18"/>
                <w:szCs w:val="18"/>
              </w:rPr>
            </w:pPr>
            <w:r w:rsidRPr="00B07C46">
              <w:rPr>
                <w:rFonts w:ascii="Book Antiqua" w:eastAsia="Calibri" w:hAnsi="Book Antiqua"/>
                <w:color w:val="000000"/>
                <w:sz w:val="18"/>
                <w:szCs w:val="18"/>
              </w:rPr>
              <w:t xml:space="preserve">Received: </w:t>
            </w:r>
            <w:r w:rsidR="00E03B64" w:rsidRPr="00B07C46">
              <w:rPr>
                <w:rFonts w:ascii="Book Antiqua" w:hAnsi="Book Antiqua" w:cs="Tahoma"/>
                <w:color w:val="222222"/>
                <w:sz w:val="18"/>
                <w:szCs w:val="18"/>
                <w:shd w:val="clear" w:color="auto" w:fill="FFFFFF"/>
              </w:rPr>
              <w:t>2018-00-0</w:t>
            </w:r>
            <w:r w:rsidRPr="00B07C46">
              <w:rPr>
                <w:rFonts w:ascii="Book Antiqua" w:hAnsi="Book Antiqua" w:cs="Tahoma"/>
                <w:color w:val="222222"/>
                <w:sz w:val="18"/>
                <w:szCs w:val="18"/>
                <w:shd w:val="clear" w:color="auto" w:fill="FFFFFF"/>
              </w:rPr>
              <w:t>0</w:t>
            </w:r>
          </w:p>
          <w:p w14:paraId="1A4A6417" w14:textId="77777777" w:rsidR="00B136FE" w:rsidRPr="00B07C46" w:rsidRDefault="00B136FE" w:rsidP="00B136FE">
            <w:pPr>
              <w:spacing w:after="0" w:line="240" w:lineRule="auto"/>
              <w:rPr>
                <w:rFonts w:ascii="Book Antiqua" w:eastAsia="Calibri" w:hAnsi="Book Antiqua"/>
                <w:color w:val="000000"/>
                <w:sz w:val="18"/>
                <w:szCs w:val="18"/>
              </w:rPr>
            </w:pPr>
            <w:r w:rsidRPr="00B07C46">
              <w:rPr>
                <w:rFonts w:ascii="Book Antiqua" w:eastAsia="Calibri" w:hAnsi="Book Antiqua"/>
                <w:color w:val="000000"/>
                <w:sz w:val="18"/>
                <w:szCs w:val="18"/>
              </w:rPr>
              <w:t xml:space="preserve">Revised: </w:t>
            </w:r>
            <w:r w:rsidRPr="00B07C46">
              <w:rPr>
                <w:rFonts w:ascii="Book Antiqua" w:hAnsi="Book Antiqua" w:cs="Tahoma"/>
                <w:color w:val="222222"/>
                <w:sz w:val="18"/>
                <w:szCs w:val="18"/>
                <w:shd w:val="clear" w:color="auto" w:fill="FFFFFF"/>
              </w:rPr>
              <w:t>2018-00-00 </w:t>
            </w:r>
          </w:p>
          <w:p w14:paraId="32EE85AC" w14:textId="77777777" w:rsidR="00B136FE" w:rsidRPr="00B07C46" w:rsidRDefault="00B136FE" w:rsidP="00B136FE">
            <w:pPr>
              <w:spacing w:after="0" w:line="240" w:lineRule="auto"/>
              <w:rPr>
                <w:rFonts w:ascii="Book Antiqua" w:eastAsia="Calibri" w:hAnsi="Book Antiqua"/>
                <w:color w:val="000000"/>
                <w:sz w:val="18"/>
                <w:szCs w:val="18"/>
              </w:rPr>
            </w:pPr>
            <w:r w:rsidRPr="00B07C46">
              <w:rPr>
                <w:rFonts w:ascii="Book Antiqua" w:eastAsia="Calibri" w:hAnsi="Book Antiqua"/>
                <w:color w:val="000000"/>
                <w:sz w:val="18"/>
                <w:szCs w:val="18"/>
              </w:rPr>
              <w:t>Accepted: 2018-00-00</w:t>
            </w:r>
          </w:p>
        </w:tc>
      </w:tr>
    </w:tbl>
    <w:p w14:paraId="031E0CFD" w14:textId="77777777" w:rsidR="00B136FE" w:rsidRPr="00B07C46" w:rsidRDefault="00B136FE" w:rsidP="00B136FE">
      <w:pPr>
        <w:pStyle w:val="Ventura-AuthorAddress"/>
        <w:rPr>
          <w:rFonts w:ascii="Book Antiqua" w:hAnsi="Book Antiqua"/>
          <w:i w:val="0"/>
        </w:rPr>
      </w:pPr>
    </w:p>
    <w:p w14:paraId="32E50304" w14:textId="77777777" w:rsidR="00B136FE" w:rsidRPr="00B07C46" w:rsidRDefault="00B136FE" w:rsidP="00B136FE">
      <w:pPr>
        <w:spacing w:after="0" w:line="240" w:lineRule="auto"/>
        <w:rPr>
          <w:rFonts w:ascii="Book Antiqua" w:hAnsi="Book Antiqua" w:cs="Arial"/>
          <w:color w:val="FF0000"/>
          <w:sz w:val="20"/>
          <w:szCs w:val="20"/>
        </w:rPr>
      </w:pPr>
      <w:r w:rsidRPr="00B07C46">
        <w:rPr>
          <w:rFonts w:ascii="Book Antiqua" w:hAnsi="Book Antiqua"/>
          <w:noProof/>
          <w:sz w:val="20"/>
          <w:szCs w:val="20"/>
        </w:rPr>
        <w:drawing>
          <wp:inline distT="0" distB="0" distL="0" distR="0" wp14:anchorId="4A989613" wp14:editId="5AC23A7B">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07C46">
        <w:rPr>
          <w:rFonts w:ascii="Book Antiqua" w:hAnsi="Book Antiqua" w:cs="Arial"/>
          <w:sz w:val="20"/>
          <w:szCs w:val="20"/>
        </w:rPr>
        <w:t xml:space="preserve"> Corresponding Author:</w:t>
      </w:r>
    </w:p>
    <w:p w14:paraId="16B17C06" w14:textId="77777777" w:rsidR="00B136FE" w:rsidRPr="00B07C46" w:rsidRDefault="00B136FE" w:rsidP="00B136FE">
      <w:pPr>
        <w:spacing w:after="0" w:line="240" w:lineRule="auto"/>
        <w:rPr>
          <w:rFonts w:ascii="Book Antiqua" w:hAnsi="Book Antiqua"/>
          <w:sz w:val="20"/>
          <w:szCs w:val="20"/>
          <w:lang w:val="id-ID"/>
        </w:rPr>
      </w:pPr>
      <w:r w:rsidRPr="00B07C46">
        <w:rPr>
          <w:rFonts w:ascii="Book Antiqua" w:hAnsi="Book Antiqua" w:cs="Arial"/>
          <w:b/>
          <w:sz w:val="20"/>
          <w:szCs w:val="20"/>
        </w:rPr>
        <w:t>Name author</w:t>
      </w:r>
      <w:r w:rsidRPr="00B07C46">
        <w:rPr>
          <w:rFonts w:ascii="Book Antiqua" w:hAnsi="Book Antiqua" w:cs="Arial"/>
          <w:sz w:val="20"/>
          <w:szCs w:val="20"/>
        </w:rPr>
        <w:t xml:space="preserve">: Tel.  </w:t>
      </w:r>
      <w:r w:rsidRPr="00B07C46">
        <w:rPr>
          <w:rFonts w:ascii="Book Antiqua" w:hAnsi="Book Antiqua" w:cs="Arial"/>
          <w:noProof/>
          <w:sz w:val="20"/>
          <w:szCs w:val="20"/>
        </w:rPr>
        <w:t>………….</w:t>
      </w:r>
    </w:p>
    <w:p w14:paraId="31EFB08F" w14:textId="00A8EF7A" w:rsidR="00B136FE" w:rsidRPr="00B07C46" w:rsidRDefault="00B136FE" w:rsidP="00B136FE">
      <w:pPr>
        <w:spacing w:after="0" w:line="240" w:lineRule="auto"/>
        <w:rPr>
          <w:rFonts w:ascii="Book Antiqua" w:hAnsi="Book Antiqua"/>
          <w:color w:val="000000"/>
          <w:sz w:val="20"/>
          <w:szCs w:val="20"/>
        </w:rPr>
      </w:pPr>
      <w:r w:rsidRPr="00B07C46">
        <w:rPr>
          <w:rFonts w:ascii="Book Antiqua" w:hAnsi="Book Antiqua"/>
          <w:sz w:val="20"/>
          <w:szCs w:val="20"/>
        </w:rPr>
        <w:t xml:space="preserve">E-mail: </w:t>
      </w:r>
      <w:r w:rsidR="00F83AA8" w:rsidRPr="00B07C46">
        <w:rPr>
          <w:rFonts w:ascii="Book Antiqua" w:hAnsi="Book Antiqua"/>
          <w:noProof/>
          <w:sz w:val="20"/>
          <w:szCs w:val="20"/>
        </w:rPr>
        <w:t>robin@uib.ac.id</w:t>
      </w:r>
    </w:p>
    <w:p w14:paraId="53552CE3" w14:textId="77777777" w:rsidR="00B136FE" w:rsidRPr="00B07C46" w:rsidRDefault="00B136FE" w:rsidP="00B136FE">
      <w:pPr>
        <w:spacing w:after="0" w:line="240" w:lineRule="auto"/>
        <w:rPr>
          <w:rFonts w:ascii="Book Antiqua" w:eastAsia="Times New Roman" w:hAnsi="Book Antiqua" w:cs="Times New Roman"/>
          <w:sz w:val="24"/>
          <w:szCs w:val="24"/>
        </w:rPr>
      </w:pPr>
    </w:p>
    <w:p w14:paraId="05A7D4E0" w14:textId="77777777" w:rsidR="00B136FE" w:rsidRPr="007C2A94" w:rsidRDefault="00B136FE" w:rsidP="00B136FE">
      <w:pPr>
        <w:jc w:val="center"/>
        <w:rPr>
          <w:rFonts w:ascii="Book Antiqua" w:hAnsi="Book Antiqua"/>
          <w:b/>
          <w:sz w:val="28"/>
          <w:szCs w:val="28"/>
        </w:rPr>
      </w:pPr>
      <w:r w:rsidRPr="007C2A94">
        <w:rPr>
          <w:rFonts w:ascii="Book Antiqua" w:hAnsi="Book Antiqua"/>
          <w:b/>
          <w:sz w:val="28"/>
          <w:szCs w:val="28"/>
        </w:rPr>
        <w:t>Abstract</w:t>
      </w:r>
    </w:p>
    <w:p w14:paraId="2A114490" w14:textId="0CAAE6CD" w:rsidR="00F83AA8" w:rsidRPr="00B07C46" w:rsidRDefault="00BE2D5C" w:rsidP="00BE2D5C">
      <w:pPr>
        <w:jc w:val="both"/>
        <w:rPr>
          <w:rFonts w:ascii="Book Antiqua" w:eastAsia="Times New Roman" w:hAnsi="Book Antiqua" w:cs="Times New Roman"/>
          <w:color w:val="000000"/>
          <w:sz w:val="24"/>
          <w:szCs w:val="24"/>
        </w:rPr>
      </w:pPr>
      <w:r w:rsidRPr="00BE2D5C">
        <w:rPr>
          <w:rFonts w:ascii="Book Antiqua" w:eastAsia="Times New Roman" w:hAnsi="Book Antiqua" w:cs="Times New Roman"/>
          <w:color w:val="000000"/>
          <w:sz w:val="24"/>
          <w:szCs w:val="24"/>
        </w:rPr>
        <w:t xml:space="preserve">The COVID-19 outbreak drastically impacts the worldwide economy including the stock returns. This study uses Indonesia and Malaysia cases with a total of 141.585 and 219.381 observations in 2020. The measurement of COVID-19 of this study uses daily new confirmed cases and daily death cases from each country. To test the hypothesis, an unbalanced panel and multiple regression are used to test the crowded data. The results show different results for each country. In Indonesia, we found that the COVID-19 outbreak is a strong negative effect on stock return, in contrast, Malaysia found it to be less influence. Furthermore, the effect of Monday and Friday was used to test any impact of the day during the pandemic on stock return. Surprisingly, the effect of Friday affects different from Monday. The weekend effect still occurs in a pandemic situation and the investor mood sentiment to Indonesia’s stock market. </w:t>
      </w:r>
      <w:r w:rsidR="0018263C" w:rsidRPr="00B07C46">
        <w:rPr>
          <w:rFonts w:ascii="Book Antiqua" w:eastAsia="Times New Roman" w:hAnsi="Book Antiqua" w:cs="Times New Roman"/>
          <w:color w:val="000000"/>
          <w:sz w:val="24"/>
          <w:szCs w:val="24"/>
        </w:rPr>
        <w:t>This could be one of the aspects for investors consider when making investment decisions during a pandemic.</w:t>
      </w:r>
    </w:p>
    <w:p w14:paraId="7454A6D1" w14:textId="77777777" w:rsidR="00F83AA8" w:rsidRPr="00B07C46" w:rsidRDefault="00F83AA8" w:rsidP="00C17C5D">
      <w:pPr>
        <w:spacing w:after="0" w:line="240" w:lineRule="auto"/>
        <w:jc w:val="both"/>
        <w:rPr>
          <w:rFonts w:ascii="Book Antiqua" w:eastAsia="Times New Roman" w:hAnsi="Book Antiqua" w:cs="Times New Roman"/>
          <w:color w:val="000000"/>
          <w:sz w:val="24"/>
          <w:szCs w:val="24"/>
        </w:rPr>
      </w:pPr>
    </w:p>
    <w:p w14:paraId="5E0CFCFA" w14:textId="77777777" w:rsidR="00BC083B" w:rsidRPr="00B07C46" w:rsidRDefault="00BC083B" w:rsidP="00B136FE">
      <w:pPr>
        <w:spacing w:after="0" w:line="240" w:lineRule="auto"/>
        <w:jc w:val="both"/>
        <w:rPr>
          <w:rFonts w:ascii="Book Antiqua" w:eastAsia="Times New Roman" w:hAnsi="Book Antiqua" w:cs="Times New Roman"/>
          <w:color w:val="000000"/>
          <w:sz w:val="20"/>
          <w:szCs w:val="20"/>
          <w:shd w:val="clear" w:color="auto" w:fill="FFFFFF"/>
        </w:rPr>
      </w:pPr>
    </w:p>
    <w:p w14:paraId="3351ED5F" w14:textId="26ED0B9A" w:rsidR="00B136FE" w:rsidRPr="00B07C46" w:rsidRDefault="00B136FE" w:rsidP="00B136FE">
      <w:pPr>
        <w:spacing w:after="0" w:line="240" w:lineRule="auto"/>
        <w:jc w:val="both"/>
        <w:rPr>
          <w:rFonts w:ascii="Book Antiqua" w:eastAsia="Times New Roman" w:hAnsi="Book Antiqua" w:cs="Times New Roman"/>
          <w:sz w:val="24"/>
          <w:szCs w:val="24"/>
        </w:rPr>
      </w:pPr>
      <w:r w:rsidRPr="00B07C46">
        <w:rPr>
          <w:rFonts w:ascii="Book Antiqua" w:eastAsia="Times New Roman" w:hAnsi="Book Antiqua" w:cs="Times New Roman"/>
          <w:b/>
          <w:bCs/>
          <w:color w:val="000000"/>
          <w:sz w:val="24"/>
          <w:szCs w:val="24"/>
        </w:rPr>
        <w:t xml:space="preserve">Keywords: </w:t>
      </w:r>
      <w:r w:rsidR="0018263C" w:rsidRPr="00B07C46">
        <w:rPr>
          <w:rFonts w:ascii="Book Antiqua" w:eastAsia="Times New Roman" w:hAnsi="Book Antiqua" w:cs="Times New Roman"/>
          <w:color w:val="000000"/>
          <w:sz w:val="24"/>
          <w:szCs w:val="24"/>
        </w:rPr>
        <w:t>COVID-19; stock return; day</w:t>
      </w:r>
      <w:r w:rsidR="00CC3B6E">
        <w:rPr>
          <w:rFonts w:ascii="Book Antiqua" w:eastAsia="Times New Roman" w:hAnsi="Book Antiqua" w:cs="Times New Roman"/>
          <w:color w:val="000000"/>
          <w:sz w:val="24"/>
          <w:szCs w:val="24"/>
        </w:rPr>
        <w:t xml:space="preserve"> effect</w:t>
      </w:r>
    </w:p>
    <w:p w14:paraId="690C1439" w14:textId="2C79AB13" w:rsidR="00B136FE" w:rsidRPr="00B07C46" w:rsidRDefault="00B136FE" w:rsidP="00B136FE">
      <w:pPr>
        <w:spacing w:after="0" w:line="240" w:lineRule="auto"/>
        <w:jc w:val="both"/>
        <w:rPr>
          <w:rFonts w:ascii="Book Antiqua" w:eastAsia="Times New Roman" w:hAnsi="Book Antiqua" w:cs="Times New Roman"/>
          <w:sz w:val="24"/>
          <w:szCs w:val="24"/>
        </w:rPr>
      </w:pPr>
      <w:r w:rsidRPr="00B07C46">
        <w:rPr>
          <w:rFonts w:ascii="Book Antiqua" w:eastAsia="Times New Roman" w:hAnsi="Book Antiqua" w:cs="Times New Roman"/>
          <w:b/>
          <w:bCs/>
          <w:color w:val="000000"/>
          <w:sz w:val="24"/>
          <w:szCs w:val="24"/>
        </w:rPr>
        <w:t xml:space="preserve">JEL Classification: </w:t>
      </w:r>
      <w:r w:rsidR="00CC3B6E">
        <w:rPr>
          <w:rFonts w:ascii="Book Antiqua" w:eastAsia="Times New Roman" w:hAnsi="Book Antiqua" w:cs="Times New Roman"/>
          <w:color w:val="000000"/>
          <w:sz w:val="24"/>
          <w:szCs w:val="24"/>
        </w:rPr>
        <w:t>G11, G15</w:t>
      </w:r>
    </w:p>
    <w:p w14:paraId="0F70D030" w14:textId="77777777" w:rsidR="00B136FE" w:rsidRPr="00B07C46" w:rsidRDefault="00B136FE" w:rsidP="00B136FE">
      <w:pPr>
        <w:spacing w:after="0" w:line="240" w:lineRule="auto"/>
        <w:rPr>
          <w:rFonts w:ascii="Book Antiqua" w:eastAsia="Times New Roman" w:hAnsi="Book Antiqua" w:cs="Times New Roman"/>
          <w:sz w:val="24"/>
          <w:szCs w:val="24"/>
        </w:rPr>
      </w:pPr>
    </w:p>
    <w:p w14:paraId="7DAD0EF4" w14:textId="77777777" w:rsidR="004C4E70" w:rsidRPr="00B07C46" w:rsidRDefault="004C4E70" w:rsidP="004C4E70">
      <w:pPr>
        <w:pStyle w:val="ListParagraph"/>
        <w:spacing w:after="0" w:line="240" w:lineRule="auto"/>
        <w:ind w:left="142" w:hanging="142"/>
        <w:jc w:val="both"/>
        <w:rPr>
          <w:rFonts w:ascii="Book Antiqua" w:eastAsia="Times New Roman" w:hAnsi="Book Antiqua" w:cs="Arial"/>
          <w:color w:val="C00000"/>
          <w:sz w:val="24"/>
          <w:szCs w:val="24"/>
        </w:rPr>
      </w:pPr>
    </w:p>
    <w:p w14:paraId="7323A1BF" w14:textId="77777777" w:rsidR="009D5576" w:rsidRPr="00B07C46" w:rsidRDefault="00B136FE" w:rsidP="00B136FE">
      <w:pPr>
        <w:spacing w:after="0" w:line="240" w:lineRule="auto"/>
        <w:rPr>
          <w:rFonts w:ascii="Book Antiqua" w:eastAsia="Times New Roman" w:hAnsi="Book Antiqua" w:cs="Times New Roman"/>
          <w:sz w:val="24"/>
          <w:szCs w:val="24"/>
        </w:rPr>
      </w:pPr>
      <w:r w:rsidRPr="00B07C46">
        <w:rPr>
          <w:rFonts w:ascii="Book Antiqua" w:eastAsia="Times New Roman" w:hAnsi="Book Antiqua" w:cs="Times New Roman"/>
          <w:sz w:val="24"/>
          <w:szCs w:val="24"/>
        </w:rPr>
        <w:br/>
      </w:r>
      <w:r w:rsidRPr="00B07C46">
        <w:rPr>
          <w:rFonts w:ascii="Book Antiqua" w:eastAsia="Times New Roman" w:hAnsi="Book Antiqua" w:cs="Times New Roman"/>
          <w:noProof/>
          <w:sz w:val="24"/>
          <w:szCs w:val="24"/>
        </w:rPr>
        <w:drawing>
          <wp:inline distT="0" distB="0" distL="0" distR="0" wp14:anchorId="684A69E1" wp14:editId="09CCDDD8">
            <wp:extent cx="1659890" cy="307340"/>
            <wp:effectExtent l="0" t="0" r="0" b="0"/>
            <wp:docPr id="1" name="Picture 1" descr="https://docs.google.com/a/unmer.ac.id/drawings/d/sBjpyGcB6ezXzevUNDf-hOg/image?w=174&amp;h=32&amp;rev=1&amp;ac=1&amp;parent=1zCiwVZwlStrxxVb3LpjmOyG-ZmM_NB41IMclXu3ex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unmer.ac.id/drawings/d/sBjpyGcB6ezXzevUNDf-hOg/image?w=174&amp;h=32&amp;rev=1&amp;ac=1&amp;parent=1zCiwVZwlStrxxVb3LpjmOyG-ZmM_NB41IMclXu3ex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9890" cy="307340"/>
                    </a:xfrm>
                    <a:prstGeom prst="rect">
                      <a:avLst/>
                    </a:prstGeom>
                    <a:noFill/>
                    <a:ln>
                      <a:noFill/>
                    </a:ln>
                  </pic:spPr>
                </pic:pic>
              </a:graphicData>
            </a:graphic>
          </wp:inline>
        </w:drawing>
      </w:r>
    </w:p>
    <w:p w14:paraId="39010703" w14:textId="77777777" w:rsidR="00B136FE" w:rsidRPr="00B07C46" w:rsidRDefault="00B136FE" w:rsidP="00B136FE">
      <w:pPr>
        <w:spacing w:after="0" w:line="240" w:lineRule="auto"/>
        <w:rPr>
          <w:rFonts w:ascii="Book Antiqua" w:eastAsia="Times New Roman" w:hAnsi="Book Antiqua" w:cs="Times New Roman"/>
          <w:sz w:val="24"/>
          <w:szCs w:val="24"/>
        </w:rPr>
      </w:pPr>
      <w:r w:rsidRPr="00B07C46">
        <w:rPr>
          <w:rFonts w:ascii="Book Antiqua" w:eastAsia="Times New Roman" w:hAnsi="Book Antiqua" w:cs="Arial"/>
          <w:smallCaps/>
          <w:color w:val="212934"/>
          <w:sz w:val="32"/>
          <w:szCs w:val="32"/>
        </w:rPr>
        <w:br/>
      </w:r>
    </w:p>
    <w:p w14:paraId="7776C3D8" w14:textId="77777777" w:rsidR="009D5576" w:rsidRPr="00B07C46" w:rsidRDefault="009D5576" w:rsidP="003830D1">
      <w:pPr>
        <w:pStyle w:val="ListParagraph"/>
        <w:numPr>
          <w:ilvl w:val="0"/>
          <w:numId w:val="2"/>
        </w:numPr>
        <w:spacing w:after="0" w:line="240" w:lineRule="auto"/>
        <w:ind w:left="567" w:hanging="567"/>
        <w:jc w:val="both"/>
        <w:rPr>
          <w:rFonts w:ascii="Book Antiqua" w:eastAsia="Times New Roman" w:hAnsi="Book Antiqua" w:cstheme="minorHAnsi"/>
          <w:b/>
          <w:color w:val="000000"/>
          <w:sz w:val="28"/>
          <w:szCs w:val="28"/>
          <w:shd w:val="clear" w:color="auto" w:fill="FFFFFF"/>
        </w:rPr>
      </w:pPr>
      <w:r w:rsidRPr="00B07C46">
        <w:rPr>
          <w:rFonts w:ascii="Book Antiqua" w:eastAsia="Times New Roman" w:hAnsi="Book Antiqua" w:cstheme="minorHAnsi"/>
          <w:b/>
          <w:color w:val="000000"/>
          <w:sz w:val="28"/>
          <w:szCs w:val="28"/>
          <w:shd w:val="clear" w:color="auto" w:fill="FFFFFF"/>
        </w:rPr>
        <w:t>Introduction</w:t>
      </w:r>
    </w:p>
    <w:p w14:paraId="224439CB" w14:textId="77777777" w:rsidR="009D5576" w:rsidRPr="00B07C46" w:rsidRDefault="009D5576" w:rsidP="009D5576">
      <w:pPr>
        <w:spacing w:after="0" w:line="240" w:lineRule="auto"/>
        <w:jc w:val="both"/>
        <w:rPr>
          <w:rFonts w:ascii="Book Antiqua" w:eastAsia="Times New Roman" w:hAnsi="Book Antiqua" w:cs="Times New Roman"/>
          <w:color w:val="000000"/>
          <w:sz w:val="20"/>
          <w:szCs w:val="20"/>
          <w:shd w:val="clear" w:color="auto" w:fill="FFFFFF"/>
        </w:rPr>
      </w:pPr>
    </w:p>
    <w:p w14:paraId="22AFC102" w14:textId="0A11577B" w:rsidR="00AB6940" w:rsidRPr="00B07C46" w:rsidRDefault="00BA56E9" w:rsidP="00B30B43">
      <w:pPr>
        <w:spacing w:line="240" w:lineRule="auto"/>
        <w:ind w:firstLine="567"/>
        <w:jc w:val="both"/>
        <w:rPr>
          <w:rFonts w:ascii="Book Antiqua" w:eastAsia="Times New Roman" w:hAnsi="Book Antiqua" w:cs="Times New Roman"/>
          <w:color w:val="000000"/>
          <w:sz w:val="24"/>
          <w:szCs w:val="24"/>
          <w:shd w:val="clear" w:color="auto" w:fill="FFFFFF"/>
        </w:rPr>
      </w:pPr>
      <w:r w:rsidRPr="00BA56E9">
        <w:rPr>
          <w:rFonts w:ascii="Book Antiqua" w:eastAsia="Times New Roman" w:hAnsi="Book Antiqua" w:cs="Times New Roman"/>
          <w:color w:val="000000"/>
          <w:sz w:val="24"/>
          <w:szCs w:val="24"/>
          <w:shd w:val="clear" w:color="auto" w:fill="FFFFFF"/>
        </w:rPr>
        <w:t xml:space="preserve">The COVID-19 outbreak remains a major global issue. The Wuhan City Health Commission reported the first case of pneumonia identified as Coronavirus in November 2019 and WHO declared Coronavirus disease (COVID-19) as a global pandemic on March 11, 2020 </w:t>
      </w:r>
      <w:r w:rsidRPr="00BA56E9">
        <w:rPr>
          <w:rFonts w:ascii="Book Antiqua" w:eastAsia="Times New Roman" w:hAnsi="Book Antiqua" w:cs="Times New Roman"/>
          <w:color w:val="000000"/>
          <w:sz w:val="24"/>
          <w:szCs w:val="24"/>
          <w:shd w:val="clear" w:color="auto" w:fill="FFFFFF"/>
        </w:rPr>
        <w:fldChar w:fldCharType="begin" w:fldLock="1"/>
      </w:r>
      <w:r w:rsidR="00FC6BB2">
        <w:rPr>
          <w:rFonts w:ascii="Book Antiqua" w:eastAsia="Times New Roman" w:hAnsi="Book Antiqua" w:cs="Times New Roman"/>
          <w:color w:val="000000"/>
          <w:sz w:val="24"/>
          <w:szCs w:val="24"/>
          <w:shd w:val="clear" w:color="auto" w:fill="FFFFFF"/>
        </w:rPr>
        <w:instrText>ADDIN CSL_CITATION {"citationItems":[{"id":"ITEM-1","itemData":{"abstract":"Return is one of the main motivations for investing, the higher the expected return investors will receive, the more they will attract investors. This study analyzes and empirically proves the effect of the COVID 19 outbreak on the Indonesian stock exchange. This study uses daily data from the Covid-19 case, data on the capitalization of the Indonesian stock exchange during the outbreak from March 2 to July 15, 2020, with various Indonesian government policies that began lockdown, regional quarantine and new normal. Panel data regression is used to analyze and empirically prove the impact of Covid 19 on stock returns. The results showed that the daily growth of total confirmed positive cases, the total death cases of Covid 19 had a negative impact on stock returns in the Indonesian stock exchange even though the growth rate of patients who recovered was quite high. In addition, government policies in the form of lockdown of quarantine areas and new normal are not able to strengthen the Jakarta Composite Indeks (JCI), this is because the policy is not able to suppress the number of positive confirmations, but continues to increase. This research contributes to the government making a policy to reduce the number of confirmed cases to be able to strengthen the JCI, and investors can see aspects other than the expected return currently received.","author":[{"dropping-particle":"","family":"Nurcahyono","given":"Nurcahyono","non-dropping-particle":"","parse-names":false,"suffix":""},{"dropping-particle":"","family":"Hanum","given":"Ayu Noviani","non-dropping-particle":"","parse-names":false,"suffix":""},{"dropping-particle":"","family":"Sukesti","given":"Fatmasari","non-dropping-particle":"","parse-names":false,"suffix":""}],"container-title":"Jurnal Dinamika Akuntansi dan Bisnis","id":"ITEM-1","issue":"1","issued":{"date-parts":[["2021"]]},"page":"47-58","title":"The COVID-19 Outbreak and its Impact on Stock Market Returns : Evidence From Indonesia","type":"article-journal","volume":"8"},"uris":["http://www.mendeley.com/documents/?uuid=dd25c1da-b3ac-46f7-863e-bf5133daf6c7"]}],"mendeley":{"formattedCitation":"(Nurcahyono, Hanum, &amp; Sukesti, 2021)","plainTextFormattedCitation":"(Nurcahyono, Hanum, &amp; Sukesti, 2021)","previouslyFormattedCitation":"(Nurcahyono, Hanum, &amp; Sukesti, 2021)"},"properties":{"noteIndex":0},"schema":"https://github.com/citation-style-language/schema/raw/master/csl-citation.json"}</w:instrText>
      </w:r>
      <w:r w:rsidRPr="00BA56E9">
        <w:rPr>
          <w:rFonts w:ascii="Book Antiqua" w:eastAsia="Times New Roman" w:hAnsi="Book Antiqua" w:cs="Times New Roman"/>
          <w:color w:val="000000"/>
          <w:sz w:val="24"/>
          <w:szCs w:val="24"/>
          <w:shd w:val="clear" w:color="auto" w:fill="FFFFFF"/>
        </w:rPr>
        <w:fldChar w:fldCharType="separate"/>
      </w:r>
      <w:r w:rsidRPr="00BA56E9">
        <w:rPr>
          <w:rFonts w:ascii="Book Antiqua" w:eastAsia="Times New Roman" w:hAnsi="Book Antiqua" w:cs="Times New Roman"/>
          <w:noProof/>
          <w:color w:val="000000"/>
          <w:sz w:val="24"/>
          <w:szCs w:val="24"/>
          <w:shd w:val="clear" w:color="auto" w:fill="FFFFFF"/>
        </w:rPr>
        <w:t xml:space="preserve">(Nurcahyono, Hanum, &amp; </w:t>
      </w:r>
      <w:r w:rsidRPr="00BA56E9">
        <w:rPr>
          <w:rFonts w:ascii="Book Antiqua" w:eastAsia="Times New Roman" w:hAnsi="Book Antiqua" w:cs="Times New Roman"/>
          <w:noProof/>
          <w:color w:val="000000"/>
          <w:sz w:val="24"/>
          <w:szCs w:val="24"/>
          <w:shd w:val="clear" w:color="auto" w:fill="FFFFFF"/>
        </w:rPr>
        <w:lastRenderedPageBreak/>
        <w:t>Sukesti, 2021)</w:t>
      </w:r>
      <w:r w:rsidRPr="00BA56E9">
        <w:rPr>
          <w:rFonts w:ascii="Book Antiqua" w:eastAsia="Times New Roman" w:hAnsi="Book Antiqua" w:cs="Times New Roman"/>
          <w:color w:val="000000"/>
          <w:sz w:val="24"/>
          <w:szCs w:val="24"/>
          <w:shd w:val="clear" w:color="auto" w:fill="FFFFFF"/>
        </w:rPr>
        <w:fldChar w:fldCharType="end"/>
      </w:r>
      <w:r w:rsidRPr="00BA56E9">
        <w:rPr>
          <w:rFonts w:ascii="Book Antiqua" w:eastAsia="Times New Roman" w:hAnsi="Book Antiqua" w:cs="Times New Roman"/>
          <w:color w:val="000000"/>
          <w:sz w:val="24"/>
          <w:szCs w:val="24"/>
          <w:shd w:val="clear" w:color="auto" w:fill="FFFFFF"/>
        </w:rPr>
        <w:t xml:space="preserve">.  The spread of COVID-19 has been very fast, someone who has been infected can be easily infected by others by saliva. Then, it attacks the respiratory system and develops into a disease that is quite serious, especially for the elderly and those with chronic medical problems </w:t>
      </w:r>
      <w:r w:rsidRPr="00BA56E9">
        <w:rPr>
          <w:rFonts w:ascii="Book Antiqua" w:eastAsia="Times New Roman" w:hAnsi="Book Antiqua" w:cs="Times New Roman"/>
          <w:color w:val="000000"/>
          <w:sz w:val="24"/>
          <w:szCs w:val="24"/>
          <w:shd w:val="clear" w:color="auto" w:fill="FFFFFF"/>
        </w:rPr>
        <w:fldChar w:fldCharType="begin" w:fldLock="1"/>
      </w:r>
      <w:r w:rsidRPr="00BA56E9">
        <w:rPr>
          <w:rFonts w:ascii="Book Antiqua" w:eastAsia="Times New Roman" w:hAnsi="Book Antiqua" w:cs="Times New Roman"/>
          <w:color w:val="000000"/>
          <w:sz w:val="24"/>
          <w:szCs w:val="24"/>
          <w:shd w:val="clear" w:color="auto" w:fill="FFFFFF"/>
        </w:rPr>
        <w:instrText>ADDIN CSL_CITATION {"citationItems":[{"id":"ITEM-1","itemData":{"DOI":"10.13106/jafeb.2021.vol8.no3.0039","ISSN":"22884645","abstract":"This research aims to confirm if the COVID-19 pandemic has had an impact on existing sectors, and how that affects the Indonesian Stock Exchange (IDX) market returns. The research method used is an event study employing market models in nine sectors of the Exchange with purposive sampling technique, and supported by Ordinary Least Square (OLS) regression. Based on the calculation of abnormal returns in the period of 30 days before up to 30 days after, the financial property, real estate, and construction sector results show a decreased abnormal return value. The infrastructure, utilities, and transportation sectors also show an abnormal return value that tends to be constant, while the abnormal return value increases in other sectors. Judging from the cumulative value of abnormal returns, the most affected sector is financials, followed by the trade, service, and investment sectors. The consumer goods and mining industry sectors are still optimistic, while other sectors show temporary negative sentiment. Overall, the stocks on the Indonesia Stock Exchange (IDX) were affected by the COVID-19 pandemic with a cumulative negative value of the average abnormal return sample. The results using OLS regression also strengthen the relationships between the COVID-19 pandemic, and negative and significant market returns.","author":[{"dropping-particle":"","family":"Herwany","given":"Aldrin","non-dropping-particle":"","parse-names":false,"suffix":""},{"dropping-particle":"","family":"Febrian","given":"Erie","non-dropping-particle":"","parse-names":false,"suffix":""},{"dropping-particle":"","family":"Anwar","given":"Mokhamad","non-dropping-particle":"","parse-names":false,"suffix":""},{"dropping-particle":"","family":"Gunardi","given":"Ardi","non-dropping-particle":"","parse-names":false,"suffix":""}],"container-title":"Journal of Asian Finance, Economics and Business","id":"ITEM-1","issue":"3","issued":{"date-parts":[["2021"]]},"page":"39-47","title":"The Influence of the COVID-19 Pandemic on Stock Market Returns in Indonesia Stock Exchange","type":"article-journal","volume":"8"},"uris":["http://www.mendeley.com/documents/?uuid=89045a7d-dc9a-449d-a562-9f9d21300edb"]}],"mendeley":{"formattedCitation":"(Herwany, Febrian, Anwar, &amp; Gunardi, 2021)","plainTextFormattedCitation":"(Herwany, Febrian, Anwar, &amp; Gunardi, 2021)","previouslyFormattedCitation":"(Herwany, Febrian, Anwar, &amp; Gunardi, 2021)"},"properties":{"noteIndex":0},"schema":"https://github.com/citation-style-language/schema/raw/master/csl-citation.json"}</w:instrText>
      </w:r>
      <w:r w:rsidRPr="00BA56E9">
        <w:rPr>
          <w:rFonts w:ascii="Book Antiqua" w:eastAsia="Times New Roman" w:hAnsi="Book Antiqua" w:cs="Times New Roman"/>
          <w:color w:val="000000"/>
          <w:sz w:val="24"/>
          <w:szCs w:val="24"/>
          <w:shd w:val="clear" w:color="auto" w:fill="FFFFFF"/>
        </w:rPr>
        <w:fldChar w:fldCharType="separate"/>
      </w:r>
      <w:r w:rsidRPr="00BA56E9">
        <w:rPr>
          <w:rFonts w:ascii="Book Antiqua" w:eastAsia="Times New Roman" w:hAnsi="Book Antiqua" w:cs="Times New Roman"/>
          <w:noProof/>
          <w:color w:val="000000"/>
          <w:sz w:val="24"/>
          <w:szCs w:val="24"/>
          <w:shd w:val="clear" w:color="auto" w:fill="FFFFFF"/>
        </w:rPr>
        <w:t>(Herwany, Febrian, Anwar, &amp; Gunardi, 2021)</w:t>
      </w:r>
      <w:r w:rsidRPr="00BA56E9">
        <w:rPr>
          <w:rFonts w:ascii="Book Antiqua" w:eastAsia="Times New Roman" w:hAnsi="Book Antiqua" w:cs="Times New Roman"/>
          <w:color w:val="000000"/>
          <w:sz w:val="24"/>
          <w:szCs w:val="24"/>
          <w:shd w:val="clear" w:color="auto" w:fill="FFFFFF"/>
        </w:rPr>
        <w:fldChar w:fldCharType="end"/>
      </w:r>
      <w:r w:rsidRPr="00BA56E9">
        <w:rPr>
          <w:rFonts w:ascii="Book Antiqua" w:eastAsia="Times New Roman" w:hAnsi="Book Antiqua" w:cs="Times New Roman"/>
          <w:color w:val="000000"/>
          <w:sz w:val="24"/>
          <w:szCs w:val="24"/>
          <w:shd w:val="clear" w:color="auto" w:fill="FFFFFF"/>
        </w:rPr>
        <w:t xml:space="preserve">. In addition, recent research has found that a new variant of COVID-19 has mutated to become more rapidly spreading in infecting people and is feared to have more serious consequences </w:t>
      </w:r>
      <w:r w:rsidRPr="00BA56E9">
        <w:rPr>
          <w:rFonts w:ascii="Book Antiqua" w:eastAsia="Times New Roman" w:hAnsi="Book Antiqua" w:cs="Times New Roman"/>
          <w:color w:val="000000"/>
          <w:sz w:val="24"/>
          <w:szCs w:val="24"/>
          <w:shd w:val="clear" w:color="auto" w:fill="FFFFFF"/>
        </w:rPr>
        <w:fldChar w:fldCharType="begin" w:fldLock="1"/>
      </w:r>
      <w:r w:rsidRPr="00BA56E9">
        <w:rPr>
          <w:rFonts w:ascii="Book Antiqua" w:eastAsia="Times New Roman" w:hAnsi="Book Antiqua" w:cs="Times New Roman"/>
          <w:color w:val="000000"/>
          <w:sz w:val="24"/>
          <w:szCs w:val="24"/>
          <w:shd w:val="clear" w:color="auto" w:fill="FFFFFF"/>
        </w:rPr>
        <w:instrText>ADDIN CSL_CITATION {"citationItems":[{"id":"ITEM-1","itemData":{"DOI":"10.1136/bmj.m4857","ISSN":"17561833","PMID":"33328153","author":[{"dropping-particle":"","family":"Wise","given":"Jacqui","non-dropping-particle":"","parse-names":false,"suffix":""}],"container-title":"BMJ (Clinical research ed.)","id":"ITEM-1","issue":"December","issued":{"date-parts":[["2020"]]},"page":"m4857","title":"Covid-19: New coronavirus variant is identified in UK","type":"article-journal","volume":"371"},"uris":["http://www.mendeley.com/documents/?uuid=d372b8c8-2745-4267-863f-6c5a1e78d4d2"]}],"mendeley":{"formattedCitation":"(Wise, 2020)","plainTextFormattedCitation":"(Wise, 2020)","previouslyFormattedCitation":"(Wise, 2020)"},"properties":{"noteIndex":0},"schema":"https://github.com/citation-style-language/schema/raw/master/csl-citation.json"}</w:instrText>
      </w:r>
      <w:r w:rsidRPr="00BA56E9">
        <w:rPr>
          <w:rFonts w:ascii="Book Antiqua" w:eastAsia="Times New Roman" w:hAnsi="Book Antiqua" w:cs="Times New Roman"/>
          <w:color w:val="000000"/>
          <w:sz w:val="24"/>
          <w:szCs w:val="24"/>
          <w:shd w:val="clear" w:color="auto" w:fill="FFFFFF"/>
        </w:rPr>
        <w:fldChar w:fldCharType="separate"/>
      </w:r>
      <w:r w:rsidRPr="00BA56E9">
        <w:rPr>
          <w:rFonts w:ascii="Book Antiqua" w:eastAsia="Times New Roman" w:hAnsi="Book Antiqua" w:cs="Times New Roman"/>
          <w:noProof/>
          <w:color w:val="000000"/>
          <w:sz w:val="24"/>
          <w:szCs w:val="24"/>
          <w:shd w:val="clear" w:color="auto" w:fill="FFFFFF"/>
        </w:rPr>
        <w:t>(Wise, 2020)</w:t>
      </w:r>
      <w:r w:rsidRPr="00BA56E9">
        <w:rPr>
          <w:rFonts w:ascii="Book Antiqua" w:eastAsia="Times New Roman" w:hAnsi="Book Antiqua" w:cs="Times New Roman"/>
          <w:color w:val="000000"/>
          <w:sz w:val="24"/>
          <w:szCs w:val="24"/>
          <w:shd w:val="clear" w:color="auto" w:fill="FFFFFF"/>
        </w:rPr>
        <w:fldChar w:fldCharType="end"/>
      </w:r>
      <w:r w:rsidRPr="00BA56E9">
        <w:rPr>
          <w:rFonts w:ascii="Book Antiqua" w:eastAsia="Times New Roman" w:hAnsi="Book Antiqua" w:cs="Times New Roman"/>
          <w:color w:val="000000"/>
          <w:sz w:val="24"/>
          <w:szCs w:val="24"/>
          <w:shd w:val="clear" w:color="auto" w:fill="FFFFFF"/>
        </w:rPr>
        <w:t xml:space="preserve">. </w:t>
      </w:r>
      <w:r w:rsidRPr="00BA56E9">
        <w:rPr>
          <w:rFonts w:ascii="Book Antiqua" w:eastAsia="Times New Roman" w:hAnsi="Book Antiqua" w:cs="Times New Roman"/>
          <w:color w:val="000000"/>
          <w:sz w:val="24"/>
          <w:szCs w:val="24"/>
          <w:shd w:val="clear" w:color="auto" w:fill="FFFFFF"/>
        </w:rPr>
        <w:fldChar w:fldCharType="begin" w:fldLock="1"/>
      </w:r>
      <w:r w:rsidRPr="00BA56E9">
        <w:rPr>
          <w:rFonts w:ascii="Book Antiqua" w:eastAsia="Times New Roman" w:hAnsi="Book Antiqua" w:cs="Times New Roman"/>
          <w:color w:val="000000"/>
          <w:sz w:val="24"/>
          <w:szCs w:val="24"/>
          <w:shd w:val="clear" w:color="auto" w:fill="FFFFFF"/>
        </w:rPr>
        <w:instrText>ADDIN CSL_CITATION {"citationItems":[{"id":"ITEM-1","itemData":{"DOI":"10.1136/bmj.n230","ISSN":"17561833","PMID":"33500262","author":[{"dropping-particle":"","family":"Iacobucci","given":"Gareth","non-dropping-particle":"","parse-names":false,"suffix":""}],"container-title":"The BMJ","id":"ITEM-1","issue":"January","issued":{"date-parts":[["2021"]]},"page":"1-2","title":"Covid-19: New UK variant may be linked to increased death rate, early data indicate","type":"article-journal","volume":"372"},"uris":["http://www.mendeley.com/documents/?uuid=8baf42e3-f80a-4a5f-9f1f-63bf06ef2159"]}],"mendeley":{"formattedCitation":"(Iacobucci, 2021)","plainTextFormattedCitation":"(Iacobucci, 2021)","previouslyFormattedCitation":"(Iacobucci, 2021)"},"properties":{"noteIndex":0},"schema":"https://github.com/citation-style-language/schema/raw/master/csl-citation.json"}</w:instrText>
      </w:r>
      <w:r w:rsidRPr="00BA56E9">
        <w:rPr>
          <w:rFonts w:ascii="Book Antiqua" w:eastAsia="Times New Roman" w:hAnsi="Book Antiqua" w:cs="Times New Roman"/>
          <w:color w:val="000000"/>
          <w:sz w:val="24"/>
          <w:szCs w:val="24"/>
          <w:shd w:val="clear" w:color="auto" w:fill="FFFFFF"/>
        </w:rPr>
        <w:fldChar w:fldCharType="separate"/>
      </w:r>
      <w:r w:rsidRPr="00BA56E9">
        <w:rPr>
          <w:rFonts w:ascii="Book Antiqua" w:eastAsia="Times New Roman" w:hAnsi="Book Antiqua" w:cs="Times New Roman"/>
          <w:noProof/>
          <w:color w:val="000000"/>
          <w:sz w:val="24"/>
          <w:szCs w:val="24"/>
          <w:shd w:val="clear" w:color="auto" w:fill="FFFFFF"/>
        </w:rPr>
        <w:t>(Iacobucci, 2021)</w:t>
      </w:r>
      <w:r w:rsidRPr="00BA56E9">
        <w:rPr>
          <w:rFonts w:ascii="Book Antiqua" w:eastAsia="Times New Roman" w:hAnsi="Book Antiqua" w:cs="Times New Roman"/>
          <w:color w:val="000000"/>
          <w:sz w:val="24"/>
          <w:szCs w:val="24"/>
          <w:shd w:val="clear" w:color="auto" w:fill="FFFFFF"/>
        </w:rPr>
        <w:fldChar w:fldCharType="end"/>
      </w:r>
      <w:r w:rsidRPr="00BA56E9">
        <w:rPr>
          <w:rFonts w:ascii="Book Antiqua" w:eastAsia="Times New Roman" w:hAnsi="Book Antiqua" w:cs="Times New Roman"/>
          <w:color w:val="000000"/>
          <w:sz w:val="24"/>
          <w:szCs w:val="24"/>
          <w:shd w:val="clear" w:color="auto" w:fill="FFFFFF"/>
        </w:rPr>
        <w:t xml:space="preserve"> argued the new variant of the virus is associated with an increased risk of death.</w:t>
      </w:r>
    </w:p>
    <w:p w14:paraId="5A855756" w14:textId="71FAC459" w:rsidR="00AB6940" w:rsidRPr="00B07C46" w:rsidRDefault="00AB6940" w:rsidP="00B30B43">
      <w:pPr>
        <w:spacing w:line="240" w:lineRule="auto"/>
        <w:ind w:firstLine="567"/>
        <w:jc w:val="both"/>
        <w:rPr>
          <w:rFonts w:ascii="Book Antiqua" w:eastAsia="Times New Roman" w:hAnsi="Book Antiqua" w:cs="Times New Roman"/>
          <w:color w:val="000000"/>
          <w:sz w:val="24"/>
          <w:szCs w:val="24"/>
          <w:shd w:val="clear" w:color="auto" w:fill="FFFFFF"/>
        </w:rPr>
      </w:pPr>
      <w:r w:rsidRPr="00B07C46">
        <w:rPr>
          <w:rFonts w:ascii="Book Antiqua" w:eastAsia="Times New Roman" w:hAnsi="Book Antiqua" w:cs="Times New Roman"/>
          <w:color w:val="000000"/>
          <w:sz w:val="24"/>
          <w:szCs w:val="24"/>
          <w:shd w:val="clear" w:color="auto" w:fill="FFFFFF"/>
        </w:rPr>
        <w:t xml:space="preserve">Since the WHO (World Health Organization) has declared COVID-19 a global health emergency, the world economy has been drastically depressed </w:t>
      </w:r>
      <w:r w:rsidRPr="00B07C46">
        <w:rPr>
          <w:rFonts w:ascii="Book Antiqua" w:eastAsia="Times New Roman" w:hAnsi="Book Antiqua" w:cs="Times New Roman"/>
          <w:color w:val="000000"/>
          <w:sz w:val="24"/>
          <w:szCs w:val="24"/>
          <w:shd w:val="clear" w:color="auto" w:fill="FFFFFF"/>
        </w:rPr>
        <w:fldChar w:fldCharType="begin" w:fldLock="1"/>
      </w:r>
      <w:r w:rsidRPr="00B07C46">
        <w:rPr>
          <w:rFonts w:ascii="Book Antiqua" w:eastAsia="Times New Roman" w:hAnsi="Book Antiqua" w:cs="Times New Roman"/>
          <w:color w:val="000000"/>
          <w:sz w:val="24"/>
          <w:szCs w:val="24"/>
          <w:shd w:val="clear" w:color="auto" w:fill="FFFFFF"/>
        </w:rPr>
        <w:instrText>ADDIN CSL_CITATION {"citationItems":[{"id":"ITEM-1","itemData":{"DOI":"10.1016/j.frl.2020.101872","ISSN":"15446123","abstract":"We investigate the dynamic responses of stock return to the unexpected changes in the COVID-19 cases and the uncertainty associated with the pandemic. Using daily data from Canada and the US, we find there is a negative effect of an increase in the COVID-19 cases on the stock market in general. Moreover, the stock return responses are asymmetric in the increase and decrease in the cases in Canada. The asymmetry is caused by the negative impact of uncertainty about the pandemic. We also find that uncertainty adversely affects the US stock market. However, the magnitude is small.","author":[{"dropping-particle":"","family":"Xu","given":"Libo","non-dropping-particle":"","parse-names":false,"suffix":""}],"container-title":"Finance Research Letters","id":"ITEM-1","issued":{"date-parts":[["2021"]]},"page":"101872","publisher":"Elsevier Inc.","title":"Stock Return and the COVID-19 pandemic: Evidence from Canada and the US","type":"article-journal","volume":"38"},"uris":["http://www.mendeley.com/documents/?uuid=769d53bb-ea4f-4a91-8ef4-280947f94b4b"]}],"mendeley":{"formattedCitation":"(Xu, 2021)","plainTextFormattedCitation":"(Xu, 2021)","previouslyFormattedCitation":"(Xu, 2021)"},"properties":{"noteIndex":0},"schema":"https://github.com/citation-style-language/schema/raw/master/csl-citation.json"}</w:instrText>
      </w:r>
      <w:r w:rsidRPr="00B07C46">
        <w:rPr>
          <w:rFonts w:ascii="Book Antiqua" w:eastAsia="Times New Roman" w:hAnsi="Book Antiqua" w:cs="Times New Roman"/>
          <w:color w:val="000000"/>
          <w:sz w:val="24"/>
          <w:szCs w:val="24"/>
          <w:shd w:val="clear" w:color="auto" w:fill="FFFFFF"/>
        </w:rPr>
        <w:fldChar w:fldCharType="separate"/>
      </w:r>
      <w:r w:rsidRPr="00B07C46">
        <w:rPr>
          <w:rFonts w:ascii="Book Antiqua" w:eastAsia="Times New Roman" w:hAnsi="Book Antiqua" w:cs="Times New Roman"/>
          <w:noProof/>
          <w:color w:val="000000"/>
          <w:sz w:val="24"/>
          <w:szCs w:val="24"/>
          <w:shd w:val="clear" w:color="auto" w:fill="FFFFFF"/>
        </w:rPr>
        <w:t>(Xu, 2021)</w:t>
      </w:r>
      <w:r w:rsidRPr="00B07C46">
        <w:rPr>
          <w:rFonts w:ascii="Book Antiqua" w:eastAsia="Times New Roman" w:hAnsi="Book Antiqua" w:cs="Times New Roman"/>
          <w:color w:val="000000"/>
          <w:sz w:val="24"/>
          <w:szCs w:val="24"/>
          <w:shd w:val="clear" w:color="auto" w:fill="FFFFFF"/>
        </w:rPr>
        <w:fldChar w:fldCharType="end"/>
      </w:r>
      <w:r w:rsidRPr="00B07C46">
        <w:rPr>
          <w:rFonts w:ascii="Book Antiqua" w:eastAsia="Times New Roman" w:hAnsi="Book Antiqua" w:cs="Times New Roman"/>
          <w:color w:val="000000"/>
          <w:sz w:val="24"/>
          <w:szCs w:val="24"/>
          <w:shd w:val="clear" w:color="auto" w:fill="FFFFFF"/>
        </w:rPr>
        <w:t xml:space="preserve">. Sales are declining, consumers are changing their behavior, production is falling, companies are in serious financial trouble, and unemployment is rising worldwide. The pressures faced by small businesses cause forced closures that are temporary or even permanent, causing many individuals to lose their jobs and end up going bankrupt </w:t>
      </w:r>
      <w:r w:rsidRPr="00B07C46">
        <w:rPr>
          <w:rFonts w:ascii="Book Antiqua" w:eastAsia="Times New Roman" w:hAnsi="Book Antiqua" w:cs="Times New Roman"/>
          <w:color w:val="000000"/>
          <w:sz w:val="24"/>
          <w:szCs w:val="24"/>
          <w:shd w:val="clear" w:color="auto" w:fill="FFFFFF"/>
        </w:rPr>
        <w:fldChar w:fldCharType="begin" w:fldLock="1"/>
      </w:r>
      <w:r w:rsidR="00C70350">
        <w:rPr>
          <w:rFonts w:ascii="Book Antiqua" w:eastAsia="Times New Roman" w:hAnsi="Book Antiqua" w:cs="Times New Roman"/>
          <w:color w:val="000000"/>
          <w:sz w:val="24"/>
          <w:szCs w:val="24"/>
          <w:shd w:val="clear" w:color="auto" w:fill="FFFFFF"/>
        </w:rPr>
        <w:instrText>ADDIN CSL_CITATION {"citationItems":[{"id":"ITEM-1","itemData":{"abstract":"Views expressed in this article is the opinion of the author, and does not necessarily reflect the view of the Institute of Strategic and International Studies (ISIS) Malaysia and the other individuals/organisations cited Updated 26/03/2020 Download as PDF Key takeaways This pandemic will have devastating effects on the Malaysian economy from both external factors (global …","author":[{"dropping-particle":"","family":"Cheng","given":"Calvin","non-dropping-particle":"","parse-names":false,"suffix":""}],"id":"ITEM-1","issued":{"date-parts":[["2020"]]},"number-of-pages":"1","title":"COVID-19 in Malaysia: Economic Impacts &amp; Fiscal Responses","type":"report"},"uris":["http://www.mendeley.com/documents/?uuid=64f3c273-8d1a-46b5-8496-d1f34e6bf06d"]}],"mendeley":{"formattedCitation":"(Cheng, 2020)","plainTextFormattedCitation":"(Cheng, 2020)","previouslyFormattedCitation":"(Cheng, 2020)"},"properties":{"noteIndex":0},"schema":"https://github.com/citation-style-language/schema/raw/master/csl-citation.json"}</w:instrText>
      </w:r>
      <w:r w:rsidRPr="00B07C46">
        <w:rPr>
          <w:rFonts w:ascii="Book Antiqua" w:eastAsia="Times New Roman" w:hAnsi="Book Antiqua" w:cs="Times New Roman"/>
          <w:color w:val="000000"/>
          <w:sz w:val="24"/>
          <w:szCs w:val="24"/>
          <w:shd w:val="clear" w:color="auto" w:fill="FFFFFF"/>
        </w:rPr>
        <w:fldChar w:fldCharType="separate"/>
      </w:r>
      <w:r w:rsidRPr="00B07C46">
        <w:rPr>
          <w:rFonts w:ascii="Book Antiqua" w:eastAsia="Times New Roman" w:hAnsi="Book Antiqua" w:cs="Times New Roman"/>
          <w:noProof/>
          <w:color w:val="000000"/>
          <w:sz w:val="24"/>
          <w:szCs w:val="24"/>
          <w:shd w:val="clear" w:color="auto" w:fill="FFFFFF"/>
        </w:rPr>
        <w:t>(Cheng, 2020)</w:t>
      </w:r>
      <w:r w:rsidRPr="00B07C46">
        <w:rPr>
          <w:rFonts w:ascii="Book Antiqua" w:eastAsia="Times New Roman" w:hAnsi="Book Antiqua" w:cs="Times New Roman"/>
          <w:color w:val="000000"/>
          <w:sz w:val="24"/>
          <w:szCs w:val="24"/>
          <w:shd w:val="clear" w:color="auto" w:fill="FFFFFF"/>
        </w:rPr>
        <w:fldChar w:fldCharType="end"/>
      </w:r>
      <w:r w:rsidRPr="00B07C46">
        <w:rPr>
          <w:rFonts w:ascii="Book Antiqua" w:eastAsia="Times New Roman" w:hAnsi="Book Antiqua" w:cs="Times New Roman"/>
          <w:color w:val="000000"/>
          <w:sz w:val="24"/>
          <w:szCs w:val="24"/>
          <w:shd w:val="clear" w:color="auto" w:fill="FFFFFF"/>
        </w:rPr>
        <w:t>.</w:t>
      </w:r>
    </w:p>
    <w:p w14:paraId="3360E3EC" w14:textId="1ED8770D" w:rsidR="00AB6940" w:rsidRPr="00B07C46" w:rsidRDefault="00B30B43" w:rsidP="00B30B43">
      <w:pPr>
        <w:spacing w:line="240" w:lineRule="auto"/>
        <w:ind w:firstLine="567"/>
        <w:jc w:val="both"/>
        <w:rPr>
          <w:rFonts w:ascii="Book Antiqua" w:eastAsia="Times New Roman" w:hAnsi="Book Antiqua" w:cs="Times New Roman"/>
          <w:color w:val="000000"/>
          <w:sz w:val="24"/>
          <w:szCs w:val="24"/>
          <w:shd w:val="clear" w:color="auto" w:fill="FFFFFF"/>
        </w:rPr>
      </w:pPr>
      <w:r w:rsidRPr="00B30B43">
        <w:rPr>
          <w:rFonts w:ascii="Book Antiqua" w:eastAsia="Times New Roman" w:hAnsi="Book Antiqua" w:cs="Times New Roman"/>
          <w:color w:val="000000"/>
          <w:sz w:val="24"/>
          <w:szCs w:val="24"/>
          <w:shd w:val="clear" w:color="auto" w:fill="FFFFFF"/>
        </w:rPr>
        <w:t xml:space="preserve">Moreover, the first lockdown or quarantine policy was implemented in Indonesia on April 10, 2020, when the case of positive confirmation reached out of 3.000 cases and 300 people died </w:t>
      </w:r>
      <w:r w:rsidRPr="00B30B43">
        <w:rPr>
          <w:rFonts w:ascii="Book Antiqua" w:eastAsia="Times New Roman" w:hAnsi="Book Antiqua" w:cs="Times New Roman"/>
          <w:color w:val="000000"/>
          <w:sz w:val="24"/>
          <w:szCs w:val="24"/>
          <w:shd w:val="clear" w:color="auto" w:fill="FFFFFF"/>
        </w:rPr>
        <w:fldChar w:fldCharType="begin" w:fldLock="1"/>
      </w:r>
      <w:r w:rsidR="00FC6BB2">
        <w:rPr>
          <w:rFonts w:ascii="Book Antiqua" w:eastAsia="Times New Roman" w:hAnsi="Book Antiqua" w:cs="Times New Roman"/>
          <w:color w:val="000000"/>
          <w:sz w:val="24"/>
          <w:szCs w:val="24"/>
          <w:shd w:val="clear" w:color="auto" w:fill="FFFFFF"/>
        </w:rPr>
        <w:instrText>ADDIN CSL_CITATION {"citationItems":[{"id":"ITEM-1","itemData":{"abstract":"Return is one of the main motivations for investing, the higher the expected return investors will receive, the more they will attract investors. This study analyzes and empirically proves the effect of the COVID 19 outbreak on the Indonesian stock exchange. This study uses daily data from the Covid-19 case, data on the capitalization of the Indonesian stock exchange during the outbreak from March 2 to July 15, 2020, with various Indonesian government policies that began lockdown, regional quarantine and new normal. Panel data regression is used to analyze and empirically prove the impact of Covid 19 on stock returns. The results showed that the daily growth of total confirmed positive cases, the total death cases of Covid 19 had a negative impact on stock returns in the Indonesian stock exchange even though the growth rate of patients who recovered was quite high. In addition, government policies in the form of lockdown of quarantine areas and new normal are not able to strengthen the Jakarta Composite Indeks (JCI), this is because the policy is not able to suppress the number of positive confirmations, but continues to increase. This research contributes to the government making a policy to reduce the number of confirmed cases to be able to strengthen the JCI, and investors can see aspects other than the expected return currently received.","author":[{"dropping-particle":"","family":"Nurcahyono","given":"Nurcahyono","non-dropping-particle":"","parse-names":false,"suffix":""},{"dropping-particle":"","family":"Hanum","given":"Ayu Noviani","non-dropping-particle":"","parse-names":false,"suffix":""},{"dropping-particle":"","family":"Sukesti","given":"Fatmasari","non-dropping-particle":"","parse-names":false,"suffix":""}],"container-title":"Jurnal Dinamika Akuntansi dan Bisnis","id":"ITEM-1","issue":"1","issued":{"date-parts":[["2021"]]},"page":"47-58","title":"The COVID-19 Outbreak and its Impact on Stock Market Returns : Evidence From Indonesia","type":"article-journal","volume":"8"},"uris":["http://www.mendeley.com/documents/?uuid=dd25c1da-b3ac-46f7-863e-bf5133daf6c7"]}],"mendeley":{"formattedCitation":"(Nurcahyono et al., 2021)","plainTextFormattedCitation":"(Nurcahyono et al., 2021)","previouslyFormattedCitation":"(Nurcahyono et al., 2021)"},"properties":{"noteIndex":0},"schema":"https://github.com/citation-style-language/schema/raw/master/csl-citation.json"}</w:instrText>
      </w:r>
      <w:r w:rsidRPr="00B30B43">
        <w:rPr>
          <w:rFonts w:ascii="Book Antiqua" w:eastAsia="Times New Roman" w:hAnsi="Book Antiqua" w:cs="Times New Roman"/>
          <w:color w:val="000000"/>
          <w:sz w:val="24"/>
          <w:szCs w:val="24"/>
          <w:shd w:val="clear" w:color="auto" w:fill="FFFFFF"/>
        </w:rPr>
        <w:fldChar w:fldCharType="separate"/>
      </w:r>
      <w:r w:rsidRPr="00B30B43">
        <w:rPr>
          <w:rFonts w:ascii="Book Antiqua" w:eastAsia="Times New Roman" w:hAnsi="Book Antiqua" w:cs="Times New Roman"/>
          <w:noProof/>
          <w:color w:val="000000"/>
          <w:sz w:val="24"/>
          <w:szCs w:val="24"/>
          <w:shd w:val="clear" w:color="auto" w:fill="FFFFFF"/>
        </w:rPr>
        <w:t>(Nurcahyono et al., 2021)</w:t>
      </w:r>
      <w:r w:rsidRPr="00B30B43">
        <w:rPr>
          <w:rFonts w:ascii="Book Antiqua" w:eastAsia="Times New Roman" w:hAnsi="Book Antiqua" w:cs="Times New Roman"/>
          <w:color w:val="000000"/>
          <w:sz w:val="24"/>
          <w:szCs w:val="24"/>
          <w:shd w:val="clear" w:color="auto" w:fill="FFFFFF"/>
        </w:rPr>
        <w:fldChar w:fldCharType="end"/>
      </w:r>
      <w:r w:rsidRPr="00B30B43">
        <w:rPr>
          <w:rFonts w:ascii="Book Antiqua" w:eastAsia="Times New Roman" w:hAnsi="Book Antiqua" w:cs="Times New Roman"/>
          <w:color w:val="000000"/>
          <w:sz w:val="24"/>
          <w:szCs w:val="24"/>
          <w:shd w:val="clear" w:color="auto" w:fill="FFFFFF"/>
        </w:rPr>
        <w:t xml:space="preserve">. Strict regulations from the government, such as quarantines and lockdowns signal an increase in cases that are getting worse </w:t>
      </w:r>
      <w:r w:rsidRPr="00B30B43">
        <w:rPr>
          <w:rFonts w:ascii="Book Antiqua" w:eastAsia="Times New Roman" w:hAnsi="Book Antiqua" w:cs="Times New Roman"/>
          <w:color w:val="000000"/>
          <w:sz w:val="24"/>
          <w:szCs w:val="24"/>
          <w:shd w:val="clear" w:color="auto" w:fill="FFFFFF"/>
        </w:rPr>
        <w:fldChar w:fldCharType="begin" w:fldLock="1"/>
      </w:r>
      <w:r w:rsidRPr="00B30B43">
        <w:rPr>
          <w:rFonts w:ascii="Book Antiqua" w:eastAsia="Times New Roman" w:hAnsi="Book Antiqua" w:cs="Times New Roman"/>
          <w:color w:val="000000"/>
          <w:sz w:val="24"/>
          <w:szCs w:val="24"/>
          <w:shd w:val="clear" w:color="auto" w:fill="FFFFFF"/>
        </w:rPr>
        <w:instrText>ADDIN CSL_CITATION {"citationItems":[{"id":"ITEM-1","itemData":{"DOI":"10.1016/j.frl.2020.101872","ISSN":"15446123","abstract":"We investigate the dynamic responses of stock return to the unexpected changes in the COVID-19 cases and the uncertainty associated with the pandemic. Using daily data from Canada and the US, we find there is a negative effect of an increase in the COVID-19 cases on the stock market in general. Moreover, the stock return responses are asymmetric in the increase and decrease in the cases in Canada. The asymmetry is caused by the negative impact of uncertainty about the pandemic. We also find that uncertainty adversely affects the US stock market. However, the magnitude is small.","author":[{"dropping-particle":"","family":"Xu","given":"Libo","non-dropping-particle":"","parse-names":false,"suffix":""}],"container-title":"Finance Research Letters","id":"ITEM-1","issued":{"date-parts":[["2021"]]},"page":"101872","publisher":"Elsevier Inc.","title":"Stock Return and the COVID-19 pandemic: Evidence from Canada and the US","type":"article-journal","volume":"38"},"uris":["http://www.mendeley.com/documents/?uuid=769d53bb-ea4f-4a91-8ef4-280947f94b4b"]}],"mendeley":{"formattedCitation":"(Xu, 2021)","plainTextFormattedCitation":"(Xu, 2021)","previouslyFormattedCitation":"(Xu, 2021)"},"properties":{"noteIndex":0},"schema":"https://github.com/citation-style-language/schema/raw/master/csl-citation.json"}</w:instrText>
      </w:r>
      <w:r w:rsidRPr="00B30B43">
        <w:rPr>
          <w:rFonts w:ascii="Book Antiqua" w:eastAsia="Times New Roman" w:hAnsi="Book Antiqua" w:cs="Times New Roman"/>
          <w:color w:val="000000"/>
          <w:sz w:val="24"/>
          <w:szCs w:val="24"/>
          <w:shd w:val="clear" w:color="auto" w:fill="FFFFFF"/>
        </w:rPr>
        <w:fldChar w:fldCharType="separate"/>
      </w:r>
      <w:r w:rsidRPr="00B30B43">
        <w:rPr>
          <w:rFonts w:ascii="Book Antiqua" w:eastAsia="Times New Roman" w:hAnsi="Book Antiqua" w:cs="Times New Roman"/>
          <w:noProof/>
          <w:color w:val="000000"/>
          <w:sz w:val="24"/>
          <w:szCs w:val="24"/>
          <w:shd w:val="clear" w:color="auto" w:fill="FFFFFF"/>
        </w:rPr>
        <w:t>(Xu, 2021)</w:t>
      </w:r>
      <w:r w:rsidRPr="00B30B43">
        <w:rPr>
          <w:rFonts w:ascii="Book Antiqua" w:eastAsia="Times New Roman" w:hAnsi="Book Antiqua" w:cs="Times New Roman"/>
          <w:color w:val="000000"/>
          <w:sz w:val="24"/>
          <w:szCs w:val="24"/>
          <w:shd w:val="clear" w:color="auto" w:fill="FFFFFF"/>
        </w:rPr>
        <w:fldChar w:fldCharType="end"/>
      </w:r>
      <w:r w:rsidRPr="00B30B43">
        <w:rPr>
          <w:rFonts w:ascii="Book Antiqua" w:eastAsia="Times New Roman" w:hAnsi="Book Antiqua" w:cs="Times New Roman"/>
          <w:color w:val="000000"/>
          <w:sz w:val="24"/>
          <w:szCs w:val="24"/>
          <w:shd w:val="clear" w:color="auto" w:fill="FFFFFF"/>
        </w:rPr>
        <w:t xml:space="preserve">. Because most firms are prohibited from remaining fully functioning during the quarantine, they prefer to reduce labor costs by firing employees </w:t>
      </w:r>
      <w:r w:rsidRPr="00B30B43">
        <w:rPr>
          <w:rFonts w:ascii="Book Antiqua" w:eastAsia="Times New Roman" w:hAnsi="Book Antiqua" w:cs="Times New Roman"/>
          <w:color w:val="000000"/>
          <w:sz w:val="24"/>
          <w:szCs w:val="24"/>
          <w:shd w:val="clear" w:color="auto" w:fill="FFFFFF"/>
        </w:rPr>
        <w:fldChar w:fldCharType="begin" w:fldLock="1"/>
      </w:r>
      <w:r w:rsidRPr="00B30B43">
        <w:rPr>
          <w:rFonts w:ascii="Book Antiqua" w:eastAsia="Times New Roman" w:hAnsi="Book Antiqua" w:cs="Times New Roman"/>
          <w:color w:val="000000"/>
          <w:sz w:val="24"/>
          <w:szCs w:val="24"/>
          <w:shd w:val="clear" w:color="auto" w:fill="FFFFFF"/>
        </w:rPr>
        <w:instrText>ADDIN CSL_CITATION {"citationItems":[{"id":"ITEM-1","itemData":{"DOI":"10.1016/j.frl.2020.101690","ISSN":"15446123","abstract":"This paper investigates the US stock market performance during the crash of March 2020 triggered by COVID-19. We find that natural gas, food, healthcare, and software stocks earn high positive returns, whereas equity values in petroleum, real estate, entertainment, and hospitality sectors fall dramatically. Moreover, loser stocks exhibit extreme asymmetric volatility that correlates negatively with stock returns. Firms react in a variety of different ways to the COVID-19 revenue shock. The analysis of the 8K and DEF14A filings of poorest performers reveals departures of senior executives, remuneration cuts, and (most surprisingly) newly approved cash bonuses and salary increases.","author":[{"dropping-particle":"","family":"Mazur","given":"Mieszko","non-dropping-particle":"","parse-names":false,"suffix":""},{"dropping-particle":"","family":"Dang","given":"Man","non-dropping-particle":"","parse-names":false,"suffix":""},{"dropping-particle":"","family":"Vega","given":"Miguel","non-dropping-particle":"","parse-names":false,"suffix":""}],"container-title":"Finance Research Letters","id":"ITEM-1","issue":"March","issued":{"date-parts":[["2021"]]},"page":"101690","publisher":"Elsevier Inc.","title":"COVID-19 and the march 2020 stock market crash. Evidence from S&amp;P1500","type":"article-journal","volume":"38"},"uris":["http://www.mendeley.com/documents/?uuid=899d66c6-2af7-4f06-8078-50ada5228abd"]}],"mendeley":{"formattedCitation":"(Mazur, Dang, &amp; Vega, 2021)","plainTextFormattedCitation":"(Mazur, Dang, &amp; Vega, 2021)","previouslyFormattedCitation":"(Mazur, Dang, &amp; Vega, 2021)"},"properties":{"noteIndex":0},"schema":"https://github.com/citation-style-language/schema/raw/master/csl-citation.json"}</w:instrText>
      </w:r>
      <w:r w:rsidRPr="00B30B43">
        <w:rPr>
          <w:rFonts w:ascii="Book Antiqua" w:eastAsia="Times New Roman" w:hAnsi="Book Antiqua" w:cs="Times New Roman"/>
          <w:color w:val="000000"/>
          <w:sz w:val="24"/>
          <w:szCs w:val="24"/>
          <w:shd w:val="clear" w:color="auto" w:fill="FFFFFF"/>
        </w:rPr>
        <w:fldChar w:fldCharType="separate"/>
      </w:r>
      <w:r w:rsidRPr="00B30B43">
        <w:rPr>
          <w:rFonts w:ascii="Book Antiqua" w:eastAsia="Times New Roman" w:hAnsi="Book Antiqua" w:cs="Times New Roman"/>
          <w:noProof/>
          <w:color w:val="000000"/>
          <w:sz w:val="24"/>
          <w:szCs w:val="24"/>
          <w:shd w:val="clear" w:color="auto" w:fill="FFFFFF"/>
        </w:rPr>
        <w:t>(Mazur, Dang, &amp; Vega, 2021)</w:t>
      </w:r>
      <w:r w:rsidRPr="00B30B43">
        <w:rPr>
          <w:rFonts w:ascii="Book Antiqua" w:eastAsia="Times New Roman" w:hAnsi="Book Antiqua" w:cs="Times New Roman"/>
          <w:color w:val="000000"/>
          <w:sz w:val="24"/>
          <w:szCs w:val="24"/>
          <w:shd w:val="clear" w:color="auto" w:fill="FFFFFF"/>
        </w:rPr>
        <w:fldChar w:fldCharType="end"/>
      </w:r>
      <w:r w:rsidRPr="00B30B43">
        <w:rPr>
          <w:rFonts w:ascii="Book Antiqua" w:eastAsia="Times New Roman" w:hAnsi="Book Antiqua" w:cs="Times New Roman"/>
          <w:color w:val="000000"/>
          <w:sz w:val="24"/>
          <w:szCs w:val="24"/>
          <w:shd w:val="clear" w:color="auto" w:fill="FFFFFF"/>
        </w:rPr>
        <w:t xml:space="preserve">. This affects and slows down the economic cycle in Indonesia, especially in the fields of transportation, tourism, in-store sales, and others. </w:t>
      </w:r>
    </w:p>
    <w:p w14:paraId="11F35E32" w14:textId="73593FFA" w:rsidR="00214A88" w:rsidRPr="00214A88" w:rsidRDefault="00214A88" w:rsidP="00214A88">
      <w:pPr>
        <w:spacing w:line="240" w:lineRule="auto"/>
        <w:ind w:firstLine="567"/>
        <w:jc w:val="both"/>
        <w:rPr>
          <w:rFonts w:ascii="Book Antiqua" w:eastAsia="Times New Roman" w:hAnsi="Book Antiqua" w:cs="Times New Roman"/>
          <w:color w:val="000000"/>
          <w:sz w:val="24"/>
          <w:szCs w:val="24"/>
          <w:shd w:val="clear" w:color="auto" w:fill="FFFFFF"/>
        </w:rPr>
      </w:pPr>
      <w:r w:rsidRPr="00214A88">
        <w:rPr>
          <w:rFonts w:ascii="Book Antiqua" w:eastAsia="Times New Roman" w:hAnsi="Book Antiqua" w:cs="Times New Roman"/>
          <w:color w:val="000000"/>
          <w:sz w:val="24"/>
          <w:szCs w:val="24"/>
          <w:shd w:val="clear" w:color="auto" w:fill="FFFFFF"/>
        </w:rPr>
        <w:t xml:space="preserve">On the other side, the first positive case was confirmed in Malaysia on January 25, 2020 </w:t>
      </w:r>
      <w:r w:rsidRPr="00214A88">
        <w:rPr>
          <w:rFonts w:ascii="Book Antiqua" w:eastAsia="Times New Roman" w:hAnsi="Book Antiqua" w:cs="Times New Roman"/>
          <w:color w:val="000000"/>
          <w:sz w:val="24"/>
          <w:szCs w:val="24"/>
          <w:shd w:val="clear" w:color="auto" w:fill="FFFFFF"/>
        </w:rPr>
        <w:fldChar w:fldCharType="begin" w:fldLock="1"/>
      </w:r>
      <w:r w:rsidRPr="00214A88">
        <w:rPr>
          <w:rFonts w:ascii="Book Antiqua" w:eastAsia="Times New Roman" w:hAnsi="Book Antiqua" w:cs="Times New Roman"/>
          <w:color w:val="000000"/>
          <w:sz w:val="24"/>
          <w:szCs w:val="24"/>
          <w:shd w:val="clear" w:color="auto" w:fill="FFFFFF"/>
        </w:rPr>
        <w:instrText>ADDIN CSL_CITATION {"citationItems":[{"id":"ITEM-1","itemData":{"DOI":"10.1016/j.ijid.2020.05.093","ISSN":"18783511","PMID":"32497808","abstract":"Background: Coronavirus disease 2019 (COVID-19), a novel pneumonia disease originating in Wuhan, was confirmed by the World Health Organization on January 12, 2020 before becoming an outbreak in all countries. Outbreak situation: A stringent screening process at all airports in Malaysia was enforced after the first case outside China was reported in Thailand. Up to April 14, 2020, Malaysia had reported two waves of COVID-19 cases, with the first wave ending successfully within less than 2 months. In early March 2020, the second wave occurred, with worrying situations. Actions taken: The Government of Malaysia enforced a Movement Control Order starting on March 18, 2020 to break the chain of COVID-19. The media actively spread the hashtag #stayhome. Non-governmental organizations, as well as prison inmates, started to produce personal protective equipment for frontliners. Various organizations hosted fundraising events to provide essentials mainly to hospitals. A provisional hospital was set up and collaborations with healthcare service providers were granted, while additional laboratories were assigned to enhance the capabilities of the Ministry of Health. Economic downturn: An initial financial stimulus amounting to RM 20.0 billion was released in February 2020, before the highlighted PRIHATIN Package, amounting to RM 250 billion, was announced. The PRIHATIN Package has provided governmental support to society, covering people of various backgrounds from students and families to business owners.","author":[{"dropping-particle":"","family":"Shah","given":"Ain Umaira Md","non-dropping-particle":"","parse-names":false,"suffix":""},{"dropping-particle":"","family":"Safri","given":"Syafiqah Nur Azrie","non-dropping-particle":"","parse-names":false,"suffix":""},{"dropping-particle":"","family":"Thevadas","given":"Rathedevi","non-dropping-particle":"","parse-names":false,"suffix":""},{"dropping-particle":"","family":"Noordin","given":"Nor Kamariah","non-dropping-particle":"","parse-names":false,"suffix":""},{"dropping-particle":"","family":"Rahman","given":"Azmawani Abd","non-dropping-particle":"","parse-names":false,"suffix":""},{"dropping-particle":"","family":"Sekawi","given":"Zamberi","non-dropping-particle":"","parse-names":false,"suffix":""},{"dropping-particle":"","family":"Ideris","given":"Aini","non-dropping-particle":"","parse-names":false,"suffix":""},{"dropping-particle":"","family":"Sultan","given":"Mohamed Thariq Hameed","non-dropping-particle":"","parse-names":false,"suffix":""}],"container-title":"International Journal of Infectious Diseases","id":"ITEM-1","issued":{"date-parts":[["2020"]]},"page":"108-116","title":"COVID-19 outbreak in Malaysia: Actions taken by the Malaysian government","type":"article-journal","volume":"97"},"uris":["http://www.mendeley.com/documents/?uuid=3bffd81c-cd5a-4f81-b867-76ed1e408be5"]}],"mendeley":{"formattedCitation":"(Shah et al., 2020)","plainTextFormattedCitation":"(Shah et al., 2020)","previouslyFormattedCitation":"(Shah et al., 2020)"},"properties":{"noteIndex":0},"schema":"https://github.com/citation-style-language/schema/raw/master/csl-citation.json"}</w:instrText>
      </w:r>
      <w:r w:rsidRPr="00214A88">
        <w:rPr>
          <w:rFonts w:ascii="Book Antiqua" w:eastAsia="Times New Roman" w:hAnsi="Book Antiqua" w:cs="Times New Roman"/>
          <w:color w:val="000000"/>
          <w:sz w:val="24"/>
          <w:szCs w:val="24"/>
          <w:shd w:val="clear" w:color="auto" w:fill="FFFFFF"/>
        </w:rPr>
        <w:fldChar w:fldCharType="separate"/>
      </w:r>
      <w:r w:rsidRPr="00214A88">
        <w:rPr>
          <w:rFonts w:ascii="Book Antiqua" w:eastAsia="Times New Roman" w:hAnsi="Book Antiqua" w:cs="Times New Roman"/>
          <w:noProof/>
          <w:color w:val="000000"/>
          <w:sz w:val="24"/>
          <w:szCs w:val="24"/>
          <w:shd w:val="clear" w:color="auto" w:fill="FFFFFF"/>
        </w:rPr>
        <w:t>(Shah et al., 2020)</w:t>
      </w:r>
      <w:r w:rsidRPr="00214A88">
        <w:rPr>
          <w:rFonts w:ascii="Book Antiqua" w:eastAsia="Times New Roman" w:hAnsi="Book Antiqua" w:cs="Times New Roman"/>
          <w:color w:val="000000"/>
          <w:sz w:val="24"/>
          <w:szCs w:val="24"/>
          <w:shd w:val="clear" w:color="auto" w:fill="FFFFFF"/>
        </w:rPr>
        <w:fldChar w:fldCharType="end"/>
      </w:r>
      <w:r w:rsidRPr="00214A88">
        <w:rPr>
          <w:rFonts w:ascii="Book Antiqua" w:eastAsia="Times New Roman" w:hAnsi="Book Antiqua" w:cs="Times New Roman"/>
          <w:color w:val="000000"/>
          <w:sz w:val="24"/>
          <w:szCs w:val="24"/>
          <w:shd w:val="clear" w:color="auto" w:fill="FFFFFF"/>
        </w:rPr>
        <w:t xml:space="preserve">. It spread quickly to infected people in Malaysia. This can be seen as on March 31, 2020, a total of 2766 confirmed cases was reported to the Ministry of Health </w:t>
      </w:r>
      <w:r w:rsidRPr="00214A88">
        <w:rPr>
          <w:rFonts w:ascii="Book Antiqua" w:eastAsia="Times New Roman" w:hAnsi="Book Antiqua" w:cs="Times New Roman"/>
          <w:color w:val="000000"/>
          <w:sz w:val="24"/>
          <w:szCs w:val="24"/>
          <w:shd w:val="clear" w:color="auto" w:fill="FFFFFF"/>
        </w:rPr>
        <w:fldChar w:fldCharType="begin" w:fldLock="1"/>
      </w:r>
      <w:r w:rsidRPr="00214A88">
        <w:rPr>
          <w:rFonts w:ascii="Book Antiqua" w:eastAsia="Times New Roman" w:hAnsi="Book Antiqua" w:cs="Times New Roman"/>
          <w:color w:val="000000"/>
          <w:sz w:val="24"/>
          <w:szCs w:val="24"/>
          <w:shd w:val="clear" w:color="auto" w:fill="FFFFFF"/>
        </w:rPr>
        <w:instrText>ADDIN CSL_CITATION {"citationItems":[{"id":"ITEM-1","itemData":{"DOI":"10.1016/j.ijid.2020.05.093","ISSN":"18783511","PMID":"32497808","abstract":"Background: Coronavirus disease 2019 (COVID-19), a novel pneumonia disease originating in Wuhan, was confirmed by the World Health Organization on January 12, 2020 before becoming an outbreak in all countries. Outbreak situation: A stringent screening process at all airports in Malaysia was enforced after the first case outside China was reported in Thailand. Up to April 14, 2020, Malaysia had reported two waves of COVID-19 cases, with the first wave ending successfully within less than 2 months. In early March 2020, the second wave occurred, with worrying situations. Actions taken: The Government of Malaysia enforced a Movement Control Order starting on March 18, 2020 to break the chain of COVID-19. The media actively spread the hashtag #stayhome. Non-governmental organizations, as well as prison inmates, started to produce personal protective equipment for frontliners. Various organizations hosted fundraising events to provide essentials mainly to hospitals. A provisional hospital was set up and collaborations with healthcare service providers were granted, while additional laboratories were assigned to enhance the capabilities of the Ministry of Health. Economic downturn: An initial financial stimulus amounting to RM 20.0 billion was released in February 2020, before the highlighted PRIHATIN Package, amounting to RM 250 billion, was announced. The PRIHATIN Package has provided governmental support to society, covering people of various backgrounds from students and families to business owners.","author":[{"dropping-particle":"","family":"Shah","given":"Ain Umaira Md","non-dropping-particle":"","parse-names":false,"suffix":""},{"dropping-particle":"","family":"Safri","given":"Syafiqah Nur Azrie","non-dropping-particle":"","parse-names":false,"suffix":""},{"dropping-particle":"","family":"Thevadas","given":"Rathedevi","non-dropping-particle":"","parse-names":false,"suffix":""},{"dropping-particle":"","family":"Noordin","given":"Nor Kamariah","non-dropping-particle":"","parse-names":false,"suffix":""},{"dropping-particle":"","family":"Rahman","given":"Azmawani Abd","non-dropping-particle":"","parse-names":false,"suffix":""},{"dropping-particle":"","family":"Sekawi","given":"Zamberi","non-dropping-particle":"","parse-names":false,"suffix":""},{"dropping-particle":"","family":"Ideris","given":"Aini","non-dropping-particle":"","parse-names":false,"suffix":""},{"dropping-particle":"","family":"Sultan","given":"Mohamed Thariq Hameed","non-dropping-particle":"","parse-names":false,"suffix":""}],"container-title":"International Journal of Infectious Diseases","id":"ITEM-1","issued":{"date-parts":[["2020"]]},"page":"108-116","title":"COVID-19 outbreak in Malaysia: Actions taken by the Malaysian government","type":"article-journal","volume":"97"},"uris":["http://www.mendeley.com/documents/?uuid=3bffd81c-cd5a-4f81-b867-76ed1e408be5"]}],"mendeley":{"formattedCitation":"(Shah et al., 2020)","plainTextFormattedCitation":"(Shah et al., 2020)","previouslyFormattedCitation":"(Shah et al., 2020)"},"properties":{"noteIndex":0},"schema":"https://github.com/citation-style-language/schema/raw/master/csl-citation.json"}</w:instrText>
      </w:r>
      <w:r w:rsidRPr="00214A88">
        <w:rPr>
          <w:rFonts w:ascii="Book Antiqua" w:eastAsia="Times New Roman" w:hAnsi="Book Antiqua" w:cs="Times New Roman"/>
          <w:color w:val="000000"/>
          <w:sz w:val="24"/>
          <w:szCs w:val="24"/>
          <w:shd w:val="clear" w:color="auto" w:fill="FFFFFF"/>
        </w:rPr>
        <w:fldChar w:fldCharType="separate"/>
      </w:r>
      <w:r w:rsidRPr="00214A88">
        <w:rPr>
          <w:rFonts w:ascii="Book Antiqua" w:eastAsia="Times New Roman" w:hAnsi="Book Antiqua" w:cs="Times New Roman"/>
          <w:noProof/>
          <w:color w:val="000000"/>
          <w:sz w:val="24"/>
          <w:szCs w:val="24"/>
          <w:shd w:val="clear" w:color="auto" w:fill="FFFFFF"/>
        </w:rPr>
        <w:t>(Shah et al., 2020)</w:t>
      </w:r>
      <w:r w:rsidRPr="00214A88">
        <w:rPr>
          <w:rFonts w:ascii="Book Antiqua" w:eastAsia="Times New Roman" w:hAnsi="Book Antiqua" w:cs="Times New Roman"/>
          <w:color w:val="000000"/>
          <w:sz w:val="24"/>
          <w:szCs w:val="24"/>
          <w:shd w:val="clear" w:color="auto" w:fill="FFFFFF"/>
        </w:rPr>
        <w:fldChar w:fldCharType="end"/>
      </w:r>
      <w:r w:rsidRPr="00214A88">
        <w:rPr>
          <w:rFonts w:ascii="Book Antiqua" w:eastAsia="Times New Roman" w:hAnsi="Book Antiqua" w:cs="Times New Roman"/>
          <w:color w:val="000000"/>
          <w:sz w:val="24"/>
          <w:szCs w:val="24"/>
          <w:shd w:val="clear" w:color="auto" w:fill="FFFFFF"/>
        </w:rPr>
        <w:t xml:space="preserve">. The issue of economic topics also occurs in Malaysia. On March 18, 2020, the Malaysian government implemented the first lockdown decision. This was precipitated by a 73.9% growth rate of cases each day </w:t>
      </w:r>
      <w:r w:rsidRPr="00214A88">
        <w:rPr>
          <w:rFonts w:ascii="Book Antiqua" w:eastAsia="Times New Roman" w:hAnsi="Book Antiqua" w:cs="Times New Roman"/>
          <w:color w:val="000000"/>
          <w:sz w:val="24"/>
          <w:szCs w:val="24"/>
          <w:shd w:val="clear" w:color="auto" w:fill="FFFFFF"/>
        </w:rPr>
        <w:fldChar w:fldCharType="begin" w:fldLock="1"/>
      </w:r>
      <w:r w:rsidRPr="00214A88">
        <w:rPr>
          <w:rFonts w:ascii="Book Antiqua" w:eastAsia="Times New Roman" w:hAnsi="Book Antiqua" w:cs="Times New Roman"/>
          <w:color w:val="000000"/>
          <w:sz w:val="24"/>
          <w:szCs w:val="24"/>
          <w:shd w:val="clear" w:color="auto" w:fill="FFFFFF"/>
        </w:rPr>
        <w:instrText>ADDIN CSL_CITATION {"citationItems":[{"id":"ITEM-1","itemData":{"DOI":"10.33736/ijbs.3271.2020","ISSN":"15116670","abstract":"The Movement Control Order (MCO) not only restricts movement of human being, it also reduces firms’ financial profits and brings significant impact to stock returns. The objective of this study is to examine the relation between Malaysian stock market returns and variables related to the novel Coronavirus (COVID-19) pandemic outbreak. The FTSE Bursa Malaysia KLCI Index and eight selected main indices from 2 January 2020 to April 30, 2020, which includes the first three MCOs, are considered in this study. The results show that daily new confirmed COVID-19 cases and deaths had negative but insignificant impact on the returns on indices. Interestingly, MCO had significant and positive impact on all the indices’ returns while oversea financial risks had negative impact on these returns. Furthermore, it is found that the degree of impacts of MCO and oversea financial risks varied positively with the firm size of the indices’ constituent companies. China’s decision on unchanged loan prime rate on the 20 February 2020 was a favorable news to the Malaysia stock markets as indicated by the positive returns on all the indices. Similarly, the degree of impact of the China interest policy also varied positively with the firms’ characteristics. These findings are useful for investors in the Bursa Malaysia to manage their investment portfolios based on their appetites for risk.","author":[{"dropping-particle":"","family":"Chia","given":"Ricky Chee Jiun","non-dropping-particle":"","parse-names":false,"suffix":""},{"dropping-particle":"Sen","family":"Liew","given":"Venus Khim","non-dropping-particle":"","parse-names":false,"suffix":""},{"dropping-particle":"","family":"Rowland","given":"Racquel","non-dropping-particle":"","parse-names":false,"suffix":""}],"container-title":"International Journal of Business and Society","id":"ITEM-1","issue":"2","issued":{"date-parts":[["2020"]]},"page":"553-568","title":"Daily new COVID-19 cases, the movement control order, and Malaysian stock market","type":"article-journal","volume":"21"},"uris":["http://www.mendeley.com/documents/?uuid=02c20380-e72f-4b0b-a510-5feeade9e309"]}],"mendeley":{"formattedCitation":"(Chia, Liew, &amp; Rowland, 2020)","plainTextFormattedCitation":"(Chia, Liew, &amp; Rowland, 2020)","previouslyFormattedCitation":"(Chia, Liew, &amp; Rowland, 2020)"},"properties":{"noteIndex":0},"schema":"https://github.com/citation-style-language/schema/raw/master/csl-citation.json"}</w:instrText>
      </w:r>
      <w:r w:rsidRPr="00214A88">
        <w:rPr>
          <w:rFonts w:ascii="Book Antiqua" w:eastAsia="Times New Roman" w:hAnsi="Book Antiqua" w:cs="Times New Roman"/>
          <w:color w:val="000000"/>
          <w:sz w:val="24"/>
          <w:szCs w:val="24"/>
          <w:shd w:val="clear" w:color="auto" w:fill="FFFFFF"/>
        </w:rPr>
        <w:fldChar w:fldCharType="separate"/>
      </w:r>
      <w:r w:rsidRPr="00214A88">
        <w:rPr>
          <w:rFonts w:ascii="Book Antiqua" w:eastAsia="Times New Roman" w:hAnsi="Book Antiqua" w:cs="Times New Roman"/>
          <w:noProof/>
          <w:color w:val="000000"/>
          <w:sz w:val="24"/>
          <w:szCs w:val="24"/>
          <w:shd w:val="clear" w:color="auto" w:fill="FFFFFF"/>
        </w:rPr>
        <w:t>(Chia, Liew, &amp; Rowland, 2020)</w:t>
      </w:r>
      <w:r w:rsidRPr="00214A88">
        <w:rPr>
          <w:rFonts w:ascii="Book Antiqua" w:eastAsia="Times New Roman" w:hAnsi="Book Antiqua" w:cs="Times New Roman"/>
          <w:color w:val="000000"/>
          <w:sz w:val="24"/>
          <w:szCs w:val="24"/>
          <w:shd w:val="clear" w:color="auto" w:fill="FFFFFF"/>
        </w:rPr>
        <w:fldChar w:fldCharType="end"/>
      </w:r>
      <w:r w:rsidRPr="00214A88">
        <w:rPr>
          <w:rFonts w:ascii="Book Antiqua" w:eastAsia="Times New Roman" w:hAnsi="Book Antiqua" w:cs="Times New Roman"/>
          <w:color w:val="000000"/>
          <w:sz w:val="24"/>
          <w:szCs w:val="24"/>
          <w:shd w:val="clear" w:color="auto" w:fill="FFFFFF"/>
        </w:rPr>
        <w:t xml:space="preserve">. As a result of this policy, most firms demand employees work from home, and some workers are forced to quit working. </w:t>
      </w:r>
    </w:p>
    <w:p w14:paraId="5722216A" w14:textId="41F84545" w:rsidR="00214A88" w:rsidRPr="00214A88" w:rsidRDefault="00214A88" w:rsidP="00214A88">
      <w:pPr>
        <w:spacing w:line="240" w:lineRule="auto"/>
        <w:ind w:firstLine="567"/>
        <w:jc w:val="both"/>
        <w:rPr>
          <w:rFonts w:ascii="Book Antiqua" w:eastAsia="Times New Roman" w:hAnsi="Book Antiqua" w:cs="Times New Roman"/>
          <w:color w:val="000000"/>
          <w:sz w:val="24"/>
          <w:szCs w:val="24"/>
          <w:shd w:val="clear" w:color="auto" w:fill="FFFFFF"/>
        </w:rPr>
      </w:pPr>
      <w:r w:rsidRPr="00214A88">
        <w:rPr>
          <w:rFonts w:ascii="Book Antiqua" w:eastAsia="Times New Roman" w:hAnsi="Book Antiqua" w:cs="Times New Roman"/>
          <w:color w:val="000000"/>
          <w:sz w:val="24"/>
          <w:szCs w:val="24"/>
          <w:shd w:val="clear" w:color="auto" w:fill="FFFFFF"/>
        </w:rPr>
        <w:t xml:space="preserve">The COVID-19 epidemic has caused massive social distress as well as significant economic disruption. The COVID-19 outbreak affected the economy in various sectors, including the impact of stock prices, lockdowns, and travel restrictions, resulting in economic instability in the country </w:t>
      </w:r>
      <w:r w:rsidRPr="00214A88">
        <w:rPr>
          <w:rFonts w:ascii="Book Antiqua" w:eastAsia="Times New Roman" w:hAnsi="Book Antiqua" w:cs="Times New Roman"/>
          <w:color w:val="000000"/>
          <w:sz w:val="24"/>
          <w:szCs w:val="24"/>
          <w:shd w:val="clear" w:color="auto" w:fill="FFFFFF"/>
        </w:rPr>
        <w:fldChar w:fldCharType="begin" w:fldLock="1"/>
      </w:r>
      <w:r w:rsidRPr="00214A88">
        <w:rPr>
          <w:rFonts w:ascii="Book Antiqua" w:eastAsia="Times New Roman" w:hAnsi="Book Antiqua" w:cs="Times New Roman"/>
          <w:color w:val="000000"/>
          <w:sz w:val="24"/>
          <w:szCs w:val="24"/>
          <w:shd w:val="clear" w:color="auto" w:fill="FFFFFF"/>
        </w:rPr>
        <w:instrText>ADDIN CSL_CITATION {"citationItems":[{"id":"ITEM-1","itemData":{"DOI":"10.1016/j.ijid.2020.05.093","ISSN":"18783511","PMID":"32497808","abstract":"Background: Coronavirus disease 2019 (COVID-19), a novel pneumonia disease originating in Wuhan, was confirmed by the World Health Organization on January 12, 2020 before becoming an outbreak in all countries. Outbreak situation: A stringent screening process at all airports in Malaysia was enforced after the first case outside China was reported in Thailand. Up to April 14, 2020, Malaysia had reported two waves of COVID-19 cases, with the first wave ending successfully within less than 2 months. In early March 2020, the second wave occurred, with worrying situations. Actions taken: The Government of Malaysia enforced a Movement Control Order starting on March 18, 2020 to break the chain of COVID-19. The media actively spread the hashtag #stayhome. Non-governmental organizations, as well as prison inmates, started to produce personal protective equipment for frontliners. Various organizations hosted fundraising events to provide essentials mainly to hospitals. A provisional hospital was set up and collaborations with healthcare service providers were granted, while additional laboratories were assigned to enhance the capabilities of the Ministry of Health. Economic downturn: An initial financial stimulus amounting to RM 20.0 billion was released in February 2020, before the highlighted PRIHATIN Package, amounting to RM 250 billion, was announced. The PRIHATIN Package has provided governmental support to society, covering people of various backgrounds from students and families to business owners.","author":[{"dropping-particle":"","family":"Shah","given":"Ain Umaira Md","non-dropping-particle":"","parse-names":false,"suffix":""},{"dropping-particle":"","family":"Safri","given":"Syafiqah Nur Azrie","non-dropping-particle":"","parse-names":false,"suffix":""},{"dropping-particle":"","family":"Thevadas","given":"Rathedevi","non-dropping-particle":"","parse-names":false,"suffix":""},{"dropping-particle":"","family":"Noordin","given":"Nor Kamariah","non-dropping-particle":"","parse-names":false,"suffix":""},{"dropping-particle":"","family":"Rahman","given":"Azmawani Abd","non-dropping-particle":"","parse-names":false,"suffix":""},{"dropping-particle":"","family":"Sekawi","given":"Zamberi","non-dropping-particle":"","parse-names":false,"suffix":""},{"dropping-particle":"","family":"Ideris","given":"Aini","non-dropping-particle":"","parse-names":false,"suffix":""},{"dropping-particle":"","family":"Sultan","given":"Mohamed Thariq Hameed","non-dropping-particle":"","parse-names":false,"suffix":""}],"container-title":"International Journal of Infectious Diseases","id":"ITEM-1","issued":{"date-parts":[["2020"]]},"page":"108-116","title":"COVID-19 outbreak in Malaysia: Actions taken by the Malaysian government","type":"article-journal","volume":"97"},"uris":["http://www.mendeley.com/documents/?uuid=3bffd81c-cd5a-4f81-b867-76ed1e408be5"]}],"mendeley":{"formattedCitation":"(Shah et al., 2020)","plainTextFormattedCitation":"(Shah et al., 2020)","previouslyFormattedCitation":"(Shah et al., 2020)"},"properties":{"noteIndex":0},"schema":"https://github.com/citation-style-language/schema/raw/master/csl-citation.json"}</w:instrText>
      </w:r>
      <w:r w:rsidRPr="00214A88">
        <w:rPr>
          <w:rFonts w:ascii="Book Antiqua" w:eastAsia="Times New Roman" w:hAnsi="Book Antiqua" w:cs="Times New Roman"/>
          <w:color w:val="000000"/>
          <w:sz w:val="24"/>
          <w:szCs w:val="24"/>
          <w:shd w:val="clear" w:color="auto" w:fill="FFFFFF"/>
        </w:rPr>
        <w:fldChar w:fldCharType="separate"/>
      </w:r>
      <w:r w:rsidRPr="00214A88">
        <w:rPr>
          <w:rFonts w:ascii="Book Antiqua" w:eastAsia="Times New Roman" w:hAnsi="Book Antiqua" w:cs="Times New Roman"/>
          <w:noProof/>
          <w:color w:val="000000"/>
          <w:sz w:val="24"/>
          <w:szCs w:val="24"/>
          <w:shd w:val="clear" w:color="auto" w:fill="FFFFFF"/>
        </w:rPr>
        <w:t>(Shah et al., 2020)</w:t>
      </w:r>
      <w:r w:rsidRPr="00214A88">
        <w:rPr>
          <w:rFonts w:ascii="Book Antiqua" w:eastAsia="Times New Roman" w:hAnsi="Book Antiqua" w:cs="Times New Roman"/>
          <w:color w:val="000000"/>
          <w:sz w:val="24"/>
          <w:szCs w:val="24"/>
          <w:shd w:val="clear" w:color="auto" w:fill="FFFFFF"/>
        </w:rPr>
        <w:fldChar w:fldCharType="end"/>
      </w:r>
      <w:r w:rsidRPr="00214A88">
        <w:rPr>
          <w:rFonts w:ascii="Book Antiqua" w:eastAsia="Times New Roman" w:hAnsi="Book Antiqua" w:cs="Times New Roman"/>
          <w:color w:val="000000"/>
          <w:sz w:val="24"/>
          <w:szCs w:val="24"/>
          <w:shd w:val="clear" w:color="auto" w:fill="FFFFFF"/>
        </w:rPr>
        <w:t xml:space="preserve">. A previous study found that news and event can affect stock markets and the dynamics of the price </w:t>
      </w:r>
      <w:r w:rsidRPr="00214A88">
        <w:rPr>
          <w:rFonts w:ascii="Book Antiqua" w:eastAsia="Times New Roman" w:hAnsi="Book Antiqua" w:cs="Times New Roman"/>
          <w:color w:val="000000"/>
          <w:sz w:val="24"/>
          <w:szCs w:val="24"/>
          <w:shd w:val="clear" w:color="auto" w:fill="FFFFFF"/>
        </w:rPr>
        <w:fldChar w:fldCharType="begin" w:fldLock="1"/>
      </w:r>
      <w:r w:rsidRPr="00214A88">
        <w:rPr>
          <w:rFonts w:ascii="Book Antiqua" w:eastAsia="Times New Roman" w:hAnsi="Book Antiqua" w:cs="Times New Roman"/>
          <w:color w:val="000000"/>
          <w:sz w:val="24"/>
          <w:szCs w:val="24"/>
          <w:shd w:val="clear" w:color="auto" w:fill="FFFFFF"/>
        </w:rPr>
        <w:instrText>ADDIN CSL_CITATION {"citationItems":[{"id":"ITEM-1","itemData":{"DOI":"10.17358/jabm.6.3.662","ISSN":"25285149","abstract":"COVID-19 has become a global issue that bought a simultaneous effect all over the world. This outbreak has caused a significant impact on the economic stability including the stock market performance. This research used event study methodology to evaluate the Indonesia’s sectoral stock market performance which is represented by companies with the biggest market capitalization in Indonesia. Estimating the COVID-19 outbreak events, the sample of the study consisted of daily sectoral indices stock data from 1 December 2017 to 14 April 2020. The market model is used to predict expected stock returns and simple regression to get the parameters of the equation. By using a t-test, it can be concluded whether the virus outbreak caused an abnormal return on the sectoral indices. The finding showed that the abnormal returns were found in the Basic Industry and Chemicals sector, Infrastructure, Utilities and Transportation sector, Agricultural sector and Mining sector. Furthermore, Basic Industry and Chemical sector, which is represented by Barito Pasific Ltd., give the greatest reaction to the stock market performance in Indonesia due to COVID-19. Keywords: abnormal return, event study, stock return, COVID-19, Indonesia","author":[{"dropping-particle":"","family":"Dilla","given":"Salsa","non-dropping-particle":"","parse-names":false,"suffix":""},{"dropping-particle":"","family":"Sari","given":"Linda Karlina","non-dropping-particle":"","parse-names":false,"suffix":""},{"dropping-particle":"","family":"Achsani","given":"Noer Azam","non-dropping-particle":"","parse-names":false,"suffix":""}],"container-title":"Jurnal Aplikasi Bisnis dan Manajemen","id":"ITEM-1","issue":"3","issued":{"date-parts":[["2020"]]},"page":"662-668","title":"Estimating the Effect of the Covid-19 Outbreak Events on the Indonesia Sectoral Stock Return","type":"article-journal","volume":"6"},"uris":["http://www.mendeley.com/documents/?uuid=d3733952-0dc5-4199-8767-66b16160fbdf"]},{"id":"ITEM-2","itemData":{"DOI":"10.1016/j.jbef.2020.100326","ISSN":"22146369","abstract":"This study investigates whether contagious infectious diseases affect stock market outcomes. As a natural experiment, we use panel data analysis to test the effect of the COVID-19 virus, which is a contagious infectious disease, on the Chinese stock market. The findings indicate that both the daily growth in total confirmed cases and in total cases of death caused by COVID-19 have significant negative effects on stock returns across all companies.","author":[{"dropping-particle":"","family":"Al-Awadhi","given":"Abdullah M.","non-dropping-particle":"","parse-names":false,"suffix":""},{"dropping-particle":"","family":"Alsaifi","given":"Khaled","non-dropping-particle":"","parse-names":false,"suffix":""},{"dropping-particle":"","family":"Al-Awadhi","given":"Ahmad","non-dropping-particle":"","parse-names":false,"suffix":""},{"dropping-particle":"","family":"Alhammadi","given":"Salah","non-dropping-particle":"","parse-names":false,"suffix":""}],"container-title":"Journal of Behavioral and Experimental Finance","id":"ITEM-2","issued":{"date-parts":[["2020"]]},"page":"100326","publisher":"Elsevier B.V.","title":"Death and contagious infectious diseases: Impact of the COVID-19 virus on stock market returns","type":"article-journal","volume":"27"},"uris":["http://www.mendeley.com/documents/?uuid=3a13a484-ac05-4338-80de-f5667762aa0a"]},{"id":"ITEM-3","itemData":{"DOI":"10.13106/jafeb.2021.vol8.no3.0039","ISSN":"22884645","abstract":"This research aims to confirm if the COVID-19 pandemic has had an impact on existing sectors, and how that affects the Indonesian Stock Exchange (IDX) market returns. The research method used is an event study employing market models in nine sectors of the Exchange with purposive sampling technique, and supported by Ordinary Least Square (OLS) regression. Based on the calculation of abnormal returns in the period of 30 days before up to 30 days after, the financial property, real estate, and construction sector results show a decreased abnormal return value. The infrastructure, utilities, and transportation sectors also show an abnormal return value that tends to be constant, while the abnormal return value increases in other sectors. Judging from the cumulative value of abnormal returns, the most affected sector is financials, followed by the trade, service, and investment sectors. The consumer goods and mining industry sectors are still optimistic, while other sectors show temporary negative sentiment. Overall, the stocks on the Indonesia Stock Exchange (IDX) were affected by the COVID-19 pandemic with a cumulative negative value of the average abnormal return sample. The results using OLS regression also strengthen the relationships between the COVID-19 pandemic, and negative and significant market returns.","author":[{"dropping-particle":"","family":"Herwany","given":"Aldrin","non-dropping-particle":"","parse-names":false,"suffix":""},{"dropping-particle":"","family":"Febrian","given":"Erie","non-dropping-particle":"","parse-names":false,"suffix":""},{"dropping-particle":"","family":"Anwar","given":"Mokhamad","non-dropping-particle":"","parse-names":false,"suffix":""},{"dropping-particle":"","family":"Gunardi","given":"Ardi","non-dropping-particle":"","parse-names":false,"suffix":""}],"container-title":"Journal of Asian Finance, Economics and Business","id":"ITEM-3","issue":"3","issued":{"date-parts":[["2021"]]},"page":"39-47","title":"The Influence of the COVID-19 Pandemic on Stock Market Returns in Indonesia Stock Exchange","type":"article-journal","volume":"8"},"uris":["http://www.mendeley.com/documents/?uuid=89045a7d-dc9a-449d-a562-9f9d21300edb"]}],"mendeley":{"formattedCitation":"(Al-Awadhi, Alsaifi, Al-Awadhi, &amp; Alhammadi, 2020; Dilla, Sari, &amp; Achsani, 2020; Herwany et al., 2021)","plainTextFormattedCitation":"(Al-Awadhi, Alsaifi, Al-Awadhi, &amp; Alhammadi, 2020; Dilla, Sari, &amp; Achsani, 2020; Herwany et al., 2021)","previouslyFormattedCitation":"(Al-Awadhi, Alsaifi, Al-Awadhi, &amp; Alhammadi, 2020; Dilla, Sari, &amp; Achsani, 2020; Herwany et al., 2021)"},"properties":{"noteIndex":0},"schema":"https://github.com/citation-style-language/schema/raw/master/csl-citation.json"}</w:instrText>
      </w:r>
      <w:r w:rsidRPr="00214A88">
        <w:rPr>
          <w:rFonts w:ascii="Book Antiqua" w:eastAsia="Times New Roman" w:hAnsi="Book Antiqua" w:cs="Times New Roman"/>
          <w:color w:val="000000"/>
          <w:sz w:val="24"/>
          <w:szCs w:val="24"/>
          <w:shd w:val="clear" w:color="auto" w:fill="FFFFFF"/>
        </w:rPr>
        <w:fldChar w:fldCharType="separate"/>
      </w:r>
      <w:r w:rsidRPr="00214A88">
        <w:rPr>
          <w:rFonts w:ascii="Book Antiqua" w:eastAsia="Times New Roman" w:hAnsi="Book Antiqua" w:cs="Times New Roman"/>
          <w:noProof/>
          <w:color w:val="000000"/>
          <w:sz w:val="24"/>
          <w:szCs w:val="24"/>
          <w:shd w:val="clear" w:color="auto" w:fill="FFFFFF"/>
        </w:rPr>
        <w:t>(Al-Awadhi, Alsaifi, Al-Awadhi, &amp; Alhammadi, 2020; Dilla, Sari, &amp; Achsani, 2020; Herwany et al., 2021)</w:t>
      </w:r>
      <w:r w:rsidRPr="00214A88">
        <w:rPr>
          <w:rFonts w:ascii="Book Antiqua" w:eastAsia="Times New Roman" w:hAnsi="Book Antiqua" w:cs="Times New Roman"/>
          <w:color w:val="000000"/>
          <w:sz w:val="24"/>
          <w:szCs w:val="24"/>
          <w:shd w:val="clear" w:color="auto" w:fill="FFFFFF"/>
        </w:rPr>
        <w:fldChar w:fldCharType="end"/>
      </w:r>
      <w:r w:rsidRPr="00214A88">
        <w:rPr>
          <w:rFonts w:ascii="Book Antiqua" w:eastAsia="Times New Roman" w:hAnsi="Book Antiqua" w:cs="Times New Roman"/>
          <w:color w:val="000000"/>
          <w:sz w:val="24"/>
          <w:szCs w:val="24"/>
          <w:shd w:val="clear" w:color="auto" w:fill="FFFFFF"/>
        </w:rPr>
        <w:t xml:space="preserve">. </w:t>
      </w:r>
    </w:p>
    <w:p w14:paraId="5368B79F" w14:textId="77777777" w:rsidR="00214A88" w:rsidRPr="00214A88" w:rsidRDefault="00214A88" w:rsidP="00214A88">
      <w:pPr>
        <w:spacing w:line="240" w:lineRule="auto"/>
        <w:ind w:firstLine="567"/>
        <w:jc w:val="both"/>
        <w:rPr>
          <w:rFonts w:ascii="Book Antiqua" w:eastAsia="Times New Roman" w:hAnsi="Book Antiqua" w:cs="Times New Roman"/>
          <w:color w:val="000000"/>
          <w:sz w:val="24"/>
          <w:szCs w:val="24"/>
          <w:shd w:val="clear" w:color="auto" w:fill="FFFFFF"/>
        </w:rPr>
      </w:pPr>
      <w:r w:rsidRPr="00214A88">
        <w:rPr>
          <w:rFonts w:ascii="Book Antiqua" w:eastAsia="Times New Roman" w:hAnsi="Book Antiqua" w:cs="Times New Roman"/>
          <w:color w:val="000000"/>
          <w:sz w:val="24"/>
          <w:szCs w:val="24"/>
          <w:shd w:val="clear" w:color="auto" w:fill="FFFFFF"/>
        </w:rPr>
        <w:t xml:space="preserve">Malaysia’s Bursa having fallen 20.52% since the start of the year, sunk to its lowest numbers in a decade </w:t>
      </w:r>
      <w:r w:rsidRPr="00214A88">
        <w:rPr>
          <w:rFonts w:ascii="Book Antiqua" w:eastAsia="Times New Roman" w:hAnsi="Book Antiqua" w:cs="Times New Roman"/>
          <w:color w:val="000000"/>
          <w:sz w:val="24"/>
          <w:szCs w:val="24"/>
          <w:shd w:val="clear" w:color="auto" w:fill="FFFFFF"/>
        </w:rPr>
        <w:fldChar w:fldCharType="begin" w:fldLock="1"/>
      </w:r>
      <w:r w:rsidRPr="00214A88">
        <w:rPr>
          <w:rFonts w:ascii="Book Antiqua" w:eastAsia="Times New Roman" w:hAnsi="Book Antiqua" w:cs="Times New Roman"/>
          <w:color w:val="000000"/>
          <w:sz w:val="24"/>
          <w:szCs w:val="24"/>
          <w:shd w:val="clear" w:color="auto" w:fill="FFFFFF"/>
        </w:rPr>
        <w:instrText>ADDIN CSL_CITATION {"citationItems":[{"id":"ITEM-1","itemData":{"DOI":"10.33736/ijbs.3271.2020","ISSN":"15116670","abstract":"The Movement Control Order (MCO) not only restricts movement of human being, it also reduces firms’ financial profits and brings significant impact to stock returns. The objective of this study is to examine the relation between Malaysian stock market returns and variables related to the novel Coronavirus (COVID-19) pandemic outbreak. The FTSE Bursa Malaysia KLCI Index and eight selected main indices from 2 January 2020 to April 30, 2020, which includes the first three MCOs, are considered in this study. The results show that daily new confirmed COVID-19 cases and deaths had negative but insignificant impact on the returns on indices. Interestingly, MCO had significant and positive impact on all the indices’ returns while oversea financial risks had negative impact on these returns. Furthermore, it is found that the degree of impacts of MCO and oversea financial risks varied positively with the firm size of the indices’ constituent companies. China’s decision on unchanged loan prime rate on the 20 February 2020 was a favorable news to the Malaysia stock markets as indicated by the positive returns on all the indices. Similarly, the degree of impact of the China interest policy also varied positively with the firms’ characteristics. These findings are useful for investors in the Bursa Malaysia to manage their investment portfolios based on their appetites for risk.","author":[{"dropping-particle":"","family":"Chia","given":"Ricky Chee Jiun","non-dropping-particle":"","parse-names":false,"suffix":""},{"dropping-particle":"Sen","family":"Liew","given":"Venus Khim","non-dropping-particle":"","parse-names":false,"suffix":""},{"dropping-particle":"","family":"Rowland","given":"Racquel","non-dropping-particle":"","parse-names":false,"suffix":""}],"container-title":"International Journal of Business and Society","id":"ITEM-1","issue":"2","issued":{"date-parts":[["2020"]]},"page":"553-568","title":"Daily new COVID-19 cases, the movement control order, and Malaysian stock market","type":"article-journal","volume":"21"},"uris":["http://www.mendeley.com/documents/?uuid=02c20380-e72f-4b0b-a510-5feeade9e309"]}],"mendeley":{"formattedCitation":"(Chia et al., 2020)","plainTextFormattedCitation":"(Chia et al., 2020)","previouslyFormattedCitation":"(Chia et al., 2020)"},"properties":{"noteIndex":0},"schema":"https://github.com/citation-style-language/schema/raw/master/csl-citation.json"}</w:instrText>
      </w:r>
      <w:r w:rsidRPr="00214A88">
        <w:rPr>
          <w:rFonts w:ascii="Book Antiqua" w:eastAsia="Times New Roman" w:hAnsi="Book Antiqua" w:cs="Times New Roman"/>
          <w:color w:val="000000"/>
          <w:sz w:val="24"/>
          <w:szCs w:val="24"/>
          <w:shd w:val="clear" w:color="auto" w:fill="FFFFFF"/>
        </w:rPr>
        <w:fldChar w:fldCharType="separate"/>
      </w:r>
      <w:r w:rsidRPr="00214A88">
        <w:rPr>
          <w:rFonts w:ascii="Book Antiqua" w:eastAsia="Times New Roman" w:hAnsi="Book Antiqua" w:cs="Times New Roman"/>
          <w:noProof/>
          <w:color w:val="000000"/>
          <w:sz w:val="24"/>
          <w:szCs w:val="24"/>
          <w:shd w:val="clear" w:color="auto" w:fill="FFFFFF"/>
        </w:rPr>
        <w:t>(Chia et al., 2020)</w:t>
      </w:r>
      <w:r w:rsidRPr="00214A88">
        <w:rPr>
          <w:rFonts w:ascii="Book Antiqua" w:eastAsia="Times New Roman" w:hAnsi="Book Antiqua" w:cs="Times New Roman"/>
          <w:color w:val="000000"/>
          <w:sz w:val="24"/>
          <w:szCs w:val="24"/>
          <w:shd w:val="clear" w:color="auto" w:fill="FFFFFF"/>
        </w:rPr>
        <w:fldChar w:fldCharType="end"/>
      </w:r>
      <w:r w:rsidRPr="00214A88">
        <w:rPr>
          <w:rFonts w:ascii="Book Antiqua" w:eastAsia="Times New Roman" w:hAnsi="Book Antiqua" w:cs="Times New Roman"/>
          <w:color w:val="000000"/>
          <w:sz w:val="24"/>
          <w:szCs w:val="24"/>
          <w:shd w:val="clear" w:color="auto" w:fill="FFFFFF"/>
        </w:rPr>
        <w:t xml:space="preserve">. COVID-19 outbreak also impacts a major effect on stock return in Indonesia’s market. Indonesian Composite Stock Price Index (IHSG) drop to IDR 3,900 or -35.8% in March 2020 from the beginning of 2020 </w:t>
      </w:r>
      <w:r w:rsidRPr="00214A88">
        <w:rPr>
          <w:rFonts w:ascii="Book Antiqua" w:eastAsia="Times New Roman" w:hAnsi="Book Antiqua" w:cs="Times New Roman"/>
          <w:color w:val="000000"/>
          <w:sz w:val="24"/>
          <w:szCs w:val="24"/>
          <w:shd w:val="clear" w:color="auto" w:fill="FFFFFF"/>
        </w:rPr>
        <w:fldChar w:fldCharType="begin" w:fldLock="1"/>
      </w:r>
      <w:r w:rsidRPr="00214A88">
        <w:rPr>
          <w:rFonts w:ascii="Book Antiqua" w:eastAsia="Times New Roman" w:hAnsi="Book Antiqua" w:cs="Times New Roman"/>
          <w:color w:val="000000"/>
          <w:sz w:val="24"/>
          <w:szCs w:val="24"/>
          <w:shd w:val="clear" w:color="auto" w:fill="FFFFFF"/>
        </w:rPr>
        <w:instrText>ADDIN CSL_CITATION {"citationItems":[{"id":"ITEM-1","itemData":{"PMID":"15532310","author":[{"dropping-particle":"","family":"IDX","given":"Indonesia Stock Exchange","non-dropping-particle":"","parse-names":false,"suffix":""}],"id":"ITEM-1","issued":{"date-parts":[["2020"]]},"number-of-pages":"6","title":"Laporan Statistic IDX Tahun 2020","type":"report"},"uris":["http://www.mendeley.com/documents/?uuid=3e54ed6f-da95-4014-a1a8-5dcc314d643e"]}],"mendeley":{"formattedCitation":"(IDX, 2020)","plainTextFormattedCitation":"(IDX, 2020)","previouslyFormattedCitation":"(IDX, 2020)"},"properties":{"noteIndex":0},"schema":"https://github.com/citation-style-language/schema/raw/master/csl-citation.json"}</w:instrText>
      </w:r>
      <w:r w:rsidRPr="00214A88">
        <w:rPr>
          <w:rFonts w:ascii="Book Antiqua" w:eastAsia="Times New Roman" w:hAnsi="Book Antiqua" w:cs="Times New Roman"/>
          <w:color w:val="000000"/>
          <w:sz w:val="24"/>
          <w:szCs w:val="24"/>
          <w:shd w:val="clear" w:color="auto" w:fill="FFFFFF"/>
        </w:rPr>
        <w:fldChar w:fldCharType="separate"/>
      </w:r>
      <w:r w:rsidRPr="00214A88">
        <w:rPr>
          <w:rFonts w:ascii="Book Antiqua" w:eastAsia="Times New Roman" w:hAnsi="Book Antiqua" w:cs="Times New Roman"/>
          <w:noProof/>
          <w:color w:val="000000"/>
          <w:sz w:val="24"/>
          <w:szCs w:val="24"/>
          <w:shd w:val="clear" w:color="auto" w:fill="FFFFFF"/>
        </w:rPr>
        <w:t>(IDX, 2020)</w:t>
      </w:r>
      <w:r w:rsidRPr="00214A88">
        <w:rPr>
          <w:rFonts w:ascii="Book Antiqua" w:eastAsia="Times New Roman" w:hAnsi="Book Antiqua" w:cs="Times New Roman"/>
          <w:color w:val="000000"/>
          <w:sz w:val="24"/>
          <w:szCs w:val="24"/>
          <w:shd w:val="clear" w:color="auto" w:fill="FFFFFF"/>
        </w:rPr>
        <w:fldChar w:fldCharType="end"/>
      </w:r>
      <w:r w:rsidRPr="00214A88">
        <w:rPr>
          <w:rFonts w:ascii="Book Antiqua" w:eastAsia="Times New Roman" w:hAnsi="Book Antiqua" w:cs="Times New Roman"/>
          <w:color w:val="000000"/>
          <w:sz w:val="24"/>
          <w:szCs w:val="24"/>
          <w:shd w:val="clear" w:color="auto" w:fill="FFFFFF"/>
        </w:rPr>
        <w:t xml:space="preserve">. This also occurred to Global markets have dropped by at least 25% from their highs the previous month by the end of March 2020 </w:t>
      </w:r>
      <w:r w:rsidRPr="00214A88">
        <w:rPr>
          <w:rFonts w:ascii="Book Antiqua" w:eastAsia="Times New Roman" w:hAnsi="Book Antiqua" w:cs="Times New Roman"/>
          <w:color w:val="000000"/>
          <w:sz w:val="24"/>
          <w:szCs w:val="24"/>
          <w:shd w:val="clear" w:color="auto" w:fill="FFFFFF"/>
        </w:rPr>
        <w:fldChar w:fldCharType="begin" w:fldLock="1"/>
      </w:r>
      <w:r w:rsidRPr="00214A88">
        <w:rPr>
          <w:rFonts w:ascii="Book Antiqua" w:eastAsia="Times New Roman" w:hAnsi="Book Antiqua" w:cs="Times New Roman"/>
          <w:color w:val="000000"/>
          <w:sz w:val="24"/>
          <w:szCs w:val="24"/>
          <w:shd w:val="clear" w:color="auto" w:fill="FFFFFF"/>
        </w:rPr>
        <w:instrText>ADDIN CSL_CITATION {"citationItems":[{"id":"ITEM-1","itemData":{"DOI":"10.1016/j.frl.2020.101705","ISSN":"15446123","abstract":"We examine predictive ability of a relatively large number of variables from currency, bond and commodity markets for US stock returns during the COVID-19 crisis. As a novel contribution, we estimate robust Lasso predictive regressions with Cauchy errors, consistent with extreme movements and nonlinearities in the market. Both investment grade and high yield corporate bonds emerge as significant predictors of US stock returns in the period, lending support to recent policy decisions by the Federal Reserve.","author":[{"dropping-particle":"","family":"Ciner","given":"Cetin","non-dropping-particle":"","parse-names":false,"suffix":""}],"container-title":"Finance Research Letters","id":"ITEM-1","issued":{"date-parts":[["2021"]]},"page":"101705","publisher":"Elsevier Inc.","title":"Stock return predictability in the time of COVID-19","type":"article-journal","volume":"38"},"uris":["http://www.mendeley.com/documents/?uuid=b539b8bc-0d65-4b04-b185-da4f3820fc52"]}],"mendeley":{"formattedCitation":"(Ciner, 2021)","plainTextFormattedCitation":"(Ciner, 2021)","previouslyFormattedCitation":"(Ciner, 2021)"},"properties":{"noteIndex":0},"schema":"https://github.com/citation-style-language/schema/raw/master/csl-citation.json"}</w:instrText>
      </w:r>
      <w:r w:rsidRPr="00214A88">
        <w:rPr>
          <w:rFonts w:ascii="Book Antiqua" w:eastAsia="Times New Roman" w:hAnsi="Book Antiqua" w:cs="Times New Roman"/>
          <w:color w:val="000000"/>
          <w:sz w:val="24"/>
          <w:szCs w:val="24"/>
          <w:shd w:val="clear" w:color="auto" w:fill="FFFFFF"/>
        </w:rPr>
        <w:fldChar w:fldCharType="separate"/>
      </w:r>
      <w:r w:rsidRPr="00214A88">
        <w:rPr>
          <w:rFonts w:ascii="Book Antiqua" w:eastAsia="Times New Roman" w:hAnsi="Book Antiqua" w:cs="Times New Roman"/>
          <w:noProof/>
          <w:color w:val="000000"/>
          <w:sz w:val="24"/>
          <w:szCs w:val="24"/>
          <w:shd w:val="clear" w:color="auto" w:fill="FFFFFF"/>
        </w:rPr>
        <w:t>(Ciner, 2021)</w:t>
      </w:r>
      <w:r w:rsidRPr="00214A88">
        <w:rPr>
          <w:rFonts w:ascii="Book Antiqua" w:eastAsia="Times New Roman" w:hAnsi="Book Antiqua" w:cs="Times New Roman"/>
          <w:color w:val="000000"/>
          <w:sz w:val="24"/>
          <w:szCs w:val="24"/>
          <w:shd w:val="clear" w:color="auto" w:fill="FFFFFF"/>
        </w:rPr>
        <w:fldChar w:fldCharType="end"/>
      </w:r>
      <w:r w:rsidRPr="00214A88">
        <w:rPr>
          <w:rFonts w:ascii="Book Antiqua" w:eastAsia="Times New Roman" w:hAnsi="Book Antiqua" w:cs="Times New Roman"/>
          <w:color w:val="000000"/>
          <w:sz w:val="24"/>
          <w:szCs w:val="24"/>
          <w:shd w:val="clear" w:color="auto" w:fill="FFFFFF"/>
        </w:rPr>
        <w:t xml:space="preserve">. </w:t>
      </w:r>
      <w:r w:rsidRPr="00214A88">
        <w:rPr>
          <w:rFonts w:ascii="Book Antiqua" w:eastAsia="Times New Roman" w:hAnsi="Book Antiqua" w:cs="Times New Roman"/>
          <w:color w:val="000000"/>
          <w:sz w:val="24"/>
          <w:szCs w:val="24"/>
          <w:shd w:val="clear" w:color="auto" w:fill="FFFFFF"/>
        </w:rPr>
        <w:lastRenderedPageBreak/>
        <w:t xml:space="preserve">The drop in stock prices in March 2020 was one of the world's largest stock market collapses in history </w:t>
      </w:r>
      <w:r w:rsidRPr="00214A88">
        <w:rPr>
          <w:rFonts w:ascii="Book Antiqua" w:eastAsia="Times New Roman" w:hAnsi="Book Antiqua" w:cs="Times New Roman"/>
          <w:color w:val="000000"/>
          <w:sz w:val="24"/>
          <w:szCs w:val="24"/>
          <w:shd w:val="clear" w:color="auto" w:fill="FFFFFF"/>
        </w:rPr>
        <w:fldChar w:fldCharType="begin" w:fldLock="1"/>
      </w:r>
      <w:r w:rsidRPr="00214A88">
        <w:rPr>
          <w:rFonts w:ascii="Book Antiqua" w:eastAsia="Times New Roman" w:hAnsi="Book Antiqua" w:cs="Times New Roman"/>
          <w:color w:val="000000"/>
          <w:sz w:val="24"/>
          <w:szCs w:val="24"/>
          <w:shd w:val="clear" w:color="auto" w:fill="FFFFFF"/>
        </w:rPr>
        <w:instrText>ADDIN CSL_CITATION {"citationItems":[{"id":"ITEM-1","itemData":{"DOI":"10.1016/j.frl.2020.101690","ISSN":"15446123","abstract":"This paper investigates the US stock market performance during the crash of March 2020 triggered by COVID-19. We find that natural gas, food, healthcare, and software stocks earn high positive returns, whereas equity values in petroleum, real estate, entertainment, and hospitality sectors fall dramatically. Moreover, loser stocks exhibit extreme asymmetric volatility that correlates negatively with stock returns. Firms react in a variety of different ways to the COVID-19 revenue shock. The analysis of the 8K and DEF14A filings of poorest performers reveals departures of senior executives, remuneration cuts, and (most surprisingly) newly approved cash bonuses and salary increases.","author":[{"dropping-particle":"","family":"Mazur","given":"Mieszko","non-dropping-particle":"","parse-names":false,"suffix":""},{"dropping-particle":"","family":"Dang","given":"Man","non-dropping-particle":"","parse-names":false,"suffix":""},{"dropping-particle":"","family":"Vega","given":"Miguel","non-dropping-particle":"","parse-names":false,"suffix":""}],"container-title":"Finance Research Letters","id":"ITEM-1","issue":"March","issued":{"date-parts":[["2021"]]},"page":"101690","publisher":"Elsevier Inc.","title":"COVID-19 and the march 2020 stock market crash. Evidence from S&amp;P1500","type":"article-journal","volume":"38"},"uris":["http://www.mendeley.com/documents/?uuid=899d66c6-2af7-4f06-8078-50ada5228abd"]}],"mendeley":{"formattedCitation":"(Mazur et al., 2021)","plainTextFormattedCitation":"(Mazur et al., 2021)","previouslyFormattedCitation":"(Mazur et al., 2021)"},"properties":{"noteIndex":0},"schema":"https://github.com/citation-style-language/schema/raw/master/csl-citation.json"}</w:instrText>
      </w:r>
      <w:r w:rsidRPr="00214A88">
        <w:rPr>
          <w:rFonts w:ascii="Book Antiqua" w:eastAsia="Times New Roman" w:hAnsi="Book Antiqua" w:cs="Times New Roman"/>
          <w:color w:val="000000"/>
          <w:sz w:val="24"/>
          <w:szCs w:val="24"/>
          <w:shd w:val="clear" w:color="auto" w:fill="FFFFFF"/>
        </w:rPr>
        <w:fldChar w:fldCharType="separate"/>
      </w:r>
      <w:r w:rsidRPr="00214A88">
        <w:rPr>
          <w:rFonts w:ascii="Book Antiqua" w:eastAsia="Times New Roman" w:hAnsi="Book Antiqua" w:cs="Times New Roman"/>
          <w:noProof/>
          <w:color w:val="000000"/>
          <w:sz w:val="24"/>
          <w:szCs w:val="24"/>
          <w:shd w:val="clear" w:color="auto" w:fill="FFFFFF"/>
        </w:rPr>
        <w:t>(Mazur et al., 2021)</w:t>
      </w:r>
      <w:r w:rsidRPr="00214A88">
        <w:rPr>
          <w:rFonts w:ascii="Book Antiqua" w:eastAsia="Times New Roman" w:hAnsi="Book Antiqua" w:cs="Times New Roman"/>
          <w:color w:val="000000"/>
          <w:sz w:val="24"/>
          <w:szCs w:val="24"/>
          <w:shd w:val="clear" w:color="auto" w:fill="FFFFFF"/>
        </w:rPr>
        <w:fldChar w:fldCharType="end"/>
      </w:r>
      <w:r w:rsidRPr="00214A88">
        <w:rPr>
          <w:rFonts w:ascii="Book Antiqua" w:eastAsia="Times New Roman" w:hAnsi="Book Antiqua" w:cs="Times New Roman"/>
          <w:color w:val="000000"/>
          <w:sz w:val="24"/>
          <w:szCs w:val="24"/>
          <w:shd w:val="clear" w:color="auto" w:fill="FFFFFF"/>
        </w:rPr>
        <w:t xml:space="preserve">. </w:t>
      </w:r>
    </w:p>
    <w:p w14:paraId="678D536F"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0"/>
          <w:szCs w:val="20"/>
          <w:shd w:val="clear" w:color="auto" w:fill="FFFFFF"/>
        </w:rPr>
      </w:pPr>
    </w:p>
    <w:p w14:paraId="33C6BFB6" w14:textId="2984928E" w:rsidR="00AB6940" w:rsidRPr="00B07C46" w:rsidRDefault="00AB6940" w:rsidP="00AB6940">
      <w:pPr>
        <w:spacing w:after="0" w:line="240" w:lineRule="auto"/>
        <w:ind w:firstLine="567"/>
        <w:jc w:val="both"/>
        <w:rPr>
          <w:rFonts w:ascii="Book Antiqua" w:eastAsia="Times New Roman" w:hAnsi="Book Antiqua" w:cs="Times New Roman"/>
          <w:color w:val="000000"/>
          <w:sz w:val="20"/>
          <w:szCs w:val="20"/>
          <w:shd w:val="clear" w:color="auto" w:fill="FFFFFF"/>
        </w:rPr>
      </w:pPr>
      <w:r w:rsidRPr="00B07C46">
        <w:rPr>
          <w:rFonts w:ascii="Book Antiqua" w:eastAsia="Times New Roman" w:hAnsi="Book Antiqua" w:cs="Times New Roman"/>
          <w:noProof/>
          <w:color w:val="000000"/>
          <w:sz w:val="20"/>
          <w:szCs w:val="20"/>
          <w:shd w:val="clear" w:color="auto" w:fill="FFFFFF"/>
        </w:rPr>
        <w:drawing>
          <wp:inline distT="0" distB="0" distL="0" distR="0" wp14:anchorId="19117EFE" wp14:editId="6AE9E1B3">
            <wp:extent cx="5407025" cy="2632075"/>
            <wp:effectExtent l="0" t="0" r="22225" b="158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AB582A7"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0"/>
          <w:szCs w:val="20"/>
          <w:shd w:val="clear" w:color="auto" w:fill="FFFFFF"/>
        </w:rPr>
      </w:pPr>
      <w:r w:rsidRPr="00B07C46">
        <w:rPr>
          <w:rFonts w:ascii="Book Antiqua" w:eastAsia="Times New Roman" w:hAnsi="Book Antiqua" w:cs="Times New Roman"/>
          <w:color w:val="000000"/>
          <w:sz w:val="20"/>
          <w:szCs w:val="20"/>
          <w:shd w:val="clear" w:color="auto" w:fill="FFFFFF"/>
        </w:rPr>
        <w:t>Source: Proceed data, 2021</w:t>
      </w:r>
    </w:p>
    <w:p w14:paraId="50624331" w14:textId="77777777" w:rsidR="00AB6940" w:rsidRPr="00B07C46" w:rsidRDefault="00AB6940" w:rsidP="00AB6940">
      <w:pPr>
        <w:spacing w:after="0" w:line="240" w:lineRule="auto"/>
        <w:ind w:firstLine="567"/>
        <w:jc w:val="center"/>
        <w:rPr>
          <w:rFonts w:ascii="Book Antiqua" w:eastAsia="Times New Roman" w:hAnsi="Book Antiqua" w:cs="Times New Roman"/>
          <w:b/>
          <w:bCs/>
          <w:color w:val="000000"/>
          <w:sz w:val="24"/>
          <w:szCs w:val="24"/>
          <w:shd w:val="clear" w:color="auto" w:fill="FFFFFF"/>
        </w:rPr>
      </w:pPr>
      <w:r w:rsidRPr="00B07C46">
        <w:rPr>
          <w:rFonts w:ascii="Book Antiqua" w:eastAsia="Times New Roman" w:hAnsi="Book Antiqua" w:cs="Times New Roman"/>
          <w:b/>
          <w:bCs/>
          <w:color w:val="000000"/>
          <w:sz w:val="24"/>
          <w:szCs w:val="24"/>
          <w:shd w:val="clear" w:color="auto" w:fill="FFFFFF"/>
        </w:rPr>
        <w:t>Figure 1. Timeline of COVID-19 outbreak in Indonesia and Malaysia</w:t>
      </w:r>
    </w:p>
    <w:p w14:paraId="64B898AC"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0"/>
          <w:szCs w:val="20"/>
          <w:shd w:val="clear" w:color="auto" w:fill="FFFFFF"/>
        </w:rPr>
      </w:pPr>
    </w:p>
    <w:p w14:paraId="700E03D4" w14:textId="77777777" w:rsidR="004C4E70" w:rsidRPr="00B07C46" w:rsidRDefault="004C4E70" w:rsidP="00B136FE">
      <w:pPr>
        <w:spacing w:after="0" w:line="240" w:lineRule="auto"/>
        <w:ind w:firstLine="567"/>
        <w:jc w:val="both"/>
        <w:rPr>
          <w:rFonts w:ascii="Book Antiqua" w:eastAsia="Times New Roman" w:hAnsi="Book Antiqua" w:cs="Times New Roman"/>
          <w:sz w:val="24"/>
          <w:szCs w:val="24"/>
        </w:rPr>
      </w:pPr>
    </w:p>
    <w:p w14:paraId="64B5D459" w14:textId="23D7D7EE" w:rsidR="00B136FE" w:rsidRPr="00B07C46" w:rsidRDefault="000A084C" w:rsidP="003830D1">
      <w:pPr>
        <w:pStyle w:val="ListParagraph"/>
        <w:numPr>
          <w:ilvl w:val="0"/>
          <w:numId w:val="2"/>
        </w:numPr>
        <w:ind w:left="567" w:hanging="567"/>
        <w:rPr>
          <w:rFonts w:ascii="Book Antiqua" w:hAnsi="Book Antiqua" w:cstheme="minorHAnsi"/>
          <w:b/>
          <w:sz w:val="28"/>
          <w:szCs w:val="28"/>
        </w:rPr>
      </w:pPr>
      <w:r w:rsidRPr="00B07C46">
        <w:rPr>
          <w:rFonts w:ascii="Book Antiqua" w:hAnsi="Book Antiqua" w:cstheme="minorHAnsi"/>
          <w:b/>
          <w:sz w:val="28"/>
          <w:szCs w:val="28"/>
        </w:rPr>
        <w:t>Theoretical Framework and Hypothesis</w:t>
      </w:r>
    </w:p>
    <w:p w14:paraId="27D11541" w14:textId="77777777" w:rsidR="00E02007" w:rsidRPr="00E02007" w:rsidRDefault="00E02007" w:rsidP="00E02007">
      <w:pPr>
        <w:spacing w:after="0" w:line="240" w:lineRule="auto"/>
        <w:ind w:firstLine="567"/>
        <w:jc w:val="both"/>
        <w:rPr>
          <w:rFonts w:ascii="Book Antiqua" w:eastAsia="Times New Roman" w:hAnsi="Book Antiqua" w:cs="Times New Roman"/>
          <w:color w:val="000000"/>
          <w:sz w:val="24"/>
          <w:szCs w:val="24"/>
        </w:rPr>
      </w:pPr>
      <w:r w:rsidRPr="00E02007">
        <w:rPr>
          <w:rFonts w:ascii="Book Antiqua" w:eastAsia="Times New Roman" w:hAnsi="Book Antiqua" w:cs="Times New Roman"/>
          <w:color w:val="000000"/>
          <w:sz w:val="24"/>
          <w:szCs w:val="24"/>
        </w:rPr>
        <w:t xml:space="preserve">According to panel data, </w:t>
      </w:r>
      <w:r w:rsidRPr="00E02007">
        <w:rPr>
          <w:rFonts w:ascii="Book Antiqua" w:eastAsia="Times New Roman" w:hAnsi="Book Antiqua" w:cs="Times New Roman"/>
          <w:color w:val="000000"/>
          <w:sz w:val="24"/>
          <w:szCs w:val="24"/>
        </w:rPr>
        <w:fldChar w:fldCharType="begin" w:fldLock="1"/>
      </w:r>
      <w:r w:rsidRPr="00E02007">
        <w:rPr>
          <w:rFonts w:ascii="Book Antiqua" w:eastAsia="Times New Roman" w:hAnsi="Book Antiqua" w:cs="Times New Roman"/>
          <w:color w:val="000000"/>
          <w:sz w:val="24"/>
          <w:szCs w:val="24"/>
        </w:rPr>
        <w:instrText>ADDIN CSL_CITATION {"citationItems":[{"id":"ITEM-1","itemData":{"DOI":"10.1016/j.ribaf.2020.101249","ISSN":"02755319","abstract":"In this paper, we examine the stock markets’ response to the COVID-19 pandemic. Using daily COVID-19 confirmed cases and deaths and stock market returns data from 64 countries over the period January 22, 2020 to April 17, 2020, we find that stock markets responded negatively to the growth in COVID-19 confirmed cases. That is, stock market returns declined as the number of confirmed cases increased. We further find that stock markets reacted more proactively to the growth in number of confirmed cases as compared to the growth in number of deaths. Our analysis also suggests negative market reaction was strong during early days of confirmed cases and then between 40 and 60 days after the initial confirmed cases. Overall, our results suggest that stock markets quickly respond to COVID-19 pandemic and this response varies over time depending on the stage of outbreak.","author":[{"dropping-particle":"","family":"Ashraf","given":"Badar Nadeem","non-dropping-particle":"","parse-names":false,"suffix":""}],"container-title":"Research in International Business and Finance","id":"ITEM-1","issued":{"date-parts":[["2020"]]},"page":"101249","publisher":"Elsevier B.V.","title":"Stock markets’ reaction to COVID-19: Cases or fatalities?","type":"article-journal","volume":"54"},"uris":["http://www.mendeley.com/documents/?uuid=be48fc0e-872e-4d28-943f-69f4bb6791dd"]}],"mendeley":{"formattedCitation":"(Ashraf, 2020)","manualFormatting":"Ashraf (2020)","plainTextFormattedCitation":"(Ashraf, 2020)","previouslyFormattedCitation":"(Ashraf, 2020)"},"properties":{"noteIndex":0},"schema":"https://github.com/citation-style-language/schema/raw/master/csl-citation.json"}</w:instrText>
      </w:r>
      <w:r w:rsidRPr="00E02007">
        <w:rPr>
          <w:rFonts w:ascii="Book Antiqua" w:eastAsia="Times New Roman" w:hAnsi="Book Antiqua" w:cs="Times New Roman"/>
          <w:color w:val="000000"/>
          <w:sz w:val="24"/>
          <w:szCs w:val="24"/>
        </w:rPr>
        <w:fldChar w:fldCharType="separate"/>
      </w:r>
      <w:r w:rsidRPr="00E02007">
        <w:rPr>
          <w:rFonts w:ascii="Book Antiqua" w:eastAsia="Times New Roman" w:hAnsi="Book Antiqua" w:cs="Times New Roman"/>
          <w:noProof/>
          <w:color w:val="000000"/>
          <w:sz w:val="24"/>
          <w:szCs w:val="24"/>
        </w:rPr>
        <w:t>Ashraf (2020)</w:t>
      </w:r>
      <w:r w:rsidRPr="00E02007">
        <w:rPr>
          <w:rFonts w:ascii="Book Antiqua" w:eastAsia="Times New Roman" w:hAnsi="Book Antiqua" w:cs="Times New Roman"/>
          <w:color w:val="000000"/>
          <w:sz w:val="24"/>
          <w:szCs w:val="24"/>
        </w:rPr>
        <w:fldChar w:fldCharType="end"/>
      </w:r>
      <w:r w:rsidRPr="00E02007">
        <w:rPr>
          <w:rFonts w:ascii="Book Antiqua" w:eastAsia="Times New Roman" w:hAnsi="Book Antiqua" w:cs="Times New Roman"/>
          <w:color w:val="000000"/>
          <w:sz w:val="24"/>
          <w:szCs w:val="24"/>
        </w:rPr>
        <w:t xml:space="preserve"> found stock markets responded negatively to the increase of COVID-19 cases. </w:t>
      </w:r>
      <w:r w:rsidRPr="00E02007">
        <w:rPr>
          <w:rFonts w:ascii="Book Antiqua" w:eastAsia="Times New Roman" w:hAnsi="Book Antiqua" w:cs="Times New Roman"/>
          <w:color w:val="000000"/>
          <w:sz w:val="24"/>
          <w:szCs w:val="24"/>
        </w:rPr>
        <w:fldChar w:fldCharType="begin" w:fldLock="1"/>
      </w:r>
      <w:r w:rsidRPr="00E02007">
        <w:rPr>
          <w:rFonts w:ascii="Book Antiqua" w:eastAsia="Times New Roman" w:hAnsi="Book Antiqua" w:cs="Times New Roman"/>
          <w:color w:val="000000"/>
          <w:sz w:val="24"/>
          <w:szCs w:val="24"/>
        </w:rPr>
        <w:instrText>ADDIN CSL_CITATION {"citationItems":[{"id":"ITEM-1","itemData":{"DOI":"10.1016/j.jbef.2020.100326","ISSN":"22146369","abstract":"This study investigates whether contagious infectious diseases affect stock market outcomes. As a natural experiment, we use panel data analysis to test the effect of the COVID-19 virus, which is a contagious infectious disease, on the Chinese stock market. The findings indicate that both the daily growth in total confirmed cases and in total cases of death caused by COVID-19 have significant negative effects on stock returns across all companies.","author":[{"dropping-particle":"","family":"Al-Awadhi","given":"Abdullah M.","non-dropping-particle":"","parse-names":false,"suffix":""},{"dropping-particle":"","family":"Alsaifi","given":"Khaled","non-dropping-particle":"","parse-names":false,"suffix":""},{"dropping-particle":"","family":"Al-Awadhi","given":"Ahmad","non-dropping-particle":"","parse-names":false,"suffix":""},{"dropping-particle":"","family":"Alhammadi","given":"Salah","non-dropping-particle":"","parse-names":false,"suffix":""}],"container-title":"Journal of Behavioral and Experimental Finance","id":"ITEM-1","issued":{"date-parts":[["2020"]]},"page":"100326","publisher":"Elsevier B.V.","title":"Death and contagious infectious diseases: Impact of the COVID-19 virus on stock market returns","type":"article-journal","volume":"27"},"uris":["http://www.mendeley.com/documents/?uuid=3a13a484-ac05-4338-80de-f5667762aa0a"]}],"mendeley":{"formattedCitation":"(Al-Awadhi et al., 2020)","manualFormatting":"Al-Awadhi et al. (2020)","plainTextFormattedCitation":"(Al-Awadhi et al., 2020)","previouslyFormattedCitation":"(Al-Awadhi et al., 2020)"},"properties":{"noteIndex":0},"schema":"https://github.com/citation-style-language/schema/raw/master/csl-citation.json"}</w:instrText>
      </w:r>
      <w:r w:rsidRPr="00E02007">
        <w:rPr>
          <w:rFonts w:ascii="Book Antiqua" w:eastAsia="Times New Roman" w:hAnsi="Book Antiqua" w:cs="Times New Roman"/>
          <w:color w:val="000000"/>
          <w:sz w:val="24"/>
          <w:szCs w:val="24"/>
        </w:rPr>
        <w:fldChar w:fldCharType="separate"/>
      </w:r>
      <w:r w:rsidRPr="00E02007">
        <w:rPr>
          <w:rFonts w:ascii="Book Antiqua" w:eastAsia="Times New Roman" w:hAnsi="Book Antiqua" w:cs="Times New Roman"/>
          <w:noProof/>
          <w:color w:val="000000"/>
          <w:sz w:val="24"/>
          <w:szCs w:val="24"/>
        </w:rPr>
        <w:t>Al-Awadhi et al. (2020)</w:t>
      </w:r>
      <w:r w:rsidRPr="00E02007">
        <w:rPr>
          <w:rFonts w:ascii="Book Antiqua" w:eastAsia="Times New Roman" w:hAnsi="Book Antiqua" w:cs="Times New Roman"/>
          <w:color w:val="000000"/>
          <w:sz w:val="24"/>
          <w:szCs w:val="24"/>
        </w:rPr>
        <w:fldChar w:fldCharType="end"/>
      </w:r>
      <w:r w:rsidRPr="00E02007">
        <w:rPr>
          <w:rFonts w:ascii="Book Antiqua" w:eastAsia="Times New Roman" w:hAnsi="Book Antiqua" w:cs="Times New Roman"/>
          <w:color w:val="000000"/>
          <w:sz w:val="24"/>
          <w:szCs w:val="24"/>
        </w:rPr>
        <w:t xml:space="preserve"> also found a negative effect between the COVID-19 outbreak and stock returns in China. Furthermore, </w:t>
      </w:r>
      <w:r w:rsidRPr="00E02007">
        <w:rPr>
          <w:rFonts w:ascii="Book Antiqua" w:eastAsia="Times New Roman" w:hAnsi="Book Antiqua" w:cs="Times New Roman"/>
          <w:color w:val="000000"/>
          <w:sz w:val="24"/>
          <w:szCs w:val="24"/>
        </w:rPr>
        <w:fldChar w:fldCharType="begin" w:fldLock="1"/>
      </w:r>
      <w:r w:rsidRPr="00E02007">
        <w:rPr>
          <w:rFonts w:ascii="Book Antiqua" w:eastAsia="Times New Roman" w:hAnsi="Book Antiqua" w:cs="Times New Roman"/>
          <w:color w:val="000000"/>
          <w:sz w:val="24"/>
          <w:szCs w:val="24"/>
        </w:rPr>
        <w:instrText>ADDIN CSL_CITATION {"citationItems":[{"id":"ITEM-1","itemData":{"DOI":"10.1016/j.frl.2020.101872","ISSN":"15446123","abstract":"We investigate the dynamic responses of stock return to the unexpected changes in the COVID-19 cases and the uncertainty associated with the pandemic. Using daily data from Canada and the US, we find there is a negative effect of an increase in the COVID-19 cases on the stock market in general. Moreover, the stock return responses are asymmetric in the increase and decrease in the cases in Canada. The asymmetry is caused by the negative impact of uncertainty about the pandemic. We also find that uncertainty adversely affects the US stock market. However, the magnitude is small.","author":[{"dropping-particle":"","family":"Xu","given":"Libo","non-dropping-particle":"","parse-names":false,"suffix":""}],"container-title":"Finance Research Letters","id":"ITEM-1","issued":{"date-parts":[["2021"]]},"page":"101872","publisher":"Elsevier Inc.","title":"Stock Return and the COVID-19 pandemic: Evidence from Canada and the US","type":"article-journal","volume":"38"},"uris":["http://www.mendeley.com/documents/?uuid=769d53bb-ea4f-4a91-8ef4-280947f94b4b"]}],"mendeley":{"formattedCitation":"(Xu, 2021)","manualFormatting":"Xu (2021)","plainTextFormattedCitation":"(Xu, 2021)","previouslyFormattedCitation":"(Xu, 2021)"},"properties":{"noteIndex":0},"schema":"https://github.com/citation-style-language/schema/raw/master/csl-citation.json"}</w:instrText>
      </w:r>
      <w:r w:rsidRPr="00E02007">
        <w:rPr>
          <w:rFonts w:ascii="Book Antiqua" w:eastAsia="Times New Roman" w:hAnsi="Book Antiqua" w:cs="Times New Roman"/>
          <w:color w:val="000000"/>
          <w:sz w:val="24"/>
          <w:szCs w:val="24"/>
        </w:rPr>
        <w:fldChar w:fldCharType="separate"/>
      </w:r>
      <w:r w:rsidRPr="00E02007">
        <w:rPr>
          <w:rFonts w:ascii="Book Antiqua" w:eastAsia="Times New Roman" w:hAnsi="Book Antiqua" w:cs="Times New Roman"/>
          <w:noProof/>
          <w:color w:val="000000"/>
          <w:sz w:val="24"/>
          <w:szCs w:val="24"/>
        </w:rPr>
        <w:t>Xu (2021)</w:t>
      </w:r>
      <w:r w:rsidRPr="00E02007">
        <w:rPr>
          <w:rFonts w:ascii="Book Antiqua" w:eastAsia="Times New Roman" w:hAnsi="Book Antiqua" w:cs="Times New Roman"/>
          <w:color w:val="000000"/>
          <w:sz w:val="24"/>
          <w:szCs w:val="24"/>
        </w:rPr>
        <w:fldChar w:fldCharType="end"/>
      </w:r>
      <w:r w:rsidRPr="00E02007">
        <w:rPr>
          <w:rFonts w:ascii="Book Antiqua" w:eastAsia="Times New Roman" w:hAnsi="Book Antiqua" w:cs="Times New Roman"/>
          <w:color w:val="000000"/>
          <w:sz w:val="24"/>
          <w:szCs w:val="24"/>
        </w:rPr>
        <w:t xml:space="preserve"> found COVID-19 outbreak negatively affects the stock market in Canada and US. However, </w:t>
      </w:r>
      <w:r w:rsidRPr="00E02007">
        <w:rPr>
          <w:rFonts w:ascii="Book Antiqua" w:eastAsia="Times New Roman" w:hAnsi="Book Antiqua" w:cs="Times New Roman"/>
          <w:color w:val="000000"/>
          <w:sz w:val="24"/>
          <w:szCs w:val="24"/>
        </w:rPr>
        <w:fldChar w:fldCharType="begin" w:fldLock="1"/>
      </w:r>
      <w:r w:rsidRPr="00E02007">
        <w:rPr>
          <w:rFonts w:ascii="Book Antiqua" w:eastAsia="Times New Roman" w:hAnsi="Book Antiqua" w:cs="Times New Roman"/>
          <w:color w:val="000000"/>
          <w:sz w:val="24"/>
          <w:szCs w:val="24"/>
        </w:rPr>
        <w:instrText>ADDIN CSL_CITATION {"citationItems":[{"id":"ITEM-1","itemData":{"DOI":"10.1016/j.frl.2020.101732","ISSN":"15446123","abstract":"This paper examines the effect of government responses of G7 countries to the coronavirus pandemic (COVID-19) on stock market returns. Using time-series data, we show that lockdowns, travel bans, and economic stimulus packages all had a positive effect on the G7 stock markets. However, lockdowns were most effective in cushioning the effects of COVID-19. Our results are robust to different measures of returns and controls for other factors of returns.","author":[{"dropping-particle":"","family":"Narayan","given":"Paresh Kumar","non-dropping-particle":"","parse-names":false,"suffix":""},{"dropping-particle":"","family":"Phan","given":"Dinh Hoang Bach","non-dropping-particle":"","parse-names":false,"suffix":""},{"dropping-particle":"","family":"Liu","given":"Guangqiang","non-dropping-particle":"","parse-names":false,"suffix":""}],"container-title":"Finance Research Letters","id":"ITEM-1","issue":"August","issued":{"date-parts":[["2021"]]},"page":"101732","publisher":"Elsevier","title":"COVID-19 lockdowns, stimulus packages, travel bans, and stock returns","type":"article-journal","volume":"38"},"uris":["http://www.mendeley.com/documents/?uuid=d1aae15d-f859-4047-b954-f0c9908f7024"]}],"mendeley":{"formattedCitation":"(Narayan, Phan, &amp; Liu, 2021)","plainTextFormattedCitation":"(Narayan, Phan, &amp; Liu, 2021)","previouslyFormattedCitation":"(Narayan, Phan, &amp; Liu, 2021)"},"properties":{"noteIndex":0},"schema":"https://github.com/citation-style-language/schema/raw/master/csl-citation.json"}</w:instrText>
      </w:r>
      <w:r w:rsidRPr="00E02007">
        <w:rPr>
          <w:rFonts w:ascii="Book Antiqua" w:eastAsia="Times New Roman" w:hAnsi="Book Antiqua" w:cs="Times New Roman"/>
          <w:color w:val="000000"/>
          <w:sz w:val="24"/>
          <w:szCs w:val="24"/>
        </w:rPr>
        <w:fldChar w:fldCharType="separate"/>
      </w:r>
      <w:r w:rsidRPr="00E02007">
        <w:rPr>
          <w:rFonts w:ascii="Book Antiqua" w:eastAsia="Times New Roman" w:hAnsi="Book Antiqua" w:cs="Times New Roman"/>
          <w:noProof/>
          <w:color w:val="000000"/>
          <w:sz w:val="24"/>
          <w:szCs w:val="24"/>
        </w:rPr>
        <w:t>(Narayan, Phan, &amp; Liu, 2021)</w:t>
      </w:r>
      <w:r w:rsidRPr="00E02007">
        <w:rPr>
          <w:rFonts w:ascii="Book Antiqua" w:eastAsia="Times New Roman" w:hAnsi="Book Antiqua" w:cs="Times New Roman"/>
          <w:color w:val="000000"/>
          <w:sz w:val="24"/>
          <w:szCs w:val="24"/>
        </w:rPr>
        <w:fldChar w:fldCharType="end"/>
      </w:r>
      <w:r w:rsidRPr="00E02007">
        <w:rPr>
          <w:rFonts w:ascii="Book Antiqua" w:eastAsia="Times New Roman" w:hAnsi="Book Antiqua" w:cs="Times New Roman"/>
          <w:color w:val="000000"/>
          <w:sz w:val="24"/>
          <w:szCs w:val="24"/>
        </w:rPr>
        <w:t xml:space="preserve"> found a positive effect of the COVID-19 pandemic via specific government policies on stock market returns. They suggest that policies mitigate the spread of COVID-19 and subdue public panics. A previous study by </w:t>
      </w:r>
      <w:r w:rsidRPr="00E02007">
        <w:rPr>
          <w:rFonts w:ascii="Book Antiqua" w:eastAsia="Times New Roman" w:hAnsi="Book Antiqua" w:cs="Times New Roman"/>
          <w:color w:val="000000"/>
          <w:sz w:val="24"/>
          <w:szCs w:val="24"/>
        </w:rPr>
        <w:fldChar w:fldCharType="begin" w:fldLock="1"/>
      </w:r>
      <w:r w:rsidRPr="00E02007">
        <w:rPr>
          <w:rFonts w:ascii="Book Antiqua" w:eastAsia="Times New Roman" w:hAnsi="Book Antiqua" w:cs="Times New Roman"/>
          <w:color w:val="000000"/>
          <w:sz w:val="24"/>
          <w:szCs w:val="24"/>
        </w:rPr>
        <w:instrText>ADDIN CSL_CITATION {"citationItems":[{"id":"ITEM-1","itemData":{"DOI":"10.14414/jebav.v24i1.2574","ISSN":"2087-3735","abstract":"This study examines the Coronavirus disease (COVID-19) on stock returns. The independent variables are daily new deaths and daily new cases. The sample that uses in this study is financial sector, one of the most crucial sectors in an economy. Total sample is 22,930 observations during the period from March to December in 2020. This study uses unbalanced panel data and multiple regression to prove those hypotheses. The result shows that the Coronavirus disease (COVID-19) hurt on stock returns. Investors feel anxious and frightened to hear the news regarding the increasing number of deaths and the number of new cases. Investors prefer to delay investment until the capital market returns to normal. Furthermore, during the pandemic period, Friday's effect may reduce losses from stock returns. The implication of this study is that an increase in the number of deaths and the number of new cases can reduce stock returns. The government needs to suppress bad news circulating in the mass media in order to reduce investor anxiety.  ","author":[{"dropping-particle":"","family":"Robin","given":"Robin","non-dropping-particle":"","parse-names":false,"suffix":""}],"container-title":"Journal of Economics, Business, &amp; Accountancy Ventura","id":"ITEM-1","issue":"1","issued":{"date-parts":[["2021"]]},"page":"95","title":"Death Infectious: Impact of the Coronavirus Disease (COVID-19) on Stock Returns","type":"article-journal","volume":"24"},"uris":["http://www.mendeley.com/documents/?uuid=4902fe4d-8669-423e-b721-e58fefc737b7"]}],"mendeley":{"formattedCitation":"(Robin, 2021)","plainTextFormattedCitation":"(Robin, 2021)","previouslyFormattedCitation":"(Robin, 2021)"},"properties":{"noteIndex":0},"schema":"https://github.com/citation-style-language/schema/raw/master/csl-citation.json"}</w:instrText>
      </w:r>
      <w:r w:rsidRPr="00E02007">
        <w:rPr>
          <w:rFonts w:ascii="Book Antiqua" w:eastAsia="Times New Roman" w:hAnsi="Book Antiqua" w:cs="Times New Roman"/>
          <w:color w:val="000000"/>
          <w:sz w:val="24"/>
          <w:szCs w:val="24"/>
        </w:rPr>
        <w:fldChar w:fldCharType="separate"/>
      </w:r>
      <w:r w:rsidRPr="00E02007">
        <w:rPr>
          <w:rFonts w:ascii="Book Antiqua" w:eastAsia="Times New Roman" w:hAnsi="Book Antiqua" w:cs="Times New Roman"/>
          <w:noProof/>
          <w:color w:val="000000"/>
          <w:sz w:val="24"/>
          <w:szCs w:val="24"/>
        </w:rPr>
        <w:t>(Robin, 2021)</w:t>
      </w:r>
      <w:r w:rsidRPr="00E02007">
        <w:rPr>
          <w:rFonts w:ascii="Book Antiqua" w:eastAsia="Times New Roman" w:hAnsi="Book Antiqua" w:cs="Times New Roman"/>
          <w:color w:val="000000"/>
          <w:sz w:val="24"/>
          <w:szCs w:val="24"/>
        </w:rPr>
        <w:fldChar w:fldCharType="end"/>
      </w:r>
      <w:r w:rsidRPr="00E02007">
        <w:rPr>
          <w:rFonts w:ascii="Book Antiqua" w:eastAsia="Times New Roman" w:hAnsi="Book Antiqua" w:cs="Times New Roman"/>
          <w:color w:val="000000"/>
          <w:sz w:val="24"/>
          <w:szCs w:val="24"/>
        </w:rPr>
        <w:t xml:space="preserve"> founds that the COVID-19 harms the stock market returns in Indonesia, despite the fact that tight government regulations are in place. Thus, we developed the hypothesis as:</w:t>
      </w:r>
    </w:p>
    <w:p w14:paraId="48B68434"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p>
    <w:p w14:paraId="1CFA9344"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r w:rsidRPr="00B07C46">
        <w:rPr>
          <w:rFonts w:ascii="Book Antiqua" w:eastAsia="Times New Roman" w:hAnsi="Book Antiqua" w:cs="Times New Roman"/>
          <w:color w:val="000000"/>
          <w:sz w:val="24"/>
          <w:szCs w:val="24"/>
        </w:rPr>
        <w:t>H1: Daily confirmed cases have a negative effect on stock returns</w:t>
      </w:r>
    </w:p>
    <w:p w14:paraId="53F046AF"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p>
    <w:p w14:paraId="43D47D24" w14:textId="77777777" w:rsidR="00AB6940" w:rsidRPr="00B07C46" w:rsidRDefault="00AB6940" w:rsidP="00AB6940">
      <w:pPr>
        <w:spacing w:after="0" w:line="240" w:lineRule="auto"/>
        <w:jc w:val="both"/>
        <w:rPr>
          <w:rFonts w:ascii="Book Antiqua" w:eastAsia="Times New Roman" w:hAnsi="Book Antiqua" w:cs="Times New Roman"/>
          <w:b/>
          <w:bCs/>
          <w:color w:val="000000"/>
          <w:sz w:val="24"/>
          <w:szCs w:val="24"/>
        </w:rPr>
      </w:pPr>
      <w:r w:rsidRPr="00B07C46">
        <w:rPr>
          <w:rFonts w:ascii="Book Antiqua" w:eastAsia="Times New Roman" w:hAnsi="Book Antiqua" w:cs="Times New Roman"/>
          <w:b/>
          <w:bCs/>
          <w:color w:val="000000"/>
          <w:sz w:val="24"/>
          <w:szCs w:val="24"/>
        </w:rPr>
        <w:t>The Effect of Day</w:t>
      </w:r>
    </w:p>
    <w:p w14:paraId="49D1B88D"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p>
    <w:p w14:paraId="715DF858" w14:textId="15082F5C" w:rsidR="007E45A8" w:rsidRPr="007E45A8" w:rsidRDefault="007E45A8" w:rsidP="007E45A8">
      <w:pPr>
        <w:spacing w:after="0" w:line="240" w:lineRule="auto"/>
        <w:ind w:firstLine="567"/>
        <w:jc w:val="both"/>
        <w:rPr>
          <w:rFonts w:ascii="Book Antiqua" w:eastAsia="Times New Roman" w:hAnsi="Book Antiqua" w:cs="Times New Roman"/>
          <w:color w:val="000000"/>
          <w:sz w:val="24"/>
          <w:szCs w:val="24"/>
        </w:rPr>
      </w:pPr>
      <w:r w:rsidRPr="007E45A8">
        <w:rPr>
          <w:rFonts w:ascii="Book Antiqua" w:eastAsia="Times New Roman" w:hAnsi="Book Antiqua" w:cs="Times New Roman"/>
          <w:color w:val="000000"/>
          <w:sz w:val="24"/>
          <w:szCs w:val="24"/>
        </w:rPr>
        <w:t xml:space="preserve">This study uses the presence of Monday and Friday to deter any negative effects that occur during the pandemic. Because Mondays and Fridays are the days of the week for which the psychological literature offers the most specific predictions, the major study focuses just on these two days. According to the psychological literature, investor mood rises on Thursdays and Fridays and drops on Mondays </w:t>
      </w:r>
      <w:r w:rsidRPr="007E45A8">
        <w:rPr>
          <w:rFonts w:ascii="Book Antiqua" w:eastAsia="Times New Roman" w:hAnsi="Book Antiqua" w:cs="Times New Roman"/>
          <w:color w:val="000000"/>
          <w:sz w:val="24"/>
          <w:szCs w:val="24"/>
        </w:rPr>
        <w:fldChar w:fldCharType="begin" w:fldLock="1"/>
      </w:r>
      <w:r w:rsidRPr="007E45A8">
        <w:rPr>
          <w:rFonts w:ascii="Book Antiqua" w:eastAsia="Times New Roman" w:hAnsi="Book Antiqua" w:cs="Times New Roman"/>
          <w:color w:val="000000"/>
          <w:sz w:val="24"/>
          <w:szCs w:val="24"/>
        </w:rPr>
        <w:instrText>ADDIN CSL_CITATION {"citationItems":[{"id":"ITEM-1","itemData":{"DOI":"10.1016/j.jfineco.2018.06.008","ISSN":"0304405X","abstract":"Long-short anomaly returns are strongly related to the day of the week. Anomalies for which the speculative leg is the short (long) leg experience the highest (lowest) returns on Monday. The opposite pattern is observed on Friday. The effects are large. Monday (Friday) alone accounts for over 100% of returns for all anomalies examined for which the short (long) leg is the speculative leg. Consistent with a mispricing explanation, the pattern is driven by the speculative leg. The observed patterns are consistent with the abundance of evidence in the psychology literature that mood increases on Friday and decreases on Monday.","author":[{"dropping-particle":"","family":"Birru","given":"Justin","non-dropping-particle":"","parse-names":false,"suffix":""}],"container-title":"Journal of Financial Economics","id":"ITEM-1","issue":"1","issued":{"date-parts":[["2018"]]},"page":"182-214","publisher":"Elsevier B.V.","title":"Day of the week and the cross-section of returns","type":"article-journal","volume":"130"},"uris":["http://www.mendeley.com/documents/?uuid=a53142a0-7a71-4ae5-bf52-1df35261e489"]}],"mendeley":{"formattedCitation":"(Birru, 2018)","plainTextFormattedCitation":"(Birru, 2018)","previouslyFormattedCitation":"(Birru, 2018)"},"properties":{"noteIndex":0},"schema":"https://github.com/citation-style-language/schema/raw/master/csl-citation.json"}</w:instrText>
      </w:r>
      <w:r w:rsidRPr="007E45A8">
        <w:rPr>
          <w:rFonts w:ascii="Book Antiqua" w:eastAsia="Times New Roman" w:hAnsi="Book Antiqua" w:cs="Times New Roman"/>
          <w:color w:val="000000"/>
          <w:sz w:val="24"/>
          <w:szCs w:val="24"/>
        </w:rPr>
        <w:fldChar w:fldCharType="separate"/>
      </w:r>
      <w:r w:rsidRPr="007E45A8">
        <w:rPr>
          <w:rFonts w:ascii="Book Antiqua" w:eastAsia="Times New Roman" w:hAnsi="Book Antiqua" w:cs="Times New Roman"/>
          <w:noProof/>
          <w:color w:val="000000"/>
          <w:sz w:val="24"/>
          <w:szCs w:val="24"/>
        </w:rPr>
        <w:t>(Birru, 2018)</w:t>
      </w:r>
      <w:r w:rsidRPr="007E45A8">
        <w:rPr>
          <w:rFonts w:ascii="Book Antiqua" w:eastAsia="Times New Roman" w:hAnsi="Book Antiqua" w:cs="Times New Roman"/>
          <w:color w:val="000000"/>
          <w:sz w:val="24"/>
          <w:szCs w:val="24"/>
        </w:rPr>
        <w:fldChar w:fldCharType="end"/>
      </w:r>
      <w:r w:rsidRPr="007E45A8">
        <w:rPr>
          <w:rFonts w:ascii="Book Antiqua" w:eastAsia="Times New Roman" w:hAnsi="Book Antiqua" w:cs="Times New Roman"/>
          <w:color w:val="000000"/>
          <w:sz w:val="24"/>
          <w:szCs w:val="24"/>
        </w:rPr>
        <w:t xml:space="preserve">. </w:t>
      </w:r>
      <w:r w:rsidRPr="007E45A8">
        <w:rPr>
          <w:rFonts w:ascii="Book Antiqua" w:eastAsia="Times New Roman" w:hAnsi="Book Antiqua" w:cs="Times New Roman"/>
          <w:color w:val="000000"/>
          <w:sz w:val="24"/>
          <w:szCs w:val="24"/>
        </w:rPr>
        <w:fldChar w:fldCharType="begin" w:fldLock="1"/>
      </w:r>
      <w:r w:rsidRPr="007E45A8">
        <w:rPr>
          <w:rFonts w:ascii="Book Antiqua" w:eastAsia="Times New Roman" w:hAnsi="Book Antiqua" w:cs="Times New Roman"/>
          <w:color w:val="000000"/>
          <w:sz w:val="24"/>
          <w:szCs w:val="24"/>
        </w:rPr>
        <w:instrText>ADDIN CSL_CITATION {"citationItems":[{"id":"ITEM-1","itemData":{"DOI":"10.1016/0304-405X(86)90011-5","ISSN":"0304405X","abstract":"This study examines day-of-the-week effects using hourly values of the Dow Jones Industrial Average. We find that over the 1963-1983 period the weekend effect has sifted from characterizing active trading on Monday to characterizing the non-trading weekend. Over the early part of our sample period negative returns characterize each hour of trading on Monday, while the return from Friday close to Monday open is positive. In the most recent subperiod, Monday average hourly returns after noon are all positive and the weekend effect is due to negative average returns from Friday close to Monday open. © 1986.","author":[{"dropping-particle":"","family":"Smirlock","given":"Michael","non-dropping-particle":"","parse-names":false,"suffix":""},{"dropping-particle":"","family":"Starks","given":"Laura","non-dropping-particle":"","parse-names":false,"suffix":""}],"container-title":"Journal of Financial Economics","id":"ITEM-1","issue":"1","issued":{"date-parts":[["1986"]]},"page":"197-210","title":"Day-of-the-week and intraday effects in stock returns","type":"article-journal","volume":"17"},"uris":["http://www.mendeley.com/documents/?uuid=fc184750-ffd8-41af-9411-074a6ed414c2"]}],"mendeley":{"formattedCitation":"(Smirlock &amp; Starks, 1986)","manualFormatting":"Smirlock &amp; Starks (1986)","plainTextFormattedCitation":"(Smirlock &amp; Starks, 1986)","previouslyFormattedCitation":"(Smirlock &amp; Starks, 1986)"},"properties":{"noteIndex":0},"schema":"https://github.com/citation-style-language/schema/raw/master/csl-citation.json"}</w:instrText>
      </w:r>
      <w:r w:rsidRPr="007E45A8">
        <w:rPr>
          <w:rFonts w:ascii="Book Antiqua" w:eastAsia="Times New Roman" w:hAnsi="Book Antiqua" w:cs="Times New Roman"/>
          <w:color w:val="000000"/>
          <w:sz w:val="24"/>
          <w:szCs w:val="24"/>
        </w:rPr>
        <w:fldChar w:fldCharType="separate"/>
      </w:r>
      <w:r w:rsidRPr="007E45A8">
        <w:rPr>
          <w:rFonts w:ascii="Book Antiqua" w:eastAsia="Times New Roman" w:hAnsi="Book Antiqua" w:cs="Times New Roman"/>
          <w:noProof/>
          <w:color w:val="000000"/>
          <w:sz w:val="24"/>
          <w:szCs w:val="24"/>
        </w:rPr>
        <w:t>Smirlock &amp; Starks (1986)</w:t>
      </w:r>
      <w:r w:rsidRPr="007E45A8">
        <w:rPr>
          <w:rFonts w:ascii="Book Antiqua" w:eastAsia="Times New Roman" w:hAnsi="Book Antiqua" w:cs="Times New Roman"/>
          <w:color w:val="000000"/>
          <w:sz w:val="24"/>
          <w:szCs w:val="24"/>
        </w:rPr>
        <w:fldChar w:fldCharType="end"/>
      </w:r>
      <w:r w:rsidRPr="007E45A8">
        <w:rPr>
          <w:rFonts w:ascii="Book Antiqua" w:eastAsia="Times New Roman" w:hAnsi="Book Antiqua" w:cs="Times New Roman"/>
          <w:color w:val="000000"/>
          <w:sz w:val="24"/>
          <w:szCs w:val="24"/>
        </w:rPr>
        <w:t xml:space="preserve"> proves that the average return on Monday was notably negative. The average return on Monday was significantly lower than other daily returns </w:t>
      </w:r>
      <w:r w:rsidRPr="007E45A8">
        <w:rPr>
          <w:rFonts w:ascii="Book Antiqua" w:eastAsia="Times New Roman" w:hAnsi="Book Antiqua" w:cs="Times New Roman"/>
          <w:color w:val="000000"/>
          <w:sz w:val="24"/>
          <w:szCs w:val="24"/>
        </w:rPr>
        <w:fldChar w:fldCharType="begin" w:fldLock="1"/>
      </w:r>
      <w:r w:rsidRPr="007E45A8">
        <w:rPr>
          <w:rFonts w:ascii="Book Antiqua" w:eastAsia="Times New Roman" w:hAnsi="Book Antiqua" w:cs="Times New Roman"/>
          <w:color w:val="000000"/>
          <w:sz w:val="24"/>
          <w:szCs w:val="24"/>
        </w:rPr>
        <w:instrText>ADDIN CSL_CITATION {"citationItems":[{"id":"ITEM-1","itemData":{"DOI":"10.1177/0971890719990209","ISSN":"0971-8907","abstract":"Identification of the day of the week effect in the capital market can be of immense help for an investor to reap handsomely from investment in the stock market. Various studies undertaken on capital markets of the developed countries have identified ‘the Monday effect’. “Is there any such effect in the Indian capital market?” To find an answer to this question is the motivating factor for our study. This study has been done by considering two different indices and is divided into three sections. Section I deals with the literature pertaining to earlier studies undertaken by different researchers. Section II discusses the methodology of our study and section III elaborately provides the results obtained. Use of vital non parametric test and Dunn's multiple pair comparison test infer the presence of seasonal effect, i.e., returns on Friday are the highest in the Indian capital market.","author":[{"dropping-particle":"","family":"Mishra","given":"DR. Bishnupriya","non-dropping-particle":"","parse-names":false,"suffix":""}],"container-title":"Paradigm","id":"ITEM-1","issue":"2","issued":{"date-parts":[["1999"]]},"page":"57-64","title":"Presence of Friday Effect in the Indian Stock Market","type":"article-journal","volume":"3"},"uris":["http://www.mendeley.com/documents/?uuid=f1eb69a3-b1a7-41fe-baee-cf54be331cad"]}],"mendeley":{"formattedCitation":"(Mishra, 1999)","plainTextFormattedCitation":"(Mishra, 1999)","previouslyFormattedCitation":"(Mishra, 1999)"},"properties":{"noteIndex":0},"schema":"https://github.com/citation-style-language/schema/raw/master/csl-citation.json"}</w:instrText>
      </w:r>
      <w:r w:rsidRPr="007E45A8">
        <w:rPr>
          <w:rFonts w:ascii="Book Antiqua" w:eastAsia="Times New Roman" w:hAnsi="Book Antiqua" w:cs="Times New Roman"/>
          <w:color w:val="000000"/>
          <w:sz w:val="24"/>
          <w:szCs w:val="24"/>
        </w:rPr>
        <w:fldChar w:fldCharType="separate"/>
      </w:r>
      <w:r w:rsidRPr="007E45A8">
        <w:rPr>
          <w:rFonts w:ascii="Book Antiqua" w:eastAsia="Times New Roman" w:hAnsi="Book Antiqua" w:cs="Times New Roman"/>
          <w:noProof/>
          <w:color w:val="000000"/>
          <w:sz w:val="24"/>
          <w:szCs w:val="24"/>
        </w:rPr>
        <w:t>(Mishra, 1999)</w:t>
      </w:r>
      <w:r w:rsidRPr="007E45A8">
        <w:rPr>
          <w:rFonts w:ascii="Book Antiqua" w:eastAsia="Times New Roman" w:hAnsi="Book Antiqua" w:cs="Times New Roman"/>
          <w:color w:val="000000"/>
          <w:sz w:val="24"/>
          <w:szCs w:val="24"/>
        </w:rPr>
        <w:fldChar w:fldCharType="end"/>
      </w:r>
      <w:r w:rsidRPr="007E45A8">
        <w:rPr>
          <w:rFonts w:ascii="Book Antiqua" w:eastAsia="Times New Roman" w:hAnsi="Book Antiqua" w:cs="Times New Roman"/>
          <w:color w:val="000000"/>
          <w:sz w:val="24"/>
          <w:szCs w:val="24"/>
        </w:rPr>
        <w:t xml:space="preserve">. Meanwhile, various study proves that Friday affects higher return on stock returns due to weekend mood </w:t>
      </w:r>
      <w:r w:rsidRPr="007E45A8">
        <w:rPr>
          <w:rFonts w:ascii="Book Antiqua" w:eastAsia="Times New Roman" w:hAnsi="Book Antiqua" w:cs="Times New Roman"/>
          <w:color w:val="000000"/>
          <w:sz w:val="24"/>
          <w:szCs w:val="24"/>
        </w:rPr>
        <w:fldChar w:fldCharType="begin" w:fldLock="1"/>
      </w:r>
      <w:r w:rsidRPr="007E45A8">
        <w:rPr>
          <w:rFonts w:ascii="Book Antiqua" w:eastAsia="Times New Roman" w:hAnsi="Book Antiqua" w:cs="Times New Roman"/>
          <w:color w:val="000000"/>
          <w:sz w:val="24"/>
          <w:szCs w:val="24"/>
        </w:rPr>
        <w:instrText>ADDIN CSL_CITATION {"citationItems":[{"id":"ITEM-1","itemData":{"DOI":"10.1016/j.jfineco.2018.06.008","ISSN":"0304405X","abstract":"Long-short anomaly returns are strongly related to the day of the week. Anomalies for which the speculative leg is the short (long) leg experience the highest (lowest) returns on Monday. The opposite pattern is observed on Friday. The effects are large. Monday (Friday) alone accounts for over 100% of returns for all anomalies examined for which the short (long) leg is the speculative leg. Consistent with a mispricing explanation, the pattern is driven by the speculative leg. The observed patterns are consistent with the abundance of evidence in the psychology literature that mood increases on Friday and decreases on Monday.","author":[{"dropping-particle":"","family":"Birru","given":"Justin","non-dropping-particle":"","parse-names":false,"suffix":""}],"container-title":"Journal of Financial Economics","id":"ITEM-1","issue":"1","issued":{"date-parts":[["2018"]]},"page":"182-214","publisher":"Elsevier B.V.","title":"Day of the week and the cross-section of returns","type":"article-journal","volume":"130"},"uris":["http://www.mendeley.com/documents/?uuid=a53142a0-7a71-4ae5-bf52-1df35261e489"]}],"mendeley":{"formattedCitation":"(Birru, 2018)","plainTextFormattedCitation":"(Birru, 2018)","previouslyFormattedCitation":"(Birru, 2018)"},"properties":{"noteIndex":0},"schema":"https://github.com/citation-style-language/schema/raw/master/csl-citation.json"}</w:instrText>
      </w:r>
      <w:r w:rsidRPr="007E45A8">
        <w:rPr>
          <w:rFonts w:ascii="Book Antiqua" w:eastAsia="Times New Roman" w:hAnsi="Book Antiqua" w:cs="Times New Roman"/>
          <w:color w:val="000000"/>
          <w:sz w:val="24"/>
          <w:szCs w:val="24"/>
        </w:rPr>
        <w:fldChar w:fldCharType="separate"/>
      </w:r>
      <w:r w:rsidRPr="007E45A8">
        <w:rPr>
          <w:rFonts w:ascii="Book Antiqua" w:eastAsia="Times New Roman" w:hAnsi="Book Antiqua" w:cs="Times New Roman"/>
          <w:noProof/>
          <w:color w:val="000000"/>
          <w:sz w:val="24"/>
          <w:szCs w:val="24"/>
        </w:rPr>
        <w:t>(Birru, 2018)</w:t>
      </w:r>
      <w:r w:rsidRPr="007E45A8">
        <w:rPr>
          <w:rFonts w:ascii="Book Antiqua" w:eastAsia="Times New Roman" w:hAnsi="Book Antiqua" w:cs="Times New Roman"/>
          <w:color w:val="000000"/>
          <w:sz w:val="24"/>
          <w:szCs w:val="24"/>
        </w:rPr>
        <w:fldChar w:fldCharType="end"/>
      </w:r>
      <w:r w:rsidRPr="007E45A8">
        <w:rPr>
          <w:rFonts w:ascii="Book Antiqua" w:eastAsia="Times New Roman" w:hAnsi="Book Antiqua" w:cs="Times New Roman"/>
          <w:color w:val="000000"/>
          <w:sz w:val="24"/>
          <w:szCs w:val="24"/>
        </w:rPr>
        <w:t xml:space="preserve">. However, events are still the main influence that can shake the stock market. The study by </w:t>
      </w:r>
      <w:r w:rsidRPr="007E45A8">
        <w:rPr>
          <w:rFonts w:ascii="Book Antiqua" w:eastAsia="Times New Roman" w:hAnsi="Book Antiqua" w:cs="Times New Roman"/>
          <w:color w:val="000000"/>
          <w:sz w:val="24"/>
          <w:szCs w:val="24"/>
        </w:rPr>
        <w:fldChar w:fldCharType="begin" w:fldLock="1"/>
      </w:r>
      <w:r w:rsidR="002B28EF">
        <w:rPr>
          <w:rFonts w:ascii="Book Antiqua" w:eastAsia="Times New Roman" w:hAnsi="Book Antiqua" w:cs="Times New Roman"/>
          <w:color w:val="000000"/>
          <w:sz w:val="24"/>
          <w:szCs w:val="24"/>
        </w:rPr>
        <w:instrText>ADDIN CSL_CITATION {"citationItems":[{"id":"ITEM-1","itemData":{"DOI":"10.14414/jebav.v24i1.2574","ISSN":"2087-3735","abstract":"This study examines the Coronavirus disease (COVID-19) on stock returns. The independent variables are daily new deaths and daily new cases. The sample that uses in this study is financial sector, one of the most crucial sectors in an economy. Total sample is 22,930 observations during the period from March to December in 2020. This study uses unbalanced panel data and multiple regression to prove those hypotheses. The result shows that the Coronavirus disease (COVID-19) hurt on stock returns. Investors feel anxious and frightened to hear the news regarding the increasing number of deaths and the number of new cases. Investors prefer to delay investment until the capital market returns to normal. Furthermore, during the pandemic period, Friday's effect may reduce losses from stock returns. The implication of this study is that an increase in the number of deaths and the number of new cases can reduce stock returns. The government needs to suppress bad news circulating in the mass media in order to reduce investor anxiety.  ","author":[{"dropping-particle":"","family":"Robin","given":"Robin","non-dropping-particle":"","parse-names":false,"suffix":""}],"container-title":"Journal of Economics, Business, &amp; Accountancy Ventura","id":"ITEM-1","issue":"1","issued":{"date-parts":[["2021"]]},"page":"95","title":"Death Infectious: Impact of the Coronavirus Disease (COVID-19) on Stock Returns","type":"article-journal","volume":"24"},"uris":["http://www.mendeley.com/documents/?uuid=4902fe4d-8669-423e-b721-e58fefc737b7"]}],"mendeley":{"formattedCitation":"(Robin, 2021)","manualFormatting":"Robin (2021)","plainTextFormattedCitation":"(Robin, 2021)","previouslyFormattedCitation":"(Robin, 2021)"},"properties":{"noteIndex":0},"schema":"https://github.com/citation-style-language/schema/raw/master/csl-citation.json"}</w:instrText>
      </w:r>
      <w:r w:rsidRPr="007E45A8">
        <w:rPr>
          <w:rFonts w:ascii="Book Antiqua" w:eastAsia="Times New Roman" w:hAnsi="Book Antiqua" w:cs="Times New Roman"/>
          <w:color w:val="000000"/>
          <w:sz w:val="24"/>
          <w:szCs w:val="24"/>
        </w:rPr>
        <w:fldChar w:fldCharType="separate"/>
      </w:r>
      <w:r w:rsidRPr="007E45A8">
        <w:rPr>
          <w:rFonts w:ascii="Book Antiqua" w:eastAsia="Times New Roman" w:hAnsi="Book Antiqua" w:cs="Times New Roman"/>
          <w:noProof/>
          <w:color w:val="000000"/>
          <w:sz w:val="24"/>
          <w:szCs w:val="24"/>
        </w:rPr>
        <w:t xml:space="preserve">Robin </w:t>
      </w:r>
      <w:r w:rsidR="002B28EF">
        <w:rPr>
          <w:rFonts w:ascii="Book Antiqua" w:eastAsia="Times New Roman" w:hAnsi="Book Antiqua" w:cs="Times New Roman"/>
          <w:noProof/>
          <w:color w:val="000000"/>
          <w:sz w:val="24"/>
          <w:szCs w:val="24"/>
        </w:rPr>
        <w:t>(</w:t>
      </w:r>
      <w:r w:rsidRPr="007E45A8">
        <w:rPr>
          <w:rFonts w:ascii="Book Antiqua" w:eastAsia="Times New Roman" w:hAnsi="Book Antiqua" w:cs="Times New Roman"/>
          <w:noProof/>
          <w:color w:val="000000"/>
          <w:sz w:val="24"/>
          <w:szCs w:val="24"/>
        </w:rPr>
        <w:t>2021)</w:t>
      </w:r>
      <w:r w:rsidRPr="007E45A8">
        <w:rPr>
          <w:rFonts w:ascii="Book Antiqua" w:eastAsia="Times New Roman" w:hAnsi="Book Antiqua" w:cs="Times New Roman"/>
          <w:color w:val="000000"/>
          <w:sz w:val="24"/>
          <w:szCs w:val="24"/>
        </w:rPr>
        <w:fldChar w:fldCharType="end"/>
      </w:r>
      <w:r w:rsidRPr="007E45A8">
        <w:rPr>
          <w:rFonts w:ascii="Book Antiqua" w:eastAsia="Times New Roman" w:hAnsi="Book Antiqua" w:cs="Times New Roman"/>
          <w:color w:val="000000"/>
          <w:sz w:val="24"/>
          <w:szCs w:val="24"/>
        </w:rPr>
        <w:t xml:space="preserve"> proved that investors lose their </w:t>
      </w:r>
      <w:r w:rsidRPr="007E45A8">
        <w:rPr>
          <w:rFonts w:ascii="Book Antiqua" w:eastAsia="Times New Roman" w:hAnsi="Book Antiqua" w:cs="Times New Roman"/>
          <w:color w:val="000000"/>
          <w:sz w:val="24"/>
          <w:szCs w:val="24"/>
        </w:rPr>
        <w:lastRenderedPageBreak/>
        <w:t>investment in stocks every day including Friday during the pandemic situation. Therefore, the hypothesis developed as follows:</w:t>
      </w:r>
    </w:p>
    <w:p w14:paraId="14CEB71E"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p>
    <w:p w14:paraId="5953A834"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r w:rsidRPr="00B07C46">
        <w:rPr>
          <w:rFonts w:ascii="Book Antiqua" w:eastAsia="Times New Roman" w:hAnsi="Book Antiqua" w:cs="Times New Roman"/>
          <w:color w:val="000000"/>
          <w:sz w:val="24"/>
          <w:szCs w:val="24"/>
        </w:rPr>
        <w:t>H2: The moderating effect of Monday have a negative effect on stock returns</w:t>
      </w:r>
    </w:p>
    <w:p w14:paraId="7968B678" w14:textId="0E44CB1E"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r w:rsidRPr="00B07C46">
        <w:rPr>
          <w:rFonts w:ascii="Book Antiqua" w:eastAsia="Times New Roman" w:hAnsi="Book Antiqua" w:cs="Times New Roman"/>
          <w:color w:val="000000"/>
          <w:sz w:val="24"/>
          <w:szCs w:val="24"/>
        </w:rPr>
        <w:t>H3: The moderating effect of Friday also affect stock returns</w:t>
      </w:r>
      <w:r w:rsidR="002B28EF">
        <w:rPr>
          <w:rFonts w:ascii="Book Antiqua" w:eastAsia="Times New Roman" w:hAnsi="Book Antiqua" w:cs="Times New Roman"/>
          <w:color w:val="000000"/>
          <w:sz w:val="24"/>
          <w:szCs w:val="24"/>
        </w:rPr>
        <w:t xml:space="preserve"> </w:t>
      </w:r>
      <w:r w:rsidR="002B28EF" w:rsidRPr="00B07C46">
        <w:rPr>
          <w:rFonts w:ascii="Book Antiqua" w:eastAsia="Times New Roman" w:hAnsi="Book Antiqua" w:cs="Times New Roman"/>
          <w:color w:val="000000"/>
          <w:sz w:val="24"/>
          <w:szCs w:val="24"/>
        </w:rPr>
        <w:t>negatively</w:t>
      </w:r>
    </w:p>
    <w:p w14:paraId="4D27276C" w14:textId="77777777" w:rsidR="00AB6940" w:rsidRPr="00B07C46" w:rsidRDefault="00AB6940" w:rsidP="006F084E">
      <w:pPr>
        <w:spacing w:after="0" w:line="240" w:lineRule="auto"/>
        <w:ind w:firstLine="567"/>
        <w:jc w:val="both"/>
        <w:rPr>
          <w:rFonts w:ascii="Book Antiqua" w:eastAsia="Times New Roman" w:hAnsi="Book Antiqua" w:cs="Times New Roman"/>
          <w:color w:val="000000"/>
          <w:sz w:val="24"/>
          <w:szCs w:val="24"/>
          <w:shd w:val="clear" w:color="auto" w:fill="FFFFFF"/>
        </w:rPr>
      </w:pPr>
    </w:p>
    <w:p w14:paraId="062E3730" w14:textId="77777777" w:rsidR="00B35125" w:rsidRPr="00B07C46" w:rsidRDefault="00B35125" w:rsidP="006F084E">
      <w:pPr>
        <w:spacing w:after="0" w:line="240" w:lineRule="auto"/>
        <w:ind w:firstLine="567"/>
        <w:jc w:val="both"/>
        <w:rPr>
          <w:rFonts w:ascii="Book Antiqua" w:eastAsia="Times New Roman" w:hAnsi="Book Antiqua" w:cs="Times New Roman"/>
          <w:sz w:val="24"/>
          <w:szCs w:val="24"/>
        </w:rPr>
      </w:pPr>
    </w:p>
    <w:p w14:paraId="3607EB14" w14:textId="174E1445" w:rsidR="00B136FE" w:rsidRPr="00B07C46" w:rsidRDefault="000A084C" w:rsidP="003830D1">
      <w:pPr>
        <w:pStyle w:val="ListParagraph"/>
        <w:numPr>
          <w:ilvl w:val="0"/>
          <w:numId w:val="2"/>
        </w:numPr>
        <w:spacing w:after="0" w:line="240" w:lineRule="auto"/>
        <w:ind w:left="567" w:hanging="567"/>
        <w:rPr>
          <w:rFonts w:ascii="Book Antiqua" w:eastAsia="Times New Roman" w:hAnsi="Book Antiqua" w:cstheme="minorHAnsi"/>
          <w:b/>
          <w:sz w:val="28"/>
          <w:szCs w:val="28"/>
        </w:rPr>
      </w:pPr>
      <w:r w:rsidRPr="00B07C46">
        <w:rPr>
          <w:rFonts w:ascii="Book Antiqua" w:eastAsia="Times New Roman" w:hAnsi="Book Antiqua" w:cstheme="minorHAnsi"/>
          <w:b/>
          <w:sz w:val="28"/>
          <w:szCs w:val="28"/>
        </w:rPr>
        <w:t>Research Methods</w:t>
      </w:r>
    </w:p>
    <w:p w14:paraId="18DB4119" w14:textId="2E5D0BBD" w:rsidR="00AB6940" w:rsidRPr="00B07C46" w:rsidRDefault="00AB6940" w:rsidP="00AB6940">
      <w:pPr>
        <w:spacing w:before="120" w:after="120" w:line="240" w:lineRule="auto"/>
        <w:jc w:val="both"/>
        <w:rPr>
          <w:rFonts w:ascii="Book Antiqua" w:eastAsia="Times New Roman" w:hAnsi="Book Antiqua" w:cs="Times New Roman"/>
          <w:color w:val="000000"/>
          <w:sz w:val="20"/>
          <w:szCs w:val="20"/>
        </w:rPr>
      </w:pPr>
    </w:p>
    <w:p w14:paraId="24DA660E" w14:textId="1877917B"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r w:rsidRPr="00B07C46">
        <w:rPr>
          <w:rFonts w:ascii="Book Antiqua" w:eastAsia="Times New Roman" w:hAnsi="Book Antiqua" w:cs="Times New Roman"/>
          <w:color w:val="000000"/>
          <w:sz w:val="24"/>
          <w:szCs w:val="24"/>
        </w:rPr>
        <w:t xml:space="preserve">This study aims to examine the relationship of the COVID-19 outbreak to stock returns in Indonesia and Malaysia. The data of companies included in the Indonesia Stock Exchange (IDX) and Bursa Malaysia (MYX) over the period from the COVID-19 was confirmed (March and January respectively) until December 2020. Data were obtained from Yahoo Finance </w:t>
      </w:r>
      <w:r w:rsidR="007917A4">
        <w:rPr>
          <w:rFonts w:ascii="Book Antiqua" w:eastAsia="Times New Roman" w:hAnsi="Book Antiqua" w:cs="Times New Roman"/>
          <w:color w:val="000000"/>
          <w:sz w:val="24"/>
          <w:szCs w:val="24"/>
        </w:rPr>
        <w:t>which includes</w:t>
      </w:r>
      <w:r w:rsidRPr="00B07C46">
        <w:rPr>
          <w:rFonts w:ascii="Book Antiqua" w:eastAsia="Times New Roman" w:hAnsi="Book Antiqua" w:cs="Times New Roman"/>
          <w:color w:val="000000"/>
          <w:sz w:val="24"/>
          <w:szCs w:val="24"/>
        </w:rPr>
        <w:t xml:space="preserve"> the stock prices and trading volume with 141.585 observations and 725 stocks for Indonesia also 219.381 observations and 968 stocks for Malaysia. We also obtained the exchange rates of IDR and MYR to USD from Bank Indonesia and Bursa Negara Malaysia respectively. Lastly, we obtained the COVID-19 include of daily confirmed cases and daily death cases data from Our World in Data.</w:t>
      </w:r>
    </w:p>
    <w:p w14:paraId="6989DE88"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p>
    <w:p w14:paraId="692AF121" w14:textId="20B6B4A8"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r w:rsidRPr="00B07C46">
        <w:rPr>
          <w:rFonts w:ascii="Book Antiqua" w:eastAsia="Times New Roman" w:hAnsi="Book Antiqua" w:cs="Times New Roman"/>
          <w:color w:val="000000"/>
          <w:sz w:val="24"/>
          <w:szCs w:val="24"/>
        </w:rPr>
        <w:t xml:space="preserve">This study unbalanced panel data to avoid a drastically reduced number of samples </w:t>
      </w:r>
      <w:r w:rsidRPr="00B07C46">
        <w:rPr>
          <w:rFonts w:ascii="Book Antiqua" w:eastAsia="Times New Roman" w:hAnsi="Book Antiqua" w:cs="Times New Roman"/>
          <w:color w:val="000000"/>
          <w:sz w:val="24"/>
          <w:szCs w:val="24"/>
        </w:rPr>
        <w:fldChar w:fldCharType="begin" w:fldLock="1"/>
      </w:r>
      <w:r w:rsidRPr="00B07C46">
        <w:rPr>
          <w:rFonts w:ascii="Book Antiqua" w:eastAsia="Times New Roman" w:hAnsi="Book Antiqua" w:cs="Times New Roman"/>
          <w:color w:val="000000"/>
          <w:sz w:val="24"/>
          <w:szCs w:val="24"/>
        </w:rPr>
        <w:instrText>ADDIN CSL_CITATION {"citationItems":[{"id":"ITEM-1","itemData":{"DOI":"10.14414/jebav.v24i1.2574","ISSN":"2087-3735","abstract":"This study examines the Coronavirus disease (COVID-19) on stock returns. The independent variables are daily new deaths and daily new cases. The sample that uses in this study is financial sector, one of the most crucial sectors in an economy. Total sample is 22,930 observations during the period from March to December in 2020. This study uses unbalanced panel data and multiple regression to prove those hypotheses. The result shows that the Coronavirus disease (COVID-19) hurt on stock returns. Investors feel anxious and frightened to hear the news regarding the increasing number of deaths and the number of new cases. Investors prefer to delay investment until the capital market returns to normal. Furthermore, during the pandemic period, Friday's effect may reduce losses from stock returns. The implication of this study is that an increase in the number of deaths and the number of new cases can reduce stock returns. The government needs to suppress bad news circulating in the mass media in order to reduce investor anxiety.  ","author":[{"dropping-particle":"","family":"Robin","given":"Robin","non-dropping-particle":"","parse-names":false,"suffix":""}],"container-title":"Journal of Economics, Business, &amp; Accountancy Ventura","id":"ITEM-1","issue":"1","issued":{"date-parts":[["2021"]]},"page":"95","title":"Death Infectious: Impact of the Coronavirus Disease (COVID-19) on Stock Returns","type":"article-journal","volume":"24"},"uris":["http://www.mendeley.com/documents/?uuid=4902fe4d-8669-423e-b721-e58fefc737b7"]}],"mendeley":{"formattedCitation":"(Robin, 2021)","plainTextFormattedCitation":"(Robin, 2021)","previouslyFormattedCitation":"(Robin, 2021)"},"properties":{"noteIndex":0},"schema":"https://github.com/citation-style-language/schema/raw/master/csl-citation.json"}</w:instrText>
      </w:r>
      <w:r w:rsidRPr="00B07C46">
        <w:rPr>
          <w:rFonts w:ascii="Book Antiqua" w:eastAsia="Times New Roman" w:hAnsi="Book Antiqua" w:cs="Times New Roman"/>
          <w:color w:val="000000"/>
          <w:sz w:val="24"/>
          <w:szCs w:val="24"/>
        </w:rPr>
        <w:fldChar w:fldCharType="separate"/>
      </w:r>
      <w:r w:rsidRPr="00B07C46">
        <w:rPr>
          <w:rFonts w:ascii="Book Antiqua" w:eastAsia="Times New Roman" w:hAnsi="Book Antiqua" w:cs="Times New Roman"/>
          <w:noProof/>
          <w:color w:val="000000"/>
          <w:sz w:val="24"/>
          <w:szCs w:val="24"/>
        </w:rPr>
        <w:t>(Robin, 2021)</w:t>
      </w:r>
      <w:r w:rsidRPr="00B07C46">
        <w:rPr>
          <w:rFonts w:ascii="Book Antiqua" w:eastAsia="Times New Roman" w:hAnsi="Book Antiqua" w:cs="Times New Roman"/>
          <w:color w:val="000000"/>
          <w:sz w:val="24"/>
          <w:szCs w:val="24"/>
        </w:rPr>
        <w:fldChar w:fldCharType="end"/>
      </w:r>
      <w:r w:rsidRPr="00B07C46">
        <w:rPr>
          <w:rFonts w:ascii="Book Antiqua" w:eastAsia="Times New Roman" w:hAnsi="Book Antiqua" w:cs="Times New Roman"/>
          <w:color w:val="000000"/>
          <w:sz w:val="24"/>
          <w:szCs w:val="24"/>
        </w:rPr>
        <w:t xml:space="preserve">. </w:t>
      </w:r>
      <w:r w:rsidR="001953C9">
        <w:rPr>
          <w:rFonts w:ascii="Book Antiqua" w:eastAsia="Times New Roman" w:hAnsi="Book Antiqua" w:cs="Times New Roman"/>
          <w:color w:val="000000"/>
          <w:sz w:val="24"/>
          <w:szCs w:val="24"/>
        </w:rPr>
        <w:fldChar w:fldCharType="begin" w:fldLock="1"/>
      </w:r>
      <w:r w:rsidR="00C70350">
        <w:rPr>
          <w:rFonts w:ascii="Book Antiqua" w:eastAsia="Times New Roman" w:hAnsi="Book Antiqua" w:cs="Times New Roman"/>
          <w:color w:val="000000"/>
          <w:sz w:val="24"/>
          <w:szCs w:val="24"/>
        </w:rPr>
        <w:instrText>ADDIN CSL_CITATION {"citationItems":[{"id":"ITEM-1","itemData":{"ISBN":"9780470014561","abstract":"This new edition of this established textbook reflects the rapid developments in the field covering the vast research that has been conducted on panel data since its initial publication. The book is packed with the most recent empirical examples from panel data literature, for example, a simultaneous equation on Crime will be added to chapter 7, which will be illustrated with STATA. Data sets will be provided as well as the programs to implement the estimation and testing procedures described in the book on the web site. Additional exercises will be added to each chapter and their solutions will be provided on the web site. The text has also been fully updated with new material on dynamic panel data models and recent results on non-linear panel models and in particular work on limited dependent variables panel data models.","author":[{"dropping-particle":"","family":"Baltagi","given":"B","non-dropping-particle":"","parse-names":false,"suffix":""}],"container-title":"Springer International Publishing","id":"ITEM-1","issued":{"date-parts":[["2021"]]},"number-of-pages":"424","publisher":"Springer International Publishing","publisher-place":"Switzerland","title":"Econometric Analysis of Panel Data","type":"book"},"uris":["http://www.mendeley.com/documents/?uuid=5ff88c13-247b-4d98-8c33-8021a309b117"]}],"mendeley":{"formattedCitation":"(Baltagi, 2021)","plainTextFormattedCitation":"(Baltagi, 2021)","previouslyFormattedCitation":"(Baltagi, 2021)"},"properties":{"noteIndex":0},"schema":"https://github.com/citation-style-language/schema/raw/master/csl-citation.json"}</w:instrText>
      </w:r>
      <w:r w:rsidR="001953C9">
        <w:rPr>
          <w:rFonts w:ascii="Book Antiqua" w:eastAsia="Times New Roman" w:hAnsi="Book Antiqua" w:cs="Times New Roman"/>
          <w:color w:val="000000"/>
          <w:sz w:val="24"/>
          <w:szCs w:val="24"/>
        </w:rPr>
        <w:fldChar w:fldCharType="separate"/>
      </w:r>
      <w:r w:rsidR="001953C9" w:rsidRPr="001953C9">
        <w:rPr>
          <w:rFonts w:ascii="Book Antiqua" w:eastAsia="Times New Roman" w:hAnsi="Book Antiqua" w:cs="Times New Roman"/>
          <w:noProof/>
          <w:color w:val="000000"/>
          <w:sz w:val="24"/>
          <w:szCs w:val="24"/>
        </w:rPr>
        <w:t>(Baltagi, 2021)</w:t>
      </w:r>
      <w:r w:rsidR="001953C9">
        <w:rPr>
          <w:rFonts w:ascii="Book Antiqua" w:eastAsia="Times New Roman" w:hAnsi="Book Antiqua" w:cs="Times New Roman"/>
          <w:color w:val="000000"/>
          <w:sz w:val="24"/>
          <w:szCs w:val="24"/>
        </w:rPr>
        <w:fldChar w:fldCharType="end"/>
      </w:r>
      <w:r w:rsidR="001953C9">
        <w:rPr>
          <w:rFonts w:ascii="Book Antiqua" w:eastAsia="Times New Roman" w:hAnsi="Book Antiqua" w:cs="Times New Roman"/>
          <w:color w:val="000000"/>
          <w:sz w:val="24"/>
          <w:szCs w:val="24"/>
        </w:rPr>
        <w:t xml:space="preserve"> </w:t>
      </w:r>
      <w:r w:rsidRPr="00B07C46">
        <w:rPr>
          <w:rFonts w:ascii="Book Antiqua" w:eastAsia="Times New Roman" w:hAnsi="Book Antiqua" w:cs="Times New Roman"/>
          <w:color w:val="000000"/>
          <w:sz w:val="24"/>
          <w:szCs w:val="24"/>
        </w:rPr>
        <w:t>suggest that panel data regression reduces estimation bias and multicollinearity, controls for individual heterogeneity, and identifies the time-varying relationship between dependent and independent variables.</w:t>
      </w:r>
    </w:p>
    <w:p w14:paraId="2F716425"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p>
    <w:p w14:paraId="2C1B9B29" w14:textId="4575B78B" w:rsidR="00AB6940" w:rsidRPr="00B07C46" w:rsidRDefault="00AB6940" w:rsidP="00AB6940">
      <w:pPr>
        <w:spacing w:after="0" w:line="240" w:lineRule="auto"/>
        <w:jc w:val="both"/>
        <w:rPr>
          <w:rFonts w:ascii="Book Antiqua" w:eastAsia="Times New Roman" w:hAnsi="Book Antiqua" w:cs="Times New Roman"/>
          <w:b/>
          <w:bCs/>
          <w:color w:val="000000"/>
          <w:sz w:val="24"/>
          <w:szCs w:val="24"/>
        </w:rPr>
      </w:pPr>
      <w:r w:rsidRPr="00B07C46">
        <w:rPr>
          <w:rFonts w:ascii="Book Antiqua" w:eastAsia="Times New Roman" w:hAnsi="Book Antiqua" w:cs="Times New Roman"/>
          <w:b/>
          <w:bCs/>
          <w:color w:val="000000"/>
          <w:sz w:val="24"/>
          <w:szCs w:val="24"/>
        </w:rPr>
        <w:t>Variables Measurement</w:t>
      </w:r>
    </w:p>
    <w:p w14:paraId="500F39F8" w14:textId="77777777" w:rsidR="000A084C" w:rsidRPr="00B07C46" w:rsidRDefault="000A084C" w:rsidP="00AB6940">
      <w:pPr>
        <w:spacing w:after="0" w:line="240" w:lineRule="auto"/>
        <w:jc w:val="both"/>
        <w:rPr>
          <w:rFonts w:ascii="Book Antiqua" w:eastAsia="Times New Roman" w:hAnsi="Book Antiqua" w:cs="Times New Roman"/>
          <w:b/>
          <w:bCs/>
          <w:color w:val="000000"/>
          <w:sz w:val="24"/>
          <w:szCs w:val="24"/>
        </w:rPr>
      </w:pPr>
    </w:p>
    <w:p w14:paraId="3A1C44D1" w14:textId="0603360F"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r w:rsidRPr="00B07C46">
        <w:rPr>
          <w:rFonts w:ascii="Book Antiqua" w:eastAsia="Times New Roman" w:hAnsi="Book Antiqua" w:cs="Times New Roman"/>
          <w:color w:val="000000"/>
          <w:sz w:val="24"/>
          <w:szCs w:val="24"/>
        </w:rPr>
        <w:t xml:space="preserve">COVID-19 was measured by daily confirmed cases </w:t>
      </w:r>
      <m:oMath>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New</m:t>
            </m:r>
            <m:r>
              <m:rPr>
                <m:sty m:val="p"/>
              </m:rPr>
              <w:rPr>
                <w:rFonts w:ascii="Cambria Math" w:eastAsia="Times New Roman" w:hAnsi="Cambria Math" w:cs="Times New Roman"/>
                <w:color w:val="000000"/>
                <w:sz w:val="24"/>
                <w:szCs w:val="24"/>
              </w:rPr>
              <m:t xml:space="preserve"> </m:t>
            </m:r>
            <m:r>
              <w:rPr>
                <w:rFonts w:ascii="Cambria Math" w:eastAsia="Times New Roman" w:hAnsi="Cambria Math" w:cs="Times New Roman"/>
                <w:color w:val="000000"/>
                <w:sz w:val="24"/>
                <w:szCs w:val="24"/>
              </w:rPr>
              <m:t>Cases</m:t>
            </m:r>
          </m:e>
          <m:sub>
            <m:r>
              <w:rPr>
                <w:rFonts w:ascii="Cambria Math" w:eastAsia="Times New Roman" w:hAnsi="Cambria Math" w:cs="Times New Roman"/>
                <w:color w:val="000000"/>
                <w:sz w:val="24"/>
                <w:szCs w:val="24"/>
              </w:rPr>
              <m:t>t</m:t>
            </m:r>
            <m:r>
              <m:rPr>
                <m:sty m:val="p"/>
              </m:rPr>
              <w:rPr>
                <w:rFonts w:ascii="Cambria Math" w:eastAsia="Times New Roman" w:hAnsi="Cambria Math" w:cs="Times New Roman"/>
                <w:color w:val="000000"/>
                <w:sz w:val="24"/>
                <w:szCs w:val="24"/>
              </w:rPr>
              <m:t>-1</m:t>
            </m:r>
          </m:sub>
        </m:sSub>
        <m:r>
          <m:rPr>
            <m:sty m:val="p"/>
          </m:rPr>
          <w:rPr>
            <w:rFonts w:ascii="Cambria Math" w:eastAsia="Times New Roman" w:hAnsi="Cambria Math" w:cs="Times New Roman"/>
            <w:color w:val="000000"/>
            <w:sz w:val="24"/>
            <w:szCs w:val="24"/>
          </w:rPr>
          <m:t>)</m:t>
        </m:r>
      </m:oMath>
      <w:r w:rsidRPr="00B07C46">
        <w:rPr>
          <w:rFonts w:ascii="Book Antiqua" w:eastAsia="Times New Roman" w:hAnsi="Book Antiqua" w:cs="Times New Roman"/>
          <w:color w:val="000000"/>
          <w:sz w:val="24"/>
          <w:szCs w:val="24"/>
        </w:rPr>
        <w:t xml:space="preserve"> and daily death cases </w:t>
      </w:r>
      <m:oMath>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Death</m:t>
            </m:r>
            <m:r>
              <m:rPr>
                <m:sty m:val="p"/>
              </m:rPr>
              <w:rPr>
                <w:rFonts w:ascii="Cambria Math" w:eastAsia="Times New Roman" w:hAnsi="Cambria Math" w:cs="Times New Roman"/>
                <w:color w:val="000000"/>
                <w:sz w:val="24"/>
                <w:szCs w:val="24"/>
              </w:rPr>
              <m:t xml:space="preserve"> </m:t>
            </m:r>
            <m:r>
              <w:rPr>
                <w:rFonts w:ascii="Cambria Math" w:eastAsia="Times New Roman" w:hAnsi="Cambria Math" w:cs="Times New Roman"/>
                <w:color w:val="000000"/>
                <w:sz w:val="24"/>
                <w:szCs w:val="24"/>
              </w:rPr>
              <m:t>Cases</m:t>
            </m:r>
          </m:e>
          <m:sub>
            <m:r>
              <w:rPr>
                <w:rFonts w:ascii="Cambria Math" w:eastAsia="Times New Roman" w:hAnsi="Cambria Math" w:cs="Times New Roman"/>
                <w:color w:val="000000"/>
                <w:sz w:val="24"/>
                <w:szCs w:val="24"/>
              </w:rPr>
              <m:t>t</m:t>
            </m:r>
            <m:r>
              <m:rPr>
                <m:sty m:val="p"/>
              </m:rPr>
              <w:rPr>
                <w:rFonts w:ascii="Cambria Math" w:eastAsia="Times New Roman" w:hAnsi="Cambria Math" w:cs="Times New Roman"/>
                <w:color w:val="000000"/>
                <w:sz w:val="24"/>
                <w:szCs w:val="24"/>
              </w:rPr>
              <m:t>-1</m:t>
            </m:r>
          </m:sub>
        </m:sSub>
        <m:r>
          <m:rPr>
            <m:sty m:val="p"/>
          </m:rPr>
          <w:rPr>
            <w:rFonts w:ascii="Cambria Math" w:eastAsia="Times New Roman" w:hAnsi="Cambria Math" w:cs="Times New Roman"/>
            <w:color w:val="000000"/>
            <w:sz w:val="24"/>
            <w:szCs w:val="24"/>
          </w:rPr>
          <m:t>)</m:t>
        </m:r>
      </m:oMath>
      <w:r w:rsidRPr="00B07C46">
        <w:rPr>
          <w:rFonts w:ascii="Book Antiqua" w:eastAsia="Times New Roman" w:hAnsi="Book Antiqua" w:cs="Times New Roman"/>
          <w:color w:val="000000"/>
          <w:sz w:val="24"/>
          <w:szCs w:val="24"/>
        </w:rPr>
        <w:t xml:space="preserve">. Both </w:t>
      </w:r>
      <w:r w:rsidR="002B28EF">
        <w:rPr>
          <w:rFonts w:ascii="Book Antiqua" w:eastAsia="Times New Roman" w:hAnsi="Book Antiqua" w:cs="Times New Roman"/>
          <w:color w:val="000000"/>
          <w:sz w:val="24"/>
          <w:szCs w:val="24"/>
        </w:rPr>
        <w:t>were</w:t>
      </w:r>
      <w:r w:rsidRPr="00B07C46">
        <w:rPr>
          <w:rFonts w:ascii="Book Antiqua" w:eastAsia="Times New Roman" w:hAnsi="Book Antiqua" w:cs="Times New Roman"/>
          <w:color w:val="000000"/>
          <w:sz w:val="24"/>
          <w:szCs w:val="24"/>
        </w:rPr>
        <w:t xml:space="preserve"> measured by the daily data and lagged one day (t-1) </w:t>
      </w:r>
      <w:r w:rsidRPr="00B07C46">
        <w:rPr>
          <w:rFonts w:ascii="Book Antiqua" w:eastAsia="Times New Roman" w:hAnsi="Book Antiqua" w:cs="Times New Roman"/>
          <w:color w:val="000000"/>
          <w:sz w:val="24"/>
          <w:szCs w:val="24"/>
        </w:rPr>
        <w:fldChar w:fldCharType="begin" w:fldLock="1"/>
      </w:r>
      <w:r w:rsidRPr="00B07C46">
        <w:rPr>
          <w:rFonts w:ascii="Book Antiqua" w:eastAsia="Times New Roman" w:hAnsi="Book Antiqua" w:cs="Times New Roman"/>
          <w:color w:val="000000"/>
          <w:sz w:val="24"/>
          <w:szCs w:val="24"/>
        </w:rPr>
        <w:instrText>ADDIN CSL_CITATION {"citationItems":[{"id":"ITEM-1","itemData":{"DOI":"10.14414/jebav.v24i1.2574","ISSN":"2087-3735","abstract":"This study examines the Coronavirus disease (COVID-19) on stock returns. The independent variables are daily new deaths and daily new cases. The sample that uses in this study is financial sector, one of the most crucial sectors in an economy. Total sample is 22,930 observations during the period from March to December in 2020. This study uses unbalanced panel data and multiple regression to prove those hypotheses. The result shows that the Coronavirus disease (COVID-19) hurt on stock returns. Investors feel anxious and frightened to hear the news regarding the increasing number of deaths and the number of new cases. Investors prefer to delay investment until the capital market returns to normal. Furthermore, during the pandemic period, Friday's effect may reduce losses from stock returns. The implication of this study is that an increase in the number of deaths and the number of new cases can reduce stock returns. The government needs to suppress bad news circulating in the mass media in order to reduce investor anxiety.  ","author":[{"dropping-particle":"","family":"Robin","given":"Robin","non-dropping-particle":"","parse-names":false,"suffix":""}],"container-title":"Journal of Economics, Business, &amp; Accountancy Ventura","id":"ITEM-1","issue":"1","issued":{"date-parts":[["2021"]]},"page":"95","title":"Death Infectious: Impact of the Coronavirus Disease (COVID-19) on Stock Returns","type":"article-journal","volume":"24"},"uris":["http://www.mendeley.com/documents/?uuid=4902fe4d-8669-423e-b721-e58fefc737b7"]},{"id":"ITEM-2","itemData":{"DOI":"10.1016/j.frl.2020.101732","ISSN":"15446123","abstract":"This paper examines the effect of government responses of G7 countries to the coronavirus pandemic (COVID-19) on stock market returns. Using time-series data, we show that lockdowns, travel bans, and economic stimulus packages all had a positive effect on the G7 stock markets. However, lockdowns were most effective in cushioning the effects of COVID-19. Our results are robust to different measures of returns and controls for other factors of returns.","author":[{"dropping-particle":"","family":"Narayan","given":"Paresh Kumar","non-dropping-particle":"","parse-names":false,"suffix":""},{"dropping-particle":"","family":"Phan","given":"Dinh Hoang Bach","non-dropping-particle":"","parse-names":false,"suffix":""},{"dropping-particle":"","family":"Liu","given":"Guangqiang","non-dropping-particle":"","parse-names":false,"suffix":""}],"container-title":"Finance Research Letters","id":"ITEM-2","issue":"August","issued":{"date-parts":[["2021"]]},"page":"101732","publisher":"Elsevier","title":"COVID-19 lockdowns, stimulus packages, travel bans, and stock returns","type":"article-journal","volume":"38"},"uris":["http://www.mendeley.com/documents/?uuid=d1aae15d-f859-4047-b954-f0c9908f7024"]}],"mendeley":{"formattedCitation":"(Narayan et al., 2021; Robin, 2021)","plainTextFormattedCitation":"(Narayan et al., 2021; Robin, 2021)","previouslyFormattedCitation":"(Narayan et al., 2021; Robin, 2021)"},"properties":{"noteIndex":0},"schema":"https://github.com/citation-style-language/schema/raw/master/csl-citation.json"}</w:instrText>
      </w:r>
      <w:r w:rsidRPr="00B07C46">
        <w:rPr>
          <w:rFonts w:ascii="Book Antiqua" w:eastAsia="Times New Roman" w:hAnsi="Book Antiqua" w:cs="Times New Roman"/>
          <w:color w:val="000000"/>
          <w:sz w:val="24"/>
          <w:szCs w:val="24"/>
        </w:rPr>
        <w:fldChar w:fldCharType="separate"/>
      </w:r>
      <w:r w:rsidRPr="00B07C46">
        <w:rPr>
          <w:rFonts w:ascii="Book Antiqua" w:eastAsia="Times New Roman" w:hAnsi="Book Antiqua" w:cs="Times New Roman"/>
          <w:noProof/>
          <w:color w:val="000000"/>
          <w:sz w:val="24"/>
          <w:szCs w:val="24"/>
        </w:rPr>
        <w:t>(Narayan et al., 2021; Robin, 2021)</w:t>
      </w:r>
      <w:r w:rsidRPr="00B07C46">
        <w:rPr>
          <w:rFonts w:ascii="Book Antiqua" w:eastAsia="Times New Roman" w:hAnsi="Book Antiqua" w:cs="Times New Roman"/>
          <w:color w:val="000000"/>
          <w:sz w:val="24"/>
          <w:szCs w:val="24"/>
        </w:rPr>
        <w:fldChar w:fldCharType="end"/>
      </w:r>
      <w:r w:rsidRPr="00B07C46">
        <w:rPr>
          <w:rFonts w:ascii="Book Antiqua" w:eastAsia="Times New Roman" w:hAnsi="Book Antiqua" w:cs="Times New Roman"/>
          <w:color w:val="000000"/>
          <w:sz w:val="24"/>
          <w:szCs w:val="24"/>
        </w:rPr>
        <w:t xml:space="preserve">. The stock return was measured by simple return formulas from daily stock prices, as follows: </w:t>
      </w:r>
      <m:oMath>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Return</m:t>
            </m:r>
          </m:e>
          <m:sub>
            <m:r>
              <w:rPr>
                <w:rFonts w:ascii="Cambria Math" w:eastAsia="Times New Roman" w:hAnsi="Cambria Math" w:cs="Times New Roman"/>
                <w:color w:val="000000"/>
                <w:sz w:val="24"/>
                <w:szCs w:val="24"/>
              </w:rPr>
              <m:t>t</m:t>
            </m:r>
          </m:sub>
        </m:sSub>
        <m:r>
          <m:rPr>
            <m:sty m:val="p"/>
          </m:rPr>
          <w:rPr>
            <w:rFonts w:ascii="Cambria Math" w:eastAsia="Times New Roman" w:hAnsi="Cambria Math" w:cs="Times New Roman"/>
            <w:color w:val="000000"/>
            <w:sz w:val="24"/>
            <w:szCs w:val="24"/>
          </w:rPr>
          <m:t>=</m:t>
        </m:r>
        <m:f>
          <m:fPr>
            <m:ctrlPr>
              <w:rPr>
                <w:rFonts w:ascii="Cambria Math" w:eastAsia="Times New Roman" w:hAnsi="Cambria Math" w:cs="Times New Roman"/>
                <w:color w:val="000000"/>
                <w:sz w:val="24"/>
                <w:szCs w:val="24"/>
              </w:rPr>
            </m:ctrlPr>
          </m:fPr>
          <m:num>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Price</m:t>
                </m:r>
              </m:e>
              <m:sub>
                <m:r>
                  <w:rPr>
                    <w:rFonts w:ascii="Cambria Math" w:eastAsia="Times New Roman" w:hAnsi="Cambria Math" w:cs="Times New Roman"/>
                    <w:color w:val="000000"/>
                    <w:sz w:val="24"/>
                    <w:szCs w:val="24"/>
                  </w:rPr>
                  <m:t>t</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Price</m:t>
                </m:r>
              </m:e>
              <m:sub>
                <m:r>
                  <w:rPr>
                    <w:rFonts w:ascii="Cambria Math" w:eastAsia="Times New Roman" w:hAnsi="Cambria Math" w:cs="Times New Roman"/>
                    <w:color w:val="000000"/>
                    <w:sz w:val="24"/>
                    <w:szCs w:val="24"/>
                  </w:rPr>
                  <m:t>t</m:t>
                </m:r>
                <m:r>
                  <m:rPr>
                    <m:sty m:val="p"/>
                  </m:rPr>
                  <w:rPr>
                    <w:rFonts w:ascii="Cambria Math" w:eastAsia="Times New Roman" w:hAnsi="Cambria Math" w:cs="Times New Roman"/>
                    <w:color w:val="000000"/>
                    <w:sz w:val="24"/>
                    <w:szCs w:val="24"/>
                  </w:rPr>
                  <m:t>-1</m:t>
                </m:r>
              </m:sub>
            </m:sSub>
          </m:num>
          <m:den>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Price</m:t>
                </m:r>
              </m:e>
              <m:sub>
                <m:r>
                  <w:rPr>
                    <w:rFonts w:ascii="Cambria Math" w:eastAsia="Times New Roman" w:hAnsi="Cambria Math" w:cs="Times New Roman"/>
                    <w:color w:val="000000"/>
                    <w:sz w:val="24"/>
                    <w:szCs w:val="24"/>
                  </w:rPr>
                  <m:t>t</m:t>
                </m:r>
                <m:r>
                  <m:rPr>
                    <m:sty m:val="p"/>
                  </m:rPr>
                  <w:rPr>
                    <w:rFonts w:ascii="Cambria Math" w:eastAsia="Times New Roman" w:hAnsi="Cambria Math" w:cs="Times New Roman"/>
                    <w:color w:val="000000"/>
                    <w:sz w:val="24"/>
                    <w:szCs w:val="24"/>
                  </w:rPr>
                  <m:t>-1</m:t>
                </m:r>
              </m:sub>
            </m:sSub>
          </m:den>
        </m:f>
      </m:oMath>
      <w:r w:rsidRPr="00B07C46">
        <w:rPr>
          <w:rFonts w:ascii="Book Antiqua" w:eastAsia="Times New Roman" w:hAnsi="Book Antiqua" w:cs="Times New Roman"/>
          <w:color w:val="000000"/>
          <w:sz w:val="24"/>
          <w:szCs w:val="24"/>
        </w:rPr>
        <w:t xml:space="preserve"> . </w:t>
      </w:r>
    </w:p>
    <w:p w14:paraId="6988E65B"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p>
    <w:p w14:paraId="43FA287F" w14:textId="31EE52C9"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r w:rsidRPr="00B07C46">
        <w:rPr>
          <w:rFonts w:ascii="Book Antiqua" w:eastAsia="Times New Roman" w:hAnsi="Book Antiqua" w:cs="Times New Roman"/>
          <w:color w:val="000000"/>
          <w:sz w:val="24"/>
          <w:szCs w:val="24"/>
        </w:rPr>
        <w:t xml:space="preserve">The control variable of this study consist of trading volume </w:t>
      </w:r>
      <m:oMath>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Volume</m:t>
            </m:r>
          </m:e>
          <m:sub>
            <m:r>
              <w:rPr>
                <w:rFonts w:ascii="Cambria Math" w:eastAsia="Times New Roman" w:hAnsi="Cambria Math" w:cs="Times New Roman"/>
                <w:color w:val="000000"/>
                <w:sz w:val="24"/>
                <w:szCs w:val="24"/>
              </w:rPr>
              <m:t>t</m:t>
            </m:r>
            <m:r>
              <m:rPr>
                <m:sty m:val="p"/>
              </m:rPr>
              <w:rPr>
                <w:rFonts w:ascii="Cambria Math" w:eastAsia="Times New Roman" w:hAnsi="Cambria Math" w:cs="Times New Roman"/>
                <w:color w:val="000000"/>
                <w:sz w:val="24"/>
                <w:szCs w:val="24"/>
              </w:rPr>
              <m:t>-1</m:t>
            </m:r>
          </m:sub>
        </m:sSub>
        <m:r>
          <m:rPr>
            <m:sty m:val="p"/>
          </m:rPr>
          <w:rPr>
            <w:rFonts w:ascii="Cambria Math" w:eastAsia="Times New Roman" w:hAnsi="Cambria Math" w:cs="Times New Roman"/>
            <w:color w:val="000000"/>
            <w:sz w:val="24"/>
            <w:szCs w:val="24"/>
          </w:rPr>
          <m:t>)</m:t>
        </m:r>
      </m:oMath>
      <w:r w:rsidRPr="00B07C46">
        <w:rPr>
          <w:rFonts w:ascii="Book Antiqua" w:eastAsia="Times New Roman" w:hAnsi="Book Antiqua" w:cs="Times New Roman"/>
          <w:color w:val="000000"/>
          <w:sz w:val="24"/>
          <w:szCs w:val="24"/>
        </w:rPr>
        <w:t xml:space="preserve">, previous stock returns </w:t>
      </w:r>
      <m:oMath>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Return</m:t>
            </m:r>
          </m:e>
          <m:sub>
            <m:r>
              <w:rPr>
                <w:rFonts w:ascii="Cambria Math" w:eastAsia="Times New Roman" w:hAnsi="Cambria Math" w:cs="Times New Roman"/>
                <w:color w:val="000000"/>
                <w:sz w:val="24"/>
                <w:szCs w:val="24"/>
              </w:rPr>
              <m:t>t</m:t>
            </m:r>
            <m:r>
              <m:rPr>
                <m:sty m:val="p"/>
              </m:rPr>
              <w:rPr>
                <w:rFonts w:ascii="Cambria Math" w:eastAsia="Times New Roman" w:hAnsi="Cambria Math" w:cs="Times New Roman"/>
                <w:color w:val="000000"/>
                <w:sz w:val="24"/>
                <w:szCs w:val="24"/>
              </w:rPr>
              <m:t>-1</m:t>
            </m:r>
          </m:sub>
        </m:sSub>
        <m:r>
          <m:rPr>
            <m:sty m:val="p"/>
          </m:rPr>
          <w:rPr>
            <w:rFonts w:ascii="Cambria Math" w:eastAsia="Times New Roman" w:hAnsi="Cambria Math" w:cs="Times New Roman"/>
            <w:color w:val="000000"/>
            <w:sz w:val="24"/>
            <w:szCs w:val="24"/>
          </w:rPr>
          <m:t>)</m:t>
        </m:r>
      </m:oMath>
      <w:r w:rsidRPr="00B07C46">
        <w:rPr>
          <w:rFonts w:ascii="Book Antiqua" w:eastAsia="Times New Roman" w:hAnsi="Book Antiqua" w:cs="Times New Roman"/>
          <w:color w:val="000000"/>
          <w:sz w:val="24"/>
          <w:szCs w:val="24"/>
        </w:rPr>
        <w:t xml:space="preserve">, </w:t>
      </w:r>
      <w:r w:rsidR="002B28EF">
        <w:rPr>
          <w:rFonts w:ascii="Book Antiqua" w:eastAsia="Times New Roman" w:hAnsi="Book Antiqua" w:cs="Times New Roman"/>
          <w:color w:val="000000"/>
          <w:sz w:val="24"/>
          <w:szCs w:val="24"/>
        </w:rPr>
        <w:t xml:space="preserve">the </w:t>
      </w:r>
      <w:r w:rsidRPr="00B07C46">
        <w:rPr>
          <w:rFonts w:ascii="Book Antiqua" w:eastAsia="Times New Roman" w:hAnsi="Book Antiqua" w:cs="Times New Roman"/>
          <w:color w:val="000000"/>
          <w:sz w:val="24"/>
          <w:szCs w:val="24"/>
        </w:rPr>
        <w:t>exchange rate</w:t>
      </w:r>
      <m:oMath>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Rate</m:t>
            </m:r>
          </m:e>
          <m:sub>
            <m:r>
              <w:rPr>
                <w:rFonts w:ascii="Cambria Math" w:eastAsia="Times New Roman" w:hAnsi="Cambria Math" w:cs="Times New Roman"/>
                <w:color w:val="000000"/>
                <w:sz w:val="24"/>
                <w:szCs w:val="24"/>
              </w:rPr>
              <m:t>t</m:t>
            </m:r>
            <m:r>
              <m:rPr>
                <m:sty m:val="p"/>
              </m:rPr>
              <w:rPr>
                <w:rFonts w:ascii="Cambria Math" w:eastAsia="Times New Roman" w:hAnsi="Cambria Math" w:cs="Times New Roman"/>
                <w:color w:val="000000"/>
                <w:sz w:val="24"/>
                <w:szCs w:val="24"/>
              </w:rPr>
              <m:t>-1</m:t>
            </m:r>
          </m:sub>
        </m:sSub>
        <m:r>
          <m:rPr>
            <m:sty m:val="p"/>
          </m:rPr>
          <w:rPr>
            <w:rFonts w:ascii="Cambria Math" w:eastAsia="Times New Roman" w:hAnsi="Cambria Math" w:cs="Times New Roman"/>
            <w:color w:val="000000"/>
            <w:sz w:val="24"/>
            <w:szCs w:val="24"/>
          </w:rPr>
          <m:t>)</m:t>
        </m:r>
      </m:oMath>
      <w:r w:rsidRPr="00B07C46">
        <w:rPr>
          <w:rFonts w:ascii="Book Antiqua" w:eastAsia="Times New Roman" w:hAnsi="Book Antiqua" w:cs="Times New Roman"/>
          <w:color w:val="000000"/>
          <w:sz w:val="24"/>
          <w:szCs w:val="24"/>
        </w:rPr>
        <w:t>, Monday</w:t>
      </w:r>
      <m:oMath>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Monday</m:t>
            </m:r>
          </m:e>
          <m:sub>
            <m:r>
              <w:rPr>
                <w:rFonts w:ascii="Cambria Math" w:eastAsia="Times New Roman" w:hAnsi="Cambria Math" w:cs="Times New Roman"/>
                <w:color w:val="000000"/>
                <w:sz w:val="24"/>
                <w:szCs w:val="24"/>
              </w:rPr>
              <m:t>t</m:t>
            </m:r>
          </m:sub>
        </m:sSub>
        <m:r>
          <m:rPr>
            <m:sty m:val="p"/>
          </m:rPr>
          <w:rPr>
            <w:rFonts w:ascii="Cambria Math" w:eastAsia="Times New Roman" w:hAnsi="Cambria Math" w:cs="Times New Roman"/>
            <w:color w:val="000000"/>
            <w:sz w:val="24"/>
            <w:szCs w:val="24"/>
          </w:rPr>
          <m:t>)</m:t>
        </m:r>
      </m:oMath>
      <w:r w:rsidRPr="00B07C46">
        <w:rPr>
          <w:rFonts w:ascii="Book Antiqua" w:eastAsia="Times New Roman" w:hAnsi="Book Antiqua" w:cs="Times New Roman"/>
          <w:color w:val="000000"/>
          <w:sz w:val="24"/>
          <w:szCs w:val="24"/>
        </w:rPr>
        <w:t>, and Friday</w:t>
      </w:r>
      <m:oMath>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Friday</m:t>
            </m:r>
          </m:e>
          <m:sub>
            <m:r>
              <w:rPr>
                <w:rFonts w:ascii="Cambria Math" w:eastAsia="Times New Roman" w:hAnsi="Cambria Math" w:cs="Times New Roman"/>
                <w:color w:val="000000"/>
                <w:sz w:val="24"/>
                <w:szCs w:val="24"/>
              </w:rPr>
              <m:t>t</m:t>
            </m:r>
          </m:sub>
        </m:sSub>
        <m:r>
          <m:rPr>
            <m:sty m:val="p"/>
          </m:rPr>
          <w:rPr>
            <w:rFonts w:ascii="Cambria Math" w:eastAsia="Times New Roman" w:hAnsi="Cambria Math" w:cs="Times New Roman"/>
            <w:color w:val="000000"/>
            <w:sz w:val="24"/>
            <w:szCs w:val="24"/>
          </w:rPr>
          <m:t>)</m:t>
        </m:r>
      </m:oMath>
      <w:r w:rsidRPr="00B07C46">
        <w:rPr>
          <w:rFonts w:ascii="Book Antiqua" w:eastAsia="Times New Roman" w:hAnsi="Book Antiqua" w:cs="Times New Roman"/>
          <w:color w:val="000000"/>
          <w:sz w:val="24"/>
          <w:szCs w:val="24"/>
        </w:rPr>
        <w:t xml:space="preserve">. All the control variables are lagged one day. </w:t>
      </w:r>
      <w:r w:rsidRPr="00B07C46">
        <w:rPr>
          <w:rFonts w:ascii="Book Antiqua" w:eastAsia="Times New Roman" w:hAnsi="Book Antiqua" w:cs="Times New Roman"/>
          <w:color w:val="000000"/>
          <w:sz w:val="24"/>
          <w:szCs w:val="24"/>
        </w:rPr>
        <w:fldChar w:fldCharType="begin" w:fldLock="1"/>
      </w:r>
      <w:r w:rsidR="00C70350">
        <w:rPr>
          <w:rFonts w:ascii="Book Antiqua" w:eastAsia="Times New Roman" w:hAnsi="Book Antiqua" w:cs="Times New Roman"/>
          <w:color w:val="000000"/>
          <w:sz w:val="24"/>
          <w:szCs w:val="24"/>
        </w:rPr>
        <w:instrText>ADDIN CSL_CITATION {"citationItems":[{"id":"ITEM-1","itemData":{"DOI":"10.2308/accr.2002.77.2.343","author":[{"dropping-particle":"","family":"Linsmeier","given":"Thomas J.","non-dropping-particle":"","parse-names":false,"suffix":""},{"dropping-particle":"","family":"Thornton","given":"Daniel B.","non-dropping-particle":"","parse-names":false,"suffix":""},{"dropping-particle":"","family":"Venkatachalam","given":"Mohan","non-dropping-particle":"","parse-names":false,"suffix":""},{"dropping-particle":"","family":"Welker","given":"Michael","non-dropping-particle":"","parse-names":false,"suffix":""}],"container-title":"The Accounting Review","id":"ITEM-1","issue":"2","issued":{"date-parts":[["2002"]]},"page":"343-377","title":"The Effect of Mandated Market Risk Disclosures on Trading Volume Sensitivity to Interest Rate, Exchange Rate, and Commodity Price Movements","type":"article-journal","volume":"77"},"uris":["http://www.mendeley.com/documents/?uuid=48984448-d521-45c0-8ba7-06a463a7a090"]}],"mendeley":{"formattedCitation":"(Linsmeier, Thornton, Venkatachalam, &amp; Welker, 2002)","manualFormatting":"Linsmeier, Thornton, Venkatachalam, &amp; Welker (2002)","plainTextFormattedCitation":"(Linsmeier, Thornton, Venkatachalam, &amp; Welker, 2002)","previouslyFormattedCitation":"(Linsmeier, Thornton, Venkatachalam, &amp; Welker, 2002)"},"properties":{"noteIndex":0},"schema":"https://github.com/citation-style-language/schema/raw/master/csl-citation.json"}</w:instrText>
      </w:r>
      <w:r w:rsidRPr="00B07C46">
        <w:rPr>
          <w:rFonts w:ascii="Book Antiqua" w:eastAsia="Times New Roman" w:hAnsi="Book Antiqua" w:cs="Times New Roman"/>
          <w:color w:val="000000"/>
          <w:sz w:val="24"/>
          <w:szCs w:val="24"/>
        </w:rPr>
        <w:fldChar w:fldCharType="separate"/>
      </w:r>
      <w:r w:rsidRPr="00B07C46">
        <w:rPr>
          <w:rFonts w:ascii="Book Antiqua" w:eastAsia="Times New Roman" w:hAnsi="Book Antiqua" w:cs="Times New Roman"/>
          <w:noProof/>
          <w:color w:val="000000"/>
          <w:sz w:val="24"/>
          <w:szCs w:val="24"/>
        </w:rPr>
        <w:t>Linsmeier, Thornton, Venkatachalam, &amp; Welker (2002)</w:t>
      </w:r>
      <w:r w:rsidRPr="00B07C46">
        <w:rPr>
          <w:rFonts w:ascii="Book Antiqua" w:eastAsia="Times New Roman" w:hAnsi="Book Antiqua" w:cs="Times New Roman"/>
          <w:color w:val="000000"/>
          <w:sz w:val="24"/>
          <w:szCs w:val="24"/>
        </w:rPr>
        <w:fldChar w:fldCharType="end"/>
      </w:r>
      <w:r w:rsidRPr="00B07C46">
        <w:rPr>
          <w:rFonts w:ascii="Book Antiqua" w:eastAsia="Times New Roman" w:hAnsi="Book Antiqua" w:cs="Times New Roman"/>
          <w:color w:val="000000"/>
          <w:sz w:val="24"/>
          <w:szCs w:val="24"/>
        </w:rPr>
        <w:t xml:space="preserve"> research found that trading volume is relate</w:t>
      </w:r>
      <w:r w:rsidR="002B28EF">
        <w:rPr>
          <w:rFonts w:ascii="Book Antiqua" w:eastAsia="Times New Roman" w:hAnsi="Book Antiqua" w:cs="Times New Roman"/>
          <w:color w:val="000000"/>
          <w:sz w:val="24"/>
          <w:szCs w:val="24"/>
        </w:rPr>
        <w:t>d</w:t>
      </w:r>
      <w:r w:rsidRPr="00B07C46">
        <w:rPr>
          <w:rFonts w:ascii="Book Antiqua" w:eastAsia="Times New Roman" w:hAnsi="Book Antiqua" w:cs="Times New Roman"/>
          <w:color w:val="000000"/>
          <w:sz w:val="24"/>
          <w:szCs w:val="24"/>
        </w:rPr>
        <w:t xml:space="preserve"> to the changes </w:t>
      </w:r>
      <w:r w:rsidR="002B28EF">
        <w:rPr>
          <w:rFonts w:ascii="Book Antiqua" w:eastAsia="Times New Roman" w:hAnsi="Book Antiqua" w:cs="Times New Roman"/>
          <w:color w:val="000000"/>
          <w:sz w:val="24"/>
          <w:szCs w:val="24"/>
        </w:rPr>
        <w:t>in</w:t>
      </w:r>
      <w:r w:rsidRPr="00B07C46">
        <w:rPr>
          <w:rFonts w:ascii="Book Antiqua" w:eastAsia="Times New Roman" w:hAnsi="Book Antiqua" w:cs="Times New Roman"/>
          <w:color w:val="000000"/>
          <w:sz w:val="24"/>
          <w:szCs w:val="24"/>
        </w:rPr>
        <w:t xml:space="preserve"> market prices. </w:t>
      </w:r>
      <w:r w:rsidR="002B28EF">
        <w:rPr>
          <w:rFonts w:ascii="Book Antiqua" w:eastAsia="Times New Roman" w:hAnsi="Book Antiqua" w:cs="Times New Roman"/>
          <w:color w:val="000000"/>
          <w:sz w:val="24"/>
          <w:szCs w:val="24"/>
        </w:rPr>
        <w:t>The t</w:t>
      </w:r>
      <w:r w:rsidRPr="00B07C46">
        <w:rPr>
          <w:rFonts w:ascii="Book Antiqua" w:eastAsia="Times New Roman" w:hAnsi="Book Antiqua" w:cs="Times New Roman"/>
          <w:color w:val="000000"/>
          <w:sz w:val="24"/>
          <w:szCs w:val="24"/>
        </w:rPr>
        <w:t>rading volume use</w:t>
      </w:r>
      <w:r w:rsidR="002B28EF">
        <w:rPr>
          <w:rFonts w:ascii="Book Antiqua" w:eastAsia="Times New Roman" w:hAnsi="Book Antiqua" w:cs="Times New Roman"/>
          <w:color w:val="000000"/>
          <w:sz w:val="24"/>
          <w:szCs w:val="24"/>
        </w:rPr>
        <w:t>s</w:t>
      </w:r>
      <w:r w:rsidRPr="00B07C46">
        <w:rPr>
          <w:rFonts w:ascii="Book Antiqua" w:eastAsia="Times New Roman" w:hAnsi="Book Antiqua" w:cs="Times New Roman"/>
          <w:color w:val="000000"/>
          <w:sz w:val="24"/>
          <w:szCs w:val="24"/>
        </w:rPr>
        <w:t xml:space="preserve"> to control the stock return movement during the pandemic. </w:t>
      </w:r>
      <w:r w:rsidRPr="00B07C46">
        <w:rPr>
          <w:rFonts w:ascii="Book Antiqua" w:eastAsia="Times New Roman" w:hAnsi="Book Antiqua" w:cs="Times New Roman"/>
          <w:color w:val="000000"/>
          <w:sz w:val="24"/>
          <w:szCs w:val="24"/>
        </w:rPr>
        <w:fldChar w:fldCharType="begin" w:fldLock="1"/>
      </w:r>
      <w:r w:rsidR="00C70350">
        <w:rPr>
          <w:rFonts w:ascii="Book Antiqua" w:eastAsia="Times New Roman" w:hAnsi="Book Antiqua" w:cs="Times New Roman"/>
          <w:color w:val="000000"/>
          <w:sz w:val="24"/>
          <w:szCs w:val="24"/>
        </w:rPr>
        <w:instrText>ADDIN CSL_CITATION {"citationItems":[{"id":"ITEM-1","itemData":{"DOI":"10.2307/2118454","author":[{"dropping-particle":"","family":"Campbell","given":"John Y","non-dropping-particle":"","parse-names":false,"suffix":""},{"dropping-particle":"","family":"Grossman","given":"Sanford J","non-dropping-particle":"","parse-names":false,"suffix":""},{"dropping-particle":"","family":"Wang","given":"Jiang","non-dropping-particle":"","parse-names":false,"suffix":""}],"container-title":"The Quarterly Journal of Economics","id":"ITEM-1","issue":"4","issued":{"date-parts":[["1993"]]},"page":"905-939","title":"Trading Volume and Serial Correlation in Stock Returns","type":"article-journal","volume":"108"},"uris":["http://www.mendeley.com/documents/?uuid=aab24a6a-0641-4d85-9356-4a41decdf9ab"]}],"mendeley":{"formattedCitation":"(Campbell, Grossman, &amp; Wang, 1993)","manualFormatting":"Campbell, Grossman, &amp; Wang (1993)","plainTextFormattedCitation":"(Campbell, Grossman, &amp; Wang, 1993)","previouslyFormattedCitation":"(Campbell, Grossman, &amp; Wang, 1993)"},"properties":{"noteIndex":0},"schema":"https://github.com/citation-style-language/schema/raw/master/csl-citation.json"}</w:instrText>
      </w:r>
      <w:r w:rsidRPr="00B07C46">
        <w:rPr>
          <w:rFonts w:ascii="Book Antiqua" w:eastAsia="Times New Roman" w:hAnsi="Book Antiqua" w:cs="Times New Roman"/>
          <w:color w:val="000000"/>
          <w:sz w:val="24"/>
          <w:szCs w:val="24"/>
        </w:rPr>
        <w:fldChar w:fldCharType="separate"/>
      </w:r>
      <w:r w:rsidRPr="00B07C46">
        <w:rPr>
          <w:rFonts w:ascii="Book Antiqua" w:eastAsia="Times New Roman" w:hAnsi="Book Antiqua" w:cs="Times New Roman"/>
          <w:noProof/>
          <w:color w:val="000000"/>
          <w:sz w:val="24"/>
          <w:szCs w:val="24"/>
        </w:rPr>
        <w:t>Campbell, Grossman, &amp; Wang (1993)</w:t>
      </w:r>
      <w:r w:rsidRPr="00B07C46">
        <w:rPr>
          <w:rFonts w:ascii="Book Antiqua" w:eastAsia="Times New Roman" w:hAnsi="Book Antiqua" w:cs="Times New Roman"/>
          <w:color w:val="000000"/>
          <w:sz w:val="24"/>
          <w:szCs w:val="24"/>
        </w:rPr>
        <w:fldChar w:fldCharType="end"/>
      </w:r>
      <w:r w:rsidRPr="00B07C46">
        <w:rPr>
          <w:rFonts w:ascii="Book Antiqua" w:eastAsia="Times New Roman" w:hAnsi="Book Antiqua" w:cs="Times New Roman"/>
          <w:color w:val="000000"/>
          <w:sz w:val="24"/>
          <w:szCs w:val="24"/>
        </w:rPr>
        <w:t xml:space="preserve"> indicates that trading volume can be the basis for an investor to see the trend of stock returns through the magnitude of demand based on trading volume. Similar factor, </w:t>
      </w:r>
      <w:r w:rsidRPr="00B07C46">
        <w:rPr>
          <w:rFonts w:ascii="Book Antiqua" w:eastAsia="Times New Roman" w:hAnsi="Book Antiqua" w:cs="Times New Roman"/>
          <w:color w:val="000000"/>
          <w:sz w:val="24"/>
          <w:szCs w:val="24"/>
        </w:rPr>
        <w:fldChar w:fldCharType="begin" w:fldLock="1"/>
      </w:r>
      <w:r w:rsidRPr="00B07C46">
        <w:rPr>
          <w:rFonts w:ascii="Book Antiqua" w:eastAsia="Times New Roman" w:hAnsi="Book Antiqua" w:cs="Times New Roman"/>
          <w:color w:val="000000"/>
          <w:sz w:val="24"/>
          <w:szCs w:val="24"/>
        </w:rPr>
        <w:instrText>ADDIN CSL_CITATION {"citationItems":[{"id":"ITEM-1","itemData":{"DOI":"10.1016/s1044-0283(98)90006-0","ISSN":"10440283","author":[{"dropping-particle":"","family":"Ajayi","given":"Richard A.","non-dropping-particle":"","parse-names":false,"suffix":""},{"dropping-particle":"","family":"Friedman","given":"Joseph","non-dropping-particle":"","parse-names":false,"suffix":""},{"dropping-particle":"","family":"Mehdian","given":"Seyed M.","non-dropping-particle":"","parse-names":false,"suffix":""}],"container-title":"Global Finance Journal","id":"ITEM-1","issue":"2","issued":{"date-parts":[["1998"]]},"page":"241-251","title":"On the relationship between stock returns and exchange rates: Tests of granger causality","type":"article-journal","volume":"9"},"uris":["http://www.mendeley.com/documents/?uuid=be06ccb4-8038-443a-9960-3279d7a46bd2"]}],"mendeley":{"formattedCitation":"(Ajayi, Friedman, &amp; Mehdian, 1998)","manualFormatting":"Ajayi, Friedman, &amp; Mehdian (1998)","plainTextFormattedCitation":"(Ajayi, Friedman, &amp; Mehdian, 1998)","previouslyFormattedCitation":"(Ajayi, Friedman, &amp; Mehdian, 1998)"},"properties":{"noteIndex":0},"schema":"https://github.com/citation-style-language/schema/raw/master/csl-citation.json"}</w:instrText>
      </w:r>
      <w:r w:rsidRPr="00B07C46">
        <w:rPr>
          <w:rFonts w:ascii="Book Antiqua" w:eastAsia="Times New Roman" w:hAnsi="Book Antiqua" w:cs="Times New Roman"/>
          <w:color w:val="000000"/>
          <w:sz w:val="24"/>
          <w:szCs w:val="24"/>
        </w:rPr>
        <w:fldChar w:fldCharType="separate"/>
      </w:r>
      <w:r w:rsidRPr="00B07C46">
        <w:rPr>
          <w:rFonts w:ascii="Book Antiqua" w:eastAsia="Times New Roman" w:hAnsi="Book Antiqua" w:cs="Times New Roman"/>
          <w:noProof/>
          <w:color w:val="000000"/>
          <w:sz w:val="24"/>
          <w:szCs w:val="24"/>
        </w:rPr>
        <w:t>Ajayi, Friedman, &amp; Mehdian (1998)</w:t>
      </w:r>
      <w:r w:rsidRPr="00B07C46">
        <w:rPr>
          <w:rFonts w:ascii="Book Antiqua" w:eastAsia="Times New Roman" w:hAnsi="Book Antiqua" w:cs="Times New Roman"/>
          <w:color w:val="000000"/>
          <w:sz w:val="24"/>
          <w:szCs w:val="24"/>
        </w:rPr>
        <w:fldChar w:fldCharType="end"/>
      </w:r>
      <w:r w:rsidRPr="00B07C46">
        <w:rPr>
          <w:rFonts w:ascii="Book Antiqua" w:eastAsia="Times New Roman" w:hAnsi="Book Antiqua" w:cs="Times New Roman"/>
          <w:color w:val="000000"/>
          <w:sz w:val="24"/>
          <w:szCs w:val="24"/>
        </w:rPr>
        <w:t>, suggest exchange rate and stock may be related because of some underlying economic variables.</w:t>
      </w:r>
    </w:p>
    <w:p w14:paraId="6EF05824"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p>
    <w:p w14:paraId="15724C46" w14:textId="30CE3A11"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r w:rsidRPr="00B07C46">
        <w:rPr>
          <w:rFonts w:ascii="Book Antiqua" w:eastAsia="Times New Roman" w:hAnsi="Book Antiqua" w:cs="Times New Roman"/>
          <w:color w:val="000000"/>
          <w:sz w:val="24"/>
          <w:szCs w:val="24"/>
        </w:rPr>
        <w:lastRenderedPageBreak/>
        <w:t>The estimate</w:t>
      </w:r>
      <w:r w:rsidR="00FC58D0">
        <w:rPr>
          <w:rFonts w:ascii="Book Antiqua" w:eastAsia="Times New Roman" w:hAnsi="Book Antiqua" w:cs="Times New Roman"/>
          <w:color w:val="000000"/>
          <w:sz w:val="24"/>
          <w:szCs w:val="24"/>
        </w:rPr>
        <w:t>d</w:t>
      </w:r>
      <w:r w:rsidRPr="00B07C46">
        <w:rPr>
          <w:rFonts w:ascii="Book Antiqua" w:eastAsia="Times New Roman" w:hAnsi="Book Antiqua" w:cs="Times New Roman"/>
          <w:color w:val="000000"/>
          <w:sz w:val="24"/>
          <w:szCs w:val="24"/>
        </w:rPr>
        <w:t xml:space="preserve"> stock returns for this study were developed as:</w:t>
      </w:r>
    </w:p>
    <w:p w14:paraId="5CE4E22F"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r w:rsidRPr="00B07C46">
        <w:rPr>
          <w:rFonts w:ascii="Book Antiqua" w:eastAsia="Times New Roman" w:hAnsi="Book Antiqua" w:cs="Times New Roman"/>
          <w:color w:val="000000"/>
          <w:sz w:val="24"/>
          <w:szCs w:val="24"/>
        </w:rPr>
        <w:sym w:font="Wingdings" w:char="F0E8"/>
      </w:r>
      <m:oMath>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Return</m:t>
            </m:r>
          </m:e>
          <m:sub>
            <m:r>
              <w:rPr>
                <w:rFonts w:ascii="Cambria Math" w:eastAsia="Times New Roman" w:hAnsi="Cambria Math" w:cs="Times New Roman"/>
                <w:color w:val="000000"/>
                <w:sz w:val="24"/>
                <w:szCs w:val="24"/>
              </w:rPr>
              <m:t>i</m:t>
            </m:r>
            <m:r>
              <m:rPr>
                <m:sty m:val="p"/>
              </m:rPr>
              <w:rPr>
                <w:rFonts w:ascii="Cambria Math" w:eastAsia="Times New Roman" w:hAnsi="Cambria Math" w:cs="Times New Roman"/>
                <w:color w:val="000000"/>
                <w:sz w:val="24"/>
                <w:szCs w:val="24"/>
              </w:rPr>
              <m:t>,</m:t>
            </m:r>
            <m:r>
              <w:rPr>
                <w:rFonts w:ascii="Cambria Math" w:eastAsia="Times New Roman" w:hAnsi="Cambria Math" w:cs="Times New Roman"/>
                <w:color w:val="000000"/>
                <w:sz w:val="24"/>
                <w:szCs w:val="24"/>
              </w:rPr>
              <m:t>t</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a</m:t>
            </m:r>
          </m:e>
          <m:sub>
            <m:r>
              <m:rPr>
                <m:sty m:val="p"/>
              </m:rPr>
              <w:rPr>
                <w:rFonts w:ascii="Cambria Math" w:eastAsia="Times New Roman" w:hAnsi="Cambria Math" w:cs="Times New Roman"/>
                <w:color w:val="000000"/>
                <w:sz w:val="24"/>
                <w:szCs w:val="24"/>
              </w:rPr>
              <m:t>0</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α</m:t>
            </m:r>
          </m:e>
          <m:sub>
            <m:r>
              <m:rPr>
                <m:sty m:val="p"/>
              </m:rPr>
              <w:rPr>
                <w:rFonts w:ascii="Cambria Math" w:eastAsia="Times New Roman" w:hAnsi="Cambria Math" w:cs="Times New Roman"/>
                <w:color w:val="000000"/>
                <w:sz w:val="24"/>
                <w:szCs w:val="24"/>
              </w:rPr>
              <m:t>1</m:t>
            </m:r>
          </m:sub>
        </m:sSub>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New</m:t>
            </m:r>
            <m:r>
              <m:rPr>
                <m:sty m:val="p"/>
              </m:rPr>
              <w:rPr>
                <w:rFonts w:ascii="Cambria Math" w:eastAsia="Times New Roman" w:hAnsi="Cambria Math" w:cs="Times New Roman"/>
                <w:color w:val="000000"/>
                <w:sz w:val="24"/>
                <w:szCs w:val="24"/>
              </w:rPr>
              <m:t xml:space="preserve"> </m:t>
            </m:r>
            <m:r>
              <w:rPr>
                <w:rFonts w:ascii="Cambria Math" w:eastAsia="Times New Roman" w:hAnsi="Cambria Math" w:cs="Times New Roman"/>
                <w:color w:val="000000"/>
                <w:sz w:val="24"/>
                <w:szCs w:val="24"/>
              </w:rPr>
              <m:t>Cases</m:t>
            </m:r>
          </m:e>
          <m:sub>
            <m:r>
              <w:rPr>
                <w:rFonts w:ascii="Cambria Math" w:eastAsia="Times New Roman" w:hAnsi="Cambria Math" w:cs="Times New Roman"/>
                <w:color w:val="000000"/>
                <w:sz w:val="24"/>
                <w:szCs w:val="24"/>
              </w:rPr>
              <m:t>i</m:t>
            </m:r>
            <m:r>
              <m:rPr>
                <m:sty m:val="p"/>
              </m:rPr>
              <w:rPr>
                <w:rFonts w:ascii="Cambria Math" w:eastAsia="Times New Roman" w:hAnsi="Cambria Math" w:cs="Times New Roman"/>
                <w:color w:val="000000"/>
                <w:sz w:val="24"/>
                <w:szCs w:val="24"/>
              </w:rPr>
              <m:t>,</m:t>
            </m:r>
            <m:r>
              <w:rPr>
                <w:rFonts w:ascii="Cambria Math" w:eastAsia="Times New Roman" w:hAnsi="Cambria Math" w:cs="Times New Roman"/>
                <w:color w:val="000000"/>
                <w:sz w:val="24"/>
                <w:szCs w:val="24"/>
              </w:rPr>
              <m:t>t</m:t>
            </m:r>
            <m:r>
              <m:rPr>
                <m:sty m:val="p"/>
              </m:rPr>
              <w:rPr>
                <w:rFonts w:ascii="Cambria Math" w:eastAsia="Times New Roman" w:hAnsi="Cambria Math" w:cs="Times New Roman"/>
                <w:color w:val="000000"/>
                <w:sz w:val="24"/>
                <w:szCs w:val="24"/>
              </w:rPr>
              <m:t>-1</m:t>
            </m:r>
          </m:sub>
        </m:sSub>
        <m:r>
          <m:rPr>
            <m:sty m:val="p"/>
          </m:rPr>
          <w:rPr>
            <w:rFonts w:ascii="Cambria Math" w:eastAsia="Times New Roman" w:hAnsi="Cambria Math" w:cs="Times New Roman"/>
            <w:color w:val="000000"/>
            <w:sz w:val="24"/>
            <w:szCs w:val="24"/>
          </w:rPr>
          <m:t>+</m:t>
        </m:r>
        <m:r>
          <w:rPr>
            <w:rFonts w:ascii="Cambria Math" w:eastAsia="Times New Roman" w:hAnsi="Cambria Math" w:cs="Times New Roman"/>
            <w:color w:val="000000"/>
            <w:sz w:val="24"/>
            <w:szCs w:val="24"/>
          </w:rPr>
          <m:t>β</m:t>
        </m:r>
        <m:sSub>
          <m:sSubPr>
            <m:ctrlPr>
              <w:rPr>
                <w:rFonts w:ascii="Cambria Math" w:eastAsia="Times New Roman" w:hAnsi="Cambria Math" w:cs="Times New Roman"/>
                <w:color w:val="000000"/>
                <w:sz w:val="24"/>
                <w:szCs w:val="24"/>
              </w:rPr>
            </m:ctrlPr>
          </m:sSubPr>
          <m:e>
            <m:r>
              <m:rPr>
                <m:sty m:val="bi"/>
              </m:rP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i</m:t>
            </m:r>
            <m:r>
              <m:rPr>
                <m:sty m:val="p"/>
              </m:rPr>
              <w:rPr>
                <w:rFonts w:ascii="Cambria Math" w:eastAsia="Times New Roman" w:hAnsi="Cambria Math" w:cs="Times New Roman"/>
                <w:color w:val="000000"/>
                <w:sz w:val="24"/>
                <w:szCs w:val="24"/>
              </w:rPr>
              <m:t>,</m:t>
            </m:r>
            <m:r>
              <w:rPr>
                <w:rFonts w:ascii="Cambria Math" w:eastAsia="Times New Roman" w:hAnsi="Cambria Math" w:cs="Times New Roman"/>
                <w:color w:val="000000"/>
                <w:sz w:val="24"/>
                <w:szCs w:val="24"/>
              </w:rPr>
              <m:t>t</m:t>
            </m:r>
            <m:r>
              <m:rPr>
                <m:sty m:val="p"/>
              </m:rPr>
              <w:rPr>
                <w:rFonts w:ascii="Cambria Math" w:eastAsia="Times New Roman" w:hAnsi="Cambria Math" w:cs="Times New Roman"/>
                <w:color w:val="000000"/>
                <w:sz w:val="24"/>
                <w:szCs w:val="24"/>
              </w:rPr>
              <m:t>-1</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μ</m:t>
            </m:r>
          </m:e>
          <m:sub>
            <m:r>
              <w:rPr>
                <w:rFonts w:ascii="Cambria Math" w:eastAsia="Times New Roman" w:hAnsi="Cambria Math" w:cs="Times New Roman"/>
                <w:color w:val="000000"/>
                <w:sz w:val="24"/>
                <w:szCs w:val="24"/>
              </w:rPr>
              <m:t>t</m:t>
            </m:r>
          </m:sub>
        </m:sSub>
        <m:r>
          <m:rPr>
            <m:sty m:val="p"/>
          </m:rPr>
          <w:rPr>
            <w:rFonts w:ascii="Cambria Math" w:eastAsia="Times New Roman" w:hAnsi="Cambria Math" w:cs="Times New Roman"/>
            <w:color w:val="000000"/>
            <w:sz w:val="24"/>
            <w:szCs w:val="24"/>
          </w:rPr>
          <m:t>+</m:t>
        </m:r>
        <m:r>
          <w:rPr>
            <w:rFonts w:ascii="Cambria Math" w:eastAsia="Times New Roman" w:hAnsi="Cambria Math" w:cs="Times New Roman"/>
            <w:color w:val="000000"/>
            <w:sz w:val="24"/>
            <w:szCs w:val="24"/>
          </w:rPr>
          <m:t>εit</m:t>
        </m:r>
      </m:oMath>
      <w:r w:rsidRPr="00B07C46">
        <w:rPr>
          <w:rFonts w:ascii="Book Antiqua" w:eastAsia="Times New Roman" w:hAnsi="Book Antiqua" w:cs="Times New Roman"/>
          <w:color w:val="000000"/>
          <w:sz w:val="24"/>
          <w:szCs w:val="24"/>
        </w:rPr>
        <w:tab/>
        <w:t>(1)</w:t>
      </w:r>
    </w:p>
    <w:p w14:paraId="53C60D39" w14:textId="77777777" w:rsidR="00AB6940" w:rsidRPr="00B07C46" w:rsidRDefault="00AB6940" w:rsidP="00AB6940">
      <w:pPr>
        <w:spacing w:after="0" w:line="240" w:lineRule="auto"/>
        <w:ind w:firstLine="567"/>
        <w:jc w:val="both"/>
        <w:rPr>
          <w:rFonts w:ascii="Book Antiqua" w:eastAsia="Times New Roman" w:hAnsi="Book Antiqua" w:cs="Times New Roman"/>
          <w:color w:val="000000"/>
          <w:sz w:val="24"/>
          <w:szCs w:val="24"/>
        </w:rPr>
      </w:pPr>
    </w:p>
    <w:p w14:paraId="6FF62FFA" w14:textId="0840AD71" w:rsidR="00AB6940" w:rsidRPr="00B07C46" w:rsidRDefault="001779BB" w:rsidP="00AB6940">
      <w:pPr>
        <w:spacing w:after="0" w:line="240" w:lineRule="auto"/>
        <w:ind w:firstLine="567"/>
        <w:jc w:val="both"/>
        <w:rPr>
          <w:rFonts w:ascii="Book Antiqua" w:eastAsia="Times New Roman" w:hAnsi="Book Antiqua" w:cs="Times New Roman"/>
          <w:color w:val="000000"/>
          <w:sz w:val="24"/>
          <w:szCs w:val="24"/>
        </w:rPr>
      </w:pPr>
      <m:oMath>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Return</m:t>
            </m:r>
          </m:e>
          <m:sub>
            <m:r>
              <w:rPr>
                <w:rFonts w:ascii="Cambria Math" w:eastAsia="Times New Roman" w:hAnsi="Cambria Math" w:cs="Times New Roman"/>
                <w:color w:val="000000"/>
                <w:sz w:val="24"/>
                <w:szCs w:val="24"/>
              </w:rPr>
              <m:t>i</m:t>
            </m:r>
            <m:r>
              <m:rPr>
                <m:sty m:val="p"/>
              </m:rPr>
              <w:rPr>
                <w:rFonts w:ascii="Cambria Math" w:eastAsia="Times New Roman" w:hAnsi="Cambria Math" w:cs="Times New Roman"/>
                <w:color w:val="000000"/>
                <w:sz w:val="24"/>
                <w:szCs w:val="24"/>
              </w:rPr>
              <m:t>,</m:t>
            </m:r>
            <m:r>
              <w:rPr>
                <w:rFonts w:ascii="Cambria Math" w:eastAsia="Times New Roman" w:hAnsi="Cambria Math" w:cs="Times New Roman"/>
                <w:color w:val="000000"/>
                <w:sz w:val="24"/>
                <w:szCs w:val="24"/>
              </w:rPr>
              <m:t>t</m:t>
            </m:r>
          </m:sub>
        </m:sSub>
      </m:oMath>
      <w:r w:rsidR="00AB6940" w:rsidRPr="00B07C46">
        <w:rPr>
          <w:rFonts w:ascii="Book Antiqua" w:eastAsia="Times New Roman" w:hAnsi="Book Antiqua" w:cs="Times New Roman"/>
          <w:color w:val="000000"/>
          <w:sz w:val="24"/>
          <w:szCs w:val="24"/>
        </w:rPr>
        <w:t xml:space="preserve"> is representing as </w:t>
      </w:r>
      <w:r w:rsidR="00FC58D0">
        <w:rPr>
          <w:rFonts w:ascii="Book Antiqua" w:eastAsia="Times New Roman" w:hAnsi="Book Antiqua" w:cs="Times New Roman"/>
          <w:color w:val="000000"/>
          <w:sz w:val="24"/>
          <w:szCs w:val="24"/>
        </w:rPr>
        <w:t xml:space="preserve">a </w:t>
      </w:r>
      <w:r w:rsidR="00AB6940" w:rsidRPr="00B07C46">
        <w:rPr>
          <w:rFonts w:ascii="Book Antiqua" w:eastAsia="Times New Roman" w:hAnsi="Book Antiqua" w:cs="Times New Roman"/>
          <w:color w:val="000000"/>
          <w:sz w:val="24"/>
          <w:szCs w:val="24"/>
        </w:rPr>
        <w:t xml:space="preserve">stock return of </w:t>
      </w:r>
      <w:proofErr w:type="spellStart"/>
      <w:r w:rsidR="00AB6940" w:rsidRPr="00B07C46">
        <w:rPr>
          <w:rFonts w:ascii="Book Antiqua" w:eastAsia="Times New Roman" w:hAnsi="Book Antiqua" w:cs="Times New Roman"/>
          <w:color w:val="000000"/>
          <w:sz w:val="24"/>
          <w:szCs w:val="24"/>
        </w:rPr>
        <w:t>i</w:t>
      </w:r>
      <w:proofErr w:type="spellEnd"/>
      <w:r w:rsidR="00AB6940" w:rsidRPr="00B07C46">
        <w:rPr>
          <w:rFonts w:ascii="Book Antiqua" w:eastAsia="Times New Roman" w:hAnsi="Book Antiqua" w:cs="Times New Roman"/>
          <w:color w:val="000000"/>
          <w:sz w:val="24"/>
          <w:szCs w:val="24"/>
        </w:rPr>
        <w:t xml:space="preserve"> at day t, while </w:t>
      </w:r>
      <m:oMath>
        <m:sSub>
          <m:sSubPr>
            <m:ctrlPr>
              <w:rPr>
                <w:rFonts w:ascii="Cambria Math" w:eastAsia="Times New Roman" w:hAnsi="Cambria Math" w:cs="Times New Roman"/>
                <w:color w:val="000000"/>
                <w:sz w:val="24"/>
                <w:szCs w:val="24"/>
              </w:rPr>
            </m:ctrlPr>
          </m:sSubPr>
          <m:e>
            <m:r>
              <m:rPr>
                <m:sty m:val="bi"/>
              </m:rP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i</m:t>
            </m:r>
            <m:r>
              <m:rPr>
                <m:sty m:val="p"/>
              </m:rPr>
              <w:rPr>
                <w:rFonts w:ascii="Cambria Math" w:eastAsia="Times New Roman" w:hAnsi="Cambria Math" w:cs="Times New Roman"/>
                <w:color w:val="000000"/>
                <w:sz w:val="24"/>
                <w:szCs w:val="24"/>
              </w:rPr>
              <m:t>,</m:t>
            </m:r>
            <m:r>
              <w:rPr>
                <w:rFonts w:ascii="Cambria Math" w:eastAsia="Times New Roman" w:hAnsi="Cambria Math" w:cs="Times New Roman"/>
                <w:color w:val="000000"/>
                <w:sz w:val="24"/>
                <w:szCs w:val="24"/>
              </w:rPr>
              <m:t>t</m:t>
            </m:r>
            <m:r>
              <m:rPr>
                <m:sty m:val="p"/>
              </m:rPr>
              <w:rPr>
                <w:rFonts w:ascii="Cambria Math" w:eastAsia="Times New Roman" w:hAnsi="Cambria Math" w:cs="Times New Roman"/>
                <w:color w:val="000000"/>
                <w:sz w:val="24"/>
                <w:szCs w:val="24"/>
              </w:rPr>
              <m:t>-1</m:t>
            </m:r>
          </m:sub>
        </m:sSub>
      </m:oMath>
      <w:r w:rsidR="00AB6940" w:rsidRPr="00B07C46">
        <w:rPr>
          <w:rFonts w:ascii="Book Antiqua" w:eastAsia="Times New Roman" w:hAnsi="Book Antiqua" w:cs="Times New Roman"/>
          <w:color w:val="000000"/>
          <w:sz w:val="24"/>
          <w:szCs w:val="24"/>
        </w:rPr>
        <w:t xml:space="preserve"> represent the control variables that include trading volume, previous stock return, exchange rate, Monday, and Friday. While </w:t>
      </w:r>
      <m:oMath>
        <m:r>
          <w:rPr>
            <w:rFonts w:ascii="Cambria Math" w:eastAsia="Times New Roman" w:hAnsi="Cambria Math" w:cs="Times New Roman"/>
            <w:color w:val="000000"/>
            <w:sz w:val="24"/>
            <w:szCs w:val="24"/>
          </w:rPr>
          <m:t>ε</m:t>
        </m:r>
      </m:oMath>
      <w:r w:rsidR="00AB6940" w:rsidRPr="00B07C46">
        <w:rPr>
          <w:rFonts w:ascii="Book Antiqua" w:eastAsia="Times New Roman" w:hAnsi="Book Antiqua" w:cs="Times New Roman"/>
          <w:color w:val="000000"/>
          <w:sz w:val="24"/>
          <w:szCs w:val="24"/>
        </w:rPr>
        <w:t xml:space="preserve"> is </w:t>
      </w:r>
      <w:r w:rsidR="00FC58D0">
        <w:rPr>
          <w:rFonts w:ascii="Book Antiqua" w:eastAsia="Times New Roman" w:hAnsi="Book Antiqua" w:cs="Times New Roman"/>
          <w:color w:val="000000"/>
          <w:sz w:val="24"/>
          <w:szCs w:val="24"/>
        </w:rPr>
        <w:t xml:space="preserve">the </w:t>
      </w:r>
      <w:r w:rsidR="00AB6940" w:rsidRPr="00B07C46">
        <w:rPr>
          <w:rFonts w:ascii="Book Antiqua" w:eastAsia="Times New Roman" w:hAnsi="Book Antiqua" w:cs="Times New Roman"/>
          <w:color w:val="000000"/>
          <w:sz w:val="24"/>
          <w:szCs w:val="24"/>
        </w:rPr>
        <w:t xml:space="preserve">error of the term </w:t>
      </w:r>
      <w:proofErr w:type="spellStart"/>
      <w:r w:rsidR="00AB6940" w:rsidRPr="00B07C46">
        <w:rPr>
          <w:rFonts w:ascii="Book Antiqua" w:eastAsia="Times New Roman" w:hAnsi="Book Antiqua" w:cs="Times New Roman"/>
          <w:color w:val="000000"/>
          <w:sz w:val="24"/>
          <w:szCs w:val="24"/>
        </w:rPr>
        <w:t>i</w:t>
      </w:r>
      <w:proofErr w:type="spellEnd"/>
      <w:r w:rsidR="00AB6940" w:rsidRPr="00B07C46">
        <w:rPr>
          <w:rFonts w:ascii="Book Antiqua" w:eastAsia="Times New Roman" w:hAnsi="Book Antiqua" w:cs="Times New Roman"/>
          <w:color w:val="000000"/>
          <w:sz w:val="24"/>
          <w:szCs w:val="24"/>
        </w:rPr>
        <w:t xml:space="preserve"> and t.</w:t>
      </w:r>
    </w:p>
    <w:p w14:paraId="42981938" w14:textId="77777777" w:rsidR="00AB6940" w:rsidRPr="00B07C46" w:rsidRDefault="00AB6940" w:rsidP="006F084E">
      <w:pPr>
        <w:spacing w:before="120" w:after="120" w:line="240" w:lineRule="auto"/>
        <w:ind w:firstLine="567"/>
        <w:jc w:val="both"/>
        <w:rPr>
          <w:rFonts w:ascii="Book Antiqua" w:eastAsia="Times New Roman" w:hAnsi="Book Antiqua" w:cs="Times New Roman"/>
          <w:color w:val="000000"/>
          <w:sz w:val="24"/>
          <w:szCs w:val="24"/>
        </w:rPr>
      </w:pPr>
    </w:p>
    <w:p w14:paraId="482BDD1C" w14:textId="77777777" w:rsidR="009D5576" w:rsidRPr="00B07C46" w:rsidRDefault="009D5576" w:rsidP="009D5576">
      <w:pPr>
        <w:spacing w:before="120" w:after="120" w:line="240" w:lineRule="auto"/>
        <w:jc w:val="both"/>
        <w:rPr>
          <w:rFonts w:ascii="Book Antiqua" w:eastAsia="Times New Roman" w:hAnsi="Book Antiqua" w:cs="Times New Roman"/>
          <w:color w:val="000000"/>
          <w:sz w:val="24"/>
          <w:szCs w:val="24"/>
        </w:rPr>
      </w:pPr>
    </w:p>
    <w:p w14:paraId="55CE6724" w14:textId="497F73A9" w:rsidR="009D5576" w:rsidRPr="00B07C46" w:rsidRDefault="000A084C" w:rsidP="003830D1">
      <w:pPr>
        <w:pStyle w:val="ListParagraph"/>
        <w:numPr>
          <w:ilvl w:val="0"/>
          <w:numId w:val="2"/>
        </w:numPr>
        <w:spacing w:before="120" w:after="120" w:line="240" w:lineRule="auto"/>
        <w:ind w:left="567" w:hanging="567"/>
        <w:jc w:val="both"/>
        <w:rPr>
          <w:rFonts w:ascii="Book Antiqua" w:eastAsia="Times New Roman" w:hAnsi="Book Antiqua" w:cstheme="minorHAnsi"/>
          <w:b/>
          <w:sz w:val="28"/>
          <w:szCs w:val="28"/>
        </w:rPr>
      </w:pPr>
      <w:r w:rsidRPr="00B07C46">
        <w:rPr>
          <w:rFonts w:ascii="Book Antiqua" w:eastAsia="Times New Roman" w:hAnsi="Book Antiqua" w:cstheme="minorHAnsi"/>
          <w:b/>
          <w:color w:val="000000"/>
          <w:sz w:val="28"/>
          <w:szCs w:val="28"/>
        </w:rPr>
        <w:t>Analysis and Discussion</w:t>
      </w:r>
    </w:p>
    <w:p w14:paraId="043689AC" w14:textId="3B4C49D3" w:rsidR="000A084C" w:rsidRPr="00B07C46" w:rsidRDefault="000A084C" w:rsidP="000A084C">
      <w:pPr>
        <w:spacing w:before="120" w:after="120" w:line="240" w:lineRule="auto"/>
        <w:jc w:val="both"/>
        <w:outlineLvl w:val="0"/>
        <w:rPr>
          <w:rFonts w:ascii="Book Antiqua" w:eastAsia="Times New Roman" w:hAnsi="Book Antiqua" w:cs="Times New Roman"/>
          <w:color w:val="000000"/>
          <w:sz w:val="20"/>
          <w:szCs w:val="20"/>
        </w:rPr>
      </w:pPr>
    </w:p>
    <w:p w14:paraId="43B188F0" w14:textId="5A9ECC5B" w:rsidR="000A084C" w:rsidRPr="00B07C46" w:rsidRDefault="000A084C" w:rsidP="000A084C">
      <w:pPr>
        <w:pStyle w:val="NoSpacing"/>
        <w:ind w:firstLine="567"/>
        <w:jc w:val="both"/>
        <w:rPr>
          <w:rFonts w:ascii="Book Antiqua" w:eastAsia="Times New Roman" w:hAnsi="Book Antiqua" w:cs="Times New Roman"/>
          <w:color w:val="000000"/>
          <w:sz w:val="24"/>
          <w:szCs w:val="24"/>
        </w:rPr>
      </w:pPr>
      <w:r w:rsidRPr="00B07C46">
        <w:rPr>
          <w:rFonts w:ascii="Book Antiqua" w:eastAsia="Times New Roman" w:hAnsi="Book Antiqua" w:cs="Times New Roman"/>
          <w:color w:val="000000"/>
          <w:sz w:val="24"/>
          <w:szCs w:val="24"/>
        </w:rPr>
        <w:t>The summary of the data is show</w:t>
      </w:r>
      <w:r w:rsidR="00FC58D0">
        <w:rPr>
          <w:rFonts w:ascii="Book Antiqua" w:eastAsia="Times New Roman" w:hAnsi="Book Antiqua" w:cs="Times New Roman"/>
          <w:color w:val="000000"/>
          <w:sz w:val="24"/>
          <w:szCs w:val="24"/>
        </w:rPr>
        <w:t>n</w:t>
      </w:r>
      <w:r w:rsidRPr="00B07C46">
        <w:rPr>
          <w:rFonts w:ascii="Book Antiqua" w:eastAsia="Times New Roman" w:hAnsi="Book Antiqua" w:cs="Times New Roman"/>
          <w:color w:val="000000"/>
          <w:sz w:val="24"/>
          <w:szCs w:val="24"/>
        </w:rPr>
        <w:t xml:space="preserve"> in Table 1. All the variables (exclude Monday and Friday) are </w:t>
      </w:r>
      <w:proofErr w:type="spellStart"/>
      <w:r w:rsidRPr="00B07C46">
        <w:rPr>
          <w:rFonts w:ascii="Book Antiqua" w:eastAsia="Times New Roman" w:hAnsi="Book Antiqua" w:cs="Times New Roman"/>
          <w:color w:val="000000"/>
          <w:sz w:val="24"/>
          <w:szCs w:val="24"/>
        </w:rPr>
        <w:t>winsorized</w:t>
      </w:r>
      <w:proofErr w:type="spellEnd"/>
      <w:r w:rsidRPr="00B07C46">
        <w:rPr>
          <w:rFonts w:ascii="Book Antiqua" w:eastAsia="Times New Roman" w:hAnsi="Book Antiqua" w:cs="Times New Roman"/>
          <w:color w:val="000000"/>
          <w:sz w:val="24"/>
          <w:szCs w:val="24"/>
        </w:rPr>
        <w:t xml:space="preserve"> at 1% and 99%. It can be seen the average return on Indonesian stock is very low (0,15%) meanwhile Malaysian stock market show</w:t>
      </w:r>
      <w:r w:rsidR="00FC58D0">
        <w:rPr>
          <w:rFonts w:ascii="Book Antiqua" w:eastAsia="Times New Roman" w:hAnsi="Book Antiqua" w:cs="Times New Roman"/>
          <w:color w:val="000000"/>
          <w:sz w:val="24"/>
          <w:szCs w:val="24"/>
        </w:rPr>
        <w:t>s a</w:t>
      </w:r>
      <w:r w:rsidRPr="00B07C46">
        <w:rPr>
          <w:rFonts w:ascii="Book Antiqua" w:eastAsia="Times New Roman" w:hAnsi="Book Antiqua" w:cs="Times New Roman"/>
          <w:color w:val="000000"/>
          <w:sz w:val="24"/>
          <w:szCs w:val="24"/>
        </w:rPr>
        <w:t xml:space="preserve"> high deviation level. The average new case and death cases for both countries show a huge difference. The maximum </w:t>
      </w:r>
      <w:r w:rsidR="00FC58D0">
        <w:rPr>
          <w:rFonts w:ascii="Book Antiqua" w:eastAsia="Times New Roman" w:hAnsi="Book Antiqua" w:cs="Times New Roman"/>
          <w:color w:val="000000"/>
          <w:sz w:val="24"/>
          <w:szCs w:val="24"/>
        </w:rPr>
        <w:t xml:space="preserve">number of </w:t>
      </w:r>
      <w:r w:rsidRPr="00B07C46">
        <w:rPr>
          <w:rFonts w:ascii="Book Antiqua" w:eastAsia="Times New Roman" w:hAnsi="Book Antiqua" w:cs="Times New Roman"/>
          <w:color w:val="000000"/>
          <w:sz w:val="24"/>
          <w:szCs w:val="24"/>
        </w:rPr>
        <w:t xml:space="preserve">daily death cases in Malaysia are 10 peoples meanwhile compared to Indonesia reach 215 peoples died. From this statement can be assumed COVID-19 </w:t>
      </w:r>
      <w:r w:rsidR="00FC58D0">
        <w:rPr>
          <w:rFonts w:ascii="Book Antiqua" w:eastAsia="Times New Roman" w:hAnsi="Book Antiqua" w:cs="Times New Roman"/>
          <w:color w:val="000000"/>
          <w:sz w:val="24"/>
          <w:szCs w:val="24"/>
        </w:rPr>
        <w:t xml:space="preserve">was </w:t>
      </w:r>
      <w:r w:rsidRPr="00B07C46">
        <w:rPr>
          <w:rFonts w:ascii="Book Antiqua" w:eastAsia="Times New Roman" w:hAnsi="Book Antiqua" w:cs="Times New Roman"/>
          <w:color w:val="000000"/>
          <w:sz w:val="24"/>
          <w:szCs w:val="24"/>
        </w:rPr>
        <w:t xml:space="preserve">more infected in Indonesia and caused </w:t>
      </w:r>
      <w:r w:rsidR="00FC58D0">
        <w:rPr>
          <w:rFonts w:ascii="Book Antiqua" w:eastAsia="Times New Roman" w:hAnsi="Book Antiqua" w:cs="Times New Roman"/>
          <w:color w:val="000000"/>
          <w:sz w:val="24"/>
          <w:szCs w:val="24"/>
        </w:rPr>
        <w:t xml:space="preserve">a </w:t>
      </w:r>
      <w:r w:rsidRPr="00B07C46">
        <w:rPr>
          <w:rFonts w:ascii="Book Antiqua" w:eastAsia="Times New Roman" w:hAnsi="Book Antiqua" w:cs="Times New Roman"/>
          <w:color w:val="000000"/>
          <w:sz w:val="24"/>
          <w:szCs w:val="24"/>
        </w:rPr>
        <w:t xml:space="preserve">slow cycle of its stock return. </w:t>
      </w:r>
    </w:p>
    <w:p w14:paraId="0CDF2A32" w14:textId="77777777" w:rsidR="000A084C" w:rsidRPr="00B07C46" w:rsidRDefault="000A084C" w:rsidP="000A084C">
      <w:pPr>
        <w:pStyle w:val="NoSpacing"/>
        <w:jc w:val="both"/>
        <w:rPr>
          <w:rFonts w:ascii="Book Antiqua" w:eastAsia="Times New Roman" w:hAnsi="Book Antiqua" w:cs="Times New Roman"/>
          <w:color w:val="000000"/>
          <w:sz w:val="20"/>
          <w:szCs w:val="20"/>
        </w:rPr>
      </w:pPr>
    </w:p>
    <w:p w14:paraId="68626CD2" w14:textId="77777777" w:rsidR="000A084C" w:rsidRPr="00B07C46" w:rsidRDefault="000A084C" w:rsidP="000A084C">
      <w:pPr>
        <w:pStyle w:val="NoSpacing"/>
        <w:jc w:val="center"/>
        <w:rPr>
          <w:rFonts w:ascii="Book Antiqua" w:eastAsia="Times New Roman" w:hAnsi="Book Antiqua" w:cs="Times New Roman"/>
          <w:b/>
          <w:bCs/>
          <w:color w:val="000000"/>
          <w:sz w:val="24"/>
          <w:szCs w:val="24"/>
        </w:rPr>
      </w:pPr>
      <w:r w:rsidRPr="00B07C46">
        <w:rPr>
          <w:rFonts w:ascii="Book Antiqua" w:eastAsia="Times New Roman" w:hAnsi="Book Antiqua" w:cs="Times New Roman"/>
          <w:b/>
          <w:bCs/>
          <w:color w:val="000000"/>
          <w:sz w:val="24"/>
          <w:szCs w:val="24"/>
        </w:rPr>
        <w:t>Table 1.  Summary statistics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876"/>
        <w:gridCol w:w="1296"/>
        <w:gridCol w:w="1296"/>
        <w:gridCol w:w="1296"/>
        <w:gridCol w:w="1296"/>
      </w:tblGrid>
      <w:tr w:rsidR="000A084C" w:rsidRPr="00B07C46" w14:paraId="3320CDDC" w14:textId="77777777" w:rsidTr="000A084C">
        <w:trPr>
          <w:jc w:val="center"/>
        </w:trPr>
        <w:tc>
          <w:tcPr>
            <w:tcW w:w="1773" w:type="dxa"/>
            <w:tcBorders>
              <w:top w:val="single" w:sz="12" w:space="0" w:color="auto"/>
              <w:left w:val="nil"/>
              <w:bottom w:val="single" w:sz="8" w:space="0" w:color="auto"/>
              <w:right w:val="nil"/>
            </w:tcBorders>
            <w:vAlign w:val="center"/>
          </w:tcPr>
          <w:p w14:paraId="22F59805"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876" w:type="dxa"/>
            <w:tcBorders>
              <w:top w:val="single" w:sz="12" w:space="0" w:color="auto"/>
              <w:left w:val="nil"/>
              <w:bottom w:val="single" w:sz="8" w:space="0" w:color="auto"/>
              <w:right w:val="nil"/>
            </w:tcBorders>
            <w:hideMark/>
          </w:tcPr>
          <w:p w14:paraId="42D5C89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N</w:t>
            </w:r>
          </w:p>
        </w:tc>
        <w:tc>
          <w:tcPr>
            <w:tcW w:w="1296" w:type="dxa"/>
            <w:tcBorders>
              <w:top w:val="single" w:sz="12" w:space="0" w:color="auto"/>
              <w:left w:val="nil"/>
              <w:bottom w:val="single" w:sz="8" w:space="0" w:color="auto"/>
              <w:right w:val="nil"/>
            </w:tcBorders>
            <w:hideMark/>
          </w:tcPr>
          <w:p w14:paraId="1E7D1B5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Mean</w:t>
            </w:r>
          </w:p>
        </w:tc>
        <w:tc>
          <w:tcPr>
            <w:tcW w:w="1296" w:type="dxa"/>
            <w:tcBorders>
              <w:top w:val="single" w:sz="12" w:space="0" w:color="auto"/>
              <w:left w:val="nil"/>
              <w:bottom w:val="single" w:sz="8" w:space="0" w:color="auto"/>
              <w:right w:val="nil"/>
            </w:tcBorders>
            <w:hideMark/>
          </w:tcPr>
          <w:p w14:paraId="408F2503"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Min</w:t>
            </w:r>
          </w:p>
        </w:tc>
        <w:tc>
          <w:tcPr>
            <w:tcW w:w="1296" w:type="dxa"/>
            <w:tcBorders>
              <w:top w:val="single" w:sz="12" w:space="0" w:color="auto"/>
              <w:left w:val="nil"/>
              <w:bottom w:val="single" w:sz="8" w:space="0" w:color="auto"/>
              <w:right w:val="nil"/>
            </w:tcBorders>
            <w:hideMark/>
          </w:tcPr>
          <w:p w14:paraId="4E8BAB59"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Max</w:t>
            </w:r>
          </w:p>
        </w:tc>
        <w:tc>
          <w:tcPr>
            <w:tcW w:w="1296" w:type="dxa"/>
            <w:tcBorders>
              <w:top w:val="single" w:sz="12" w:space="0" w:color="auto"/>
              <w:left w:val="nil"/>
              <w:bottom w:val="single" w:sz="8" w:space="0" w:color="auto"/>
              <w:right w:val="nil"/>
            </w:tcBorders>
            <w:hideMark/>
          </w:tcPr>
          <w:p w14:paraId="5F39453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Std. Dev</w:t>
            </w:r>
          </w:p>
        </w:tc>
      </w:tr>
      <w:tr w:rsidR="000A084C" w:rsidRPr="00B07C46" w14:paraId="12C47C7F" w14:textId="77777777" w:rsidTr="000A084C">
        <w:trPr>
          <w:jc w:val="center"/>
        </w:trPr>
        <w:tc>
          <w:tcPr>
            <w:tcW w:w="7833" w:type="dxa"/>
            <w:gridSpan w:val="6"/>
            <w:tcBorders>
              <w:top w:val="single" w:sz="8" w:space="0" w:color="auto"/>
              <w:left w:val="nil"/>
              <w:bottom w:val="nil"/>
              <w:right w:val="nil"/>
            </w:tcBorders>
            <w:vAlign w:val="center"/>
            <w:hideMark/>
          </w:tcPr>
          <w:p w14:paraId="0C862EF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Indonesia’s</w:t>
            </w:r>
          </w:p>
        </w:tc>
      </w:tr>
      <w:tr w:rsidR="000A084C" w:rsidRPr="00B07C46" w14:paraId="69C409CE" w14:textId="77777777" w:rsidTr="000A084C">
        <w:trPr>
          <w:jc w:val="center"/>
        </w:trPr>
        <w:tc>
          <w:tcPr>
            <w:tcW w:w="1773" w:type="dxa"/>
            <w:tcBorders>
              <w:top w:val="single" w:sz="8" w:space="0" w:color="auto"/>
              <w:left w:val="nil"/>
              <w:bottom w:val="nil"/>
              <w:right w:val="nil"/>
            </w:tcBorders>
            <w:vAlign w:val="center"/>
            <w:hideMark/>
          </w:tcPr>
          <w:p w14:paraId="16E8C18C" w14:textId="77777777" w:rsidR="000A084C" w:rsidRPr="00B07C46" w:rsidRDefault="000A084C">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Return</w:t>
            </w:r>
            <w:r w:rsidRPr="00E46419">
              <w:rPr>
                <w:rFonts w:ascii="Book Antiqua" w:eastAsia="Times New Roman" w:hAnsi="Book Antiqua" w:cs="Times New Roman"/>
                <w:color w:val="000000"/>
                <w:sz w:val="20"/>
                <w:szCs w:val="20"/>
                <w:vertAlign w:val="subscript"/>
              </w:rPr>
              <w:t>t</w:t>
            </w:r>
            <w:proofErr w:type="spellEnd"/>
          </w:p>
        </w:tc>
        <w:tc>
          <w:tcPr>
            <w:tcW w:w="876" w:type="dxa"/>
            <w:tcBorders>
              <w:top w:val="single" w:sz="8" w:space="0" w:color="auto"/>
              <w:left w:val="nil"/>
              <w:bottom w:val="nil"/>
              <w:right w:val="nil"/>
            </w:tcBorders>
            <w:hideMark/>
          </w:tcPr>
          <w:p w14:paraId="7A55CE2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141585</w:t>
            </w:r>
          </w:p>
        </w:tc>
        <w:tc>
          <w:tcPr>
            <w:tcW w:w="1296" w:type="dxa"/>
            <w:tcBorders>
              <w:top w:val="single" w:sz="8" w:space="0" w:color="auto"/>
              <w:left w:val="nil"/>
              <w:bottom w:val="nil"/>
              <w:right w:val="nil"/>
            </w:tcBorders>
            <w:hideMark/>
          </w:tcPr>
          <w:p w14:paraId="48D3AF0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0,00154</w:t>
            </w:r>
          </w:p>
        </w:tc>
        <w:tc>
          <w:tcPr>
            <w:tcW w:w="1296" w:type="dxa"/>
            <w:tcBorders>
              <w:top w:val="single" w:sz="8" w:space="0" w:color="auto"/>
              <w:left w:val="nil"/>
              <w:bottom w:val="nil"/>
              <w:right w:val="nil"/>
            </w:tcBorders>
            <w:hideMark/>
          </w:tcPr>
          <w:p w14:paraId="7BED693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-0,06977</w:t>
            </w:r>
          </w:p>
        </w:tc>
        <w:tc>
          <w:tcPr>
            <w:tcW w:w="1296" w:type="dxa"/>
            <w:tcBorders>
              <w:top w:val="single" w:sz="8" w:space="0" w:color="auto"/>
              <w:left w:val="nil"/>
              <w:bottom w:val="nil"/>
              <w:right w:val="nil"/>
            </w:tcBorders>
            <w:hideMark/>
          </w:tcPr>
          <w:p w14:paraId="5DEB4BF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0,21212</w:t>
            </w:r>
          </w:p>
        </w:tc>
        <w:tc>
          <w:tcPr>
            <w:tcW w:w="1296" w:type="dxa"/>
            <w:tcBorders>
              <w:top w:val="single" w:sz="8" w:space="0" w:color="auto"/>
              <w:left w:val="nil"/>
              <w:bottom w:val="nil"/>
              <w:right w:val="nil"/>
            </w:tcBorders>
            <w:hideMark/>
          </w:tcPr>
          <w:p w14:paraId="26CEE21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0,04003</w:t>
            </w:r>
          </w:p>
        </w:tc>
      </w:tr>
      <w:tr w:rsidR="000A084C" w:rsidRPr="00B07C46" w14:paraId="3A626F99" w14:textId="77777777" w:rsidTr="000A084C">
        <w:trPr>
          <w:jc w:val="center"/>
        </w:trPr>
        <w:tc>
          <w:tcPr>
            <w:tcW w:w="1773" w:type="dxa"/>
            <w:vAlign w:val="center"/>
            <w:hideMark/>
          </w:tcPr>
          <w:p w14:paraId="20B91D4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New Cases</w:t>
            </w:r>
            <w:r w:rsidRPr="00E46419">
              <w:rPr>
                <w:rFonts w:ascii="Book Antiqua" w:eastAsia="Times New Roman" w:hAnsi="Book Antiqua" w:cs="Times New Roman"/>
                <w:color w:val="000000"/>
                <w:sz w:val="20"/>
                <w:szCs w:val="20"/>
                <w:vertAlign w:val="subscript"/>
              </w:rPr>
              <w:t>t-1</w:t>
            </w:r>
          </w:p>
        </w:tc>
        <w:tc>
          <w:tcPr>
            <w:tcW w:w="876" w:type="dxa"/>
            <w:hideMark/>
          </w:tcPr>
          <w:p w14:paraId="78A5B0F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140864</w:t>
            </w:r>
          </w:p>
        </w:tc>
        <w:tc>
          <w:tcPr>
            <w:tcW w:w="1296" w:type="dxa"/>
            <w:hideMark/>
          </w:tcPr>
          <w:p w14:paraId="0782009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2396,15800</w:t>
            </w:r>
          </w:p>
        </w:tc>
        <w:tc>
          <w:tcPr>
            <w:tcW w:w="1296" w:type="dxa"/>
            <w:hideMark/>
          </w:tcPr>
          <w:p w14:paraId="215C8DA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w:t>
            </w:r>
          </w:p>
        </w:tc>
        <w:tc>
          <w:tcPr>
            <w:tcW w:w="1296" w:type="dxa"/>
            <w:hideMark/>
          </w:tcPr>
          <w:p w14:paraId="76B1E98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7903</w:t>
            </w:r>
          </w:p>
        </w:tc>
        <w:tc>
          <w:tcPr>
            <w:tcW w:w="1296" w:type="dxa"/>
            <w:hideMark/>
          </w:tcPr>
          <w:p w14:paraId="22588E93"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2013,36400</w:t>
            </w:r>
          </w:p>
        </w:tc>
      </w:tr>
      <w:tr w:rsidR="000A084C" w:rsidRPr="00B07C46" w14:paraId="323208B5" w14:textId="77777777" w:rsidTr="000A084C">
        <w:trPr>
          <w:jc w:val="center"/>
        </w:trPr>
        <w:tc>
          <w:tcPr>
            <w:tcW w:w="1773" w:type="dxa"/>
            <w:vAlign w:val="center"/>
            <w:hideMark/>
          </w:tcPr>
          <w:p w14:paraId="6D60246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Death Cases</w:t>
            </w:r>
            <w:r w:rsidRPr="00E46419">
              <w:rPr>
                <w:rFonts w:ascii="Book Antiqua" w:eastAsia="Times New Roman" w:hAnsi="Book Antiqua" w:cs="Times New Roman"/>
                <w:color w:val="000000"/>
                <w:sz w:val="20"/>
                <w:szCs w:val="20"/>
                <w:vertAlign w:val="subscript"/>
              </w:rPr>
              <w:t>t-1</w:t>
            </w:r>
          </w:p>
        </w:tc>
        <w:tc>
          <w:tcPr>
            <w:tcW w:w="876" w:type="dxa"/>
            <w:hideMark/>
          </w:tcPr>
          <w:p w14:paraId="1C60C1B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140874</w:t>
            </w:r>
          </w:p>
        </w:tc>
        <w:tc>
          <w:tcPr>
            <w:tcW w:w="1296" w:type="dxa"/>
            <w:hideMark/>
          </w:tcPr>
          <w:p w14:paraId="46F40B3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72,61236</w:t>
            </w:r>
          </w:p>
        </w:tc>
        <w:tc>
          <w:tcPr>
            <w:tcW w:w="1296" w:type="dxa"/>
            <w:hideMark/>
          </w:tcPr>
          <w:p w14:paraId="1B5EAA8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w:t>
            </w:r>
          </w:p>
        </w:tc>
        <w:tc>
          <w:tcPr>
            <w:tcW w:w="1296" w:type="dxa"/>
            <w:hideMark/>
          </w:tcPr>
          <w:p w14:paraId="19C1A2D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215</w:t>
            </w:r>
          </w:p>
        </w:tc>
        <w:tc>
          <w:tcPr>
            <w:tcW w:w="1296" w:type="dxa"/>
            <w:hideMark/>
          </w:tcPr>
          <w:p w14:paraId="3490CDC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49,24890</w:t>
            </w:r>
          </w:p>
        </w:tc>
      </w:tr>
      <w:tr w:rsidR="000A084C" w:rsidRPr="00B07C46" w14:paraId="3F279718" w14:textId="77777777" w:rsidTr="000A084C">
        <w:trPr>
          <w:jc w:val="center"/>
        </w:trPr>
        <w:tc>
          <w:tcPr>
            <w:tcW w:w="1773" w:type="dxa"/>
            <w:vAlign w:val="center"/>
            <w:hideMark/>
          </w:tcPr>
          <w:p w14:paraId="4484C5F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Volume</w:t>
            </w:r>
            <w:r w:rsidRPr="00E46419">
              <w:rPr>
                <w:rFonts w:ascii="Book Antiqua" w:eastAsia="Times New Roman" w:hAnsi="Book Antiqua" w:cs="Times New Roman"/>
                <w:color w:val="000000"/>
                <w:sz w:val="20"/>
                <w:szCs w:val="20"/>
                <w:vertAlign w:val="subscript"/>
              </w:rPr>
              <w:t>t-1</w:t>
            </w:r>
          </w:p>
        </w:tc>
        <w:tc>
          <w:tcPr>
            <w:tcW w:w="876" w:type="dxa"/>
            <w:hideMark/>
          </w:tcPr>
          <w:p w14:paraId="34AAA59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114181</w:t>
            </w:r>
          </w:p>
        </w:tc>
        <w:tc>
          <w:tcPr>
            <w:tcW w:w="1296" w:type="dxa"/>
            <w:hideMark/>
          </w:tcPr>
          <w:p w14:paraId="11A0439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1.36e+07</w:t>
            </w:r>
          </w:p>
        </w:tc>
        <w:tc>
          <w:tcPr>
            <w:tcW w:w="1296" w:type="dxa"/>
            <w:hideMark/>
          </w:tcPr>
          <w:p w14:paraId="4C4CC8B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100</w:t>
            </w:r>
          </w:p>
        </w:tc>
        <w:tc>
          <w:tcPr>
            <w:tcW w:w="1296" w:type="dxa"/>
            <w:hideMark/>
          </w:tcPr>
          <w:p w14:paraId="38BE34A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2.76e+08</w:t>
            </w:r>
          </w:p>
        </w:tc>
        <w:tc>
          <w:tcPr>
            <w:tcW w:w="1296" w:type="dxa"/>
            <w:hideMark/>
          </w:tcPr>
          <w:p w14:paraId="73F5FE3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4.08e+07</w:t>
            </w:r>
          </w:p>
        </w:tc>
      </w:tr>
      <w:tr w:rsidR="000A084C" w:rsidRPr="00B07C46" w14:paraId="5E4E8BDD" w14:textId="77777777" w:rsidTr="000A084C">
        <w:trPr>
          <w:jc w:val="center"/>
        </w:trPr>
        <w:tc>
          <w:tcPr>
            <w:tcW w:w="1773" w:type="dxa"/>
            <w:vAlign w:val="center"/>
            <w:hideMark/>
          </w:tcPr>
          <w:p w14:paraId="6CDC563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Return</w:t>
            </w:r>
            <w:r w:rsidRPr="00E46419">
              <w:rPr>
                <w:rFonts w:ascii="Book Antiqua" w:eastAsia="Times New Roman" w:hAnsi="Book Antiqua" w:cs="Times New Roman"/>
                <w:color w:val="000000"/>
                <w:sz w:val="20"/>
                <w:szCs w:val="20"/>
                <w:vertAlign w:val="subscript"/>
              </w:rPr>
              <w:t>t-1</w:t>
            </w:r>
          </w:p>
        </w:tc>
        <w:tc>
          <w:tcPr>
            <w:tcW w:w="876" w:type="dxa"/>
            <w:hideMark/>
          </w:tcPr>
          <w:p w14:paraId="5BE5A99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140797</w:t>
            </w:r>
          </w:p>
        </w:tc>
        <w:tc>
          <w:tcPr>
            <w:tcW w:w="1296" w:type="dxa"/>
            <w:hideMark/>
          </w:tcPr>
          <w:p w14:paraId="14A9009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0,00143</w:t>
            </w:r>
          </w:p>
        </w:tc>
        <w:tc>
          <w:tcPr>
            <w:tcW w:w="1296" w:type="dxa"/>
            <w:hideMark/>
          </w:tcPr>
          <w:p w14:paraId="32898EA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-0,06987</w:t>
            </w:r>
          </w:p>
        </w:tc>
        <w:tc>
          <w:tcPr>
            <w:tcW w:w="1296" w:type="dxa"/>
            <w:hideMark/>
          </w:tcPr>
          <w:p w14:paraId="6232940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0,20567</w:t>
            </w:r>
          </w:p>
        </w:tc>
        <w:tc>
          <w:tcPr>
            <w:tcW w:w="1296" w:type="dxa"/>
            <w:hideMark/>
          </w:tcPr>
          <w:p w14:paraId="4965B7F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0,03869</w:t>
            </w:r>
          </w:p>
        </w:tc>
      </w:tr>
      <w:tr w:rsidR="000A084C" w:rsidRPr="00B07C46" w14:paraId="327E1577" w14:textId="77777777" w:rsidTr="000A084C">
        <w:trPr>
          <w:jc w:val="center"/>
        </w:trPr>
        <w:tc>
          <w:tcPr>
            <w:tcW w:w="1773" w:type="dxa"/>
            <w:vAlign w:val="center"/>
            <w:hideMark/>
          </w:tcPr>
          <w:p w14:paraId="06588C0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Rate</w:t>
            </w:r>
            <w:r w:rsidRPr="00E46419">
              <w:rPr>
                <w:rFonts w:ascii="Book Antiqua" w:eastAsia="Times New Roman" w:hAnsi="Book Antiqua" w:cs="Times New Roman"/>
                <w:color w:val="000000"/>
                <w:sz w:val="20"/>
                <w:szCs w:val="20"/>
                <w:vertAlign w:val="subscript"/>
              </w:rPr>
              <w:t>t-1</w:t>
            </w:r>
          </w:p>
        </w:tc>
        <w:tc>
          <w:tcPr>
            <w:tcW w:w="876" w:type="dxa"/>
            <w:hideMark/>
          </w:tcPr>
          <w:p w14:paraId="0E00D43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140874</w:t>
            </w:r>
          </w:p>
        </w:tc>
        <w:tc>
          <w:tcPr>
            <w:tcW w:w="1296" w:type="dxa"/>
            <w:hideMark/>
          </w:tcPr>
          <w:p w14:paraId="50DA1C7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14749,04</w:t>
            </w:r>
          </w:p>
        </w:tc>
        <w:tc>
          <w:tcPr>
            <w:tcW w:w="1296" w:type="dxa"/>
            <w:hideMark/>
          </w:tcPr>
          <w:p w14:paraId="5A83F7C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14014</w:t>
            </w:r>
          </w:p>
        </w:tc>
        <w:tc>
          <w:tcPr>
            <w:tcW w:w="1296" w:type="dxa"/>
            <w:hideMark/>
          </w:tcPr>
          <w:p w14:paraId="13C627C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16556</w:t>
            </w:r>
          </w:p>
        </w:tc>
        <w:tc>
          <w:tcPr>
            <w:tcW w:w="1296" w:type="dxa"/>
            <w:hideMark/>
          </w:tcPr>
          <w:p w14:paraId="33F0A88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598,29560</w:t>
            </w:r>
          </w:p>
        </w:tc>
      </w:tr>
      <w:tr w:rsidR="000A084C" w:rsidRPr="00B07C46" w14:paraId="05226A90" w14:textId="77777777" w:rsidTr="00E46419">
        <w:trPr>
          <w:trHeight w:val="153"/>
          <w:jc w:val="center"/>
        </w:trPr>
        <w:tc>
          <w:tcPr>
            <w:tcW w:w="1773" w:type="dxa"/>
            <w:vAlign w:val="center"/>
            <w:hideMark/>
          </w:tcPr>
          <w:p w14:paraId="2A0A4894" w14:textId="4E273A7E" w:rsidR="000A084C" w:rsidRPr="00B07C46" w:rsidRDefault="000A084C">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Monday</w:t>
            </w:r>
            <w:r w:rsidR="00E46419" w:rsidRPr="00E46419">
              <w:rPr>
                <w:rFonts w:ascii="Book Antiqua" w:eastAsia="Times New Roman" w:hAnsi="Book Antiqua" w:cs="Times New Roman"/>
                <w:color w:val="000000"/>
                <w:sz w:val="20"/>
                <w:szCs w:val="20"/>
                <w:vertAlign w:val="subscript"/>
              </w:rPr>
              <w:t>t</w:t>
            </w:r>
            <w:proofErr w:type="spellEnd"/>
          </w:p>
        </w:tc>
        <w:tc>
          <w:tcPr>
            <w:tcW w:w="876" w:type="dxa"/>
            <w:hideMark/>
          </w:tcPr>
          <w:p w14:paraId="678F212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140159</w:t>
            </w:r>
          </w:p>
        </w:tc>
        <w:tc>
          <w:tcPr>
            <w:tcW w:w="1296" w:type="dxa"/>
            <w:hideMark/>
          </w:tcPr>
          <w:p w14:paraId="78F757F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0,20720</w:t>
            </w:r>
          </w:p>
        </w:tc>
        <w:tc>
          <w:tcPr>
            <w:tcW w:w="1296" w:type="dxa"/>
            <w:hideMark/>
          </w:tcPr>
          <w:p w14:paraId="43F587A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w:t>
            </w:r>
          </w:p>
        </w:tc>
        <w:tc>
          <w:tcPr>
            <w:tcW w:w="1296" w:type="dxa"/>
            <w:hideMark/>
          </w:tcPr>
          <w:p w14:paraId="3D62CA7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w:t>
            </w:r>
          </w:p>
        </w:tc>
        <w:tc>
          <w:tcPr>
            <w:tcW w:w="1296" w:type="dxa"/>
            <w:hideMark/>
          </w:tcPr>
          <w:p w14:paraId="11FF2B0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0,40530</w:t>
            </w:r>
          </w:p>
        </w:tc>
      </w:tr>
      <w:tr w:rsidR="000A084C" w:rsidRPr="00B07C46" w14:paraId="580289F9" w14:textId="77777777" w:rsidTr="000A084C">
        <w:trPr>
          <w:jc w:val="center"/>
        </w:trPr>
        <w:tc>
          <w:tcPr>
            <w:tcW w:w="1773" w:type="dxa"/>
            <w:vAlign w:val="center"/>
            <w:hideMark/>
          </w:tcPr>
          <w:p w14:paraId="145EC093" w14:textId="51FBDC26" w:rsidR="000A084C" w:rsidRPr="00B07C46" w:rsidRDefault="000A084C">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Friday</w:t>
            </w:r>
            <w:r w:rsidR="00E46419" w:rsidRPr="00E46419">
              <w:rPr>
                <w:rFonts w:ascii="Book Antiqua" w:eastAsia="Times New Roman" w:hAnsi="Book Antiqua" w:cs="Times New Roman"/>
                <w:color w:val="000000"/>
                <w:sz w:val="20"/>
                <w:szCs w:val="20"/>
                <w:vertAlign w:val="subscript"/>
              </w:rPr>
              <w:t>t</w:t>
            </w:r>
            <w:proofErr w:type="spellEnd"/>
          </w:p>
        </w:tc>
        <w:tc>
          <w:tcPr>
            <w:tcW w:w="876" w:type="dxa"/>
            <w:hideMark/>
          </w:tcPr>
          <w:p w14:paraId="120E8BF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140159</w:t>
            </w:r>
          </w:p>
        </w:tc>
        <w:tc>
          <w:tcPr>
            <w:tcW w:w="1296" w:type="dxa"/>
            <w:hideMark/>
          </w:tcPr>
          <w:p w14:paraId="531C3DE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0,18186</w:t>
            </w:r>
          </w:p>
        </w:tc>
        <w:tc>
          <w:tcPr>
            <w:tcW w:w="1296" w:type="dxa"/>
            <w:hideMark/>
          </w:tcPr>
          <w:p w14:paraId="7D80739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w:t>
            </w:r>
          </w:p>
        </w:tc>
        <w:tc>
          <w:tcPr>
            <w:tcW w:w="1296" w:type="dxa"/>
            <w:hideMark/>
          </w:tcPr>
          <w:p w14:paraId="43DFD83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w:t>
            </w:r>
          </w:p>
        </w:tc>
        <w:tc>
          <w:tcPr>
            <w:tcW w:w="1296" w:type="dxa"/>
            <w:hideMark/>
          </w:tcPr>
          <w:p w14:paraId="7D76F78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0,38573</w:t>
            </w:r>
          </w:p>
        </w:tc>
      </w:tr>
      <w:tr w:rsidR="000A084C" w:rsidRPr="00B07C46" w14:paraId="20877313" w14:textId="77777777" w:rsidTr="000A084C">
        <w:trPr>
          <w:jc w:val="center"/>
        </w:trPr>
        <w:tc>
          <w:tcPr>
            <w:tcW w:w="7833" w:type="dxa"/>
            <w:gridSpan w:val="6"/>
            <w:tcBorders>
              <w:top w:val="single" w:sz="8" w:space="0" w:color="auto"/>
              <w:left w:val="nil"/>
              <w:bottom w:val="nil"/>
              <w:right w:val="nil"/>
            </w:tcBorders>
            <w:vAlign w:val="center"/>
            <w:hideMark/>
          </w:tcPr>
          <w:p w14:paraId="7473FB9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Malaysia’s</w:t>
            </w:r>
          </w:p>
        </w:tc>
      </w:tr>
      <w:tr w:rsidR="00E46419" w:rsidRPr="00B07C46" w14:paraId="73F51A5F" w14:textId="77777777" w:rsidTr="000A084C">
        <w:trPr>
          <w:jc w:val="center"/>
        </w:trPr>
        <w:tc>
          <w:tcPr>
            <w:tcW w:w="1773" w:type="dxa"/>
            <w:tcBorders>
              <w:top w:val="single" w:sz="8" w:space="0" w:color="auto"/>
              <w:left w:val="nil"/>
              <w:bottom w:val="nil"/>
              <w:right w:val="nil"/>
            </w:tcBorders>
            <w:vAlign w:val="center"/>
            <w:hideMark/>
          </w:tcPr>
          <w:p w14:paraId="075661C5" w14:textId="38E44F1E" w:rsidR="00E46419" w:rsidRPr="00B07C46" w:rsidRDefault="00E46419" w:rsidP="00E46419">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Return</w:t>
            </w:r>
            <w:r w:rsidRPr="00E46419">
              <w:rPr>
                <w:rFonts w:ascii="Book Antiqua" w:eastAsia="Times New Roman" w:hAnsi="Book Antiqua" w:cs="Times New Roman"/>
                <w:color w:val="000000"/>
                <w:sz w:val="20"/>
                <w:szCs w:val="20"/>
                <w:vertAlign w:val="subscript"/>
              </w:rPr>
              <w:t>t</w:t>
            </w:r>
            <w:proofErr w:type="spellEnd"/>
          </w:p>
        </w:tc>
        <w:tc>
          <w:tcPr>
            <w:tcW w:w="876" w:type="dxa"/>
            <w:tcBorders>
              <w:top w:val="single" w:sz="8" w:space="0" w:color="auto"/>
              <w:left w:val="nil"/>
              <w:bottom w:val="nil"/>
              <w:right w:val="nil"/>
            </w:tcBorders>
            <w:vAlign w:val="bottom"/>
            <w:hideMark/>
          </w:tcPr>
          <w:p w14:paraId="17F16915"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218113</w:t>
            </w:r>
          </w:p>
        </w:tc>
        <w:tc>
          <w:tcPr>
            <w:tcW w:w="1296" w:type="dxa"/>
            <w:tcBorders>
              <w:top w:val="single" w:sz="8" w:space="0" w:color="auto"/>
              <w:left w:val="nil"/>
              <w:bottom w:val="nil"/>
              <w:right w:val="nil"/>
            </w:tcBorders>
            <w:vAlign w:val="bottom"/>
            <w:hideMark/>
          </w:tcPr>
          <w:p w14:paraId="23590C0B"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3,07671</w:t>
            </w:r>
          </w:p>
        </w:tc>
        <w:tc>
          <w:tcPr>
            <w:tcW w:w="1296" w:type="dxa"/>
            <w:tcBorders>
              <w:top w:val="single" w:sz="8" w:space="0" w:color="auto"/>
              <w:left w:val="nil"/>
              <w:bottom w:val="nil"/>
              <w:right w:val="nil"/>
            </w:tcBorders>
            <w:vAlign w:val="bottom"/>
            <w:hideMark/>
          </w:tcPr>
          <w:p w14:paraId="2A2FCB6D"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-0,99006</w:t>
            </w:r>
          </w:p>
        </w:tc>
        <w:tc>
          <w:tcPr>
            <w:tcW w:w="1296" w:type="dxa"/>
            <w:tcBorders>
              <w:top w:val="single" w:sz="8" w:space="0" w:color="auto"/>
              <w:left w:val="nil"/>
              <w:bottom w:val="nil"/>
              <w:right w:val="nil"/>
            </w:tcBorders>
            <w:vAlign w:val="bottom"/>
            <w:hideMark/>
          </w:tcPr>
          <w:p w14:paraId="069BEEBD"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100</w:t>
            </w:r>
          </w:p>
        </w:tc>
        <w:tc>
          <w:tcPr>
            <w:tcW w:w="1296" w:type="dxa"/>
            <w:tcBorders>
              <w:top w:val="single" w:sz="8" w:space="0" w:color="auto"/>
              <w:left w:val="nil"/>
              <w:bottom w:val="nil"/>
              <w:right w:val="nil"/>
            </w:tcBorders>
            <w:vAlign w:val="bottom"/>
            <w:hideMark/>
          </w:tcPr>
          <w:p w14:paraId="27228FD8"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13,34438</w:t>
            </w:r>
          </w:p>
        </w:tc>
      </w:tr>
      <w:tr w:rsidR="00E46419" w:rsidRPr="00B07C46" w14:paraId="10137345" w14:textId="77777777" w:rsidTr="000A084C">
        <w:trPr>
          <w:jc w:val="center"/>
        </w:trPr>
        <w:tc>
          <w:tcPr>
            <w:tcW w:w="1773" w:type="dxa"/>
            <w:vAlign w:val="center"/>
            <w:hideMark/>
          </w:tcPr>
          <w:p w14:paraId="1D01A49A" w14:textId="2C7A5616"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New Cases</w:t>
            </w:r>
            <w:r w:rsidRPr="00E46419">
              <w:rPr>
                <w:rFonts w:ascii="Book Antiqua" w:eastAsia="Times New Roman" w:hAnsi="Book Antiqua" w:cs="Times New Roman"/>
                <w:color w:val="000000"/>
                <w:sz w:val="20"/>
                <w:szCs w:val="20"/>
                <w:vertAlign w:val="subscript"/>
              </w:rPr>
              <w:t>t-1</w:t>
            </w:r>
          </w:p>
        </w:tc>
        <w:tc>
          <w:tcPr>
            <w:tcW w:w="876" w:type="dxa"/>
            <w:vAlign w:val="bottom"/>
            <w:hideMark/>
          </w:tcPr>
          <w:p w14:paraId="6314659C"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218411</w:t>
            </w:r>
          </w:p>
        </w:tc>
        <w:tc>
          <w:tcPr>
            <w:tcW w:w="1296" w:type="dxa"/>
            <w:vAlign w:val="bottom"/>
            <w:hideMark/>
          </w:tcPr>
          <w:p w14:paraId="208AFE52"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337,16660</w:t>
            </w:r>
          </w:p>
        </w:tc>
        <w:tc>
          <w:tcPr>
            <w:tcW w:w="1296" w:type="dxa"/>
            <w:vAlign w:val="bottom"/>
            <w:hideMark/>
          </w:tcPr>
          <w:p w14:paraId="0F4B51CE"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w:t>
            </w:r>
          </w:p>
        </w:tc>
        <w:tc>
          <w:tcPr>
            <w:tcW w:w="1296" w:type="dxa"/>
            <w:vAlign w:val="bottom"/>
            <w:hideMark/>
          </w:tcPr>
          <w:p w14:paraId="578E0049"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2062</w:t>
            </w:r>
          </w:p>
        </w:tc>
        <w:tc>
          <w:tcPr>
            <w:tcW w:w="1296" w:type="dxa"/>
            <w:vAlign w:val="bottom"/>
            <w:hideMark/>
          </w:tcPr>
          <w:p w14:paraId="7DADD00D"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539,90520</w:t>
            </w:r>
          </w:p>
        </w:tc>
      </w:tr>
      <w:tr w:rsidR="00E46419" w:rsidRPr="00B07C46" w14:paraId="4ACE613A" w14:textId="77777777" w:rsidTr="000A084C">
        <w:trPr>
          <w:jc w:val="center"/>
        </w:trPr>
        <w:tc>
          <w:tcPr>
            <w:tcW w:w="1773" w:type="dxa"/>
            <w:vAlign w:val="center"/>
            <w:hideMark/>
          </w:tcPr>
          <w:p w14:paraId="5539CAF3" w14:textId="3A92B0E4"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Death Cases</w:t>
            </w:r>
            <w:r w:rsidRPr="00E46419">
              <w:rPr>
                <w:rFonts w:ascii="Book Antiqua" w:eastAsia="Times New Roman" w:hAnsi="Book Antiqua" w:cs="Times New Roman"/>
                <w:color w:val="000000"/>
                <w:sz w:val="20"/>
                <w:szCs w:val="20"/>
                <w:vertAlign w:val="subscript"/>
              </w:rPr>
              <w:t>t-1</w:t>
            </w:r>
          </w:p>
        </w:tc>
        <w:tc>
          <w:tcPr>
            <w:tcW w:w="876" w:type="dxa"/>
            <w:vAlign w:val="bottom"/>
            <w:hideMark/>
          </w:tcPr>
          <w:p w14:paraId="252B9E8D"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218411</w:t>
            </w:r>
          </w:p>
        </w:tc>
        <w:tc>
          <w:tcPr>
            <w:tcW w:w="1296" w:type="dxa"/>
            <w:vAlign w:val="bottom"/>
            <w:hideMark/>
          </w:tcPr>
          <w:p w14:paraId="156E4BA3"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1,40999</w:t>
            </w:r>
          </w:p>
        </w:tc>
        <w:tc>
          <w:tcPr>
            <w:tcW w:w="1296" w:type="dxa"/>
            <w:vAlign w:val="bottom"/>
            <w:hideMark/>
          </w:tcPr>
          <w:p w14:paraId="43585979"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w:t>
            </w:r>
          </w:p>
        </w:tc>
        <w:tc>
          <w:tcPr>
            <w:tcW w:w="1296" w:type="dxa"/>
            <w:vAlign w:val="bottom"/>
            <w:hideMark/>
          </w:tcPr>
          <w:p w14:paraId="2F6D45B5"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10</w:t>
            </w:r>
          </w:p>
        </w:tc>
        <w:tc>
          <w:tcPr>
            <w:tcW w:w="1296" w:type="dxa"/>
            <w:vAlign w:val="bottom"/>
            <w:hideMark/>
          </w:tcPr>
          <w:p w14:paraId="0E1806ED"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2,09228</w:t>
            </w:r>
          </w:p>
        </w:tc>
      </w:tr>
      <w:tr w:rsidR="00E46419" w:rsidRPr="00B07C46" w14:paraId="0129BD6E" w14:textId="77777777" w:rsidTr="000A084C">
        <w:trPr>
          <w:jc w:val="center"/>
        </w:trPr>
        <w:tc>
          <w:tcPr>
            <w:tcW w:w="1773" w:type="dxa"/>
            <w:vAlign w:val="center"/>
            <w:hideMark/>
          </w:tcPr>
          <w:p w14:paraId="6A74D193" w14:textId="0E9E996B"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Volume</w:t>
            </w:r>
            <w:r w:rsidRPr="00E46419">
              <w:rPr>
                <w:rFonts w:ascii="Book Antiqua" w:eastAsia="Times New Roman" w:hAnsi="Book Antiqua" w:cs="Times New Roman"/>
                <w:color w:val="000000"/>
                <w:sz w:val="20"/>
                <w:szCs w:val="20"/>
                <w:vertAlign w:val="subscript"/>
              </w:rPr>
              <w:t>t-1</w:t>
            </w:r>
          </w:p>
        </w:tc>
        <w:tc>
          <w:tcPr>
            <w:tcW w:w="876" w:type="dxa"/>
            <w:vAlign w:val="bottom"/>
            <w:hideMark/>
          </w:tcPr>
          <w:p w14:paraId="1E98D6A3"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188823</w:t>
            </w:r>
          </w:p>
        </w:tc>
        <w:tc>
          <w:tcPr>
            <w:tcW w:w="1296" w:type="dxa"/>
            <w:vAlign w:val="bottom"/>
            <w:hideMark/>
          </w:tcPr>
          <w:p w14:paraId="686EE3B5"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5797585</w:t>
            </w:r>
          </w:p>
        </w:tc>
        <w:tc>
          <w:tcPr>
            <w:tcW w:w="1296" w:type="dxa"/>
            <w:vAlign w:val="bottom"/>
            <w:hideMark/>
          </w:tcPr>
          <w:p w14:paraId="01229550"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1000</w:t>
            </w:r>
          </w:p>
        </w:tc>
        <w:tc>
          <w:tcPr>
            <w:tcW w:w="1296" w:type="dxa"/>
            <w:vAlign w:val="bottom"/>
            <w:hideMark/>
          </w:tcPr>
          <w:p w14:paraId="26C6C986"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1.14e+08</w:t>
            </w:r>
          </w:p>
        </w:tc>
        <w:tc>
          <w:tcPr>
            <w:tcW w:w="1296" w:type="dxa"/>
            <w:vAlign w:val="bottom"/>
            <w:hideMark/>
          </w:tcPr>
          <w:p w14:paraId="332DDAA5"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1.61e+07</w:t>
            </w:r>
          </w:p>
        </w:tc>
      </w:tr>
      <w:tr w:rsidR="00E46419" w:rsidRPr="00B07C46" w14:paraId="4A83711A" w14:textId="77777777" w:rsidTr="000A084C">
        <w:trPr>
          <w:jc w:val="center"/>
        </w:trPr>
        <w:tc>
          <w:tcPr>
            <w:tcW w:w="1773" w:type="dxa"/>
            <w:vAlign w:val="center"/>
            <w:hideMark/>
          </w:tcPr>
          <w:p w14:paraId="3954D9C0" w14:textId="70E7D543"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Return</w:t>
            </w:r>
            <w:r w:rsidRPr="00E46419">
              <w:rPr>
                <w:rFonts w:ascii="Book Antiqua" w:eastAsia="Times New Roman" w:hAnsi="Book Antiqua" w:cs="Times New Roman"/>
                <w:color w:val="000000"/>
                <w:sz w:val="20"/>
                <w:szCs w:val="20"/>
                <w:vertAlign w:val="subscript"/>
              </w:rPr>
              <w:t>t-1</w:t>
            </w:r>
          </w:p>
        </w:tc>
        <w:tc>
          <w:tcPr>
            <w:tcW w:w="876" w:type="dxa"/>
            <w:vAlign w:val="bottom"/>
            <w:hideMark/>
          </w:tcPr>
          <w:p w14:paraId="0732601A"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218411</w:t>
            </w:r>
          </w:p>
        </w:tc>
        <w:tc>
          <w:tcPr>
            <w:tcW w:w="1296" w:type="dxa"/>
            <w:vAlign w:val="bottom"/>
            <w:hideMark/>
          </w:tcPr>
          <w:p w14:paraId="329D7567"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2,63321</w:t>
            </w:r>
          </w:p>
        </w:tc>
        <w:tc>
          <w:tcPr>
            <w:tcW w:w="1296" w:type="dxa"/>
            <w:vAlign w:val="bottom"/>
            <w:hideMark/>
          </w:tcPr>
          <w:p w14:paraId="5DADAD7C"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-0,98990</w:t>
            </w:r>
          </w:p>
        </w:tc>
        <w:tc>
          <w:tcPr>
            <w:tcW w:w="1296" w:type="dxa"/>
            <w:vAlign w:val="bottom"/>
            <w:hideMark/>
          </w:tcPr>
          <w:p w14:paraId="6AE5494F"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97,75</w:t>
            </w:r>
          </w:p>
        </w:tc>
        <w:tc>
          <w:tcPr>
            <w:tcW w:w="1296" w:type="dxa"/>
            <w:vAlign w:val="bottom"/>
            <w:hideMark/>
          </w:tcPr>
          <w:p w14:paraId="793A3EAD"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11,99586</w:t>
            </w:r>
          </w:p>
        </w:tc>
      </w:tr>
      <w:tr w:rsidR="00E46419" w:rsidRPr="00B07C46" w14:paraId="7E36D09F" w14:textId="77777777" w:rsidTr="000A084C">
        <w:trPr>
          <w:jc w:val="center"/>
        </w:trPr>
        <w:tc>
          <w:tcPr>
            <w:tcW w:w="1773" w:type="dxa"/>
            <w:vAlign w:val="center"/>
            <w:hideMark/>
          </w:tcPr>
          <w:p w14:paraId="2F96CED5" w14:textId="12AEBA03"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Rate</w:t>
            </w:r>
            <w:r w:rsidRPr="00E46419">
              <w:rPr>
                <w:rFonts w:ascii="Book Antiqua" w:eastAsia="Times New Roman" w:hAnsi="Book Antiqua" w:cs="Times New Roman"/>
                <w:color w:val="000000"/>
                <w:sz w:val="20"/>
                <w:szCs w:val="20"/>
                <w:vertAlign w:val="subscript"/>
              </w:rPr>
              <w:t>t-1</w:t>
            </w:r>
          </w:p>
        </w:tc>
        <w:tc>
          <w:tcPr>
            <w:tcW w:w="876" w:type="dxa"/>
            <w:vAlign w:val="bottom"/>
            <w:hideMark/>
          </w:tcPr>
          <w:p w14:paraId="478999CB"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218411</w:t>
            </w:r>
          </w:p>
        </w:tc>
        <w:tc>
          <w:tcPr>
            <w:tcW w:w="1296" w:type="dxa"/>
            <w:vAlign w:val="bottom"/>
            <w:hideMark/>
          </w:tcPr>
          <w:p w14:paraId="04DDE77A"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4,30428</w:t>
            </w:r>
          </w:p>
        </w:tc>
        <w:tc>
          <w:tcPr>
            <w:tcW w:w="1296" w:type="dxa"/>
            <w:vAlign w:val="bottom"/>
            <w:hideMark/>
          </w:tcPr>
          <w:p w14:paraId="5005E7EB"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4,11250</w:t>
            </w:r>
          </w:p>
        </w:tc>
        <w:tc>
          <w:tcPr>
            <w:tcW w:w="1296" w:type="dxa"/>
            <w:vAlign w:val="bottom"/>
            <w:hideMark/>
          </w:tcPr>
          <w:p w14:paraId="0D9F0FD8"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4,92</w:t>
            </w:r>
          </w:p>
        </w:tc>
        <w:tc>
          <w:tcPr>
            <w:tcW w:w="1296" w:type="dxa"/>
            <w:vAlign w:val="bottom"/>
            <w:hideMark/>
          </w:tcPr>
          <w:p w14:paraId="2A2F9368"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0,19010</w:t>
            </w:r>
          </w:p>
        </w:tc>
      </w:tr>
      <w:tr w:rsidR="00E46419" w:rsidRPr="00B07C46" w14:paraId="7157BF4D" w14:textId="77777777" w:rsidTr="000A084C">
        <w:trPr>
          <w:jc w:val="center"/>
        </w:trPr>
        <w:tc>
          <w:tcPr>
            <w:tcW w:w="1773" w:type="dxa"/>
            <w:vAlign w:val="center"/>
            <w:hideMark/>
          </w:tcPr>
          <w:p w14:paraId="17EE6DC8" w14:textId="530C847A" w:rsidR="00E46419" w:rsidRPr="00B07C46" w:rsidRDefault="00E46419" w:rsidP="00E46419">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Monday</w:t>
            </w:r>
            <w:r w:rsidRPr="00E46419">
              <w:rPr>
                <w:rFonts w:ascii="Book Antiqua" w:eastAsia="Times New Roman" w:hAnsi="Book Antiqua" w:cs="Times New Roman"/>
                <w:color w:val="000000"/>
                <w:sz w:val="20"/>
                <w:szCs w:val="20"/>
                <w:vertAlign w:val="subscript"/>
              </w:rPr>
              <w:t>t</w:t>
            </w:r>
            <w:proofErr w:type="spellEnd"/>
          </w:p>
        </w:tc>
        <w:tc>
          <w:tcPr>
            <w:tcW w:w="876" w:type="dxa"/>
            <w:vAlign w:val="bottom"/>
            <w:hideMark/>
          </w:tcPr>
          <w:p w14:paraId="30F65B9D"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218411</w:t>
            </w:r>
          </w:p>
        </w:tc>
        <w:tc>
          <w:tcPr>
            <w:tcW w:w="1296" w:type="dxa"/>
            <w:vAlign w:val="bottom"/>
            <w:hideMark/>
          </w:tcPr>
          <w:p w14:paraId="76255439"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0,18941</w:t>
            </w:r>
          </w:p>
        </w:tc>
        <w:tc>
          <w:tcPr>
            <w:tcW w:w="1296" w:type="dxa"/>
            <w:vAlign w:val="bottom"/>
            <w:hideMark/>
          </w:tcPr>
          <w:p w14:paraId="111D05C5"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w:t>
            </w:r>
          </w:p>
        </w:tc>
        <w:tc>
          <w:tcPr>
            <w:tcW w:w="1296" w:type="dxa"/>
            <w:vAlign w:val="bottom"/>
            <w:hideMark/>
          </w:tcPr>
          <w:p w14:paraId="2173222C"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w:t>
            </w:r>
          </w:p>
        </w:tc>
        <w:tc>
          <w:tcPr>
            <w:tcW w:w="1296" w:type="dxa"/>
            <w:vAlign w:val="bottom"/>
            <w:hideMark/>
          </w:tcPr>
          <w:p w14:paraId="58F2B006"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0,39184</w:t>
            </w:r>
          </w:p>
        </w:tc>
      </w:tr>
      <w:tr w:rsidR="00E46419" w:rsidRPr="00B07C46" w14:paraId="5483E4D5" w14:textId="77777777" w:rsidTr="000A084C">
        <w:trPr>
          <w:jc w:val="center"/>
        </w:trPr>
        <w:tc>
          <w:tcPr>
            <w:tcW w:w="1773" w:type="dxa"/>
            <w:tcBorders>
              <w:top w:val="nil"/>
              <w:left w:val="nil"/>
              <w:bottom w:val="single" w:sz="4" w:space="0" w:color="auto"/>
              <w:right w:val="nil"/>
            </w:tcBorders>
            <w:vAlign w:val="center"/>
            <w:hideMark/>
          </w:tcPr>
          <w:p w14:paraId="4E52E71B" w14:textId="0342CE3C" w:rsidR="00E46419" w:rsidRPr="00B07C46" w:rsidRDefault="00E46419" w:rsidP="00E46419">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Friday</w:t>
            </w:r>
            <w:r w:rsidRPr="00E46419">
              <w:rPr>
                <w:rFonts w:ascii="Book Antiqua" w:eastAsia="Times New Roman" w:hAnsi="Book Antiqua" w:cs="Times New Roman"/>
                <w:color w:val="000000"/>
                <w:sz w:val="20"/>
                <w:szCs w:val="20"/>
                <w:vertAlign w:val="subscript"/>
              </w:rPr>
              <w:t>t</w:t>
            </w:r>
            <w:proofErr w:type="spellEnd"/>
          </w:p>
        </w:tc>
        <w:tc>
          <w:tcPr>
            <w:tcW w:w="876" w:type="dxa"/>
            <w:tcBorders>
              <w:top w:val="nil"/>
              <w:left w:val="nil"/>
              <w:bottom w:val="single" w:sz="4" w:space="0" w:color="auto"/>
              <w:right w:val="nil"/>
            </w:tcBorders>
            <w:vAlign w:val="bottom"/>
            <w:hideMark/>
          </w:tcPr>
          <w:p w14:paraId="5D78D3A5"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218411</w:t>
            </w:r>
          </w:p>
        </w:tc>
        <w:tc>
          <w:tcPr>
            <w:tcW w:w="1296" w:type="dxa"/>
            <w:tcBorders>
              <w:top w:val="nil"/>
              <w:left w:val="nil"/>
              <w:bottom w:val="single" w:sz="4" w:space="0" w:color="auto"/>
              <w:right w:val="nil"/>
            </w:tcBorders>
            <w:vAlign w:val="bottom"/>
            <w:hideMark/>
          </w:tcPr>
          <w:p w14:paraId="7F5C3CCD"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0,19385</w:t>
            </w:r>
          </w:p>
        </w:tc>
        <w:tc>
          <w:tcPr>
            <w:tcW w:w="1296" w:type="dxa"/>
            <w:tcBorders>
              <w:top w:val="nil"/>
              <w:left w:val="nil"/>
              <w:bottom w:val="single" w:sz="4" w:space="0" w:color="auto"/>
              <w:right w:val="nil"/>
            </w:tcBorders>
            <w:vAlign w:val="bottom"/>
            <w:hideMark/>
          </w:tcPr>
          <w:p w14:paraId="109578D7"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w:t>
            </w:r>
          </w:p>
        </w:tc>
        <w:tc>
          <w:tcPr>
            <w:tcW w:w="1296" w:type="dxa"/>
            <w:tcBorders>
              <w:top w:val="nil"/>
              <w:left w:val="nil"/>
              <w:bottom w:val="single" w:sz="4" w:space="0" w:color="auto"/>
              <w:right w:val="nil"/>
            </w:tcBorders>
            <w:vAlign w:val="bottom"/>
            <w:hideMark/>
          </w:tcPr>
          <w:p w14:paraId="51498707"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w:t>
            </w:r>
          </w:p>
        </w:tc>
        <w:tc>
          <w:tcPr>
            <w:tcW w:w="1296" w:type="dxa"/>
            <w:tcBorders>
              <w:top w:val="nil"/>
              <w:left w:val="nil"/>
              <w:bottom w:val="single" w:sz="4" w:space="0" w:color="auto"/>
              <w:right w:val="nil"/>
            </w:tcBorders>
            <w:vAlign w:val="bottom"/>
            <w:hideMark/>
          </w:tcPr>
          <w:p w14:paraId="0CCDF6DB"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0,39531</w:t>
            </w:r>
          </w:p>
        </w:tc>
      </w:tr>
    </w:tbl>
    <w:p w14:paraId="62EE9ED6" w14:textId="77777777" w:rsidR="000A084C" w:rsidRPr="00B07C46" w:rsidRDefault="000A084C" w:rsidP="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ab/>
      </w:r>
      <w:proofErr w:type="spellStart"/>
      <w:r w:rsidRPr="00B07C46">
        <w:rPr>
          <w:rFonts w:ascii="Book Antiqua" w:eastAsia="Times New Roman" w:hAnsi="Book Antiqua" w:cs="Times New Roman"/>
          <w:color w:val="000000"/>
          <w:sz w:val="20"/>
          <w:szCs w:val="20"/>
        </w:rPr>
        <w:t>Winsorized</w:t>
      </w:r>
      <w:proofErr w:type="spellEnd"/>
      <w:r w:rsidRPr="00B07C46">
        <w:rPr>
          <w:rFonts w:ascii="Book Antiqua" w:eastAsia="Times New Roman" w:hAnsi="Book Antiqua" w:cs="Times New Roman"/>
          <w:color w:val="000000"/>
          <w:sz w:val="20"/>
          <w:szCs w:val="20"/>
        </w:rPr>
        <w:t xml:space="preserve"> at 1% and 99%</w:t>
      </w:r>
    </w:p>
    <w:p w14:paraId="77506150" w14:textId="77777777" w:rsidR="000A084C" w:rsidRPr="00B07C46" w:rsidRDefault="000A084C" w:rsidP="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Source: Proceed data, 2021</w:t>
      </w:r>
    </w:p>
    <w:p w14:paraId="61B237A4" w14:textId="77777777" w:rsidR="000A084C" w:rsidRPr="00B07C46" w:rsidRDefault="000A084C" w:rsidP="000A084C">
      <w:pPr>
        <w:pStyle w:val="NoSpacing"/>
        <w:jc w:val="both"/>
        <w:rPr>
          <w:rFonts w:ascii="Book Antiqua" w:eastAsia="Times New Roman" w:hAnsi="Book Antiqua" w:cs="Times New Roman"/>
          <w:color w:val="000000"/>
          <w:sz w:val="20"/>
          <w:szCs w:val="20"/>
        </w:rPr>
      </w:pPr>
    </w:p>
    <w:p w14:paraId="0D0D78E8" w14:textId="77777777" w:rsidR="000A084C" w:rsidRPr="007C2A94" w:rsidRDefault="000A084C" w:rsidP="000A084C">
      <w:pPr>
        <w:pStyle w:val="NoSpacing"/>
        <w:jc w:val="both"/>
        <w:rPr>
          <w:rFonts w:ascii="Book Antiqua" w:eastAsia="Times New Roman" w:hAnsi="Book Antiqua" w:cs="Times New Roman"/>
          <w:b/>
          <w:bCs/>
          <w:color w:val="000000"/>
          <w:sz w:val="24"/>
          <w:szCs w:val="24"/>
        </w:rPr>
      </w:pPr>
      <w:r w:rsidRPr="007C2A94">
        <w:rPr>
          <w:rFonts w:ascii="Book Antiqua" w:eastAsia="Times New Roman" w:hAnsi="Book Antiqua" w:cs="Times New Roman"/>
          <w:b/>
          <w:bCs/>
          <w:color w:val="000000"/>
          <w:sz w:val="24"/>
          <w:szCs w:val="24"/>
        </w:rPr>
        <w:t>COVID-19 on Indonesia and Malaysia Stock Return</w:t>
      </w:r>
    </w:p>
    <w:p w14:paraId="58E40617" w14:textId="77777777" w:rsidR="000A084C" w:rsidRPr="000354AD" w:rsidRDefault="000A084C" w:rsidP="000A084C">
      <w:pPr>
        <w:pStyle w:val="NoSpacing"/>
        <w:jc w:val="both"/>
        <w:rPr>
          <w:rFonts w:ascii="Book Antiqua" w:eastAsia="Times New Roman" w:hAnsi="Book Antiqua" w:cs="Times New Roman"/>
          <w:color w:val="000000"/>
          <w:sz w:val="24"/>
          <w:szCs w:val="24"/>
        </w:rPr>
      </w:pPr>
    </w:p>
    <w:p w14:paraId="7AC9CA4C" w14:textId="05BBF42F" w:rsidR="000A084C" w:rsidRPr="007C2A94" w:rsidRDefault="000A084C" w:rsidP="00A74BF2">
      <w:pPr>
        <w:pStyle w:val="NoSpacing"/>
        <w:spacing w:after="240"/>
        <w:jc w:val="both"/>
        <w:rPr>
          <w:rFonts w:ascii="Book Antiqua" w:eastAsia="Times New Roman" w:hAnsi="Book Antiqua" w:cs="Times New Roman"/>
          <w:color w:val="000000"/>
          <w:sz w:val="24"/>
          <w:szCs w:val="24"/>
        </w:rPr>
      </w:pPr>
      <w:r w:rsidRPr="007C2A94">
        <w:rPr>
          <w:rFonts w:ascii="Book Antiqua" w:eastAsia="Times New Roman" w:hAnsi="Book Antiqua" w:cs="Times New Roman"/>
          <w:color w:val="000000"/>
          <w:sz w:val="24"/>
          <w:szCs w:val="24"/>
        </w:rPr>
        <w:tab/>
      </w:r>
      <w:r w:rsidR="000354AD" w:rsidRPr="000354AD">
        <w:rPr>
          <w:rFonts w:ascii="Book Antiqua" w:eastAsia="Times New Roman" w:hAnsi="Book Antiqua" w:cs="Times New Roman"/>
          <w:color w:val="000000"/>
          <w:sz w:val="24"/>
          <w:szCs w:val="24"/>
        </w:rPr>
        <w:t xml:space="preserve">Table 2 reports the result of the COVID-19 outbreak on the Indonesia Stock Exchange and Bursa Malaysia market. The coefficient -0.000 indicates there is a strong negative effect of COVID-19 on Indonesia’s stock return. The results prove that stock returns in Indonesia are highly sensitive to the increase in the number of confirmed cases of COVID-19. Investor sentiment was driven by the emergence of infectious diseases (e.g., SARS, Influenza A (H1N1), polio, and </w:t>
      </w:r>
      <w:r w:rsidR="000354AD" w:rsidRPr="000354AD">
        <w:rPr>
          <w:rFonts w:ascii="Book Antiqua" w:eastAsia="Times New Roman" w:hAnsi="Book Antiqua" w:cs="Times New Roman"/>
          <w:color w:val="000000"/>
          <w:sz w:val="24"/>
          <w:szCs w:val="24"/>
        </w:rPr>
        <w:lastRenderedPageBreak/>
        <w:t xml:space="preserve">Ebola) </w:t>
      </w:r>
      <w:r w:rsidR="000354AD" w:rsidRPr="000354AD">
        <w:rPr>
          <w:rFonts w:ascii="Book Antiqua" w:eastAsia="Times New Roman" w:hAnsi="Book Antiqua" w:cs="Times New Roman"/>
          <w:color w:val="000000"/>
          <w:sz w:val="24"/>
          <w:szCs w:val="24"/>
        </w:rPr>
        <w:fldChar w:fldCharType="begin" w:fldLock="1"/>
      </w:r>
      <w:r w:rsidR="000354AD" w:rsidRPr="000354AD">
        <w:rPr>
          <w:rFonts w:ascii="Book Antiqua" w:eastAsia="Times New Roman" w:hAnsi="Book Antiqua" w:cs="Times New Roman"/>
          <w:color w:val="000000"/>
          <w:sz w:val="24"/>
          <w:szCs w:val="24"/>
        </w:rPr>
        <w:instrText>ADDIN CSL_CITATION {"citationItems":[{"id":"ITEM-1","itemData":{"DOI":"10.33736/ijbs.3271.2020","ISSN":"15116670","abstract":"The Movement Control Order (MCO) not only restricts movement of human being, it also reduces firms’ financial profits and brings significant impact to stock returns. The objective of this study is to examine the relation between Malaysian stock market returns and variables related to the novel Coronavirus (COVID-19) pandemic outbreak. The FTSE Bursa Malaysia KLCI Index and eight selected main indices from 2 January 2020 to April 30, 2020, which includes the first three MCOs, are considered in this study. The results show that daily new confirmed COVID-19 cases and deaths had negative but insignificant impact on the returns on indices. Interestingly, MCO had significant and positive impact on all the indices’ returns while oversea financial risks had negative impact on these returns. Furthermore, it is found that the degree of impacts of MCO and oversea financial risks varied positively with the firm size of the indices’ constituent companies. China’s decision on unchanged loan prime rate on the 20 February 2020 was a favorable news to the Malaysia stock markets as indicated by the positive returns on all the indices. Similarly, the degree of impact of the China interest policy also varied positively with the firms’ characteristics. These findings are useful for investors in the Bursa Malaysia to manage their investment portfolios based on their appetites for risk.","author":[{"dropping-particle":"","family":"Chia","given":"Ricky Chee Jiun","non-dropping-particle":"","parse-names":false,"suffix":""},{"dropping-particle":"Sen","family":"Liew","given":"Venus Khim","non-dropping-particle":"","parse-names":false,"suffix":""},{"dropping-particle":"","family":"Rowland","given":"Racquel","non-dropping-particle":"","parse-names":false,"suffix":""}],"container-title":"International Journal of Business and Society","id":"ITEM-1","issue":"2","issued":{"date-parts":[["2020"]]},"page":"553-568","title":"Daily new COVID-19 cases, the movement control order, and Malaysian stock market","type":"article-journal","volume":"21"},"uris":["http://www.mendeley.com/documents/?uuid=02c20380-e72f-4b0b-a510-5feeade9e309"]}],"mendeley":{"formattedCitation":"(Chia et al., 2020)","plainTextFormattedCitation":"(Chia et al., 2020)","previouslyFormattedCitation":"(Chia et al., 2020)"},"properties":{"noteIndex":0},"schema":"https://github.com/citation-style-language/schema/raw/master/csl-citation.json"}</w:instrText>
      </w:r>
      <w:r w:rsidR="000354AD" w:rsidRPr="000354AD">
        <w:rPr>
          <w:rFonts w:ascii="Book Antiqua" w:eastAsia="Times New Roman" w:hAnsi="Book Antiqua" w:cs="Times New Roman"/>
          <w:color w:val="000000"/>
          <w:sz w:val="24"/>
          <w:szCs w:val="24"/>
        </w:rPr>
        <w:fldChar w:fldCharType="separate"/>
      </w:r>
      <w:r w:rsidR="000354AD" w:rsidRPr="000354AD">
        <w:rPr>
          <w:rFonts w:ascii="Book Antiqua" w:eastAsia="Times New Roman" w:hAnsi="Book Antiqua" w:cs="Times New Roman"/>
          <w:noProof/>
          <w:color w:val="000000"/>
          <w:sz w:val="24"/>
          <w:szCs w:val="24"/>
        </w:rPr>
        <w:t>(Chia et al., 2020)</w:t>
      </w:r>
      <w:r w:rsidR="000354AD" w:rsidRPr="000354AD">
        <w:rPr>
          <w:rFonts w:ascii="Book Antiqua" w:eastAsia="Times New Roman" w:hAnsi="Book Antiqua" w:cs="Times New Roman"/>
          <w:color w:val="000000"/>
          <w:sz w:val="24"/>
          <w:szCs w:val="24"/>
        </w:rPr>
        <w:fldChar w:fldCharType="end"/>
      </w:r>
      <w:r w:rsidR="000354AD" w:rsidRPr="000354AD">
        <w:rPr>
          <w:rFonts w:ascii="Book Antiqua" w:eastAsia="Times New Roman" w:hAnsi="Book Antiqua" w:cs="Times New Roman"/>
          <w:color w:val="000000"/>
          <w:sz w:val="24"/>
          <w:szCs w:val="24"/>
        </w:rPr>
        <w:t xml:space="preserve">. COVID-19 cases are similar to SARS and MERS cases, in that outbreaks of infectious diseases can cause significant losses to the economies of affected countries </w:t>
      </w:r>
      <w:r w:rsidR="000354AD" w:rsidRPr="000354AD">
        <w:rPr>
          <w:rFonts w:ascii="Book Antiqua" w:eastAsia="Times New Roman" w:hAnsi="Book Antiqua" w:cs="Times New Roman"/>
          <w:color w:val="000000"/>
          <w:sz w:val="24"/>
          <w:szCs w:val="24"/>
        </w:rPr>
        <w:fldChar w:fldCharType="begin" w:fldLock="1"/>
      </w:r>
      <w:r w:rsidR="000354AD" w:rsidRPr="000354AD">
        <w:rPr>
          <w:rFonts w:ascii="Book Antiqua" w:eastAsia="Times New Roman" w:hAnsi="Book Antiqua" w:cs="Times New Roman"/>
          <w:color w:val="000000"/>
          <w:sz w:val="24"/>
          <w:szCs w:val="24"/>
        </w:rPr>
        <w:instrText>ADDIN CSL_CITATION {"citationItems":[{"id":"ITEM-1","itemData":{"DOI":"10.33736/ijbs.3271.2020","ISSN":"15116670","abstract":"The Movement Control Order (MCO) not only restricts movement of human being, it also reduces firms’ financial profits and brings significant impact to stock returns. The objective of this study is to examine the relation between Malaysian stock market returns and variables related to the novel Coronavirus (COVID-19) pandemic outbreak. The FTSE Bursa Malaysia KLCI Index and eight selected main indices from 2 January 2020 to April 30, 2020, which includes the first three MCOs, are considered in this study. The results show that daily new confirmed COVID-19 cases and deaths had negative but insignificant impact on the returns on indices. Interestingly, MCO had significant and positive impact on all the indices’ returns while oversea financial risks had negative impact on these returns. Furthermore, it is found that the degree of impacts of MCO and oversea financial risks varied positively with the firm size of the indices’ constituent companies. China’s decision on unchanged loan prime rate on the 20 February 2020 was a favorable news to the Malaysia stock markets as indicated by the positive returns on all the indices. Similarly, the degree of impact of the China interest policy also varied positively with the firms’ characteristics. These findings are useful for investors in the Bursa Malaysia to manage their investment portfolios based on their appetites for risk.","author":[{"dropping-particle":"","family":"Chia","given":"Ricky Chee Jiun","non-dropping-particle":"","parse-names":false,"suffix":""},{"dropping-particle":"Sen","family":"Liew","given":"Venus Khim","non-dropping-particle":"","parse-names":false,"suffix":""},{"dropping-particle":"","family":"Rowland","given":"Racquel","non-dropping-particle":"","parse-names":false,"suffix":""}],"container-title":"International Journal of Business and Society","id":"ITEM-1","issue":"2","issued":{"date-parts":[["2020"]]},"page":"553-568","title":"Daily new COVID-19 cases, the movement control order, and Malaysian stock market","type":"article-journal","volume":"21"},"uris":["http://www.mendeley.com/documents/?uuid=02c20380-e72f-4b0b-a510-5feeade9e309"]}],"mendeley":{"formattedCitation":"(Chia et al., 2020)","plainTextFormattedCitation":"(Chia et al., 2020)","previouslyFormattedCitation":"(Chia et al., 2020)"},"properties":{"noteIndex":0},"schema":"https://github.com/citation-style-language/schema/raw/master/csl-citation.json"}</w:instrText>
      </w:r>
      <w:r w:rsidR="000354AD" w:rsidRPr="000354AD">
        <w:rPr>
          <w:rFonts w:ascii="Book Antiqua" w:eastAsia="Times New Roman" w:hAnsi="Book Antiqua" w:cs="Times New Roman"/>
          <w:color w:val="000000"/>
          <w:sz w:val="24"/>
          <w:szCs w:val="24"/>
        </w:rPr>
        <w:fldChar w:fldCharType="separate"/>
      </w:r>
      <w:r w:rsidR="000354AD" w:rsidRPr="000354AD">
        <w:rPr>
          <w:rFonts w:ascii="Book Antiqua" w:eastAsia="Times New Roman" w:hAnsi="Book Antiqua" w:cs="Times New Roman"/>
          <w:noProof/>
          <w:color w:val="000000"/>
          <w:sz w:val="24"/>
          <w:szCs w:val="24"/>
        </w:rPr>
        <w:t>(Chia et al., 2020)</w:t>
      </w:r>
      <w:r w:rsidR="000354AD" w:rsidRPr="000354AD">
        <w:rPr>
          <w:rFonts w:ascii="Book Antiqua" w:eastAsia="Times New Roman" w:hAnsi="Book Antiqua" w:cs="Times New Roman"/>
          <w:color w:val="000000"/>
          <w:sz w:val="24"/>
          <w:szCs w:val="24"/>
        </w:rPr>
        <w:fldChar w:fldCharType="end"/>
      </w:r>
      <w:r w:rsidR="000354AD" w:rsidRPr="000354AD">
        <w:rPr>
          <w:rFonts w:ascii="Book Antiqua" w:eastAsia="Times New Roman" w:hAnsi="Book Antiqua" w:cs="Times New Roman"/>
          <w:color w:val="000000"/>
          <w:sz w:val="24"/>
          <w:szCs w:val="24"/>
        </w:rPr>
        <w:t>.</w:t>
      </w:r>
    </w:p>
    <w:p w14:paraId="2A62B03C" w14:textId="01858EA0" w:rsidR="000A084C" w:rsidRPr="007C2A94" w:rsidRDefault="000A084C" w:rsidP="000354AD">
      <w:pPr>
        <w:pStyle w:val="NoSpacing"/>
        <w:ind w:firstLine="720"/>
        <w:jc w:val="both"/>
        <w:rPr>
          <w:rFonts w:ascii="Book Antiqua" w:eastAsia="Times New Roman" w:hAnsi="Book Antiqua" w:cs="Times New Roman"/>
          <w:color w:val="000000"/>
          <w:sz w:val="24"/>
          <w:szCs w:val="24"/>
        </w:rPr>
      </w:pPr>
      <w:r w:rsidRPr="007C2A94">
        <w:rPr>
          <w:rFonts w:ascii="Book Antiqua" w:eastAsia="Times New Roman" w:hAnsi="Book Antiqua" w:cs="Times New Roman"/>
          <w:color w:val="000000"/>
          <w:sz w:val="24"/>
          <w:szCs w:val="24"/>
        </w:rPr>
        <w:t>Meanwhile</w:t>
      </w:r>
      <w:r w:rsidR="000354AD">
        <w:rPr>
          <w:rFonts w:ascii="Book Antiqua" w:eastAsia="Times New Roman" w:hAnsi="Book Antiqua" w:cs="Times New Roman"/>
          <w:color w:val="000000"/>
          <w:sz w:val="24"/>
          <w:szCs w:val="24"/>
        </w:rPr>
        <w:t>,</w:t>
      </w:r>
      <w:r w:rsidRPr="007C2A94">
        <w:rPr>
          <w:rFonts w:ascii="Book Antiqua" w:eastAsia="Times New Roman" w:hAnsi="Book Antiqua" w:cs="Times New Roman"/>
          <w:color w:val="000000"/>
          <w:sz w:val="24"/>
          <w:szCs w:val="24"/>
        </w:rPr>
        <w:t xml:space="preserve"> it was less influential in Malaysia’s stock market. The substantially varied number of instances from the two nations exemplifies this dramatic variance. Malaysia has fewer COVID-19 cases than Indonesia, which might also imply that COVID-19 has less of an impact on Malaysian stock returns. Th</w:t>
      </w:r>
      <w:r w:rsidR="000354AD">
        <w:rPr>
          <w:rFonts w:ascii="Book Antiqua" w:eastAsia="Times New Roman" w:hAnsi="Book Antiqua" w:cs="Times New Roman"/>
          <w:color w:val="000000"/>
          <w:sz w:val="24"/>
          <w:szCs w:val="24"/>
        </w:rPr>
        <w:t>ese</w:t>
      </w:r>
      <w:r w:rsidRPr="007C2A94">
        <w:rPr>
          <w:rFonts w:ascii="Book Antiqua" w:eastAsia="Times New Roman" w:hAnsi="Book Antiqua" w:cs="Times New Roman"/>
          <w:color w:val="000000"/>
          <w:sz w:val="24"/>
          <w:szCs w:val="24"/>
        </w:rPr>
        <w:t xml:space="preserve"> findings </w:t>
      </w:r>
      <w:r w:rsidR="000354AD">
        <w:rPr>
          <w:rFonts w:ascii="Book Antiqua" w:eastAsia="Times New Roman" w:hAnsi="Book Antiqua" w:cs="Times New Roman"/>
          <w:color w:val="000000"/>
          <w:sz w:val="24"/>
          <w:szCs w:val="24"/>
        </w:rPr>
        <w:t>are in</w:t>
      </w:r>
      <w:r w:rsidRPr="007C2A94">
        <w:rPr>
          <w:rFonts w:ascii="Book Antiqua" w:eastAsia="Times New Roman" w:hAnsi="Book Antiqua" w:cs="Times New Roman"/>
          <w:color w:val="000000"/>
          <w:sz w:val="24"/>
          <w:szCs w:val="24"/>
        </w:rPr>
        <w:t xml:space="preserve"> line with </w:t>
      </w:r>
      <w:r w:rsidRPr="007C2A94">
        <w:rPr>
          <w:rFonts w:ascii="Book Antiqua" w:eastAsia="Times New Roman" w:hAnsi="Book Antiqua" w:cs="Times New Roman"/>
          <w:color w:val="000000"/>
          <w:sz w:val="24"/>
          <w:szCs w:val="24"/>
        </w:rPr>
        <w:fldChar w:fldCharType="begin" w:fldLock="1"/>
      </w:r>
      <w:r w:rsidRPr="007C2A94">
        <w:rPr>
          <w:rFonts w:ascii="Book Antiqua" w:eastAsia="Times New Roman" w:hAnsi="Book Antiqua" w:cs="Times New Roman"/>
          <w:color w:val="000000"/>
          <w:sz w:val="24"/>
          <w:szCs w:val="24"/>
        </w:rPr>
        <w:instrText>ADDIN CSL_CITATION {"citationItems":[{"id":"ITEM-1","itemData":{"DOI":"10.33736/ijbs.3271.2020","ISSN":"15116670","abstract":"The Movement Control Order (MCO) not only restricts movement of human being, it also reduces firms’ financial profits and brings significant impact to stock returns. The objective of this study is to examine the relation between Malaysian stock market returns and variables related to the novel Coronavirus (COVID-19) pandemic outbreak. The FTSE Bursa Malaysia KLCI Index and eight selected main indices from 2 January 2020 to April 30, 2020, which includes the first three MCOs, are considered in this study. The results show that daily new confirmed COVID-19 cases and deaths had negative but insignificant impact on the returns on indices. Interestingly, MCO had significant and positive impact on all the indices’ returns while oversea financial risks had negative impact on these returns. Furthermore, it is found that the degree of impacts of MCO and oversea financial risks varied positively with the firm size of the indices’ constituent companies. China’s decision on unchanged loan prime rate on the 20 February 2020 was a favorable news to the Malaysia stock markets as indicated by the positive returns on all the indices. Similarly, the degree of impact of the China interest policy also varied positively with the firms’ characteristics. These findings are useful for investors in the Bursa Malaysia to manage their investment portfolios based on their appetites for risk.","author":[{"dropping-particle":"","family":"Chia","given":"Ricky Chee Jiun","non-dropping-particle":"","parse-names":false,"suffix":""},{"dropping-particle":"Sen","family":"Liew","given":"Venus Khim","non-dropping-particle":"","parse-names":false,"suffix":""},{"dropping-particle":"","family":"Rowland","given":"Racquel","non-dropping-particle":"","parse-names":false,"suffix":""}],"container-title":"International Journal of Business and Society","id":"ITEM-1","issue":"2","issued":{"date-parts":[["2020"]]},"page":"553-568","title":"Daily new COVID-19 cases, the movement control order, and Malaysian stock market","type":"article-journal","volume":"21"},"uris":["http://www.mendeley.com/documents/?uuid=02c20380-e72f-4b0b-a510-5feeade9e309"]}],"mendeley":{"formattedCitation":"(Chia et al., 2020)","manualFormatting":"Chia et al. (2020)","plainTextFormattedCitation":"(Chia et al., 2020)","previouslyFormattedCitation":"(Chia et al., 2020)"},"properties":{"noteIndex":0},"schema":"https://github.com/citation-style-language/schema/raw/master/csl-citation.json"}</w:instrText>
      </w:r>
      <w:r w:rsidRPr="007C2A94">
        <w:rPr>
          <w:rFonts w:ascii="Book Antiqua" w:eastAsia="Times New Roman" w:hAnsi="Book Antiqua" w:cs="Times New Roman"/>
          <w:color w:val="000000"/>
          <w:sz w:val="24"/>
          <w:szCs w:val="24"/>
        </w:rPr>
        <w:fldChar w:fldCharType="separate"/>
      </w:r>
      <w:r w:rsidRPr="007C2A94">
        <w:rPr>
          <w:rFonts w:ascii="Book Antiqua" w:eastAsia="Times New Roman" w:hAnsi="Book Antiqua" w:cs="Times New Roman"/>
          <w:noProof/>
          <w:color w:val="000000"/>
          <w:sz w:val="24"/>
          <w:szCs w:val="24"/>
        </w:rPr>
        <w:t>Chia et al. (2020)</w:t>
      </w:r>
      <w:r w:rsidRPr="007C2A94">
        <w:rPr>
          <w:rFonts w:ascii="Book Antiqua" w:eastAsia="Times New Roman" w:hAnsi="Book Antiqua" w:cs="Times New Roman"/>
          <w:color w:val="000000"/>
          <w:sz w:val="24"/>
          <w:szCs w:val="24"/>
        </w:rPr>
        <w:fldChar w:fldCharType="end"/>
      </w:r>
      <w:r w:rsidRPr="007C2A94">
        <w:rPr>
          <w:rFonts w:ascii="Book Antiqua" w:eastAsia="Times New Roman" w:hAnsi="Book Antiqua" w:cs="Times New Roman"/>
          <w:color w:val="000000"/>
          <w:sz w:val="24"/>
          <w:szCs w:val="24"/>
        </w:rPr>
        <w:t xml:space="preserve"> that found COVID-19 through daily death measurement had no significant impact on Malaysia stock return. </w:t>
      </w:r>
    </w:p>
    <w:p w14:paraId="270FB38F" w14:textId="1AADDD9F" w:rsidR="000A084C" w:rsidRDefault="000A084C" w:rsidP="000A084C">
      <w:pPr>
        <w:pStyle w:val="NoSpacing"/>
        <w:jc w:val="both"/>
        <w:rPr>
          <w:rFonts w:ascii="Book Antiqua" w:eastAsia="Times New Roman" w:hAnsi="Book Antiqua" w:cs="Times New Roman"/>
          <w:color w:val="000000"/>
          <w:sz w:val="24"/>
          <w:szCs w:val="24"/>
        </w:rPr>
      </w:pPr>
    </w:p>
    <w:p w14:paraId="1B1BCF0B" w14:textId="77777777" w:rsidR="007C2A94" w:rsidRPr="007C2A94" w:rsidRDefault="007C2A94" w:rsidP="000A084C">
      <w:pPr>
        <w:pStyle w:val="NoSpacing"/>
        <w:jc w:val="both"/>
        <w:rPr>
          <w:rFonts w:ascii="Book Antiqua" w:eastAsia="Times New Roman" w:hAnsi="Book Antiqua" w:cs="Times New Roman"/>
          <w:color w:val="000000"/>
          <w:sz w:val="24"/>
          <w:szCs w:val="24"/>
        </w:rPr>
      </w:pPr>
    </w:p>
    <w:p w14:paraId="20682C8C" w14:textId="77777777" w:rsidR="000A084C" w:rsidRPr="007C2A94" w:rsidRDefault="000A084C" w:rsidP="000A084C">
      <w:pPr>
        <w:pStyle w:val="NoSpacing"/>
        <w:jc w:val="center"/>
        <w:rPr>
          <w:rFonts w:ascii="Book Antiqua" w:eastAsia="Times New Roman" w:hAnsi="Book Antiqua" w:cs="Times New Roman"/>
          <w:b/>
          <w:bCs/>
          <w:color w:val="000000"/>
          <w:sz w:val="24"/>
          <w:szCs w:val="24"/>
        </w:rPr>
      </w:pPr>
      <w:r w:rsidRPr="007C2A94">
        <w:rPr>
          <w:rFonts w:ascii="Book Antiqua" w:eastAsia="Times New Roman" w:hAnsi="Book Antiqua" w:cs="Times New Roman"/>
          <w:b/>
          <w:bCs/>
          <w:color w:val="000000"/>
          <w:sz w:val="24"/>
          <w:szCs w:val="24"/>
        </w:rPr>
        <w:t>Table 2.  Daily confirmed cases on stock return</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58"/>
        <w:gridCol w:w="82"/>
        <w:gridCol w:w="1181"/>
        <w:gridCol w:w="1178"/>
        <w:gridCol w:w="1200"/>
        <w:gridCol w:w="1196"/>
        <w:gridCol w:w="1133"/>
      </w:tblGrid>
      <w:tr w:rsidR="000A084C" w:rsidRPr="00B07C46" w14:paraId="351B2843" w14:textId="77777777" w:rsidTr="000A084C">
        <w:trPr>
          <w:jc w:val="center"/>
        </w:trPr>
        <w:tc>
          <w:tcPr>
            <w:tcW w:w="1276" w:type="dxa"/>
            <w:tcBorders>
              <w:top w:val="single" w:sz="12" w:space="0" w:color="auto"/>
              <w:left w:val="nil"/>
              <w:bottom w:val="single" w:sz="8" w:space="0" w:color="auto"/>
              <w:right w:val="nil"/>
            </w:tcBorders>
            <w:vAlign w:val="center"/>
          </w:tcPr>
          <w:p w14:paraId="5781C828"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340" w:type="dxa"/>
            <w:gridSpan w:val="2"/>
            <w:tcBorders>
              <w:top w:val="single" w:sz="12" w:space="0" w:color="auto"/>
              <w:left w:val="nil"/>
              <w:bottom w:val="single" w:sz="8" w:space="0" w:color="auto"/>
              <w:right w:val="nil"/>
            </w:tcBorders>
            <w:hideMark/>
          </w:tcPr>
          <w:p w14:paraId="28E8837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w:t>
            </w:r>
          </w:p>
        </w:tc>
        <w:tc>
          <w:tcPr>
            <w:tcW w:w="1181" w:type="dxa"/>
            <w:tcBorders>
              <w:top w:val="single" w:sz="12" w:space="0" w:color="auto"/>
              <w:left w:val="nil"/>
              <w:bottom w:val="single" w:sz="8" w:space="0" w:color="auto"/>
              <w:right w:val="nil"/>
            </w:tcBorders>
            <w:hideMark/>
          </w:tcPr>
          <w:p w14:paraId="7B0768E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w:t>
            </w:r>
          </w:p>
        </w:tc>
        <w:tc>
          <w:tcPr>
            <w:tcW w:w="1178" w:type="dxa"/>
            <w:tcBorders>
              <w:top w:val="single" w:sz="12" w:space="0" w:color="auto"/>
              <w:left w:val="nil"/>
              <w:bottom w:val="single" w:sz="8" w:space="0" w:color="auto"/>
              <w:right w:val="nil"/>
            </w:tcBorders>
            <w:hideMark/>
          </w:tcPr>
          <w:p w14:paraId="664F6FF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(3)</w:t>
            </w:r>
          </w:p>
        </w:tc>
        <w:tc>
          <w:tcPr>
            <w:tcW w:w="1200" w:type="dxa"/>
            <w:tcBorders>
              <w:top w:val="single" w:sz="12" w:space="0" w:color="auto"/>
              <w:left w:val="nil"/>
              <w:bottom w:val="single" w:sz="8" w:space="0" w:color="auto"/>
              <w:right w:val="nil"/>
            </w:tcBorders>
            <w:hideMark/>
          </w:tcPr>
          <w:p w14:paraId="1087CDE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w:t>
            </w:r>
          </w:p>
        </w:tc>
        <w:tc>
          <w:tcPr>
            <w:tcW w:w="1196" w:type="dxa"/>
            <w:tcBorders>
              <w:top w:val="single" w:sz="12" w:space="0" w:color="auto"/>
              <w:left w:val="nil"/>
              <w:bottom w:val="single" w:sz="8" w:space="0" w:color="auto"/>
              <w:right w:val="nil"/>
            </w:tcBorders>
            <w:hideMark/>
          </w:tcPr>
          <w:p w14:paraId="44F3932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(5)</w:t>
            </w:r>
          </w:p>
        </w:tc>
        <w:tc>
          <w:tcPr>
            <w:tcW w:w="1133" w:type="dxa"/>
            <w:tcBorders>
              <w:top w:val="single" w:sz="12" w:space="0" w:color="auto"/>
              <w:left w:val="nil"/>
              <w:bottom w:val="single" w:sz="8" w:space="0" w:color="auto"/>
              <w:right w:val="nil"/>
            </w:tcBorders>
            <w:hideMark/>
          </w:tcPr>
          <w:p w14:paraId="4F601BE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(6)</w:t>
            </w:r>
          </w:p>
        </w:tc>
      </w:tr>
      <w:tr w:rsidR="000A084C" w:rsidRPr="00B07C46" w14:paraId="5A8FAB03" w14:textId="77777777" w:rsidTr="000A084C">
        <w:trPr>
          <w:jc w:val="center"/>
        </w:trPr>
        <w:tc>
          <w:tcPr>
            <w:tcW w:w="7371" w:type="dxa"/>
            <w:gridSpan w:val="7"/>
            <w:tcBorders>
              <w:top w:val="single" w:sz="8" w:space="0" w:color="auto"/>
              <w:left w:val="nil"/>
              <w:bottom w:val="single" w:sz="4" w:space="0" w:color="auto"/>
              <w:right w:val="nil"/>
            </w:tcBorders>
            <w:vAlign w:val="center"/>
            <w:hideMark/>
          </w:tcPr>
          <w:p w14:paraId="6DE466C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Indonesia’s</w:t>
            </w:r>
          </w:p>
        </w:tc>
        <w:tc>
          <w:tcPr>
            <w:tcW w:w="1133" w:type="dxa"/>
            <w:tcBorders>
              <w:top w:val="single" w:sz="8" w:space="0" w:color="auto"/>
              <w:left w:val="nil"/>
              <w:bottom w:val="single" w:sz="4" w:space="0" w:color="auto"/>
              <w:right w:val="nil"/>
            </w:tcBorders>
          </w:tcPr>
          <w:p w14:paraId="6E47FBB1"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54ABC3C8" w14:textId="77777777" w:rsidTr="000A084C">
        <w:trPr>
          <w:jc w:val="center"/>
        </w:trPr>
        <w:tc>
          <w:tcPr>
            <w:tcW w:w="1276" w:type="dxa"/>
            <w:tcBorders>
              <w:top w:val="single" w:sz="4" w:space="0" w:color="auto"/>
              <w:left w:val="nil"/>
              <w:bottom w:val="nil"/>
              <w:right w:val="nil"/>
            </w:tcBorders>
            <w:vAlign w:val="center"/>
            <w:hideMark/>
          </w:tcPr>
          <w:p w14:paraId="54A079B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New Cases</w:t>
            </w:r>
            <w:r w:rsidRPr="00E46419">
              <w:rPr>
                <w:rFonts w:ascii="Book Antiqua" w:eastAsia="Times New Roman" w:hAnsi="Book Antiqua" w:cs="Times New Roman"/>
                <w:color w:val="000000"/>
                <w:sz w:val="20"/>
                <w:szCs w:val="20"/>
                <w:vertAlign w:val="subscript"/>
              </w:rPr>
              <w:t>t-1</w:t>
            </w:r>
          </w:p>
        </w:tc>
        <w:tc>
          <w:tcPr>
            <w:tcW w:w="1258" w:type="dxa"/>
            <w:tcBorders>
              <w:top w:val="single" w:sz="4" w:space="0" w:color="auto"/>
              <w:left w:val="nil"/>
              <w:bottom w:val="nil"/>
              <w:right w:val="nil"/>
            </w:tcBorders>
            <w:vAlign w:val="bottom"/>
            <w:hideMark/>
          </w:tcPr>
          <w:p w14:paraId="2B6A4357" w14:textId="31A0DBAD"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263" w:type="dxa"/>
            <w:gridSpan w:val="2"/>
            <w:tcBorders>
              <w:top w:val="single" w:sz="4" w:space="0" w:color="auto"/>
              <w:left w:val="nil"/>
              <w:bottom w:val="nil"/>
              <w:right w:val="nil"/>
            </w:tcBorders>
            <w:vAlign w:val="bottom"/>
            <w:hideMark/>
          </w:tcPr>
          <w:p w14:paraId="26A61CA0" w14:textId="554BED40"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78" w:type="dxa"/>
            <w:tcBorders>
              <w:top w:val="single" w:sz="4" w:space="0" w:color="auto"/>
              <w:left w:val="nil"/>
              <w:bottom w:val="nil"/>
              <w:right w:val="nil"/>
            </w:tcBorders>
            <w:vAlign w:val="bottom"/>
            <w:hideMark/>
          </w:tcPr>
          <w:p w14:paraId="4DA4EC8F" w14:textId="31A5A4F8"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200" w:type="dxa"/>
            <w:tcBorders>
              <w:top w:val="single" w:sz="4" w:space="0" w:color="auto"/>
              <w:left w:val="nil"/>
              <w:bottom w:val="nil"/>
              <w:right w:val="nil"/>
            </w:tcBorders>
            <w:vAlign w:val="bottom"/>
            <w:hideMark/>
          </w:tcPr>
          <w:p w14:paraId="4B13F9E6" w14:textId="057770F9"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96" w:type="dxa"/>
            <w:tcBorders>
              <w:top w:val="single" w:sz="4" w:space="0" w:color="auto"/>
              <w:left w:val="nil"/>
              <w:bottom w:val="nil"/>
              <w:right w:val="nil"/>
            </w:tcBorders>
            <w:vAlign w:val="bottom"/>
            <w:hideMark/>
          </w:tcPr>
          <w:p w14:paraId="5866BF20" w14:textId="34701C94"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33" w:type="dxa"/>
            <w:tcBorders>
              <w:top w:val="single" w:sz="4" w:space="0" w:color="auto"/>
              <w:left w:val="nil"/>
              <w:bottom w:val="nil"/>
              <w:right w:val="nil"/>
            </w:tcBorders>
            <w:vAlign w:val="bottom"/>
            <w:hideMark/>
          </w:tcPr>
          <w:p w14:paraId="78BF0EE8" w14:textId="7E34F781"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r>
      <w:tr w:rsidR="000A084C" w:rsidRPr="00B07C46" w14:paraId="519FCFAA" w14:textId="77777777" w:rsidTr="000A084C">
        <w:trPr>
          <w:jc w:val="center"/>
        </w:trPr>
        <w:tc>
          <w:tcPr>
            <w:tcW w:w="1276" w:type="dxa"/>
            <w:vAlign w:val="center"/>
          </w:tcPr>
          <w:p w14:paraId="5C829FE7"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hideMark/>
          </w:tcPr>
          <w:p w14:paraId="1A3D4F5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(-4.73)</w:t>
            </w:r>
          </w:p>
        </w:tc>
        <w:tc>
          <w:tcPr>
            <w:tcW w:w="1263" w:type="dxa"/>
            <w:gridSpan w:val="2"/>
            <w:vAlign w:val="bottom"/>
            <w:hideMark/>
          </w:tcPr>
          <w:p w14:paraId="3D1A729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(-5.01)</w:t>
            </w:r>
          </w:p>
        </w:tc>
        <w:tc>
          <w:tcPr>
            <w:tcW w:w="1178" w:type="dxa"/>
            <w:vAlign w:val="bottom"/>
            <w:hideMark/>
          </w:tcPr>
          <w:p w14:paraId="3AAAA92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(-5.02)</w:t>
            </w:r>
          </w:p>
        </w:tc>
        <w:tc>
          <w:tcPr>
            <w:tcW w:w="1200" w:type="dxa"/>
            <w:vAlign w:val="bottom"/>
            <w:hideMark/>
          </w:tcPr>
          <w:p w14:paraId="4027192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(-4.45)</w:t>
            </w:r>
          </w:p>
        </w:tc>
        <w:tc>
          <w:tcPr>
            <w:tcW w:w="1196" w:type="dxa"/>
            <w:vAlign w:val="bottom"/>
            <w:hideMark/>
          </w:tcPr>
          <w:p w14:paraId="36FCAF8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(-4.91)</w:t>
            </w:r>
          </w:p>
        </w:tc>
        <w:tc>
          <w:tcPr>
            <w:tcW w:w="1133" w:type="dxa"/>
            <w:vAlign w:val="bottom"/>
            <w:hideMark/>
          </w:tcPr>
          <w:p w14:paraId="16E7B1E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(-2.84)</w:t>
            </w:r>
          </w:p>
        </w:tc>
      </w:tr>
      <w:tr w:rsidR="000A084C" w:rsidRPr="00B07C46" w14:paraId="03B2ED71" w14:textId="77777777" w:rsidTr="000A084C">
        <w:trPr>
          <w:jc w:val="center"/>
        </w:trPr>
        <w:tc>
          <w:tcPr>
            <w:tcW w:w="1276" w:type="dxa"/>
            <w:vAlign w:val="center"/>
            <w:hideMark/>
          </w:tcPr>
          <w:p w14:paraId="7AEE9F2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Volume</w:t>
            </w:r>
            <w:r w:rsidRPr="00E46419">
              <w:rPr>
                <w:rFonts w:ascii="Book Antiqua" w:eastAsia="Times New Roman" w:hAnsi="Book Antiqua" w:cs="Times New Roman"/>
                <w:color w:val="000000"/>
                <w:sz w:val="20"/>
                <w:szCs w:val="20"/>
                <w:vertAlign w:val="subscript"/>
              </w:rPr>
              <w:t>t-1</w:t>
            </w:r>
          </w:p>
        </w:tc>
        <w:tc>
          <w:tcPr>
            <w:tcW w:w="1258" w:type="dxa"/>
            <w:vAlign w:val="bottom"/>
          </w:tcPr>
          <w:p w14:paraId="2F5D42D6"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hideMark/>
          </w:tcPr>
          <w:p w14:paraId="27D9DC4B" w14:textId="213FF546"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78" w:type="dxa"/>
            <w:vAlign w:val="bottom"/>
            <w:hideMark/>
          </w:tcPr>
          <w:p w14:paraId="6BE4E6D6" w14:textId="0397AEA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200" w:type="dxa"/>
            <w:vAlign w:val="bottom"/>
            <w:hideMark/>
          </w:tcPr>
          <w:p w14:paraId="4778856B" w14:textId="6FC93A91"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96" w:type="dxa"/>
            <w:vAlign w:val="bottom"/>
            <w:hideMark/>
          </w:tcPr>
          <w:p w14:paraId="75A34670" w14:textId="74FE3D8E"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33" w:type="dxa"/>
            <w:vAlign w:val="bottom"/>
            <w:hideMark/>
          </w:tcPr>
          <w:p w14:paraId="13D23E76" w14:textId="3BEA5EAE"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r>
      <w:tr w:rsidR="000A084C" w:rsidRPr="00B07C46" w14:paraId="0FC0744E" w14:textId="77777777" w:rsidTr="000A084C">
        <w:trPr>
          <w:jc w:val="center"/>
        </w:trPr>
        <w:tc>
          <w:tcPr>
            <w:tcW w:w="1276" w:type="dxa"/>
            <w:vAlign w:val="center"/>
          </w:tcPr>
          <w:p w14:paraId="024BC0DA"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tcPr>
          <w:p w14:paraId="2F321289"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hideMark/>
          </w:tcPr>
          <w:p w14:paraId="2EFDD31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(2.41)</w:t>
            </w:r>
          </w:p>
        </w:tc>
        <w:tc>
          <w:tcPr>
            <w:tcW w:w="1178" w:type="dxa"/>
            <w:vAlign w:val="bottom"/>
            <w:hideMark/>
          </w:tcPr>
          <w:p w14:paraId="5A98B2A3"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(2.57)</w:t>
            </w:r>
          </w:p>
        </w:tc>
        <w:tc>
          <w:tcPr>
            <w:tcW w:w="1200" w:type="dxa"/>
            <w:vAlign w:val="bottom"/>
            <w:hideMark/>
          </w:tcPr>
          <w:p w14:paraId="2F09EC69"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(2.56)</w:t>
            </w:r>
          </w:p>
        </w:tc>
        <w:tc>
          <w:tcPr>
            <w:tcW w:w="1196" w:type="dxa"/>
            <w:vAlign w:val="bottom"/>
            <w:hideMark/>
          </w:tcPr>
          <w:p w14:paraId="2ABF3FC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(2.62)</w:t>
            </w:r>
          </w:p>
        </w:tc>
        <w:tc>
          <w:tcPr>
            <w:tcW w:w="1133" w:type="dxa"/>
            <w:vAlign w:val="bottom"/>
            <w:hideMark/>
          </w:tcPr>
          <w:p w14:paraId="05FE81A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(2.63)</w:t>
            </w:r>
          </w:p>
        </w:tc>
      </w:tr>
      <w:tr w:rsidR="000A084C" w:rsidRPr="00B07C46" w14:paraId="226950C0" w14:textId="77777777" w:rsidTr="000A084C">
        <w:trPr>
          <w:jc w:val="center"/>
        </w:trPr>
        <w:tc>
          <w:tcPr>
            <w:tcW w:w="1276" w:type="dxa"/>
            <w:vAlign w:val="center"/>
            <w:hideMark/>
          </w:tcPr>
          <w:p w14:paraId="653A943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Return</w:t>
            </w:r>
            <w:r w:rsidRPr="00E46419">
              <w:rPr>
                <w:rFonts w:ascii="Book Antiqua" w:eastAsia="Times New Roman" w:hAnsi="Book Antiqua" w:cs="Times New Roman"/>
                <w:color w:val="000000"/>
                <w:sz w:val="20"/>
                <w:szCs w:val="20"/>
                <w:vertAlign w:val="subscript"/>
              </w:rPr>
              <w:t>t-1</w:t>
            </w:r>
          </w:p>
        </w:tc>
        <w:tc>
          <w:tcPr>
            <w:tcW w:w="1258" w:type="dxa"/>
            <w:vAlign w:val="bottom"/>
          </w:tcPr>
          <w:p w14:paraId="135632C5"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tcPr>
          <w:p w14:paraId="6CE66909"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hideMark/>
          </w:tcPr>
          <w:p w14:paraId="5E58645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-0.0078</w:t>
            </w:r>
          </w:p>
        </w:tc>
        <w:tc>
          <w:tcPr>
            <w:tcW w:w="1200" w:type="dxa"/>
            <w:vAlign w:val="bottom"/>
            <w:hideMark/>
          </w:tcPr>
          <w:p w14:paraId="000D86E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-0.0081*</w:t>
            </w:r>
          </w:p>
        </w:tc>
        <w:tc>
          <w:tcPr>
            <w:tcW w:w="1196" w:type="dxa"/>
            <w:vAlign w:val="bottom"/>
            <w:hideMark/>
          </w:tcPr>
          <w:p w14:paraId="21FD92C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-0.0081*</w:t>
            </w:r>
          </w:p>
        </w:tc>
        <w:tc>
          <w:tcPr>
            <w:tcW w:w="1133" w:type="dxa"/>
            <w:vAlign w:val="bottom"/>
            <w:hideMark/>
          </w:tcPr>
          <w:p w14:paraId="17F4B8F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-0.0084*</w:t>
            </w:r>
          </w:p>
        </w:tc>
      </w:tr>
      <w:tr w:rsidR="000A084C" w:rsidRPr="00B07C46" w14:paraId="56F9CD07" w14:textId="77777777" w:rsidTr="000A084C">
        <w:trPr>
          <w:jc w:val="center"/>
        </w:trPr>
        <w:tc>
          <w:tcPr>
            <w:tcW w:w="1276" w:type="dxa"/>
            <w:vAlign w:val="center"/>
          </w:tcPr>
          <w:p w14:paraId="3D4B87E1"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tcPr>
          <w:p w14:paraId="15A88A13"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tcPr>
          <w:p w14:paraId="7DC5AB61"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hideMark/>
          </w:tcPr>
          <w:p w14:paraId="234C961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(-1.64)</w:t>
            </w:r>
          </w:p>
        </w:tc>
        <w:tc>
          <w:tcPr>
            <w:tcW w:w="1200" w:type="dxa"/>
            <w:vAlign w:val="bottom"/>
            <w:hideMark/>
          </w:tcPr>
          <w:p w14:paraId="4C26888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(-1.72)</w:t>
            </w:r>
          </w:p>
        </w:tc>
        <w:tc>
          <w:tcPr>
            <w:tcW w:w="1196" w:type="dxa"/>
            <w:vAlign w:val="bottom"/>
            <w:hideMark/>
          </w:tcPr>
          <w:p w14:paraId="7D51A31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(-1.72)</w:t>
            </w:r>
          </w:p>
        </w:tc>
        <w:tc>
          <w:tcPr>
            <w:tcW w:w="1133" w:type="dxa"/>
            <w:vAlign w:val="bottom"/>
            <w:hideMark/>
          </w:tcPr>
          <w:p w14:paraId="3FEBDFE9"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(-1.77)</w:t>
            </w:r>
          </w:p>
        </w:tc>
      </w:tr>
      <w:tr w:rsidR="000A084C" w:rsidRPr="00B07C46" w14:paraId="4A684673" w14:textId="77777777" w:rsidTr="000A084C">
        <w:trPr>
          <w:jc w:val="center"/>
        </w:trPr>
        <w:tc>
          <w:tcPr>
            <w:tcW w:w="1276" w:type="dxa"/>
            <w:vAlign w:val="center"/>
            <w:hideMark/>
          </w:tcPr>
          <w:p w14:paraId="483B682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Rate</w:t>
            </w:r>
            <w:r w:rsidRPr="00E46419">
              <w:rPr>
                <w:rFonts w:ascii="Book Antiqua" w:eastAsia="Times New Roman" w:hAnsi="Book Antiqua" w:cs="Times New Roman"/>
                <w:color w:val="000000"/>
                <w:sz w:val="20"/>
                <w:szCs w:val="20"/>
                <w:vertAlign w:val="subscript"/>
              </w:rPr>
              <w:t>t-1</w:t>
            </w:r>
          </w:p>
        </w:tc>
        <w:tc>
          <w:tcPr>
            <w:tcW w:w="1258" w:type="dxa"/>
            <w:vAlign w:val="bottom"/>
          </w:tcPr>
          <w:p w14:paraId="2A175525"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tcPr>
          <w:p w14:paraId="5C2A3006"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tcPr>
          <w:p w14:paraId="5981503D"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vAlign w:val="bottom"/>
            <w:hideMark/>
          </w:tcPr>
          <w:p w14:paraId="50F009E1" w14:textId="2E0B073F"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96" w:type="dxa"/>
            <w:vAlign w:val="bottom"/>
            <w:hideMark/>
          </w:tcPr>
          <w:p w14:paraId="23B7CEC9" w14:textId="1BE7488D"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33" w:type="dxa"/>
            <w:vAlign w:val="bottom"/>
            <w:hideMark/>
          </w:tcPr>
          <w:p w14:paraId="5D84CAE3" w14:textId="61521B0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r>
      <w:tr w:rsidR="000A084C" w:rsidRPr="00B07C46" w14:paraId="3C4F71FF" w14:textId="77777777" w:rsidTr="000A084C">
        <w:trPr>
          <w:jc w:val="center"/>
        </w:trPr>
        <w:tc>
          <w:tcPr>
            <w:tcW w:w="1276" w:type="dxa"/>
            <w:vAlign w:val="center"/>
          </w:tcPr>
          <w:p w14:paraId="1D637768"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tcPr>
          <w:p w14:paraId="0BE88B27"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tcPr>
          <w:p w14:paraId="732F1DBF"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tcPr>
          <w:p w14:paraId="71952CA2"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vAlign w:val="bottom"/>
            <w:hideMark/>
          </w:tcPr>
          <w:p w14:paraId="02DE339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(12.90)</w:t>
            </w:r>
          </w:p>
        </w:tc>
        <w:tc>
          <w:tcPr>
            <w:tcW w:w="1196" w:type="dxa"/>
            <w:vAlign w:val="bottom"/>
            <w:hideMark/>
          </w:tcPr>
          <w:p w14:paraId="216F1C7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(12.78)</w:t>
            </w:r>
          </w:p>
        </w:tc>
        <w:tc>
          <w:tcPr>
            <w:tcW w:w="1133" w:type="dxa"/>
            <w:vAlign w:val="bottom"/>
            <w:hideMark/>
          </w:tcPr>
          <w:p w14:paraId="3EA43343"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(12.77)</w:t>
            </w:r>
          </w:p>
        </w:tc>
      </w:tr>
      <w:tr w:rsidR="000A084C" w:rsidRPr="00B07C46" w14:paraId="4AB615D9" w14:textId="77777777" w:rsidTr="000A084C">
        <w:trPr>
          <w:jc w:val="center"/>
        </w:trPr>
        <w:tc>
          <w:tcPr>
            <w:tcW w:w="1276" w:type="dxa"/>
            <w:vAlign w:val="center"/>
            <w:hideMark/>
          </w:tcPr>
          <w:p w14:paraId="4ED5299D" w14:textId="34EE7CB5" w:rsidR="000A084C" w:rsidRPr="00B07C46" w:rsidRDefault="000A084C">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Friday</w:t>
            </w:r>
            <w:r w:rsidR="00E46419" w:rsidRPr="00E46419">
              <w:rPr>
                <w:rFonts w:ascii="Book Antiqua" w:eastAsia="Times New Roman" w:hAnsi="Book Antiqua" w:cs="Times New Roman"/>
                <w:color w:val="000000"/>
                <w:sz w:val="20"/>
                <w:szCs w:val="20"/>
                <w:vertAlign w:val="subscript"/>
              </w:rPr>
              <w:t>t</w:t>
            </w:r>
            <w:proofErr w:type="spellEnd"/>
          </w:p>
        </w:tc>
        <w:tc>
          <w:tcPr>
            <w:tcW w:w="1258" w:type="dxa"/>
            <w:vAlign w:val="bottom"/>
          </w:tcPr>
          <w:p w14:paraId="62AA4E0A"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tcPr>
          <w:p w14:paraId="3A80C5F3"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tcPr>
          <w:p w14:paraId="7936DFD4"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vAlign w:val="bottom"/>
          </w:tcPr>
          <w:p w14:paraId="4935BF14"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96" w:type="dxa"/>
            <w:vAlign w:val="bottom"/>
            <w:hideMark/>
          </w:tcPr>
          <w:p w14:paraId="2DF02DD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0.0001</w:t>
            </w:r>
          </w:p>
        </w:tc>
        <w:tc>
          <w:tcPr>
            <w:tcW w:w="1133" w:type="dxa"/>
            <w:vAlign w:val="bottom"/>
          </w:tcPr>
          <w:p w14:paraId="721C820D"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73D8E7E7" w14:textId="77777777" w:rsidTr="000A084C">
        <w:trPr>
          <w:jc w:val="center"/>
        </w:trPr>
        <w:tc>
          <w:tcPr>
            <w:tcW w:w="1276" w:type="dxa"/>
            <w:vAlign w:val="center"/>
          </w:tcPr>
          <w:p w14:paraId="4670F9AD"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tcPr>
          <w:p w14:paraId="77274580"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tcPr>
          <w:p w14:paraId="38A22FAB"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tcPr>
          <w:p w14:paraId="410B89D0"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vAlign w:val="bottom"/>
          </w:tcPr>
          <w:p w14:paraId="72B2D078"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96" w:type="dxa"/>
            <w:vAlign w:val="bottom"/>
            <w:hideMark/>
          </w:tcPr>
          <w:p w14:paraId="50F4789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(0.34)</w:t>
            </w:r>
          </w:p>
        </w:tc>
        <w:tc>
          <w:tcPr>
            <w:tcW w:w="1133" w:type="dxa"/>
            <w:vAlign w:val="bottom"/>
          </w:tcPr>
          <w:p w14:paraId="4DC403F7"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725DB082" w14:textId="77777777" w:rsidTr="000A084C">
        <w:trPr>
          <w:jc w:val="center"/>
        </w:trPr>
        <w:tc>
          <w:tcPr>
            <w:tcW w:w="1276" w:type="dxa"/>
            <w:vAlign w:val="center"/>
            <w:hideMark/>
          </w:tcPr>
          <w:p w14:paraId="63458C91" w14:textId="3C330C57" w:rsidR="000A084C" w:rsidRPr="00B07C46" w:rsidRDefault="000A084C">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Monday</w:t>
            </w:r>
            <w:r w:rsidR="00E46419" w:rsidRPr="00E46419">
              <w:rPr>
                <w:rFonts w:ascii="Book Antiqua" w:eastAsia="Times New Roman" w:hAnsi="Book Antiqua" w:cs="Times New Roman"/>
                <w:color w:val="000000"/>
                <w:sz w:val="20"/>
                <w:szCs w:val="20"/>
                <w:vertAlign w:val="subscript"/>
              </w:rPr>
              <w:t>t</w:t>
            </w:r>
            <w:proofErr w:type="spellEnd"/>
          </w:p>
        </w:tc>
        <w:tc>
          <w:tcPr>
            <w:tcW w:w="1258" w:type="dxa"/>
            <w:vAlign w:val="bottom"/>
          </w:tcPr>
          <w:p w14:paraId="7E2E760E"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tcPr>
          <w:p w14:paraId="5774000E"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tcPr>
          <w:p w14:paraId="1832F46D"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vAlign w:val="bottom"/>
          </w:tcPr>
          <w:p w14:paraId="75D7BD2E"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96" w:type="dxa"/>
            <w:vAlign w:val="bottom"/>
          </w:tcPr>
          <w:p w14:paraId="708187C4"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33" w:type="dxa"/>
            <w:vAlign w:val="bottom"/>
            <w:hideMark/>
          </w:tcPr>
          <w:p w14:paraId="3442665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0.0018***</w:t>
            </w:r>
          </w:p>
        </w:tc>
      </w:tr>
      <w:tr w:rsidR="000A084C" w:rsidRPr="00B07C46" w14:paraId="33E999CC" w14:textId="77777777" w:rsidTr="000A084C">
        <w:trPr>
          <w:jc w:val="center"/>
        </w:trPr>
        <w:tc>
          <w:tcPr>
            <w:tcW w:w="1276" w:type="dxa"/>
            <w:vAlign w:val="center"/>
          </w:tcPr>
          <w:p w14:paraId="0F496A4F"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tcPr>
          <w:p w14:paraId="0E800E93"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tcPr>
          <w:p w14:paraId="61BBE7E1"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tcPr>
          <w:p w14:paraId="00BB91B6"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vAlign w:val="bottom"/>
          </w:tcPr>
          <w:p w14:paraId="36D1A6F8"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96" w:type="dxa"/>
            <w:vAlign w:val="bottom"/>
          </w:tcPr>
          <w:p w14:paraId="23FF463F"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33" w:type="dxa"/>
            <w:vAlign w:val="bottom"/>
            <w:hideMark/>
          </w:tcPr>
          <w:p w14:paraId="1336AF23"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(5.26)</w:t>
            </w:r>
          </w:p>
        </w:tc>
      </w:tr>
      <w:tr w:rsidR="000A084C" w:rsidRPr="00B07C46" w14:paraId="73632488" w14:textId="77777777" w:rsidTr="000A084C">
        <w:trPr>
          <w:jc w:val="center"/>
        </w:trPr>
        <w:tc>
          <w:tcPr>
            <w:tcW w:w="1276" w:type="dxa"/>
            <w:vAlign w:val="center"/>
            <w:hideMark/>
          </w:tcPr>
          <w:p w14:paraId="23BDF6E9"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Constant</w:t>
            </w:r>
          </w:p>
        </w:tc>
        <w:tc>
          <w:tcPr>
            <w:tcW w:w="1258" w:type="dxa"/>
            <w:hideMark/>
          </w:tcPr>
          <w:p w14:paraId="49B60D4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-0.0031***</w:t>
            </w:r>
          </w:p>
        </w:tc>
        <w:tc>
          <w:tcPr>
            <w:tcW w:w="1263" w:type="dxa"/>
            <w:gridSpan w:val="2"/>
            <w:hideMark/>
          </w:tcPr>
          <w:p w14:paraId="6828455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-0.0038***</w:t>
            </w:r>
          </w:p>
        </w:tc>
        <w:tc>
          <w:tcPr>
            <w:tcW w:w="1178" w:type="dxa"/>
            <w:hideMark/>
          </w:tcPr>
          <w:p w14:paraId="6BF81D2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-0.0038***</w:t>
            </w:r>
          </w:p>
        </w:tc>
        <w:tc>
          <w:tcPr>
            <w:tcW w:w="1200" w:type="dxa"/>
            <w:hideMark/>
          </w:tcPr>
          <w:p w14:paraId="28841EA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-0.1020***</w:t>
            </w:r>
          </w:p>
        </w:tc>
        <w:tc>
          <w:tcPr>
            <w:tcW w:w="1196" w:type="dxa"/>
            <w:hideMark/>
          </w:tcPr>
          <w:p w14:paraId="6F98449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-0.1015***</w:t>
            </w:r>
          </w:p>
        </w:tc>
        <w:tc>
          <w:tcPr>
            <w:tcW w:w="1133" w:type="dxa"/>
            <w:hideMark/>
          </w:tcPr>
          <w:p w14:paraId="3F8BDB2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-0.1015***</w:t>
            </w:r>
          </w:p>
        </w:tc>
      </w:tr>
      <w:tr w:rsidR="000A084C" w:rsidRPr="00B07C46" w14:paraId="6246BBD0" w14:textId="77777777" w:rsidTr="000A084C">
        <w:trPr>
          <w:jc w:val="center"/>
        </w:trPr>
        <w:tc>
          <w:tcPr>
            <w:tcW w:w="1276" w:type="dxa"/>
            <w:vAlign w:val="center"/>
          </w:tcPr>
          <w:p w14:paraId="3D7D6C8B"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hideMark/>
          </w:tcPr>
          <w:p w14:paraId="0FB9E32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(-7.35)</w:t>
            </w:r>
          </w:p>
        </w:tc>
        <w:tc>
          <w:tcPr>
            <w:tcW w:w="1263" w:type="dxa"/>
            <w:gridSpan w:val="2"/>
            <w:hideMark/>
          </w:tcPr>
          <w:p w14:paraId="694BC35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(-7.11)</w:t>
            </w:r>
          </w:p>
        </w:tc>
        <w:tc>
          <w:tcPr>
            <w:tcW w:w="1178" w:type="dxa"/>
            <w:hideMark/>
          </w:tcPr>
          <w:p w14:paraId="1A9152E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(-7.20)</w:t>
            </w:r>
          </w:p>
        </w:tc>
        <w:tc>
          <w:tcPr>
            <w:tcW w:w="1200" w:type="dxa"/>
            <w:hideMark/>
          </w:tcPr>
          <w:p w14:paraId="5425EBD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(-13.57)</w:t>
            </w:r>
          </w:p>
        </w:tc>
        <w:tc>
          <w:tcPr>
            <w:tcW w:w="1196" w:type="dxa"/>
            <w:hideMark/>
          </w:tcPr>
          <w:p w14:paraId="4DD4757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(-13.46)</w:t>
            </w:r>
          </w:p>
        </w:tc>
        <w:tc>
          <w:tcPr>
            <w:tcW w:w="1133" w:type="dxa"/>
            <w:hideMark/>
          </w:tcPr>
          <w:p w14:paraId="6AABF79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(-13.51)</w:t>
            </w:r>
          </w:p>
        </w:tc>
      </w:tr>
      <w:tr w:rsidR="000A084C" w:rsidRPr="00B07C46" w14:paraId="19333239" w14:textId="77777777" w:rsidTr="000A084C">
        <w:trPr>
          <w:jc w:val="center"/>
        </w:trPr>
        <w:tc>
          <w:tcPr>
            <w:tcW w:w="1276" w:type="dxa"/>
            <w:vAlign w:val="center"/>
            <w:hideMark/>
          </w:tcPr>
          <w:p w14:paraId="4EA017D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Control for:</w:t>
            </w:r>
          </w:p>
        </w:tc>
        <w:tc>
          <w:tcPr>
            <w:tcW w:w="1258" w:type="dxa"/>
          </w:tcPr>
          <w:p w14:paraId="6EBF87EB"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tcPr>
          <w:p w14:paraId="44CE2307"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tcPr>
          <w:p w14:paraId="3322A9AC"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tcPr>
          <w:p w14:paraId="53D3F510"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96" w:type="dxa"/>
          </w:tcPr>
          <w:p w14:paraId="056D4EE4"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33" w:type="dxa"/>
          </w:tcPr>
          <w:p w14:paraId="4D783FC4"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03A23749" w14:textId="77777777" w:rsidTr="000A084C">
        <w:trPr>
          <w:jc w:val="center"/>
        </w:trPr>
        <w:tc>
          <w:tcPr>
            <w:tcW w:w="1276" w:type="dxa"/>
            <w:vAlign w:val="center"/>
            <w:hideMark/>
          </w:tcPr>
          <w:p w14:paraId="5C1A7D63"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Month-FE</w:t>
            </w:r>
          </w:p>
        </w:tc>
        <w:tc>
          <w:tcPr>
            <w:tcW w:w="1258" w:type="dxa"/>
            <w:hideMark/>
          </w:tcPr>
          <w:p w14:paraId="7F49202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263" w:type="dxa"/>
            <w:gridSpan w:val="2"/>
            <w:hideMark/>
          </w:tcPr>
          <w:p w14:paraId="33631BD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178" w:type="dxa"/>
            <w:hideMark/>
          </w:tcPr>
          <w:p w14:paraId="7C2FA5E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200" w:type="dxa"/>
            <w:hideMark/>
          </w:tcPr>
          <w:p w14:paraId="4AFC5B7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196" w:type="dxa"/>
            <w:hideMark/>
          </w:tcPr>
          <w:p w14:paraId="4E4EE33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133" w:type="dxa"/>
            <w:hideMark/>
          </w:tcPr>
          <w:p w14:paraId="436E904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r>
      <w:tr w:rsidR="000A084C" w:rsidRPr="00B07C46" w14:paraId="49976484" w14:textId="77777777" w:rsidTr="000A084C">
        <w:trPr>
          <w:jc w:val="center"/>
        </w:trPr>
        <w:tc>
          <w:tcPr>
            <w:tcW w:w="1276" w:type="dxa"/>
            <w:vAlign w:val="center"/>
            <w:hideMark/>
          </w:tcPr>
          <w:p w14:paraId="012F9B2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N</w:t>
            </w:r>
          </w:p>
        </w:tc>
        <w:tc>
          <w:tcPr>
            <w:tcW w:w="1258" w:type="dxa"/>
            <w:vAlign w:val="bottom"/>
            <w:hideMark/>
          </w:tcPr>
          <w:p w14:paraId="1A60D4E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140.862</w:t>
            </w:r>
          </w:p>
        </w:tc>
        <w:tc>
          <w:tcPr>
            <w:tcW w:w="1263" w:type="dxa"/>
            <w:gridSpan w:val="2"/>
            <w:vAlign w:val="bottom"/>
            <w:hideMark/>
          </w:tcPr>
          <w:p w14:paraId="0FD48DA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114.176</w:t>
            </w:r>
          </w:p>
        </w:tc>
        <w:tc>
          <w:tcPr>
            <w:tcW w:w="1178" w:type="dxa"/>
            <w:vAlign w:val="bottom"/>
            <w:hideMark/>
          </w:tcPr>
          <w:p w14:paraId="684B9FB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114.169</w:t>
            </w:r>
          </w:p>
        </w:tc>
        <w:tc>
          <w:tcPr>
            <w:tcW w:w="1200" w:type="dxa"/>
            <w:vAlign w:val="bottom"/>
            <w:hideMark/>
          </w:tcPr>
          <w:p w14:paraId="383C0A3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114.169</w:t>
            </w:r>
          </w:p>
        </w:tc>
        <w:tc>
          <w:tcPr>
            <w:tcW w:w="1196" w:type="dxa"/>
            <w:vAlign w:val="bottom"/>
            <w:hideMark/>
          </w:tcPr>
          <w:p w14:paraId="7260950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113.582</w:t>
            </w:r>
          </w:p>
        </w:tc>
        <w:tc>
          <w:tcPr>
            <w:tcW w:w="1133" w:type="dxa"/>
            <w:vAlign w:val="bottom"/>
            <w:hideMark/>
          </w:tcPr>
          <w:p w14:paraId="7E421E7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113.582</w:t>
            </w:r>
          </w:p>
        </w:tc>
      </w:tr>
      <w:tr w:rsidR="000A084C" w:rsidRPr="00B07C46" w14:paraId="473FDC52" w14:textId="77777777" w:rsidTr="000A084C">
        <w:trPr>
          <w:jc w:val="center"/>
        </w:trPr>
        <w:tc>
          <w:tcPr>
            <w:tcW w:w="1276" w:type="dxa"/>
            <w:vAlign w:val="center"/>
            <w:hideMark/>
          </w:tcPr>
          <w:p w14:paraId="4FF7F91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Adjusted R2</w:t>
            </w:r>
          </w:p>
        </w:tc>
        <w:tc>
          <w:tcPr>
            <w:tcW w:w="1258" w:type="dxa"/>
            <w:vAlign w:val="bottom"/>
            <w:hideMark/>
          </w:tcPr>
          <w:p w14:paraId="771BB8B9"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0.0029</w:t>
            </w:r>
          </w:p>
        </w:tc>
        <w:tc>
          <w:tcPr>
            <w:tcW w:w="1263" w:type="dxa"/>
            <w:gridSpan w:val="2"/>
            <w:vAlign w:val="bottom"/>
            <w:hideMark/>
          </w:tcPr>
          <w:p w14:paraId="7D8A9B7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0.0034</w:t>
            </w:r>
          </w:p>
        </w:tc>
        <w:tc>
          <w:tcPr>
            <w:tcW w:w="1178" w:type="dxa"/>
            <w:vAlign w:val="bottom"/>
            <w:hideMark/>
          </w:tcPr>
          <w:p w14:paraId="497A699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0.0035</w:t>
            </w:r>
          </w:p>
        </w:tc>
        <w:tc>
          <w:tcPr>
            <w:tcW w:w="1200" w:type="dxa"/>
            <w:vAlign w:val="bottom"/>
            <w:hideMark/>
          </w:tcPr>
          <w:p w14:paraId="78308A9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0.0059</w:t>
            </w:r>
          </w:p>
        </w:tc>
        <w:tc>
          <w:tcPr>
            <w:tcW w:w="1196" w:type="dxa"/>
            <w:vAlign w:val="bottom"/>
            <w:hideMark/>
          </w:tcPr>
          <w:p w14:paraId="79425F9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0.0058</w:t>
            </w:r>
          </w:p>
        </w:tc>
        <w:tc>
          <w:tcPr>
            <w:tcW w:w="1133" w:type="dxa"/>
            <w:vAlign w:val="bottom"/>
            <w:hideMark/>
          </w:tcPr>
          <w:p w14:paraId="0259B9F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0.0061</w:t>
            </w:r>
          </w:p>
        </w:tc>
      </w:tr>
      <w:tr w:rsidR="000A084C" w:rsidRPr="00B07C46" w14:paraId="22EC2C09" w14:textId="77777777" w:rsidTr="000A084C">
        <w:trPr>
          <w:jc w:val="center"/>
        </w:trPr>
        <w:tc>
          <w:tcPr>
            <w:tcW w:w="1276" w:type="dxa"/>
            <w:vAlign w:val="center"/>
          </w:tcPr>
          <w:p w14:paraId="77F41A58"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tcPr>
          <w:p w14:paraId="6AA389AB"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tcPr>
          <w:p w14:paraId="1EE54DF3"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tcPr>
          <w:p w14:paraId="5DEC1B2C"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tcPr>
          <w:p w14:paraId="45DB5428"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96" w:type="dxa"/>
          </w:tcPr>
          <w:p w14:paraId="0A384EF6"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33" w:type="dxa"/>
          </w:tcPr>
          <w:p w14:paraId="2D39F156"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7F7074B3" w14:textId="77777777" w:rsidTr="000A084C">
        <w:trPr>
          <w:jc w:val="center"/>
        </w:trPr>
        <w:tc>
          <w:tcPr>
            <w:tcW w:w="7371" w:type="dxa"/>
            <w:gridSpan w:val="7"/>
            <w:tcBorders>
              <w:top w:val="single" w:sz="8" w:space="0" w:color="auto"/>
              <w:left w:val="nil"/>
              <w:bottom w:val="nil"/>
              <w:right w:val="nil"/>
            </w:tcBorders>
            <w:vAlign w:val="center"/>
            <w:hideMark/>
          </w:tcPr>
          <w:p w14:paraId="59622D29"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Malaysia’s</w:t>
            </w:r>
          </w:p>
        </w:tc>
        <w:tc>
          <w:tcPr>
            <w:tcW w:w="1133" w:type="dxa"/>
            <w:tcBorders>
              <w:top w:val="single" w:sz="8" w:space="0" w:color="auto"/>
              <w:left w:val="nil"/>
              <w:bottom w:val="nil"/>
              <w:right w:val="nil"/>
            </w:tcBorders>
          </w:tcPr>
          <w:p w14:paraId="266B5A35"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E46419" w:rsidRPr="00B07C46" w14:paraId="40C66627" w14:textId="77777777" w:rsidTr="000A084C">
        <w:trPr>
          <w:jc w:val="center"/>
        </w:trPr>
        <w:tc>
          <w:tcPr>
            <w:tcW w:w="1276" w:type="dxa"/>
            <w:tcBorders>
              <w:top w:val="single" w:sz="4" w:space="0" w:color="auto"/>
              <w:left w:val="nil"/>
              <w:bottom w:val="nil"/>
              <w:right w:val="nil"/>
            </w:tcBorders>
            <w:vAlign w:val="center"/>
            <w:hideMark/>
          </w:tcPr>
          <w:p w14:paraId="1839E1E1" w14:textId="362B3EB9"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New Cases</w:t>
            </w:r>
            <w:r w:rsidRPr="00E46419">
              <w:rPr>
                <w:rFonts w:ascii="Book Antiqua" w:eastAsia="Times New Roman" w:hAnsi="Book Antiqua" w:cs="Times New Roman"/>
                <w:color w:val="000000"/>
                <w:sz w:val="20"/>
                <w:szCs w:val="20"/>
                <w:vertAlign w:val="subscript"/>
              </w:rPr>
              <w:t>t-1</w:t>
            </w:r>
          </w:p>
        </w:tc>
        <w:tc>
          <w:tcPr>
            <w:tcW w:w="1258" w:type="dxa"/>
            <w:tcBorders>
              <w:top w:val="single" w:sz="4" w:space="0" w:color="auto"/>
              <w:left w:val="nil"/>
              <w:bottom w:val="nil"/>
              <w:right w:val="nil"/>
            </w:tcBorders>
            <w:hideMark/>
          </w:tcPr>
          <w:p w14:paraId="7F9B291C"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0.0001</w:t>
            </w:r>
          </w:p>
        </w:tc>
        <w:tc>
          <w:tcPr>
            <w:tcW w:w="1263" w:type="dxa"/>
            <w:gridSpan w:val="2"/>
            <w:tcBorders>
              <w:top w:val="single" w:sz="4" w:space="0" w:color="auto"/>
              <w:left w:val="nil"/>
              <w:bottom w:val="nil"/>
              <w:right w:val="nil"/>
            </w:tcBorders>
            <w:hideMark/>
          </w:tcPr>
          <w:p w14:paraId="7E851619"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-0.0000</w:t>
            </w:r>
          </w:p>
        </w:tc>
        <w:tc>
          <w:tcPr>
            <w:tcW w:w="1178" w:type="dxa"/>
            <w:tcBorders>
              <w:top w:val="single" w:sz="4" w:space="0" w:color="auto"/>
              <w:left w:val="nil"/>
              <w:bottom w:val="nil"/>
              <w:right w:val="nil"/>
            </w:tcBorders>
            <w:hideMark/>
          </w:tcPr>
          <w:p w14:paraId="52ADB1E5"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-0.0000</w:t>
            </w:r>
          </w:p>
        </w:tc>
        <w:tc>
          <w:tcPr>
            <w:tcW w:w="1200" w:type="dxa"/>
            <w:tcBorders>
              <w:top w:val="single" w:sz="4" w:space="0" w:color="auto"/>
              <w:left w:val="nil"/>
              <w:bottom w:val="nil"/>
              <w:right w:val="nil"/>
            </w:tcBorders>
            <w:hideMark/>
          </w:tcPr>
          <w:p w14:paraId="6C8E7EEC"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0.0000</w:t>
            </w:r>
          </w:p>
        </w:tc>
        <w:tc>
          <w:tcPr>
            <w:tcW w:w="1196" w:type="dxa"/>
            <w:tcBorders>
              <w:top w:val="single" w:sz="4" w:space="0" w:color="auto"/>
              <w:left w:val="nil"/>
              <w:bottom w:val="nil"/>
              <w:right w:val="nil"/>
            </w:tcBorders>
            <w:hideMark/>
          </w:tcPr>
          <w:p w14:paraId="31A810AE"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0.0000</w:t>
            </w:r>
          </w:p>
        </w:tc>
        <w:tc>
          <w:tcPr>
            <w:tcW w:w="1133" w:type="dxa"/>
            <w:tcBorders>
              <w:top w:val="single" w:sz="4" w:space="0" w:color="auto"/>
              <w:left w:val="nil"/>
              <w:bottom w:val="nil"/>
              <w:right w:val="nil"/>
            </w:tcBorders>
            <w:hideMark/>
          </w:tcPr>
          <w:p w14:paraId="1794C140"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0.0000</w:t>
            </w:r>
          </w:p>
        </w:tc>
      </w:tr>
      <w:tr w:rsidR="00E46419" w:rsidRPr="00B07C46" w14:paraId="286216A6" w14:textId="77777777" w:rsidTr="000A084C">
        <w:trPr>
          <w:jc w:val="center"/>
        </w:trPr>
        <w:tc>
          <w:tcPr>
            <w:tcW w:w="1276" w:type="dxa"/>
            <w:vAlign w:val="center"/>
          </w:tcPr>
          <w:p w14:paraId="1649BEF6"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58" w:type="dxa"/>
            <w:hideMark/>
          </w:tcPr>
          <w:p w14:paraId="262FA036"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(0.38)</w:t>
            </w:r>
          </w:p>
        </w:tc>
        <w:tc>
          <w:tcPr>
            <w:tcW w:w="1263" w:type="dxa"/>
            <w:gridSpan w:val="2"/>
            <w:hideMark/>
          </w:tcPr>
          <w:p w14:paraId="0C21FDFA"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w:t>
            </w:r>
          </w:p>
        </w:tc>
        <w:tc>
          <w:tcPr>
            <w:tcW w:w="1178" w:type="dxa"/>
            <w:hideMark/>
          </w:tcPr>
          <w:p w14:paraId="0F1928CE"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(-0.08)</w:t>
            </w:r>
          </w:p>
        </w:tc>
        <w:tc>
          <w:tcPr>
            <w:tcW w:w="1200" w:type="dxa"/>
            <w:hideMark/>
          </w:tcPr>
          <w:p w14:paraId="533F172A"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(0.01)</w:t>
            </w:r>
          </w:p>
        </w:tc>
        <w:tc>
          <w:tcPr>
            <w:tcW w:w="1196" w:type="dxa"/>
            <w:hideMark/>
          </w:tcPr>
          <w:p w14:paraId="3668862B"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(0.03)</w:t>
            </w:r>
          </w:p>
        </w:tc>
        <w:tc>
          <w:tcPr>
            <w:tcW w:w="1133" w:type="dxa"/>
            <w:hideMark/>
          </w:tcPr>
          <w:p w14:paraId="62EFE647"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(0.04)</w:t>
            </w:r>
          </w:p>
        </w:tc>
      </w:tr>
      <w:tr w:rsidR="00E46419" w:rsidRPr="00B07C46" w14:paraId="342EB997" w14:textId="77777777" w:rsidTr="000A084C">
        <w:trPr>
          <w:jc w:val="center"/>
        </w:trPr>
        <w:tc>
          <w:tcPr>
            <w:tcW w:w="1276" w:type="dxa"/>
            <w:vAlign w:val="center"/>
            <w:hideMark/>
          </w:tcPr>
          <w:p w14:paraId="560BA483" w14:textId="3443BF73"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Volume</w:t>
            </w:r>
            <w:r w:rsidRPr="00E46419">
              <w:rPr>
                <w:rFonts w:ascii="Book Antiqua" w:eastAsia="Times New Roman" w:hAnsi="Book Antiqua" w:cs="Times New Roman"/>
                <w:color w:val="000000"/>
                <w:sz w:val="20"/>
                <w:szCs w:val="20"/>
                <w:vertAlign w:val="subscript"/>
              </w:rPr>
              <w:t>t-1</w:t>
            </w:r>
          </w:p>
        </w:tc>
        <w:tc>
          <w:tcPr>
            <w:tcW w:w="1258" w:type="dxa"/>
          </w:tcPr>
          <w:p w14:paraId="17B31700"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63" w:type="dxa"/>
            <w:gridSpan w:val="2"/>
            <w:hideMark/>
          </w:tcPr>
          <w:p w14:paraId="4C861392" w14:textId="16BCB7BB"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78" w:type="dxa"/>
            <w:hideMark/>
          </w:tcPr>
          <w:p w14:paraId="4EA9A733" w14:textId="3BCF645E"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200" w:type="dxa"/>
            <w:hideMark/>
          </w:tcPr>
          <w:p w14:paraId="5D801D3A" w14:textId="2110DEBE"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96" w:type="dxa"/>
            <w:hideMark/>
          </w:tcPr>
          <w:p w14:paraId="16EE21C6" w14:textId="223FC47C"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33" w:type="dxa"/>
            <w:hideMark/>
          </w:tcPr>
          <w:p w14:paraId="48926B64" w14:textId="4F742105"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r>
      <w:tr w:rsidR="00E46419" w:rsidRPr="00B07C46" w14:paraId="7D3B9304" w14:textId="77777777" w:rsidTr="000A084C">
        <w:trPr>
          <w:jc w:val="center"/>
        </w:trPr>
        <w:tc>
          <w:tcPr>
            <w:tcW w:w="1276" w:type="dxa"/>
            <w:vAlign w:val="center"/>
          </w:tcPr>
          <w:p w14:paraId="7F929CA9"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58" w:type="dxa"/>
          </w:tcPr>
          <w:p w14:paraId="3690F230"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63" w:type="dxa"/>
            <w:gridSpan w:val="2"/>
            <w:hideMark/>
          </w:tcPr>
          <w:p w14:paraId="71A7D967"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(6.38)</w:t>
            </w:r>
          </w:p>
        </w:tc>
        <w:tc>
          <w:tcPr>
            <w:tcW w:w="1178" w:type="dxa"/>
            <w:hideMark/>
          </w:tcPr>
          <w:p w14:paraId="4F4C2693"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(6.02)</w:t>
            </w:r>
          </w:p>
        </w:tc>
        <w:tc>
          <w:tcPr>
            <w:tcW w:w="1200" w:type="dxa"/>
            <w:hideMark/>
          </w:tcPr>
          <w:p w14:paraId="3770AD72"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(6.02)</w:t>
            </w:r>
          </w:p>
        </w:tc>
        <w:tc>
          <w:tcPr>
            <w:tcW w:w="1196" w:type="dxa"/>
            <w:hideMark/>
          </w:tcPr>
          <w:p w14:paraId="78BAB24C"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(6.02)</w:t>
            </w:r>
          </w:p>
        </w:tc>
        <w:tc>
          <w:tcPr>
            <w:tcW w:w="1133" w:type="dxa"/>
            <w:hideMark/>
          </w:tcPr>
          <w:p w14:paraId="2D56FD2E"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(6.02)</w:t>
            </w:r>
          </w:p>
        </w:tc>
      </w:tr>
      <w:tr w:rsidR="00E46419" w:rsidRPr="00B07C46" w14:paraId="148C41C6" w14:textId="77777777" w:rsidTr="000A084C">
        <w:trPr>
          <w:jc w:val="center"/>
        </w:trPr>
        <w:tc>
          <w:tcPr>
            <w:tcW w:w="1276" w:type="dxa"/>
            <w:vAlign w:val="center"/>
            <w:hideMark/>
          </w:tcPr>
          <w:p w14:paraId="71840154" w14:textId="765F055E"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Return</w:t>
            </w:r>
            <w:r w:rsidRPr="00E46419">
              <w:rPr>
                <w:rFonts w:ascii="Book Antiqua" w:eastAsia="Times New Roman" w:hAnsi="Book Antiqua" w:cs="Times New Roman"/>
                <w:color w:val="000000"/>
                <w:sz w:val="20"/>
                <w:szCs w:val="20"/>
                <w:vertAlign w:val="subscript"/>
              </w:rPr>
              <w:t>t-1</w:t>
            </w:r>
          </w:p>
        </w:tc>
        <w:tc>
          <w:tcPr>
            <w:tcW w:w="1258" w:type="dxa"/>
          </w:tcPr>
          <w:p w14:paraId="7033DD89"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63" w:type="dxa"/>
            <w:gridSpan w:val="2"/>
          </w:tcPr>
          <w:p w14:paraId="10C6D1E0"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178" w:type="dxa"/>
            <w:hideMark/>
          </w:tcPr>
          <w:p w14:paraId="366E30A7"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0.0517***</w:t>
            </w:r>
          </w:p>
        </w:tc>
        <w:tc>
          <w:tcPr>
            <w:tcW w:w="1200" w:type="dxa"/>
            <w:hideMark/>
          </w:tcPr>
          <w:p w14:paraId="3C4D4BF0"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0.0517***</w:t>
            </w:r>
          </w:p>
        </w:tc>
        <w:tc>
          <w:tcPr>
            <w:tcW w:w="1196" w:type="dxa"/>
            <w:hideMark/>
          </w:tcPr>
          <w:p w14:paraId="7C6704C9"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0.0517***</w:t>
            </w:r>
          </w:p>
        </w:tc>
        <w:tc>
          <w:tcPr>
            <w:tcW w:w="1133" w:type="dxa"/>
            <w:hideMark/>
          </w:tcPr>
          <w:p w14:paraId="172F819E"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0.0517***</w:t>
            </w:r>
          </w:p>
        </w:tc>
      </w:tr>
      <w:tr w:rsidR="00E46419" w:rsidRPr="00B07C46" w14:paraId="477DABFD" w14:textId="77777777" w:rsidTr="000A084C">
        <w:trPr>
          <w:jc w:val="center"/>
        </w:trPr>
        <w:tc>
          <w:tcPr>
            <w:tcW w:w="1276" w:type="dxa"/>
            <w:vAlign w:val="center"/>
          </w:tcPr>
          <w:p w14:paraId="63C40552"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58" w:type="dxa"/>
          </w:tcPr>
          <w:p w14:paraId="720D0410"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63" w:type="dxa"/>
            <w:gridSpan w:val="2"/>
          </w:tcPr>
          <w:p w14:paraId="7861BB84"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178" w:type="dxa"/>
            <w:hideMark/>
          </w:tcPr>
          <w:p w14:paraId="5863B1C2"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(11.40)</w:t>
            </w:r>
          </w:p>
        </w:tc>
        <w:tc>
          <w:tcPr>
            <w:tcW w:w="1200" w:type="dxa"/>
            <w:hideMark/>
          </w:tcPr>
          <w:p w14:paraId="03A75498"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(11.40)</w:t>
            </w:r>
          </w:p>
        </w:tc>
        <w:tc>
          <w:tcPr>
            <w:tcW w:w="1196" w:type="dxa"/>
            <w:hideMark/>
          </w:tcPr>
          <w:p w14:paraId="4564FB06"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(11.40)</w:t>
            </w:r>
          </w:p>
        </w:tc>
        <w:tc>
          <w:tcPr>
            <w:tcW w:w="1133" w:type="dxa"/>
            <w:hideMark/>
          </w:tcPr>
          <w:p w14:paraId="4DFEEAAC"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(11.40)</w:t>
            </w:r>
          </w:p>
        </w:tc>
      </w:tr>
      <w:tr w:rsidR="00E46419" w:rsidRPr="00B07C46" w14:paraId="27AEAE8C" w14:textId="77777777" w:rsidTr="000A084C">
        <w:trPr>
          <w:jc w:val="center"/>
        </w:trPr>
        <w:tc>
          <w:tcPr>
            <w:tcW w:w="1276" w:type="dxa"/>
            <w:vAlign w:val="center"/>
            <w:hideMark/>
          </w:tcPr>
          <w:p w14:paraId="3B3BEB24" w14:textId="4850DE2C"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Rate</w:t>
            </w:r>
            <w:r w:rsidRPr="00E46419">
              <w:rPr>
                <w:rFonts w:ascii="Book Antiqua" w:eastAsia="Times New Roman" w:hAnsi="Book Antiqua" w:cs="Times New Roman"/>
                <w:color w:val="000000"/>
                <w:sz w:val="20"/>
                <w:szCs w:val="20"/>
                <w:vertAlign w:val="subscript"/>
              </w:rPr>
              <w:t>t-1</w:t>
            </w:r>
          </w:p>
        </w:tc>
        <w:tc>
          <w:tcPr>
            <w:tcW w:w="1258" w:type="dxa"/>
          </w:tcPr>
          <w:p w14:paraId="04B8A2F1"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63" w:type="dxa"/>
            <w:gridSpan w:val="2"/>
          </w:tcPr>
          <w:p w14:paraId="3A4FA961"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178" w:type="dxa"/>
          </w:tcPr>
          <w:p w14:paraId="1D21C010"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00" w:type="dxa"/>
            <w:hideMark/>
          </w:tcPr>
          <w:p w14:paraId="32D1E6C7"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-0.3271</w:t>
            </w:r>
          </w:p>
        </w:tc>
        <w:tc>
          <w:tcPr>
            <w:tcW w:w="1196" w:type="dxa"/>
            <w:hideMark/>
          </w:tcPr>
          <w:p w14:paraId="398F2647"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-0.3232</w:t>
            </w:r>
          </w:p>
        </w:tc>
        <w:tc>
          <w:tcPr>
            <w:tcW w:w="1133" w:type="dxa"/>
            <w:hideMark/>
          </w:tcPr>
          <w:p w14:paraId="43BC3E4B"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-0.3313</w:t>
            </w:r>
          </w:p>
        </w:tc>
      </w:tr>
      <w:tr w:rsidR="00E46419" w:rsidRPr="00B07C46" w14:paraId="3B65CBF8" w14:textId="77777777" w:rsidTr="000A084C">
        <w:trPr>
          <w:jc w:val="center"/>
        </w:trPr>
        <w:tc>
          <w:tcPr>
            <w:tcW w:w="1276" w:type="dxa"/>
            <w:vAlign w:val="center"/>
          </w:tcPr>
          <w:p w14:paraId="736AE887"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58" w:type="dxa"/>
          </w:tcPr>
          <w:p w14:paraId="676781AB"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63" w:type="dxa"/>
            <w:gridSpan w:val="2"/>
          </w:tcPr>
          <w:p w14:paraId="08E67C6E"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178" w:type="dxa"/>
          </w:tcPr>
          <w:p w14:paraId="0D402C61"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00" w:type="dxa"/>
            <w:hideMark/>
          </w:tcPr>
          <w:p w14:paraId="71F3435A"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(-1.28)</w:t>
            </w:r>
          </w:p>
        </w:tc>
        <w:tc>
          <w:tcPr>
            <w:tcW w:w="1196" w:type="dxa"/>
            <w:hideMark/>
          </w:tcPr>
          <w:p w14:paraId="1C6BC3CA"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(-1.26)</w:t>
            </w:r>
          </w:p>
        </w:tc>
        <w:tc>
          <w:tcPr>
            <w:tcW w:w="1133" w:type="dxa"/>
            <w:hideMark/>
          </w:tcPr>
          <w:p w14:paraId="6D42EC07"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(-1.29)</w:t>
            </w:r>
          </w:p>
        </w:tc>
      </w:tr>
      <w:tr w:rsidR="00E46419" w:rsidRPr="00B07C46" w14:paraId="43901FB3" w14:textId="77777777" w:rsidTr="000A084C">
        <w:trPr>
          <w:jc w:val="center"/>
        </w:trPr>
        <w:tc>
          <w:tcPr>
            <w:tcW w:w="1276" w:type="dxa"/>
            <w:vAlign w:val="center"/>
            <w:hideMark/>
          </w:tcPr>
          <w:p w14:paraId="4B4EB3A6" w14:textId="6F8C80A9" w:rsidR="00E46419" w:rsidRPr="00B07C46" w:rsidRDefault="00E46419" w:rsidP="00E46419">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Friday</w:t>
            </w:r>
            <w:r w:rsidRPr="00E46419">
              <w:rPr>
                <w:rFonts w:ascii="Book Antiqua" w:eastAsia="Times New Roman" w:hAnsi="Book Antiqua" w:cs="Times New Roman"/>
                <w:color w:val="000000"/>
                <w:sz w:val="20"/>
                <w:szCs w:val="20"/>
                <w:vertAlign w:val="subscript"/>
              </w:rPr>
              <w:t>t</w:t>
            </w:r>
            <w:proofErr w:type="spellEnd"/>
          </w:p>
        </w:tc>
        <w:tc>
          <w:tcPr>
            <w:tcW w:w="1258" w:type="dxa"/>
          </w:tcPr>
          <w:p w14:paraId="254EB6E1"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63" w:type="dxa"/>
            <w:gridSpan w:val="2"/>
          </w:tcPr>
          <w:p w14:paraId="57CAABD4"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178" w:type="dxa"/>
          </w:tcPr>
          <w:p w14:paraId="152ED8E8"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00" w:type="dxa"/>
          </w:tcPr>
          <w:p w14:paraId="4143FD8B"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196" w:type="dxa"/>
            <w:hideMark/>
          </w:tcPr>
          <w:p w14:paraId="68629F5A"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-0.0846</w:t>
            </w:r>
          </w:p>
        </w:tc>
        <w:tc>
          <w:tcPr>
            <w:tcW w:w="1133" w:type="dxa"/>
          </w:tcPr>
          <w:p w14:paraId="2A882214"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r>
      <w:tr w:rsidR="00E46419" w:rsidRPr="00B07C46" w14:paraId="00E10A24" w14:textId="77777777" w:rsidTr="000A084C">
        <w:trPr>
          <w:jc w:val="center"/>
        </w:trPr>
        <w:tc>
          <w:tcPr>
            <w:tcW w:w="1276" w:type="dxa"/>
            <w:vAlign w:val="center"/>
          </w:tcPr>
          <w:p w14:paraId="0B1CE5FB"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58" w:type="dxa"/>
          </w:tcPr>
          <w:p w14:paraId="6EAF7A64"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63" w:type="dxa"/>
            <w:gridSpan w:val="2"/>
          </w:tcPr>
          <w:p w14:paraId="5CF72E9C"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178" w:type="dxa"/>
          </w:tcPr>
          <w:p w14:paraId="11C40040"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00" w:type="dxa"/>
          </w:tcPr>
          <w:p w14:paraId="274A481B"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196" w:type="dxa"/>
            <w:hideMark/>
          </w:tcPr>
          <w:p w14:paraId="67BCF7C4"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(-1.04)</w:t>
            </w:r>
          </w:p>
        </w:tc>
        <w:tc>
          <w:tcPr>
            <w:tcW w:w="1133" w:type="dxa"/>
          </w:tcPr>
          <w:p w14:paraId="577A10BD"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r>
      <w:tr w:rsidR="00E46419" w:rsidRPr="00B07C46" w14:paraId="303EECD1" w14:textId="77777777" w:rsidTr="000A084C">
        <w:trPr>
          <w:jc w:val="center"/>
        </w:trPr>
        <w:tc>
          <w:tcPr>
            <w:tcW w:w="1276" w:type="dxa"/>
            <w:vAlign w:val="center"/>
            <w:hideMark/>
          </w:tcPr>
          <w:p w14:paraId="544EB4A2" w14:textId="768BD943" w:rsidR="00E46419" w:rsidRPr="00B07C46" w:rsidRDefault="00E46419" w:rsidP="00E46419">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Monday</w:t>
            </w:r>
            <w:r w:rsidRPr="00E46419">
              <w:rPr>
                <w:rFonts w:ascii="Book Antiqua" w:eastAsia="Times New Roman" w:hAnsi="Book Antiqua" w:cs="Times New Roman"/>
                <w:color w:val="000000"/>
                <w:sz w:val="20"/>
                <w:szCs w:val="20"/>
                <w:vertAlign w:val="subscript"/>
              </w:rPr>
              <w:t>t</w:t>
            </w:r>
            <w:proofErr w:type="spellEnd"/>
          </w:p>
        </w:tc>
        <w:tc>
          <w:tcPr>
            <w:tcW w:w="1258" w:type="dxa"/>
          </w:tcPr>
          <w:p w14:paraId="6A749579"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63" w:type="dxa"/>
            <w:gridSpan w:val="2"/>
          </w:tcPr>
          <w:p w14:paraId="15973A78"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178" w:type="dxa"/>
          </w:tcPr>
          <w:p w14:paraId="65AADC91"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200" w:type="dxa"/>
          </w:tcPr>
          <w:p w14:paraId="66DC91BF"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196" w:type="dxa"/>
          </w:tcPr>
          <w:p w14:paraId="36D03BE2" w14:textId="77777777" w:rsidR="00E46419" w:rsidRPr="00B07C46" w:rsidRDefault="00E46419" w:rsidP="00E46419">
            <w:pPr>
              <w:pStyle w:val="NoSpacing"/>
              <w:jc w:val="both"/>
              <w:rPr>
                <w:rFonts w:ascii="Book Antiqua" w:eastAsia="Times New Roman" w:hAnsi="Book Antiqua" w:cs="Times New Roman"/>
                <w:color w:val="000000"/>
                <w:sz w:val="20"/>
                <w:szCs w:val="20"/>
              </w:rPr>
            </w:pPr>
          </w:p>
        </w:tc>
        <w:tc>
          <w:tcPr>
            <w:tcW w:w="1133" w:type="dxa"/>
            <w:hideMark/>
          </w:tcPr>
          <w:p w14:paraId="6D960B5D" w14:textId="77777777" w:rsidR="00E46419" w:rsidRPr="00B07C46" w:rsidRDefault="00E46419" w:rsidP="00E46419">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-0.0310</w:t>
            </w:r>
          </w:p>
        </w:tc>
      </w:tr>
      <w:tr w:rsidR="000A084C" w:rsidRPr="00B07C46" w14:paraId="0340386F" w14:textId="77777777" w:rsidTr="000A084C">
        <w:trPr>
          <w:jc w:val="center"/>
        </w:trPr>
        <w:tc>
          <w:tcPr>
            <w:tcW w:w="1276" w:type="dxa"/>
            <w:vAlign w:val="center"/>
          </w:tcPr>
          <w:p w14:paraId="790FD57B"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tcPr>
          <w:p w14:paraId="6F7DBB6E"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tcPr>
          <w:p w14:paraId="458C4C98"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tcPr>
          <w:p w14:paraId="326330C5"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tcPr>
          <w:p w14:paraId="2252CF55"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96" w:type="dxa"/>
          </w:tcPr>
          <w:p w14:paraId="5DE8BA95"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33" w:type="dxa"/>
            <w:hideMark/>
          </w:tcPr>
          <w:p w14:paraId="444AC3A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(-0.38)</w:t>
            </w:r>
          </w:p>
        </w:tc>
      </w:tr>
      <w:tr w:rsidR="000A084C" w:rsidRPr="00B07C46" w14:paraId="108E50C0" w14:textId="77777777" w:rsidTr="000A084C">
        <w:trPr>
          <w:jc w:val="center"/>
        </w:trPr>
        <w:tc>
          <w:tcPr>
            <w:tcW w:w="1276" w:type="dxa"/>
            <w:vAlign w:val="center"/>
            <w:hideMark/>
          </w:tcPr>
          <w:p w14:paraId="51C1A33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Constant</w:t>
            </w:r>
          </w:p>
        </w:tc>
        <w:tc>
          <w:tcPr>
            <w:tcW w:w="1258" w:type="dxa"/>
            <w:hideMark/>
          </w:tcPr>
          <w:p w14:paraId="0CA01563"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2.4175***</w:t>
            </w:r>
          </w:p>
        </w:tc>
        <w:tc>
          <w:tcPr>
            <w:tcW w:w="1263" w:type="dxa"/>
            <w:gridSpan w:val="2"/>
            <w:hideMark/>
          </w:tcPr>
          <w:p w14:paraId="7461203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2.6365***</w:t>
            </w:r>
          </w:p>
        </w:tc>
        <w:tc>
          <w:tcPr>
            <w:tcW w:w="1178" w:type="dxa"/>
            <w:hideMark/>
          </w:tcPr>
          <w:p w14:paraId="4D1F144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2.5298***</w:t>
            </w:r>
          </w:p>
        </w:tc>
        <w:tc>
          <w:tcPr>
            <w:tcW w:w="1200" w:type="dxa"/>
            <w:hideMark/>
          </w:tcPr>
          <w:p w14:paraId="3C5B0B9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4.1119***</w:t>
            </w:r>
          </w:p>
        </w:tc>
        <w:tc>
          <w:tcPr>
            <w:tcW w:w="1196" w:type="dxa"/>
            <w:hideMark/>
          </w:tcPr>
          <w:p w14:paraId="0BD97BF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4.0937***</w:t>
            </w:r>
          </w:p>
        </w:tc>
        <w:tc>
          <w:tcPr>
            <w:tcW w:w="1133" w:type="dxa"/>
            <w:hideMark/>
          </w:tcPr>
          <w:p w14:paraId="3175D58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4.1322***</w:t>
            </w:r>
          </w:p>
        </w:tc>
      </w:tr>
      <w:tr w:rsidR="000A084C" w:rsidRPr="00B07C46" w14:paraId="08049F18" w14:textId="77777777" w:rsidTr="000A084C">
        <w:trPr>
          <w:jc w:val="center"/>
        </w:trPr>
        <w:tc>
          <w:tcPr>
            <w:tcW w:w="1276" w:type="dxa"/>
            <w:vAlign w:val="center"/>
          </w:tcPr>
          <w:p w14:paraId="3EBC9703"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hideMark/>
          </w:tcPr>
          <w:p w14:paraId="63FA2FF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(11.43)</w:t>
            </w:r>
          </w:p>
        </w:tc>
        <w:tc>
          <w:tcPr>
            <w:tcW w:w="1263" w:type="dxa"/>
            <w:gridSpan w:val="2"/>
            <w:hideMark/>
          </w:tcPr>
          <w:p w14:paraId="100E394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(10.84)</w:t>
            </w:r>
          </w:p>
        </w:tc>
        <w:tc>
          <w:tcPr>
            <w:tcW w:w="1178" w:type="dxa"/>
            <w:hideMark/>
          </w:tcPr>
          <w:p w14:paraId="0CB8DF0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(10.40)</w:t>
            </w:r>
          </w:p>
        </w:tc>
        <w:tc>
          <w:tcPr>
            <w:tcW w:w="1200" w:type="dxa"/>
            <w:hideMark/>
          </w:tcPr>
          <w:p w14:paraId="2B5178F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(3.26)</w:t>
            </w:r>
          </w:p>
        </w:tc>
        <w:tc>
          <w:tcPr>
            <w:tcW w:w="1196" w:type="dxa"/>
            <w:hideMark/>
          </w:tcPr>
          <w:p w14:paraId="6F99AE7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(3.25)</w:t>
            </w:r>
          </w:p>
        </w:tc>
        <w:tc>
          <w:tcPr>
            <w:tcW w:w="1133" w:type="dxa"/>
            <w:hideMark/>
          </w:tcPr>
          <w:p w14:paraId="75C7AB5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(3.28)</w:t>
            </w:r>
          </w:p>
        </w:tc>
      </w:tr>
      <w:tr w:rsidR="000A084C" w:rsidRPr="00B07C46" w14:paraId="74C4E31E" w14:textId="77777777" w:rsidTr="000A084C">
        <w:trPr>
          <w:jc w:val="center"/>
        </w:trPr>
        <w:tc>
          <w:tcPr>
            <w:tcW w:w="1276" w:type="dxa"/>
            <w:vAlign w:val="center"/>
            <w:hideMark/>
          </w:tcPr>
          <w:p w14:paraId="34580CA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Control for:</w:t>
            </w:r>
          </w:p>
        </w:tc>
        <w:tc>
          <w:tcPr>
            <w:tcW w:w="1258" w:type="dxa"/>
          </w:tcPr>
          <w:p w14:paraId="30EA073C"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tcPr>
          <w:p w14:paraId="1D2454DA"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tcPr>
          <w:p w14:paraId="15D7F0AF"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tcPr>
          <w:p w14:paraId="183939FA"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96" w:type="dxa"/>
          </w:tcPr>
          <w:p w14:paraId="6671DB79"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33" w:type="dxa"/>
          </w:tcPr>
          <w:p w14:paraId="38FD9EE1"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10935A21" w14:textId="77777777" w:rsidTr="000A084C">
        <w:trPr>
          <w:jc w:val="center"/>
        </w:trPr>
        <w:tc>
          <w:tcPr>
            <w:tcW w:w="1276" w:type="dxa"/>
            <w:vAlign w:val="center"/>
            <w:hideMark/>
          </w:tcPr>
          <w:p w14:paraId="4049FDB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Month-FE</w:t>
            </w:r>
          </w:p>
        </w:tc>
        <w:tc>
          <w:tcPr>
            <w:tcW w:w="1258" w:type="dxa"/>
            <w:hideMark/>
          </w:tcPr>
          <w:p w14:paraId="7198480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263" w:type="dxa"/>
            <w:gridSpan w:val="2"/>
            <w:hideMark/>
          </w:tcPr>
          <w:p w14:paraId="7A0F0A0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178" w:type="dxa"/>
            <w:hideMark/>
          </w:tcPr>
          <w:p w14:paraId="2DFFB8A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200" w:type="dxa"/>
            <w:hideMark/>
          </w:tcPr>
          <w:p w14:paraId="465CCFD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196" w:type="dxa"/>
            <w:hideMark/>
          </w:tcPr>
          <w:p w14:paraId="719E42C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133" w:type="dxa"/>
            <w:hideMark/>
          </w:tcPr>
          <w:p w14:paraId="5F746D5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r>
      <w:tr w:rsidR="000A084C" w:rsidRPr="00B07C46" w14:paraId="0FA15BB3" w14:textId="77777777" w:rsidTr="000A084C">
        <w:trPr>
          <w:jc w:val="center"/>
        </w:trPr>
        <w:tc>
          <w:tcPr>
            <w:tcW w:w="1276" w:type="dxa"/>
            <w:vAlign w:val="center"/>
            <w:hideMark/>
          </w:tcPr>
          <w:p w14:paraId="7FF56E5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lastRenderedPageBreak/>
              <w:t>N</w:t>
            </w:r>
          </w:p>
        </w:tc>
        <w:tc>
          <w:tcPr>
            <w:tcW w:w="1258" w:type="dxa"/>
            <w:vAlign w:val="bottom"/>
            <w:hideMark/>
          </w:tcPr>
          <w:p w14:paraId="0595FA7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217.143</w:t>
            </w:r>
          </w:p>
        </w:tc>
        <w:tc>
          <w:tcPr>
            <w:tcW w:w="1263" w:type="dxa"/>
            <w:gridSpan w:val="2"/>
            <w:vAlign w:val="bottom"/>
            <w:hideMark/>
          </w:tcPr>
          <w:p w14:paraId="65B63D0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187.605</w:t>
            </w:r>
          </w:p>
        </w:tc>
        <w:tc>
          <w:tcPr>
            <w:tcW w:w="1178" w:type="dxa"/>
            <w:vAlign w:val="bottom"/>
            <w:hideMark/>
          </w:tcPr>
          <w:p w14:paraId="1B5056A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187.605</w:t>
            </w:r>
          </w:p>
        </w:tc>
        <w:tc>
          <w:tcPr>
            <w:tcW w:w="1200" w:type="dxa"/>
            <w:vAlign w:val="bottom"/>
            <w:hideMark/>
          </w:tcPr>
          <w:p w14:paraId="7418994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187.605</w:t>
            </w:r>
          </w:p>
        </w:tc>
        <w:tc>
          <w:tcPr>
            <w:tcW w:w="1196" w:type="dxa"/>
            <w:vAlign w:val="bottom"/>
            <w:hideMark/>
          </w:tcPr>
          <w:p w14:paraId="6EBD58D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187.605</w:t>
            </w:r>
          </w:p>
        </w:tc>
        <w:tc>
          <w:tcPr>
            <w:tcW w:w="1133" w:type="dxa"/>
            <w:vAlign w:val="bottom"/>
            <w:hideMark/>
          </w:tcPr>
          <w:p w14:paraId="7106095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187.605</w:t>
            </w:r>
          </w:p>
        </w:tc>
      </w:tr>
      <w:tr w:rsidR="000A084C" w:rsidRPr="00B07C46" w14:paraId="7D6D0EC1" w14:textId="77777777" w:rsidTr="000A084C">
        <w:trPr>
          <w:jc w:val="center"/>
        </w:trPr>
        <w:tc>
          <w:tcPr>
            <w:tcW w:w="1276" w:type="dxa"/>
            <w:tcBorders>
              <w:top w:val="nil"/>
              <w:left w:val="nil"/>
              <w:bottom w:val="single" w:sz="4" w:space="0" w:color="auto"/>
              <w:right w:val="nil"/>
            </w:tcBorders>
            <w:vAlign w:val="center"/>
            <w:hideMark/>
          </w:tcPr>
          <w:p w14:paraId="3C4796B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Adjusted R2</w:t>
            </w:r>
          </w:p>
        </w:tc>
        <w:tc>
          <w:tcPr>
            <w:tcW w:w="1258" w:type="dxa"/>
            <w:tcBorders>
              <w:top w:val="nil"/>
              <w:left w:val="nil"/>
              <w:bottom w:val="single" w:sz="4" w:space="0" w:color="auto"/>
              <w:right w:val="nil"/>
            </w:tcBorders>
            <w:vAlign w:val="bottom"/>
            <w:hideMark/>
          </w:tcPr>
          <w:p w14:paraId="216D457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0.0002</w:t>
            </w:r>
          </w:p>
        </w:tc>
        <w:tc>
          <w:tcPr>
            <w:tcW w:w="1263" w:type="dxa"/>
            <w:gridSpan w:val="2"/>
            <w:tcBorders>
              <w:top w:val="nil"/>
              <w:left w:val="nil"/>
              <w:bottom w:val="single" w:sz="4" w:space="0" w:color="auto"/>
              <w:right w:val="nil"/>
            </w:tcBorders>
            <w:vAlign w:val="bottom"/>
            <w:hideMark/>
          </w:tcPr>
          <w:p w14:paraId="780ECA6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0.0004</w:t>
            </w:r>
          </w:p>
        </w:tc>
        <w:tc>
          <w:tcPr>
            <w:tcW w:w="1178" w:type="dxa"/>
            <w:tcBorders>
              <w:top w:val="nil"/>
              <w:left w:val="nil"/>
              <w:bottom w:val="single" w:sz="4" w:space="0" w:color="auto"/>
              <w:right w:val="nil"/>
            </w:tcBorders>
            <w:vAlign w:val="bottom"/>
            <w:hideMark/>
          </w:tcPr>
          <w:p w14:paraId="6A77F25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0.0026</w:t>
            </w:r>
          </w:p>
        </w:tc>
        <w:tc>
          <w:tcPr>
            <w:tcW w:w="1200" w:type="dxa"/>
            <w:tcBorders>
              <w:top w:val="nil"/>
              <w:left w:val="nil"/>
              <w:bottom w:val="single" w:sz="4" w:space="0" w:color="auto"/>
              <w:right w:val="nil"/>
            </w:tcBorders>
            <w:vAlign w:val="bottom"/>
            <w:hideMark/>
          </w:tcPr>
          <w:p w14:paraId="1699B9E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0.0026</w:t>
            </w:r>
          </w:p>
        </w:tc>
        <w:tc>
          <w:tcPr>
            <w:tcW w:w="1196" w:type="dxa"/>
            <w:tcBorders>
              <w:top w:val="nil"/>
              <w:left w:val="nil"/>
              <w:bottom w:val="single" w:sz="4" w:space="0" w:color="auto"/>
              <w:right w:val="nil"/>
            </w:tcBorders>
            <w:vAlign w:val="bottom"/>
            <w:hideMark/>
          </w:tcPr>
          <w:p w14:paraId="227E47F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0.0026</w:t>
            </w:r>
          </w:p>
        </w:tc>
        <w:tc>
          <w:tcPr>
            <w:tcW w:w="1133" w:type="dxa"/>
            <w:tcBorders>
              <w:top w:val="nil"/>
              <w:left w:val="nil"/>
              <w:bottom w:val="single" w:sz="4" w:space="0" w:color="auto"/>
              <w:right w:val="nil"/>
            </w:tcBorders>
            <w:vAlign w:val="bottom"/>
            <w:hideMark/>
          </w:tcPr>
          <w:p w14:paraId="619A745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0.0026</w:t>
            </w:r>
          </w:p>
        </w:tc>
      </w:tr>
    </w:tbl>
    <w:p w14:paraId="5BDBFF51" w14:textId="77777777" w:rsidR="000A084C" w:rsidRPr="00B07C46" w:rsidRDefault="000A084C" w:rsidP="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 Significance level at 1%, ** at 5%, *** at 1%</w:t>
      </w:r>
    </w:p>
    <w:p w14:paraId="21DEB459" w14:textId="77777777" w:rsidR="000A084C" w:rsidRPr="00B07C46" w:rsidRDefault="000A084C" w:rsidP="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Source: Proceed data, 2021</w:t>
      </w:r>
    </w:p>
    <w:p w14:paraId="77B97FB6" w14:textId="77777777" w:rsidR="000A084C" w:rsidRPr="00B07C46" w:rsidRDefault="000A084C" w:rsidP="000A084C">
      <w:pPr>
        <w:pStyle w:val="NoSpacing"/>
        <w:jc w:val="both"/>
        <w:rPr>
          <w:rFonts w:ascii="Book Antiqua" w:eastAsia="Times New Roman" w:hAnsi="Book Antiqua" w:cs="Times New Roman"/>
          <w:color w:val="000000"/>
          <w:sz w:val="20"/>
          <w:szCs w:val="20"/>
        </w:rPr>
      </w:pPr>
    </w:p>
    <w:p w14:paraId="226570F7" w14:textId="77777777" w:rsidR="000A084C" w:rsidRPr="007C2A94" w:rsidRDefault="000A084C" w:rsidP="000A084C">
      <w:pPr>
        <w:pStyle w:val="NoSpacing"/>
        <w:jc w:val="both"/>
        <w:rPr>
          <w:rFonts w:ascii="Book Antiqua" w:eastAsia="Times New Roman" w:hAnsi="Book Antiqua" w:cs="Times New Roman"/>
          <w:b/>
          <w:bCs/>
          <w:color w:val="000000"/>
          <w:sz w:val="24"/>
          <w:szCs w:val="24"/>
        </w:rPr>
      </w:pPr>
      <w:r w:rsidRPr="007C2A94">
        <w:rPr>
          <w:rFonts w:ascii="Book Antiqua" w:eastAsia="Times New Roman" w:hAnsi="Book Antiqua" w:cs="Times New Roman"/>
          <w:b/>
          <w:bCs/>
          <w:color w:val="000000"/>
          <w:sz w:val="24"/>
          <w:szCs w:val="24"/>
        </w:rPr>
        <w:t xml:space="preserve">Moderating Effect of day </w:t>
      </w:r>
    </w:p>
    <w:p w14:paraId="28AB7359" w14:textId="77777777" w:rsidR="000A084C" w:rsidRPr="007C2A94" w:rsidRDefault="000A084C" w:rsidP="000A084C">
      <w:pPr>
        <w:pStyle w:val="NoSpacing"/>
        <w:jc w:val="both"/>
        <w:rPr>
          <w:rFonts w:ascii="Book Antiqua" w:eastAsia="Times New Roman" w:hAnsi="Book Antiqua" w:cs="Times New Roman"/>
          <w:color w:val="000000"/>
          <w:sz w:val="24"/>
          <w:szCs w:val="24"/>
        </w:rPr>
      </w:pPr>
    </w:p>
    <w:p w14:paraId="2A1B223E" w14:textId="3D57FC2B" w:rsidR="00164A1A" w:rsidRPr="00164A1A" w:rsidRDefault="00164A1A" w:rsidP="00164A1A">
      <w:pPr>
        <w:pStyle w:val="NoSpacing"/>
        <w:ind w:firstLine="720"/>
        <w:jc w:val="both"/>
        <w:rPr>
          <w:rFonts w:ascii="Book Antiqua" w:eastAsia="Times New Roman" w:hAnsi="Book Antiqua" w:cs="Times New Roman"/>
          <w:color w:val="000000"/>
          <w:sz w:val="24"/>
          <w:szCs w:val="24"/>
        </w:rPr>
      </w:pPr>
      <w:r w:rsidRPr="00164A1A">
        <w:rPr>
          <w:rFonts w:ascii="Book Antiqua" w:eastAsia="Times New Roman" w:hAnsi="Book Antiqua" w:cs="Times New Roman"/>
          <w:color w:val="000000"/>
          <w:sz w:val="24"/>
          <w:szCs w:val="24"/>
        </w:rPr>
        <w:t xml:space="preserve">Table 3 shows the moderating results of the day. The results show that the moderating effect of Monday and Friday can affect stock returns even during the pandemic in Indonesia. As expected, Monday </w:t>
      </w:r>
      <w:r w:rsidR="00A74BF2" w:rsidRPr="00164A1A">
        <w:rPr>
          <w:rFonts w:ascii="Book Antiqua" w:eastAsia="Times New Roman" w:hAnsi="Book Antiqua" w:cs="Times New Roman"/>
          <w:color w:val="000000"/>
          <w:sz w:val="24"/>
          <w:szCs w:val="24"/>
        </w:rPr>
        <w:t>affects</w:t>
      </w:r>
      <w:r w:rsidRPr="00164A1A">
        <w:rPr>
          <w:rFonts w:ascii="Book Antiqua" w:eastAsia="Times New Roman" w:hAnsi="Book Antiqua" w:cs="Times New Roman"/>
          <w:color w:val="000000"/>
          <w:sz w:val="24"/>
          <w:szCs w:val="24"/>
        </w:rPr>
        <w:t xml:space="preserve"> negatively on stock return in infectious diseases events. Therefore, H2 was accepted. Meanwhile, the effect of Friday affects positively stock returns even during the pandemic. This finding was in contrast with our H3. It can be supported by previous literature that the mood of the day can affect the investor sentiment even a major event was happening. </w:t>
      </w:r>
      <w:r w:rsidRPr="00164A1A">
        <w:rPr>
          <w:rFonts w:ascii="Book Antiqua" w:eastAsia="Times New Roman" w:hAnsi="Book Antiqua" w:cs="Times New Roman"/>
          <w:color w:val="000000"/>
          <w:sz w:val="24"/>
          <w:szCs w:val="24"/>
        </w:rPr>
        <w:fldChar w:fldCharType="begin" w:fldLock="1"/>
      </w:r>
      <w:r w:rsidR="001953C9">
        <w:rPr>
          <w:rFonts w:ascii="Book Antiqua" w:eastAsia="Times New Roman" w:hAnsi="Book Antiqua" w:cs="Times New Roman"/>
          <w:color w:val="000000"/>
          <w:sz w:val="24"/>
          <w:szCs w:val="24"/>
        </w:rPr>
        <w:instrText>ADDIN CSL_CITATION {"citationItems":[{"id":"ITEM-1","itemData":{"DOI":"10.1016/0304-405X(86)90011-5","ISSN":"0304405X","abstract":"This study examines day-of-the-week effects using hourly values of the Dow Jones Industrial Average. We find that over the 1963-1983 period the weekend effect has sifted from characterizing active trading on Monday to characterizing the non-trading weekend. Over the early part of our sample period negative returns characterize each hour of trading on Monday, while the return from Friday close to Monday open is positive. In the most recent subperiod, Monday average hourly returns after noon are all positive and the weekend effect is due to negative average returns from Friday close to Monday open. © 1986.","author":[{"dropping-particle":"","family":"Smirlock","given":"Michael","non-dropping-particle":"","parse-names":false,"suffix":""},{"dropping-particle":"","family":"Starks","given":"Laura","non-dropping-particle":"","parse-names":false,"suffix":""}],"container-title":"Journal of Financial Economics","id":"ITEM-1","issue":"1","issued":{"date-parts":[["1986"]]},"page":"197-210","title":"Day-of-the-week and intraday effects in stock returns","type":"article-journal","volume":"17"},"uris":["http://www.mendeley.com/documents/?uuid=fc184750-ffd8-41af-9411-074a6ed414c2"]}],"mendeley":{"formattedCitation":"(Smirlock &amp; Starks, 1986)","manualFormatting":"Smirlock &amp; Starks (1986)","plainTextFormattedCitation":"(Smirlock &amp; Starks, 1986)","previouslyFormattedCitation":"(Smirlock &amp; Starks, 1986)"},"properties":{"noteIndex":0},"schema":"https://github.com/citation-style-language/schema/raw/master/csl-citation.json"}</w:instrText>
      </w:r>
      <w:r w:rsidRPr="00164A1A">
        <w:rPr>
          <w:rFonts w:ascii="Book Antiqua" w:eastAsia="Times New Roman" w:hAnsi="Book Antiqua" w:cs="Times New Roman"/>
          <w:color w:val="000000"/>
          <w:sz w:val="24"/>
          <w:szCs w:val="24"/>
        </w:rPr>
        <w:fldChar w:fldCharType="separate"/>
      </w:r>
      <w:r w:rsidRPr="00164A1A">
        <w:rPr>
          <w:rFonts w:ascii="Book Antiqua" w:eastAsia="Times New Roman" w:hAnsi="Book Antiqua" w:cs="Times New Roman"/>
          <w:noProof/>
          <w:color w:val="000000"/>
          <w:sz w:val="24"/>
          <w:szCs w:val="24"/>
        </w:rPr>
        <w:t>Smirlock &amp; Starks (1986)</w:t>
      </w:r>
      <w:r w:rsidRPr="00164A1A">
        <w:rPr>
          <w:rFonts w:ascii="Book Antiqua" w:eastAsia="Times New Roman" w:hAnsi="Book Antiqua" w:cs="Times New Roman"/>
          <w:color w:val="000000"/>
          <w:sz w:val="24"/>
          <w:szCs w:val="24"/>
        </w:rPr>
        <w:fldChar w:fldCharType="end"/>
      </w:r>
      <w:r w:rsidRPr="00164A1A">
        <w:rPr>
          <w:rFonts w:ascii="Book Antiqua" w:eastAsia="Times New Roman" w:hAnsi="Book Antiqua" w:cs="Times New Roman"/>
          <w:color w:val="000000"/>
          <w:sz w:val="24"/>
          <w:szCs w:val="24"/>
        </w:rPr>
        <w:t xml:space="preserve"> said the weekend effect is extensive. This statement was in line with their findings that return on Monday was affected by Friday average returns. It can be shown the effect of the day (Monday and Friday) can’t affect Malaysia’s stock returns in the pandemic.</w:t>
      </w:r>
    </w:p>
    <w:p w14:paraId="247B964C" w14:textId="77777777" w:rsidR="00164A1A" w:rsidRDefault="00164A1A" w:rsidP="000A084C">
      <w:pPr>
        <w:pStyle w:val="NoSpacing"/>
        <w:ind w:firstLine="720"/>
        <w:jc w:val="both"/>
        <w:rPr>
          <w:rFonts w:ascii="Book Antiqua" w:eastAsia="Times New Roman" w:hAnsi="Book Antiqua" w:cs="Times New Roman"/>
          <w:color w:val="000000"/>
          <w:sz w:val="24"/>
          <w:szCs w:val="24"/>
        </w:rPr>
      </w:pPr>
    </w:p>
    <w:p w14:paraId="21B4B8C7" w14:textId="6DFD6915" w:rsidR="000A084C" w:rsidRPr="007C2A94" w:rsidRDefault="000A084C" w:rsidP="000A084C">
      <w:pPr>
        <w:pStyle w:val="NoSpacing"/>
        <w:jc w:val="both"/>
        <w:rPr>
          <w:rFonts w:ascii="Book Antiqua" w:eastAsia="Times New Roman" w:hAnsi="Book Antiqua" w:cs="Times New Roman"/>
          <w:color w:val="000000"/>
          <w:sz w:val="24"/>
          <w:szCs w:val="24"/>
        </w:rPr>
      </w:pPr>
    </w:p>
    <w:p w14:paraId="2D21687C" w14:textId="77777777" w:rsidR="000A084C" w:rsidRPr="007C2A94" w:rsidRDefault="000A084C" w:rsidP="000A084C">
      <w:pPr>
        <w:pStyle w:val="NoSpacing"/>
        <w:jc w:val="center"/>
        <w:rPr>
          <w:rFonts w:ascii="Book Antiqua" w:eastAsia="Times New Roman" w:hAnsi="Book Antiqua" w:cs="Times New Roman"/>
          <w:b/>
          <w:bCs/>
          <w:color w:val="000000"/>
          <w:sz w:val="24"/>
          <w:szCs w:val="24"/>
        </w:rPr>
      </w:pPr>
      <w:r w:rsidRPr="007C2A94">
        <w:rPr>
          <w:rFonts w:ascii="Book Antiqua" w:eastAsia="Times New Roman" w:hAnsi="Book Antiqua" w:cs="Times New Roman"/>
          <w:b/>
          <w:bCs/>
          <w:color w:val="000000"/>
          <w:sz w:val="24"/>
          <w:szCs w:val="24"/>
        </w:rPr>
        <w:t>Table 3.  Moderating effect of day</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258"/>
        <w:gridCol w:w="82"/>
        <w:gridCol w:w="1181"/>
        <w:gridCol w:w="1178"/>
        <w:gridCol w:w="1200"/>
      </w:tblGrid>
      <w:tr w:rsidR="000A084C" w:rsidRPr="00B07C46" w14:paraId="2C446D4C" w14:textId="77777777" w:rsidTr="000A084C">
        <w:trPr>
          <w:jc w:val="center"/>
        </w:trPr>
        <w:tc>
          <w:tcPr>
            <w:tcW w:w="2836" w:type="dxa"/>
            <w:tcBorders>
              <w:top w:val="single" w:sz="12" w:space="0" w:color="auto"/>
              <w:left w:val="nil"/>
              <w:bottom w:val="single" w:sz="8" w:space="0" w:color="auto"/>
              <w:right w:val="nil"/>
            </w:tcBorders>
            <w:vAlign w:val="center"/>
          </w:tcPr>
          <w:p w14:paraId="75B22DBE"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2521" w:type="dxa"/>
            <w:gridSpan w:val="3"/>
            <w:tcBorders>
              <w:top w:val="single" w:sz="12" w:space="0" w:color="auto"/>
              <w:left w:val="nil"/>
              <w:bottom w:val="single" w:sz="8" w:space="0" w:color="auto"/>
              <w:right w:val="nil"/>
            </w:tcBorders>
            <w:hideMark/>
          </w:tcPr>
          <w:p w14:paraId="4F91C3E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Indonesia</w:t>
            </w:r>
          </w:p>
        </w:tc>
        <w:tc>
          <w:tcPr>
            <w:tcW w:w="2378" w:type="dxa"/>
            <w:gridSpan w:val="2"/>
            <w:tcBorders>
              <w:top w:val="single" w:sz="12" w:space="0" w:color="auto"/>
              <w:left w:val="nil"/>
              <w:bottom w:val="single" w:sz="8" w:space="0" w:color="auto"/>
              <w:right w:val="nil"/>
            </w:tcBorders>
            <w:hideMark/>
          </w:tcPr>
          <w:p w14:paraId="2615C57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Malaysia</w:t>
            </w:r>
          </w:p>
        </w:tc>
      </w:tr>
      <w:tr w:rsidR="000A084C" w:rsidRPr="00B07C46" w14:paraId="70FB7783" w14:textId="77777777" w:rsidTr="000A084C">
        <w:trPr>
          <w:jc w:val="center"/>
        </w:trPr>
        <w:tc>
          <w:tcPr>
            <w:tcW w:w="2836" w:type="dxa"/>
            <w:tcBorders>
              <w:top w:val="single" w:sz="12" w:space="0" w:color="auto"/>
              <w:left w:val="nil"/>
              <w:bottom w:val="single" w:sz="8" w:space="0" w:color="auto"/>
              <w:right w:val="nil"/>
            </w:tcBorders>
            <w:vAlign w:val="center"/>
          </w:tcPr>
          <w:p w14:paraId="5821D001"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340" w:type="dxa"/>
            <w:gridSpan w:val="2"/>
            <w:tcBorders>
              <w:top w:val="single" w:sz="12" w:space="0" w:color="auto"/>
              <w:left w:val="nil"/>
              <w:bottom w:val="single" w:sz="8" w:space="0" w:color="auto"/>
              <w:right w:val="nil"/>
            </w:tcBorders>
            <w:hideMark/>
          </w:tcPr>
          <w:p w14:paraId="24359693"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Monday</w:t>
            </w:r>
          </w:p>
        </w:tc>
        <w:tc>
          <w:tcPr>
            <w:tcW w:w="1181" w:type="dxa"/>
            <w:tcBorders>
              <w:top w:val="single" w:sz="12" w:space="0" w:color="auto"/>
              <w:left w:val="nil"/>
              <w:bottom w:val="single" w:sz="8" w:space="0" w:color="auto"/>
              <w:right w:val="nil"/>
            </w:tcBorders>
            <w:hideMark/>
          </w:tcPr>
          <w:p w14:paraId="36DE419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Friday</w:t>
            </w:r>
          </w:p>
        </w:tc>
        <w:tc>
          <w:tcPr>
            <w:tcW w:w="1178" w:type="dxa"/>
            <w:tcBorders>
              <w:top w:val="single" w:sz="12" w:space="0" w:color="auto"/>
              <w:left w:val="nil"/>
              <w:bottom w:val="single" w:sz="8" w:space="0" w:color="auto"/>
              <w:right w:val="nil"/>
            </w:tcBorders>
            <w:hideMark/>
          </w:tcPr>
          <w:p w14:paraId="07865269"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Monday</w:t>
            </w:r>
          </w:p>
        </w:tc>
        <w:tc>
          <w:tcPr>
            <w:tcW w:w="1200" w:type="dxa"/>
            <w:tcBorders>
              <w:top w:val="single" w:sz="12" w:space="0" w:color="auto"/>
              <w:left w:val="nil"/>
              <w:bottom w:val="single" w:sz="8" w:space="0" w:color="auto"/>
              <w:right w:val="nil"/>
            </w:tcBorders>
            <w:hideMark/>
          </w:tcPr>
          <w:p w14:paraId="47144DD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Friday</w:t>
            </w:r>
          </w:p>
        </w:tc>
      </w:tr>
      <w:tr w:rsidR="000A084C" w:rsidRPr="00B07C46" w14:paraId="559CEB26" w14:textId="77777777" w:rsidTr="000A084C">
        <w:trPr>
          <w:jc w:val="center"/>
        </w:trPr>
        <w:tc>
          <w:tcPr>
            <w:tcW w:w="2836" w:type="dxa"/>
            <w:tcBorders>
              <w:top w:val="single" w:sz="4" w:space="0" w:color="auto"/>
              <w:left w:val="nil"/>
              <w:bottom w:val="nil"/>
              <w:right w:val="nil"/>
            </w:tcBorders>
            <w:vAlign w:val="center"/>
            <w:hideMark/>
          </w:tcPr>
          <w:p w14:paraId="7A24DC3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New Cases</w:t>
            </w:r>
            <w:r w:rsidRPr="00E46419">
              <w:rPr>
                <w:rFonts w:ascii="Book Antiqua" w:eastAsia="Times New Roman" w:hAnsi="Book Antiqua" w:cs="Times New Roman"/>
                <w:color w:val="000000"/>
                <w:sz w:val="20"/>
                <w:szCs w:val="20"/>
                <w:vertAlign w:val="subscript"/>
              </w:rPr>
              <w:t>t-1</w:t>
            </w:r>
          </w:p>
        </w:tc>
        <w:tc>
          <w:tcPr>
            <w:tcW w:w="1258" w:type="dxa"/>
            <w:tcBorders>
              <w:top w:val="single" w:sz="4" w:space="0" w:color="auto"/>
              <w:left w:val="nil"/>
              <w:bottom w:val="nil"/>
              <w:right w:val="nil"/>
            </w:tcBorders>
            <w:vAlign w:val="bottom"/>
            <w:hideMark/>
          </w:tcPr>
          <w:p w14:paraId="73202A86" w14:textId="2509AB10"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263" w:type="dxa"/>
            <w:gridSpan w:val="2"/>
            <w:tcBorders>
              <w:top w:val="single" w:sz="4" w:space="0" w:color="auto"/>
              <w:left w:val="nil"/>
              <w:bottom w:val="nil"/>
              <w:right w:val="nil"/>
            </w:tcBorders>
            <w:vAlign w:val="bottom"/>
            <w:hideMark/>
          </w:tcPr>
          <w:p w14:paraId="340C5815" w14:textId="7BD52CE5"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78" w:type="dxa"/>
            <w:tcBorders>
              <w:top w:val="single" w:sz="4" w:space="0" w:color="auto"/>
              <w:left w:val="nil"/>
              <w:bottom w:val="nil"/>
              <w:right w:val="nil"/>
            </w:tcBorders>
            <w:vAlign w:val="bottom"/>
            <w:hideMark/>
          </w:tcPr>
          <w:p w14:paraId="589BEBC7" w14:textId="6F3F83AE"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p>
        </w:tc>
        <w:tc>
          <w:tcPr>
            <w:tcW w:w="1200" w:type="dxa"/>
            <w:tcBorders>
              <w:top w:val="single" w:sz="4" w:space="0" w:color="auto"/>
              <w:left w:val="nil"/>
              <w:bottom w:val="nil"/>
              <w:right w:val="nil"/>
            </w:tcBorders>
            <w:vAlign w:val="bottom"/>
            <w:hideMark/>
          </w:tcPr>
          <w:p w14:paraId="70B11C70" w14:textId="25A35EA0"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p>
        </w:tc>
      </w:tr>
      <w:tr w:rsidR="000A084C" w:rsidRPr="00B07C46" w14:paraId="4176A114" w14:textId="77777777" w:rsidTr="000A084C">
        <w:trPr>
          <w:jc w:val="center"/>
        </w:trPr>
        <w:tc>
          <w:tcPr>
            <w:tcW w:w="2836" w:type="dxa"/>
            <w:vAlign w:val="center"/>
          </w:tcPr>
          <w:p w14:paraId="7FF5F162"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hideMark/>
          </w:tcPr>
          <w:p w14:paraId="193A41F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(-4.43)</w:t>
            </w:r>
          </w:p>
        </w:tc>
        <w:tc>
          <w:tcPr>
            <w:tcW w:w="1263" w:type="dxa"/>
            <w:gridSpan w:val="2"/>
            <w:vAlign w:val="bottom"/>
            <w:hideMark/>
          </w:tcPr>
          <w:p w14:paraId="6B01D39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(-7.48)</w:t>
            </w:r>
          </w:p>
        </w:tc>
        <w:tc>
          <w:tcPr>
            <w:tcW w:w="1178" w:type="dxa"/>
            <w:vAlign w:val="bottom"/>
            <w:hideMark/>
          </w:tcPr>
          <w:p w14:paraId="401EEB1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(0.24)</w:t>
            </w:r>
          </w:p>
        </w:tc>
        <w:tc>
          <w:tcPr>
            <w:tcW w:w="1200" w:type="dxa"/>
            <w:vAlign w:val="bottom"/>
            <w:hideMark/>
          </w:tcPr>
          <w:p w14:paraId="7D2CF9C3"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(-0.12)</w:t>
            </w:r>
          </w:p>
        </w:tc>
      </w:tr>
      <w:tr w:rsidR="000A084C" w:rsidRPr="00B07C46" w14:paraId="17EF0290" w14:textId="77777777" w:rsidTr="000A084C">
        <w:trPr>
          <w:jc w:val="center"/>
        </w:trPr>
        <w:tc>
          <w:tcPr>
            <w:tcW w:w="2836" w:type="dxa"/>
            <w:vAlign w:val="center"/>
            <w:hideMark/>
          </w:tcPr>
          <w:p w14:paraId="7F0E6430" w14:textId="34C15564" w:rsidR="000A084C" w:rsidRPr="00B07C46" w:rsidRDefault="000A084C">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Monday</w:t>
            </w:r>
            <w:r w:rsidRPr="00E46419">
              <w:rPr>
                <w:rFonts w:ascii="Book Antiqua" w:eastAsia="Times New Roman" w:hAnsi="Book Antiqua" w:cs="Times New Roman"/>
                <w:color w:val="000000"/>
                <w:sz w:val="20"/>
                <w:szCs w:val="20"/>
                <w:vertAlign w:val="subscript"/>
              </w:rPr>
              <w:t>t</w:t>
            </w:r>
            <w:proofErr w:type="spellEnd"/>
          </w:p>
        </w:tc>
        <w:tc>
          <w:tcPr>
            <w:tcW w:w="1258" w:type="dxa"/>
            <w:vAlign w:val="bottom"/>
            <w:hideMark/>
          </w:tcPr>
          <w:p w14:paraId="6626832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0.0058***</w:t>
            </w:r>
          </w:p>
        </w:tc>
        <w:tc>
          <w:tcPr>
            <w:tcW w:w="1263" w:type="dxa"/>
            <w:gridSpan w:val="2"/>
            <w:vAlign w:val="bottom"/>
          </w:tcPr>
          <w:p w14:paraId="6E82DAAA"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hideMark/>
          </w:tcPr>
          <w:p w14:paraId="2D0BA7F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0.0154</w:t>
            </w:r>
          </w:p>
        </w:tc>
        <w:tc>
          <w:tcPr>
            <w:tcW w:w="1200" w:type="dxa"/>
            <w:vAlign w:val="bottom"/>
          </w:tcPr>
          <w:p w14:paraId="3338750B"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38E340B3" w14:textId="77777777" w:rsidTr="000A084C">
        <w:trPr>
          <w:jc w:val="center"/>
        </w:trPr>
        <w:tc>
          <w:tcPr>
            <w:tcW w:w="2836" w:type="dxa"/>
            <w:vAlign w:val="center"/>
          </w:tcPr>
          <w:p w14:paraId="47420070"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hideMark/>
          </w:tcPr>
          <w:p w14:paraId="4A17B66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(10.90)</w:t>
            </w:r>
          </w:p>
        </w:tc>
        <w:tc>
          <w:tcPr>
            <w:tcW w:w="1263" w:type="dxa"/>
            <w:gridSpan w:val="2"/>
            <w:vAlign w:val="bottom"/>
          </w:tcPr>
          <w:p w14:paraId="0ABCA472"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hideMark/>
          </w:tcPr>
          <w:p w14:paraId="01FD70E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(0.16)</w:t>
            </w:r>
          </w:p>
        </w:tc>
        <w:tc>
          <w:tcPr>
            <w:tcW w:w="1200" w:type="dxa"/>
            <w:vAlign w:val="bottom"/>
          </w:tcPr>
          <w:p w14:paraId="72E0E5F8"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7F2CA92B" w14:textId="77777777" w:rsidTr="000A084C">
        <w:trPr>
          <w:jc w:val="center"/>
        </w:trPr>
        <w:tc>
          <w:tcPr>
            <w:tcW w:w="2836" w:type="dxa"/>
            <w:vAlign w:val="center"/>
            <w:hideMark/>
          </w:tcPr>
          <w:p w14:paraId="0135E946" w14:textId="24A9AA86"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New Cases</w:t>
            </w:r>
            <w:r w:rsidRPr="00E46419">
              <w:rPr>
                <w:rFonts w:ascii="Book Antiqua" w:eastAsia="Times New Roman" w:hAnsi="Book Antiqua" w:cs="Times New Roman"/>
                <w:color w:val="000000"/>
                <w:sz w:val="20"/>
                <w:szCs w:val="20"/>
                <w:vertAlign w:val="subscript"/>
              </w:rPr>
              <w:t>t-1</w:t>
            </w:r>
            <w:r w:rsidRPr="00B07C46">
              <w:rPr>
                <w:rFonts w:ascii="Book Antiqua" w:eastAsia="Times New Roman" w:hAnsi="Book Antiqua" w:cs="Times New Roman"/>
                <w:color w:val="000000"/>
                <w:sz w:val="20"/>
                <w:szCs w:val="20"/>
              </w:rPr>
              <w:t xml:space="preserve"> X </w:t>
            </w:r>
            <w:proofErr w:type="spellStart"/>
            <w:r w:rsidRPr="00B07C46">
              <w:rPr>
                <w:rFonts w:ascii="Book Antiqua" w:eastAsia="Times New Roman" w:hAnsi="Book Antiqua" w:cs="Times New Roman"/>
                <w:color w:val="000000"/>
                <w:sz w:val="20"/>
                <w:szCs w:val="20"/>
              </w:rPr>
              <w:t>Monday</w:t>
            </w:r>
            <w:r w:rsidRPr="00E46419">
              <w:rPr>
                <w:rFonts w:ascii="Book Antiqua" w:eastAsia="Times New Roman" w:hAnsi="Book Antiqua" w:cs="Times New Roman"/>
                <w:color w:val="000000"/>
                <w:sz w:val="20"/>
                <w:szCs w:val="20"/>
                <w:vertAlign w:val="subscript"/>
              </w:rPr>
              <w:t>t</w:t>
            </w:r>
            <w:proofErr w:type="spellEnd"/>
          </w:p>
        </w:tc>
        <w:tc>
          <w:tcPr>
            <w:tcW w:w="1258" w:type="dxa"/>
            <w:vAlign w:val="bottom"/>
            <w:hideMark/>
          </w:tcPr>
          <w:p w14:paraId="0C42D88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-0.0000***</w:t>
            </w:r>
          </w:p>
        </w:tc>
        <w:tc>
          <w:tcPr>
            <w:tcW w:w="1263" w:type="dxa"/>
            <w:gridSpan w:val="2"/>
            <w:vAlign w:val="bottom"/>
          </w:tcPr>
          <w:p w14:paraId="7B79926D"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hideMark/>
          </w:tcPr>
          <w:p w14:paraId="01F34DB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-0.0001</w:t>
            </w:r>
          </w:p>
        </w:tc>
        <w:tc>
          <w:tcPr>
            <w:tcW w:w="1200" w:type="dxa"/>
            <w:vAlign w:val="bottom"/>
          </w:tcPr>
          <w:p w14:paraId="6DF8DC69"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310EB165" w14:textId="77777777" w:rsidTr="000A084C">
        <w:trPr>
          <w:jc w:val="center"/>
        </w:trPr>
        <w:tc>
          <w:tcPr>
            <w:tcW w:w="2836" w:type="dxa"/>
            <w:vAlign w:val="center"/>
          </w:tcPr>
          <w:p w14:paraId="6F62E5A8"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hideMark/>
          </w:tcPr>
          <w:p w14:paraId="401154C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(-10.55)</w:t>
            </w:r>
          </w:p>
        </w:tc>
        <w:tc>
          <w:tcPr>
            <w:tcW w:w="1263" w:type="dxa"/>
            <w:gridSpan w:val="2"/>
            <w:vAlign w:val="bottom"/>
          </w:tcPr>
          <w:p w14:paraId="73EEC5D6"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vAlign w:val="bottom"/>
            <w:hideMark/>
          </w:tcPr>
          <w:p w14:paraId="2A2897A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(-0.88)</w:t>
            </w:r>
          </w:p>
        </w:tc>
        <w:tc>
          <w:tcPr>
            <w:tcW w:w="1200" w:type="dxa"/>
            <w:vAlign w:val="bottom"/>
          </w:tcPr>
          <w:p w14:paraId="724DE31D"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613868F5" w14:textId="77777777" w:rsidTr="000A084C">
        <w:trPr>
          <w:jc w:val="center"/>
        </w:trPr>
        <w:tc>
          <w:tcPr>
            <w:tcW w:w="2836" w:type="dxa"/>
            <w:vAlign w:val="center"/>
            <w:hideMark/>
          </w:tcPr>
          <w:p w14:paraId="1BB82BDD" w14:textId="39914218" w:rsidR="000A084C" w:rsidRPr="00B07C46" w:rsidRDefault="000A084C">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Friday</w:t>
            </w:r>
            <w:r w:rsidRPr="00E46419">
              <w:rPr>
                <w:rFonts w:ascii="Book Antiqua" w:eastAsia="Times New Roman" w:hAnsi="Book Antiqua" w:cs="Times New Roman"/>
                <w:color w:val="000000"/>
                <w:sz w:val="20"/>
                <w:szCs w:val="20"/>
                <w:vertAlign w:val="subscript"/>
              </w:rPr>
              <w:t>t</w:t>
            </w:r>
            <w:proofErr w:type="spellEnd"/>
          </w:p>
        </w:tc>
        <w:tc>
          <w:tcPr>
            <w:tcW w:w="1258" w:type="dxa"/>
            <w:vAlign w:val="bottom"/>
          </w:tcPr>
          <w:p w14:paraId="03776B4C"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hideMark/>
          </w:tcPr>
          <w:p w14:paraId="175BE3F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-0.0052***</w:t>
            </w:r>
          </w:p>
        </w:tc>
        <w:tc>
          <w:tcPr>
            <w:tcW w:w="1178" w:type="dxa"/>
            <w:vAlign w:val="bottom"/>
          </w:tcPr>
          <w:p w14:paraId="3B44DAF6"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vAlign w:val="bottom"/>
            <w:hideMark/>
          </w:tcPr>
          <w:p w14:paraId="5B90E89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-0.1356</w:t>
            </w:r>
          </w:p>
        </w:tc>
      </w:tr>
      <w:tr w:rsidR="000A084C" w:rsidRPr="00B07C46" w14:paraId="4213AC42" w14:textId="77777777" w:rsidTr="00E46419">
        <w:trPr>
          <w:trHeight w:val="333"/>
          <w:jc w:val="center"/>
        </w:trPr>
        <w:tc>
          <w:tcPr>
            <w:tcW w:w="2836" w:type="dxa"/>
            <w:vAlign w:val="center"/>
          </w:tcPr>
          <w:p w14:paraId="4C1F795D"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tcPr>
          <w:p w14:paraId="6E7FB003"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hideMark/>
          </w:tcPr>
          <w:p w14:paraId="33904B0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(-8.93)</w:t>
            </w:r>
          </w:p>
        </w:tc>
        <w:tc>
          <w:tcPr>
            <w:tcW w:w="1178" w:type="dxa"/>
            <w:vAlign w:val="bottom"/>
          </w:tcPr>
          <w:p w14:paraId="419AAFE5"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vAlign w:val="bottom"/>
            <w:hideMark/>
          </w:tcPr>
          <w:p w14:paraId="665ABD0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(-1.43)</w:t>
            </w:r>
          </w:p>
        </w:tc>
      </w:tr>
      <w:tr w:rsidR="000A084C" w:rsidRPr="00B07C46" w14:paraId="3C3A7410" w14:textId="77777777" w:rsidTr="000A084C">
        <w:trPr>
          <w:jc w:val="center"/>
        </w:trPr>
        <w:tc>
          <w:tcPr>
            <w:tcW w:w="2836" w:type="dxa"/>
            <w:vAlign w:val="center"/>
            <w:hideMark/>
          </w:tcPr>
          <w:p w14:paraId="07C44895" w14:textId="10502216"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New Cases</w:t>
            </w:r>
            <w:r w:rsidRPr="00E46419">
              <w:rPr>
                <w:rFonts w:ascii="Book Antiqua" w:eastAsia="Times New Roman" w:hAnsi="Book Antiqua" w:cs="Times New Roman"/>
                <w:color w:val="000000"/>
                <w:sz w:val="20"/>
                <w:szCs w:val="20"/>
                <w:vertAlign w:val="subscript"/>
              </w:rPr>
              <w:t>t-1</w:t>
            </w:r>
            <w:r w:rsidRPr="00B07C46">
              <w:rPr>
                <w:rFonts w:ascii="Book Antiqua" w:eastAsia="Times New Roman" w:hAnsi="Book Antiqua" w:cs="Times New Roman"/>
                <w:color w:val="000000"/>
                <w:sz w:val="20"/>
                <w:szCs w:val="20"/>
              </w:rPr>
              <w:t xml:space="preserve"> X </w:t>
            </w:r>
            <w:proofErr w:type="spellStart"/>
            <w:r w:rsidRPr="00B07C46">
              <w:rPr>
                <w:rFonts w:ascii="Book Antiqua" w:eastAsia="Times New Roman" w:hAnsi="Book Antiqua" w:cs="Times New Roman"/>
                <w:color w:val="000000"/>
                <w:sz w:val="20"/>
                <w:szCs w:val="20"/>
              </w:rPr>
              <w:t>Friday</w:t>
            </w:r>
            <w:r w:rsidRPr="00E46419">
              <w:rPr>
                <w:rFonts w:ascii="Book Antiqua" w:eastAsia="Times New Roman" w:hAnsi="Book Antiqua" w:cs="Times New Roman"/>
                <w:color w:val="000000"/>
                <w:sz w:val="20"/>
                <w:szCs w:val="20"/>
                <w:vertAlign w:val="subscript"/>
              </w:rPr>
              <w:t>t</w:t>
            </w:r>
            <w:proofErr w:type="spellEnd"/>
          </w:p>
        </w:tc>
        <w:tc>
          <w:tcPr>
            <w:tcW w:w="1258" w:type="dxa"/>
            <w:vAlign w:val="bottom"/>
          </w:tcPr>
          <w:p w14:paraId="10211F20"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hideMark/>
          </w:tcPr>
          <w:p w14:paraId="61B3BB6E" w14:textId="35BB4203"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78" w:type="dxa"/>
            <w:vAlign w:val="bottom"/>
          </w:tcPr>
          <w:p w14:paraId="472A5CA1"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vAlign w:val="bottom"/>
            <w:hideMark/>
          </w:tcPr>
          <w:p w14:paraId="3F30550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0.0002</w:t>
            </w:r>
          </w:p>
        </w:tc>
      </w:tr>
      <w:tr w:rsidR="000A084C" w:rsidRPr="00B07C46" w14:paraId="5B577535" w14:textId="77777777" w:rsidTr="000A084C">
        <w:trPr>
          <w:jc w:val="center"/>
        </w:trPr>
        <w:tc>
          <w:tcPr>
            <w:tcW w:w="2836" w:type="dxa"/>
            <w:vAlign w:val="center"/>
          </w:tcPr>
          <w:p w14:paraId="29835C16"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tcPr>
          <w:p w14:paraId="2F707C67"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vAlign w:val="bottom"/>
            <w:hideMark/>
          </w:tcPr>
          <w:p w14:paraId="09614F0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(11.88)</w:t>
            </w:r>
          </w:p>
        </w:tc>
        <w:tc>
          <w:tcPr>
            <w:tcW w:w="1178" w:type="dxa"/>
            <w:vAlign w:val="bottom"/>
          </w:tcPr>
          <w:p w14:paraId="75220161"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vAlign w:val="bottom"/>
            <w:hideMark/>
          </w:tcPr>
          <w:p w14:paraId="349BE2C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(0.95)</w:t>
            </w:r>
          </w:p>
        </w:tc>
      </w:tr>
      <w:tr w:rsidR="000A084C" w:rsidRPr="00B07C46" w14:paraId="30805AC1" w14:textId="77777777" w:rsidTr="000A084C">
        <w:trPr>
          <w:jc w:val="center"/>
        </w:trPr>
        <w:tc>
          <w:tcPr>
            <w:tcW w:w="2836" w:type="dxa"/>
            <w:vAlign w:val="center"/>
            <w:hideMark/>
          </w:tcPr>
          <w:p w14:paraId="453863B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Volume</w:t>
            </w:r>
            <w:r w:rsidRPr="00E46419">
              <w:rPr>
                <w:rFonts w:ascii="Book Antiqua" w:eastAsia="Times New Roman" w:hAnsi="Book Antiqua" w:cs="Times New Roman"/>
                <w:color w:val="000000"/>
                <w:sz w:val="20"/>
                <w:szCs w:val="20"/>
                <w:vertAlign w:val="subscript"/>
              </w:rPr>
              <w:t>t-1</w:t>
            </w:r>
          </w:p>
        </w:tc>
        <w:tc>
          <w:tcPr>
            <w:tcW w:w="1258" w:type="dxa"/>
            <w:vAlign w:val="bottom"/>
            <w:hideMark/>
          </w:tcPr>
          <w:p w14:paraId="1F557DA8" w14:textId="769520A4"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263" w:type="dxa"/>
            <w:gridSpan w:val="2"/>
            <w:vAlign w:val="bottom"/>
            <w:hideMark/>
          </w:tcPr>
          <w:p w14:paraId="2DC24F47" w14:textId="17165E3D"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78" w:type="dxa"/>
            <w:vAlign w:val="bottom"/>
            <w:hideMark/>
          </w:tcPr>
          <w:p w14:paraId="126827F2" w14:textId="1F31133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200" w:type="dxa"/>
            <w:vAlign w:val="bottom"/>
            <w:hideMark/>
          </w:tcPr>
          <w:p w14:paraId="40D11787" w14:textId="76EE858E"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r>
      <w:tr w:rsidR="000A084C" w:rsidRPr="00B07C46" w14:paraId="66D3E9C2" w14:textId="77777777" w:rsidTr="000A084C">
        <w:trPr>
          <w:jc w:val="center"/>
        </w:trPr>
        <w:tc>
          <w:tcPr>
            <w:tcW w:w="2836" w:type="dxa"/>
            <w:vAlign w:val="center"/>
          </w:tcPr>
          <w:p w14:paraId="4726673E"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hideMark/>
          </w:tcPr>
          <w:p w14:paraId="27539A2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(2.71)</w:t>
            </w:r>
          </w:p>
        </w:tc>
        <w:tc>
          <w:tcPr>
            <w:tcW w:w="1263" w:type="dxa"/>
            <w:gridSpan w:val="2"/>
            <w:vAlign w:val="bottom"/>
            <w:hideMark/>
          </w:tcPr>
          <w:p w14:paraId="4D4DA1D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(2.67)</w:t>
            </w:r>
          </w:p>
        </w:tc>
        <w:tc>
          <w:tcPr>
            <w:tcW w:w="1178" w:type="dxa"/>
            <w:vAlign w:val="bottom"/>
            <w:hideMark/>
          </w:tcPr>
          <w:p w14:paraId="3646562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(6.03)</w:t>
            </w:r>
          </w:p>
        </w:tc>
        <w:tc>
          <w:tcPr>
            <w:tcW w:w="1200" w:type="dxa"/>
            <w:vAlign w:val="bottom"/>
            <w:hideMark/>
          </w:tcPr>
          <w:p w14:paraId="4363CD9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(6.02)</w:t>
            </w:r>
          </w:p>
        </w:tc>
      </w:tr>
      <w:tr w:rsidR="000A084C" w:rsidRPr="00B07C46" w14:paraId="76187003" w14:textId="77777777" w:rsidTr="000A084C">
        <w:trPr>
          <w:jc w:val="center"/>
        </w:trPr>
        <w:tc>
          <w:tcPr>
            <w:tcW w:w="2836" w:type="dxa"/>
            <w:vAlign w:val="center"/>
            <w:hideMark/>
          </w:tcPr>
          <w:p w14:paraId="6ABB9CA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Return</w:t>
            </w:r>
            <w:r w:rsidRPr="00E46419">
              <w:rPr>
                <w:rFonts w:ascii="Book Antiqua" w:eastAsia="Times New Roman" w:hAnsi="Book Antiqua" w:cs="Times New Roman"/>
                <w:color w:val="000000"/>
                <w:sz w:val="20"/>
                <w:szCs w:val="20"/>
                <w:vertAlign w:val="subscript"/>
              </w:rPr>
              <w:t>t-1</w:t>
            </w:r>
          </w:p>
        </w:tc>
        <w:tc>
          <w:tcPr>
            <w:tcW w:w="1258" w:type="dxa"/>
            <w:vAlign w:val="bottom"/>
            <w:hideMark/>
          </w:tcPr>
          <w:p w14:paraId="3A74AE9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-0.0088*</w:t>
            </w:r>
          </w:p>
        </w:tc>
        <w:tc>
          <w:tcPr>
            <w:tcW w:w="1263" w:type="dxa"/>
            <w:gridSpan w:val="2"/>
            <w:vAlign w:val="bottom"/>
            <w:hideMark/>
          </w:tcPr>
          <w:p w14:paraId="2959E7F7"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-0.0081*</w:t>
            </w:r>
          </w:p>
        </w:tc>
        <w:tc>
          <w:tcPr>
            <w:tcW w:w="1178" w:type="dxa"/>
            <w:vAlign w:val="bottom"/>
            <w:hideMark/>
          </w:tcPr>
          <w:p w14:paraId="7924A8C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0.0517***</w:t>
            </w:r>
          </w:p>
        </w:tc>
        <w:tc>
          <w:tcPr>
            <w:tcW w:w="1200" w:type="dxa"/>
            <w:vAlign w:val="bottom"/>
            <w:hideMark/>
          </w:tcPr>
          <w:p w14:paraId="0E6C918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0.0517***</w:t>
            </w:r>
          </w:p>
        </w:tc>
      </w:tr>
      <w:tr w:rsidR="000A084C" w:rsidRPr="00B07C46" w14:paraId="39B8AD03" w14:textId="77777777" w:rsidTr="000A084C">
        <w:trPr>
          <w:jc w:val="center"/>
        </w:trPr>
        <w:tc>
          <w:tcPr>
            <w:tcW w:w="2836" w:type="dxa"/>
            <w:vAlign w:val="center"/>
          </w:tcPr>
          <w:p w14:paraId="228E2039"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hideMark/>
          </w:tcPr>
          <w:p w14:paraId="4176EB5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(-1.86)</w:t>
            </w:r>
          </w:p>
        </w:tc>
        <w:tc>
          <w:tcPr>
            <w:tcW w:w="1263" w:type="dxa"/>
            <w:gridSpan w:val="2"/>
            <w:vAlign w:val="bottom"/>
            <w:hideMark/>
          </w:tcPr>
          <w:p w14:paraId="0A306BF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(-1.71)</w:t>
            </w:r>
          </w:p>
        </w:tc>
        <w:tc>
          <w:tcPr>
            <w:tcW w:w="1178" w:type="dxa"/>
            <w:vAlign w:val="bottom"/>
            <w:hideMark/>
          </w:tcPr>
          <w:p w14:paraId="7EAB7F8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(11.40)</w:t>
            </w:r>
          </w:p>
        </w:tc>
        <w:tc>
          <w:tcPr>
            <w:tcW w:w="1200" w:type="dxa"/>
            <w:vAlign w:val="bottom"/>
            <w:hideMark/>
          </w:tcPr>
          <w:p w14:paraId="14486E3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(11.40)</w:t>
            </w:r>
          </w:p>
        </w:tc>
      </w:tr>
      <w:tr w:rsidR="000A084C" w:rsidRPr="00B07C46" w14:paraId="06CC8A67" w14:textId="77777777" w:rsidTr="000A084C">
        <w:trPr>
          <w:jc w:val="center"/>
        </w:trPr>
        <w:tc>
          <w:tcPr>
            <w:tcW w:w="2836" w:type="dxa"/>
            <w:vAlign w:val="center"/>
            <w:hideMark/>
          </w:tcPr>
          <w:p w14:paraId="7CD22A0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Rate</w:t>
            </w:r>
            <w:r w:rsidRPr="00E46419">
              <w:rPr>
                <w:rFonts w:ascii="Book Antiqua" w:eastAsia="Times New Roman" w:hAnsi="Book Antiqua" w:cs="Times New Roman"/>
                <w:color w:val="000000"/>
                <w:sz w:val="20"/>
                <w:szCs w:val="20"/>
                <w:vertAlign w:val="subscript"/>
              </w:rPr>
              <w:t>t-1</w:t>
            </w:r>
          </w:p>
        </w:tc>
        <w:tc>
          <w:tcPr>
            <w:tcW w:w="1258" w:type="dxa"/>
            <w:vAlign w:val="bottom"/>
            <w:hideMark/>
          </w:tcPr>
          <w:p w14:paraId="25A40606" w14:textId="4135F3FD"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263" w:type="dxa"/>
            <w:gridSpan w:val="2"/>
            <w:vAlign w:val="bottom"/>
            <w:hideMark/>
          </w:tcPr>
          <w:p w14:paraId="2087CACE" w14:textId="5C2F43D3"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c>
          <w:tcPr>
            <w:tcW w:w="1178" w:type="dxa"/>
            <w:vAlign w:val="bottom"/>
            <w:hideMark/>
          </w:tcPr>
          <w:p w14:paraId="147C044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-0.3285</w:t>
            </w:r>
          </w:p>
        </w:tc>
        <w:tc>
          <w:tcPr>
            <w:tcW w:w="1200" w:type="dxa"/>
            <w:vAlign w:val="bottom"/>
            <w:hideMark/>
          </w:tcPr>
          <w:p w14:paraId="74BCB72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-0.2905</w:t>
            </w:r>
          </w:p>
        </w:tc>
      </w:tr>
      <w:tr w:rsidR="000A084C" w:rsidRPr="00B07C46" w14:paraId="50E9ADEF" w14:textId="77777777" w:rsidTr="000A084C">
        <w:trPr>
          <w:jc w:val="center"/>
        </w:trPr>
        <w:tc>
          <w:tcPr>
            <w:tcW w:w="2836" w:type="dxa"/>
            <w:vAlign w:val="center"/>
          </w:tcPr>
          <w:p w14:paraId="6FE63C80"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hideMark/>
          </w:tcPr>
          <w:p w14:paraId="6EABE55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(12.40)</w:t>
            </w:r>
          </w:p>
        </w:tc>
        <w:tc>
          <w:tcPr>
            <w:tcW w:w="1263" w:type="dxa"/>
            <w:gridSpan w:val="2"/>
            <w:vAlign w:val="bottom"/>
            <w:hideMark/>
          </w:tcPr>
          <w:p w14:paraId="538A621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(13.50)</w:t>
            </w:r>
          </w:p>
        </w:tc>
        <w:tc>
          <w:tcPr>
            <w:tcW w:w="1178" w:type="dxa"/>
            <w:vAlign w:val="bottom"/>
            <w:hideMark/>
          </w:tcPr>
          <w:p w14:paraId="7EE1252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(-1.28)</w:t>
            </w:r>
          </w:p>
        </w:tc>
        <w:tc>
          <w:tcPr>
            <w:tcW w:w="1200" w:type="dxa"/>
            <w:vAlign w:val="bottom"/>
            <w:hideMark/>
          </w:tcPr>
          <w:p w14:paraId="1E5C2AF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(-1.13)</w:t>
            </w:r>
          </w:p>
        </w:tc>
      </w:tr>
      <w:tr w:rsidR="000A084C" w:rsidRPr="00B07C46" w14:paraId="3919E2F9" w14:textId="77777777" w:rsidTr="000A084C">
        <w:trPr>
          <w:jc w:val="center"/>
        </w:trPr>
        <w:tc>
          <w:tcPr>
            <w:tcW w:w="2836" w:type="dxa"/>
            <w:vAlign w:val="center"/>
            <w:hideMark/>
          </w:tcPr>
          <w:p w14:paraId="2FC27FF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Constant</w:t>
            </w:r>
          </w:p>
        </w:tc>
        <w:tc>
          <w:tcPr>
            <w:tcW w:w="1258" w:type="dxa"/>
            <w:vAlign w:val="bottom"/>
            <w:hideMark/>
          </w:tcPr>
          <w:p w14:paraId="53B508C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-0.0998***</w:t>
            </w:r>
          </w:p>
        </w:tc>
        <w:tc>
          <w:tcPr>
            <w:tcW w:w="1263" w:type="dxa"/>
            <w:gridSpan w:val="2"/>
            <w:vAlign w:val="bottom"/>
            <w:hideMark/>
          </w:tcPr>
          <w:p w14:paraId="631E2AB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-0.1056***</w:t>
            </w:r>
          </w:p>
        </w:tc>
        <w:tc>
          <w:tcPr>
            <w:tcW w:w="1178" w:type="dxa"/>
            <w:vAlign w:val="bottom"/>
            <w:hideMark/>
          </w:tcPr>
          <w:p w14:paraId="175943FD"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4.1190***</w:t>
            </w:r>
          </w:p>
        </w:tc>
        <w:tc>
          <w:tcPr>
            <w:tcW w:w="1200" w:type="dxa"/>
            <w:vAlign w:val="bottom"/>
            <w:hideMark/>
          </w:tcPr>
          <w:p w14:paraId="5691F96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3.9356***</w:t>
            </w:r>
          </w:p>
        </w:tc>
      </w:tr>
      <w:tr w:rsidR="000A084C" w:rsidRPr="00B07C46" w14:paraId="0C7ADC29" w14:textId="77777777" w:rsidTr="000A084C">
        <w:trPr>
          <w:jc w:val="center"/>
        </w:trPr>
        <w:tc>
          <w:tcPr>
            <w:tcW w:w="2836" w:type="dxa"/>
            <w:vAlign w:val="center"/>
          </w:tcPr>
          <w:p w14:paraId="31253C48"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vAlign w:val="bottom"/>
            <w:hideMark/>
          </w:tcPr>
          <w:p w14:paraId="7C86571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(-13.27)</w:t>
            </w:r>
          </w:p>
        </w:tc>
        <w:tc>
          <w:tcPr>
            <w:tcW w:w="1263" w:type="dxa"/>
            <w:gridSpan w:val="2"/>
            <w:vAlign w:val="bottom"/>
            <w:hideMark/>
          </w:tcPr>
          <w:p w14:paraId="48C9063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(-14.06)</w:t>
            </w:r>
          </w:p>
        </w:tc>
        <w:tc>
          <w:tcPr>
            <w:tcW w:w="1178" w:type="dxa"/>
            <w:vAlign w:val="bottom"/>
            <w:hideMark/>
          </w:tcPr>
          <w:p w14:paraId="63016B89"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(3.27)</w:t>
            </w:r>
          </w:p>
        </w:tc>
        <w:tc>
          <w:tcPr>
            <w:tcW w:w="1200" w:type="dxa"/>
            <w:vAlign w:val="bottom"/>
            <w:hideMark/>
          </w:tcPr>
          <w:p w14:paraId="4887600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(3.11)</w:t>
            </w:r>
          </w:p>
        </w:tc>
      </w:tr>
      <w:tr w:rsidR="000A084C" w:rsidRPr="00B07C46" w14:paraId="2EA0A4FC" w14:textId="77777777" w:rsidTr="000A084C">
        <w:trPr>
          <w:jc w:val="center"/>
        </w:trPr>
        <w:tc>
          <w:tcPr>
            <w:tcW w:w="2836" w:type="dxa"/>
            <w:vAlign w:val="center"/>
            <w:hideMark/>
          </w:tcPr>
          <w:p w14:paraId="605CC38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Control for:</w:t>
            </w:r>
          </w:p>
        </w:tc>
        <w:tc>
          <w:tcPr>
            <w:tcW w:w="1258" w:type="dxa"/>
          </w:tcPr>
          <w:p w14:paraId="61C6A39B"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tcPr>
          <w:p w14:paraId="1C7F51AB"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tcPr>
          <w:p w14:paraId="5B6CD739"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tcPr>
          <w:p w14:paraId="79899832"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321F5680" w14:textId="77777777" w:rsidTr="000A084C">
        <w:trPr>
          <w:jc w:val="center"/>
        </w:trPr>
        <w:tc>
          <w:tcPr>
            <w:tcW w:w="2836" w:type="dxa"/>
            <w:vAlign w:val="center"/>
            <w:hideMark/>
          </w:tcPr>
          <w:p w14:paraId="63E623E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Month-FE</w:t>
            </w:r>
          </w:p>
        </w:tc>
        <w:tc>
          <w:tcPr>
            <w:tcW w:w="1258" w:type="dxa"/>
            <w:hideMark/>
          </w:tcPr>
          <w:p w14:paraId="0EFC0BE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263" w:type="dxa"/>
            <w:gridSpan w:val="2"/>
            <w:hideMark/>
          </w:tcPr>
          <w:p w14:paraId="7661F64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178" w:type="dxa"/>
            <w:hideMark/>
          </w:tcPr>
          <w:p w14:paraId="2732260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c>
          <w:tcPr>
            <w:tcW w:w="1200" w:type="dxa"/>
            <w:hideMark/>
          </w:tcPr>
          <w:p w14:paraId="49EA071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r>
      <w:tr w:rsidR="000A084C" w:rsidRPr="00B07C46" w14:paraId="1F60098E" w14:textId="77777777" w:rsidTr="000A084C">
        <w:trPr>
          <w:jc w:val="center"/>
        </w:trPr>
        <w:tc>
          <w:tcPr>
            <w:tcW w:w="2836" w:type="dxa"/>
            <w:vAlign w:val="center"/>
            <w:hideMark/>
          </w:tcPr>
          <w:p w14:paraId="77462F1C"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N</w:t>
            </w:r>
          </w:p>
        </w:tc>
        <w:tc>
          <w:tcPr>
            <w:tcW w:w="1258" w:type="dxa"/>
            <w:vAlign w:val="bottom"/>
            <w:hideMark/>
          </w:tcPr>
          <w:p w14:paraId="5A8A315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113582</w:t>
            </w:r>
          </w:p>
        </w:tc>
        <w:tc>
          <w:tcPr>
            <w:tcW w:w="1263" w:type="dxa"/>
            <w:gridSpan w:val="2"/>
            <w:vAlign w:val="bottom"/>
            <w:hideMark/>
          </w:tcPr>
          <w:p w14:paraId="0294C81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113582</w:t>
            </w:r>
          </w:p>
        </w:tc>
        <w:tc>
          <w:tcPr>
            <w:tcW w:w="1178" w:type="dxa"/>
            <w:vAlign w:val="bottom"/>
            <w:hideMark/>
          </w:tcPr>
          <w:p w14:paraId="20CC747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187605</w:t>
            </w:r>
          </w:p>
        </w:tc>
        <w:tc>
          <w:tcPr>
            <w:tcW w:w="1200" w:type="dxa"/>
            <w:vAlign w:val="bottom"/>
            <w:hideMark/>
          </w:tcPr>
          <w:p w14:paraId="5E9BF05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187605</w:t>
            </w:r>
          </w:p>
        </w:tc>
      </w:tr>
      <w:tr w:rsidR="000A084C" w:rsidRPr="00B07C46" w14:paraId="478879FD" w14:textId="77777777" w:rsidTr="000A084C">
        <w:trPr>
          <w:jc w:val="center"/>
        </w:trPr>
        <w:tc>
          <w:tcPr>
            <w:tcW w:w="2836" w:type="dxa"/>
            <w:vAlign w:val="center"/>
            <w:hideMark/>
          </w:tcPr>
          <w:p w14:paraId="425B5F28"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Adjusted R2</w:t>
            </w:r>
          </w:p>
        </w:tc>
        <w:tc>
          <w:tcPr>
            <w:tcW w:w="1258" w:type="dxa"/>
            <w:vAlign w:val="bottom"/>
            <w:hideMark/>
          </w:tcPr>
          <w:p w14:paraId="465E61D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0.0072</w:t>
            </w:r>
          </w:p>
        </w:tc>
        <w:tc>
          <w:tcPr>
            <w:tcW w:w="1263" w:type="dxa"/>
            <w:gridSpan w:val="2"/>
            <w:vAlign w:val="bottom"/>
            <w:hideMark/>
          </w:tcPr>
          <w:p w14:paraId="2DDB521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0.0073</w:t>
            </w:r>
          </w:p>
        </w:tc>
        <w:tc>
          <w:tcPr>
            <w:tcW w:w="1178" w:type="dxa"/>
            <w:vAlign w:val="bottom"/>
            <w:hideMark/>
          </w:tcPr>
          <w:p w14:paraId="51E8000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0.0026</w:t>
            </w:r>
          </w:p>
        </w:tc>
        <w:tc>
          <w:tcPr>
            <w:tcW w:w="1200" w:type="dxa"/>
            <w:vAlign w:val="bottom"/>
            <w:hideMark/>
          </w:tcPr>
          <w:p w14:paraId="4C572DE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0.0026</w:t>
            </w:r>
          </w:p>
        </w:tc>
      </w:tr>
      <w:tr w:rsidR="000A084C" w:rsidRPr="00B07C46" w14:paraId="1EB9D855" w14:textId="77777777" w:rsidTr="000A084C">
        <w:trPr>
          <w:jc w:val="center"/>
        </w:trPr>
        <w:tc>
          <w:tcPr>
            <w:tcW w:w="2836" w:type="dxa"/>
            <w:tcBorders>
              <w:top w:val="nil"/>
              <w:left w:val="nil"/>
              <w:bottom w:val="single" w:sz="4" w:space="0" w:color="auto"/>
              <w:right w:val="nil"/>
            </w:tcBorders>
            <w:vAlign w:val="center"/>
          </w:tcPr>
          <w:p w14:paraId="59BCC9E8"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58" w:type="dxa"/>
            <w:tcBorders>
              <w:top w:val="nil"/>
              <w:left w:val="nil"/>
              <w:bottom w:val="single" w:sz="4" w:space="0" w:color="auto"/>
              <w:right w:val="nil"/>
            </w:tcBorders>
          </w:tcPr>
          <w:p w14:paraId="3A9AB1CF"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63" w:type="dxa"/>
            <w:gridSpan w:val="2"/>
            <w:tcBorders>
              <w:top w:val="nil"/>
              <w:left w:val="nil"/>
              <w:bottom w:val="single" w:sz="4" w:space="0" w:color="auto"/>
              <w:right w:val="nil"/>
            </w:tcBorders>
          </w:tcPr>
          <w:p w14:paraId="5BA41496"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178" w:type="dxa"/>
            <w:tcBorders>
              <w:top w:val="nil"/>
              <w:left w:val="nil"/>
              <w:bottom w:val="single" w:sz="4" w:space="0" w:color="auto"/>
              <w:right w:val="nil"/>
            </w:tcBorders>
          </w:tcPr>
          <w:p w14:paraId="40B695C9"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200" w:type="dxa"/>
            <w:tcBorders>
              <w:top w:val="nil"/>
              <w:left w:val="nil"/>
              <w:bottom w:val="single" w:sz="4" w:space="0" w:color="auto"/>
              <w:right w:val="nil"/>
            </w:tcBorders>
          </w:tcPr>
          <w:p w14:paraId="379D0AF3" w14:textId="77777777" w:rsidR="000A084C" w:rsidRPr="00B07C46" w:rsidRDefault="000A084C">
            <w:pPr>
              <w:pStyle w:val="NoSpacing"/>
              <w:jc w:val="both"/>
              <w:rPr>
                <w:rFonts w:ascii="Book Antiqua" w:eastAsia="Times New Roman" w:hAnsi="Book Antiqua" w:cs="Times New Roman"/>
                <w:color w:val="000000"/>
                <w:sz w:val="20"/>
                <w:szCs w:val="20"/>
              </w:rPr>
            </w:pPr>
          </w:p>
        </w:tc>
      </w:tr>
    </w:tbl>
    <w:p w14:paraId="5AACF65D" w14:textId="77777777" w:rsidR="000A084C" w:rsidRPr="00B07C46" w:rsidRDefault="000A084C" w:rsidP="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 Significance level at 1%, ** at 5%, *** at 1%</w:t>
      </w:r>
    </w:p>
    <w:p w14:paraId="3874448C" w14:textId="77777777" w:rsidR="000A084C" w:rsidRPr="00B07C46" w:rsidRDefault="000A084C" w:rsidP="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Source: Proceed data, 2021</w:t>
      </w:r>
    </w:p>
    <w:p w14:paraId="3119C332" w14:textId="77777777" w:rsidR="00A74BF2" w:rsidRPr="00B07C46" w:rsidRDefault="00A74BF2" w:rsidP="000A084C">
      <w:pPr>
        <w:pStyle w:val="NoSpacing"/>
        <w:jc w:val="both"/>
        <w:rPr>
          <w:rFonts w:ascii="Book Antiqua" w:eastAsia="Times New Roman" w:hAnsi="Book Antiqua" w:cs="Times New Roman"/>
          <w:color w:val="000000"/>
          <w:sz w:val="20"/>
          <w:szCs w:val="20"/>
        </w:rPr>
      </w:pPr>
    </w:p>
    <w:p w14:paraId="60D4734B" w14:textId="732FBD33" w:rsidR="000A084C" w:rsidRPr="007C2A94" w:rsidRDefault="000A084C" w:rsidP="000A084C">
      <w:pPr>
        <w:pStyle w:val="NoSpacing"/>
        <w:jc w:val="both"/>
        <w:rPr>
          <w:rFonts w:ascii="Book Antiqua" w:eastAsia="Times New Roman" w:hAnsi="Book Antiqua" w:cs="Times New Roman"/>
          <w:b/>
          <w:bCs/>
          <w:color w:val="000000"/>
          <w:sz w:val="24"/>
          <w:szCs w:val="24"/>
        </w:rPr>
      </w:pPr>
      <w:r w:rsidRPr="007C2A94">
        <w:rPr>
          <w:rFonts w:ascii="Book Antiqua" w:eastAsia="Times New Roman" w:hAnsi="Book Antiqua" w:cs="Times New Roman"/>
          <w:b/>
          <w:bCs/>
          <w:color w:val="000000"/>
          <w:sz w:val="24"/>
          <w:szCs w:val="24"/>
        </w:rPr>
        <w:t>Robustness tests of COVID-19</w:t>
      </w:r>
    </w:p>
    <w:p w14:paraId="097A5321" w14:textId="77777777" w:rsidR="000A084C" w:rsidRPr="007C2A94" w:rsidRDefault="000A084C" w:rsidP="000A084C">
      <w:pPr>
        <w:pStyle w:val="NoSpacing"/>
        <w:jc w:val="both"/>
        <w:rPr>
          <w:rFonts w:ascii="Book Antiqua" w:eastAsia="Times New Roman" w:hAnsi="Book Antiqua" w:cs="Times New Roman"/>
          <w:b/>
          <w:bCs/>
          <w:color w:val="000000"/>
          <w:sz w:val="24"/>
          <w:szCs w:val="24"/>
        </w:rPr>
      </w:pPr>
    </w:p>
    <w:p w14:paraId="10CF8D22" w14:textId="77777777" w:rsidR="00104D3D" w:rsidRPr="00104D3D" w:rsidRDefault="00104D3D" w:rsidP="00104D3D">
      <w:pPr>
        <w:pStyle w:val="NoSpacing"/>
        <w:ind w:firstLine="720"/>
        <w:jc w:val="both"/>
        <w:rPr>
          <w:rFonts w:ascii="Book Antiqua" w:eastAsia="Times New Roman" w:hAnsi="Book Antiqua" w:cs="Times New Roman"/>
          <w:color w:val="000000"/>
          <w:sz w:val="24"/>
          <w:szCs w:val="24"/>
        </w:rPr>
      </w:pPr>
      <w:r w:rsidRPr="00104D3D">
        <w:rPr>
          <w:rFonts w:ascii="Book Antiqua" w:eastAsia="Times New Roman" w:hAnsi="Book Antiqua" w:cs="Times New Roman"/>
          <w:color w:val="000000"/>
          <w:sz w:val="24"/>
          <w:szCs w:val="24"/>
        </w:rPr>
        <w:t xml:space="preserve">Table 4 represents the robustness test of COVID-19 proxy using daily death cases. The objective of the test is to avoid the bias measurement variable of </w:t>
      </w:r>
      <w:r w:rsidRPr="00104D3D">
        <w:rPr>
          <w:rFonts w:ascii="Book Antiqua" w:eastAsia="Times New Roman" w:hAnsi="Book Antiqua" w:cs="Times New Roman"/>
          <w:color w:val="000000"/>
          <w:sz w:val="24"/>
          <w:szCs w:val="24"/>
        </w:rPr>
        <w:lastRenderedPageBreak/>
        <w:t>COVID-19. The previous empirical test uses a daily confirmed test as COVID-19 measurement, to test the robustness we replace daily confirmed cases (New Casest-1) with daily death cases (Death Casest-1) as shown in Table 4. The results prove there is no bias with different proxy to test the relation of COVID-19 on stock returns in Indonesia. This strengthens our findings that the increase of COVID-19 influences negatively on stock return (case in Indonesia).</w:t>
      </w:r>
    </w:p>
    <w:p w14:paraId="3B7F8F1E" w14:textId="77777777" w:rsidR="00104D3D" w:rsidRDefault="00104D3D" w:rsidP="000A084C">
      <w:pPr>
        <w:pStyle w:val="NoSpacing"/>
        <w:ind w:firstLine="720"/>
        <w:jc w:val="both"/>
        <w:rPr>
          <w:rFonts w:ascii="Book Antiqua" w:eastAsia="Times New Roman" w:hAnsi="Book Antiqua" w:cs="Times New Roman"/>
          <w:color w:val="000000"/>
          <w:sz w:val="24"/>
          <w:szCs w:val="24"/>
        </w:rPr>
      </w:pPr>
    </w:p>
    <w:p w14:paraId="359EC4C2" w14:textId="77777777" w:rsidR="000A084C" w:rsidRPr="007C2A94" w:rsidRDefault="000A084C" w:rsidP="000A084C">
      <w:pPr>
        <w:pStyle w:val="NoSpacing"/>
        <w:jc w:val="both"/>
        <w:rPr>
          <w:rFonts w:ascii="Book Antiqua" w:eastAsia="Times New Roman" w:hAnsi="Book Antiqua" w:cs="Times New Roman"/>
          <w:color w:val="000000"/>
          <w:sz w:val="24"/>
          <w:szCs w:val="24"/>
        </w:rPr>
      </w:pPr>
    </w:p>
    <w:p w14:paraId="26EF0605" w14:textId="77777777" w:rsidR="000A084C" w:rsidRPr="007C2A94" w:rsidRDefault="000A084C" w:rsidP="000A084C">
      <w:pPr>
        <w:pStyle w:val="NoSpacing"/>
        <w:jc w:val="center"/>
        <w:rPr>
          <w:rFonts w:ascii="Book Antiqua" w:eastAsia="Times New Roman" w:hAnsi="Book Antiqua" w:cs="Times New Roman"/>
          <w:b/>
          <w:bCs/>
          <w:color w:val="000000"/>
          <w:sz w:val="24"/>
          <w:szCs w:val="24"/>
        </w:rPr>
      </w:pPr>
      <w:r w:rsidRPr="007C2A94">
        <w:rPr>
          <w:rFonts w:ascii="Book Antiqua" w:eastAsia="Times New Roman" w:hAnsi="Book Antiqua" w:cs="Times New Roman"/>
          <w:b/>
          <w:bCs/>
          <w:color w:val="000000"/>
          <w:sz w:val="24"/>
          <w:szCs w:val="24"/>
        </w:rPr>
        <w:t>Table 4. Robustness test</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1559"/>
        <w:gridCol w:w="68"/>
      </w:tblGrid>
      <w:tr w:rsidR="000A084C" w:rsidRPr="00B07C46" w14:paraId="53392E03" w14:textId="77777777" w:rsidTr="000A084C">
        <w:trPr>
          <w:gridAfter w:val="1"/>
          <w:wAfter w:w="68" w:type="dxa"/>
          <w:jc w:val="center"/>
        </w:trPr>
        <w:tc>
          <w:tcPr>
            <w:tcW w:w="3121" w:type="dxa"/>
            <w:tcBorders>
              <w:top w:val="single" w:sz="12" w:space="0" w:color="auto"/>
              <w:left w:val="nil"/>
              <w:bottom w:val="single" w:sz="8" w:space="0" w:color="auto"/>
              <w:right w:val="nil"/>
            </w:tcBorders>
            <w:vAlign w:val="center"/>
          </w:tcPr>
          <w:p w14:paraId="3AC6A27E"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559" w:type="dxa"/>
            <w:tcBorders>
              <w:top w:val="single" w:sz="12" w:space="0" w:color="auto"/>
              <w:left w:val="nil"/>
              <w:bottom w:val="single" w:sz="8" w:space="0" w:color="auto"/>
              <w:right w:val="nil"/>
            </w:tcBorders>
            <w:hideMark/>
          </w:tcPr>
          <w:p w14:paraId="715489D9"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w:t>
            </w:r>
          </w:p>
        </w:tc>
      </w:tr>
      <w:tr w:rsidR="000A084C" w:rsidRPr="00B07C46" w14:paraId="4656F3D5" w14:textId="77777777" w:rsidTr="000A084C">
        <w:trPr>
          <w:jc w:val="center"/>
        </w:trPr>
        <w:tc>
          <w:tcPr>
            <w:tcW w:w="3121" w:type="dxa"/>
            <w:tcBorders>
              <w:top w:val="single" w:sz="4" w:space="0" w:color="auto"/>
              <w:left w:val="nil"/>
              <w:bottom w:val="nil"/>
              <w:right w:val="nil"/>
            </w:tcBorders>
            <w:vAlign w:val="center"/>
            <w:hideMark/>
          </w:tcPr>
          <w:p w14:paraId="53A6FD6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Death Cases</w:t>
            </w:r>
            <w:r w:rsidRPr="00E46419">
              <w:rPr>
                <w:rFonts w:ascii="Book Antiqua" w:eastAsia="Times New Roman" w:hAnsi="Book Antiqua" w:cs="Times New Roman"/>
                <w:color w:val="000000"/>
                <w:sz w:val="20"/>
                <w:szCs w:val="20"/>
                <w:vertAlign w:val="subscript"/>
              </w:rPr>
              <w:t>t-1</w:t>
            </w:r>
          </w:p>
        </w:tc>
        <w:tc>
          <w:tcPr>
            <w:tcW w:w="1627" w:type="dxa"/>
            <w:gridSpan w:val="2"/>
            <w:tcBorders>
              <w:top w:val="single" w:sz="4" w:space="0" w:color="auto"/>
              <w:left w:val="nil"/>
              <w:bottom w:val="nil"/>
              <w:right w:val="nil"/>
            </w:tcBorders>
            <w:vAlign w:val="bottom"/>
            <w:hideMark/>
          </w:tcPr>
          <w:p w14:paraId="48537FB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-0.0001***</w:t>
            </w:r>
          </w:p>
        </w:tc>
      </w:tr>
      <w:tr w:rsidR="000A084C" w:rsidRPr="00B07C46" w14:paraId="73551C43" w14:textId="77777777" w:rsidTr="000A084C">
        <w:trPr>
          <w:jc w:val="center"/>
        </w:trPr>
        <w:tc>
          <w:tcPr>
            <w:tcW w:w="3121" w:type="dxa"/>
            <w:vAlign w:val="center"/>
          </w:tcPr>
          <w:p w14:paraId="10D50B3F"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627" w:type="dxa"/>
            <w:gridSpan w:val="2"/>
            <w:vAlign w:val="bottom"/>
            <w:hideMark/>
          </w:tcPr>
          <w:p w14:paraId="581D33B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(-13.02)</w:t>
            </w:r>
          </w:p>
        </w:tc>
      </w:tr>
      <w:tr w:rsidR="000A084C" w:rsidRPr="00B07C46" w14:paraId="4072DEF0" w14:textId="77777777" w:rsidTr="000A084C">
        <w:trPr>
          <w:jc w:val="center"/>
        </w:trPr>
        <w:tc>
          <w:tcPr>
            <w:tcW w:w="3121" w:type="dxa"/>
            <w:vAlign w:val="center"/>
            <w:hideMark/>
          </w:tcPr>
          <w:p w14:paraId="232A260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Volume</w:t>
            </w:r>
            <w:r w:rsidRPr="00E46419">
              <w:rPr>
                <w:rFonts w:ascii="Book Antiqua" w:eastAsia="Times New Roman" w:hAnsi="Book Antiqua" w:cs="Times New Roman"/>
                <w:color w:val="000000"/>
                <w:sz w:val="20"/>
                <w:szCs w:val="20"/>
                <w:vertAlign w:val="subscript"/>
              </w:rPr>
              <w:t>t-1</w:t>
            </w:r>
          </w:p>
        </w:tc>
        <w:tc>
          <w:tcPr>
            <w:tcW w:w="1627" w:type="dxa"/>
            <w:gridSpan w:val="2"/>
            <w:vAlign w:val="bottom"/>
            <w:hideMark/>
          </w:tcPr>
          <w:p w14:paraId="2302E0B2" w14:textId="4D068E21"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r>
      <w:tr w:rsidR="000A084C" w:rsidRPr="00B07C46" w14:paraId="17B7DFA5" w14:textId="77777777" w:rsidTr="000A084C">
        <w:trPr>
          <w:jc w:val="center"/>
        </w:trPr>
        <w:tc>
          <w:tcPr>
            <w:tcW w:w="3121" w:type="dxa"/>
            <w:vAlign w:val="center"/>
          </w:tcPr>
          <w:p w14:paraId="11DF619A"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627" w:type="dxa"/>
            <w:gridSpan w:val="2"/>
            <w:vAlign w:val="bottom"/>
            <w:hideMark/>
          </w:tcPr>
          <w:p w14:paraId="41AFFE3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(2.67)</w:t>
            </w:r>
          </w:p>
        </w:tc>
      </w:tr>
      <w:tr w:rsidR="000A084C" w:rsidRPr="00B07C46" w14:paraId="50298B3E" w14:textId="77777777" w:rsidTr="000A084C">
        <w:trPr>
          <w:jc w:val="center"/>
        </w:trPr>
        <w:tc>
          <w:tcPr>
            <w:tcW w:w="3121" w:type="dxa"/>
            <w:vAlign w:val="center"/>
            <w:hideMark/>
          </w:tcPr>
          <w:p w14:paraId="040B6CC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Return</w:t>
            </w:r>
            <w:r w:rsidRPr="00E46419">
              <w:rPr>
                <w:rFonts w:ascii="Book Antiqua" w:eastAsia="Times New Roman" w:hAnsi="Book Antiqua" w:cs="Times New Roman"/>
                <w:color w:val="000000"/>
                <w:sz w:val="20"/>
                <w:szCs w:val="20"/>
                <w:vertAlign w:val="subscript"/>
              </w:rPr>
              <w:t>t-1</w:t>
            </w:r>
          </w:p>
        </w:tc>
        <w:tc>
          <w:tcPr>
            <w:tcW w:w="1627" w:type="dxa"/>
            <w:gridSpan w:val="2"/>
            <w:vAlign w:val="bottom"/>
            <w:hideMark/>
          </w:tcPr>
          <w:p w14:paraId="4557B0E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-0.0083*</w:t>
            </w:r>
          </w:p>
        </w:tc>
      </w:tr>
      <w:tr w:rsidR="000A084C" w:rsidRPr="00B07C46" w14:paraId="3AA8CDA6" w14:textId="77777777" w:rsidTr="000A084C">
        <w:trPr>
          <w:jc w:val="center"/>
        </w:trPr>
        <w:tc>
          <w:tcPr>
            <w:tcW w:w="3121" w:type="dxa"/>
            <w:vAlign w:val="center"/>
          </w:tcPr>
          <w:p w14:paraId="64CFABC1"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627" w:type="dxa"/>
            <w:gridSpan w:val="2"/>
            <w:vAlign w:val="bottom"/>
            <w:hideMark/>
          </w:tcPr>
          <w:p w14:paraId="0DFCE9FA"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(-1.76)</w:t>
            </w:r>
          </w:p>
        </w:tc>
      </w:tr>
      <w:tr w:rsidR="000A084C" w:rsidRPr="00B07C46" w14:paraId="0081C3B4" w14:textId="77777777" w:rsidTr="000A084C">
        <w:trPr>
          <w:jc w:val="center"/>
        </w:trPr>
        <w:tc>
          <w:tcPr>
            <w:tcW w:w="3121" w:type="dxa"/>
            <w:vAlign w:val="center"/>
            <w:hideMark/>
          </w:tcPr>
          <w:p w14:paraId="78E62B20"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Rate</w:t>
            </w:r>
            <w:r w:rsidRPr="00E46419">
              <w:rPr>
                <w:rFonts w:ascii="Book Antiqua" w:eastAsia="Times New Roman" w:hAnsi="Book Antiqua" w:cs="Times New Roman"/>
                <w:color w:val="000000"/>
                <w:sz w:val="20"/>
                <w:szCs w:val="20"/>
                <w:vertAlign w:val="subscript"/>
              </w:rPr>
              <w:t>t-1</w:t>
            </w:r>
          </w:p>
        </w:tc>
        <w:tc>
          <w:tcPr>
            <w:tcW w:w="1627" w:type="dxa"/>
            <w:gridSpan w:val="2"/>
            <w:vAlign w:val="bottom"/>
            <w:hideMark/>
          </w:tcPr>
          <w:p w14:paraId="311151F4" w14:textId="59B21D50"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0.000</w:t>
            </w:r>
            <w:r w:rsidR="00E46419">
              <w:rPr>
                <w:rFonts w:ascii="Book Antiqua" w:eastAsia="Times New Roman" w:hAnsi="Book Antiqua" w:cs="Times New Roman"/>
                <w:color w:val="000000"/>
                <w:sz w:val="20"/>
                <w:szCs w:val="20"/>
              </w:rPr>
              <w:t>1</w:t>
            </w:r>
            <w:r w:rsidRPr="00B07C46">
              <w:rPr>
                <w:rFonts w:ascii="Book Antiqua" w:eastAsia="Times New Roman" w:hAnsi="Book Antiqua" w:cs="Times New Roman"/>
                <w:color w:val="000000"/>
                <w:sz w:val="20"/>
                <w:szCs w:val="20"/>
              </w:rPr>
              <w:t>***</w:t>
            </w:r>
          </w:p>
        </w:tc>
      </w:tr>
      <w:tr w:rsidR="000A084C" w:rsidRPr="00B07C46" w14:paraId="40BCDEF9" w14:textId="77777777" w:rsidTr="000A084C">
        <w:trPr>
          <w:jc w:val="center"/>
        </w:trPr>
        <w:tc>
          <w:tcPr>
            <w:tcW w:w="3121" w:type="dxa"/>
            <w:vAlign w:val="center"/>
          </w:tcPr>
          <w:p w14:paraId="0D3D7D80"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627" w:type="dxa"/>
            <w:gridSpan w:val="2"/>
            <w:vAlign w:val="bottom"/>
            <w:hideMark/>
          </w:tcPr>
          <w:p w14:paraId="0B04585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(13.38)</w:t>
            </w:r>
          </w:p>
        </w:tc>
      </w:tr>
      <w:tr w:rsidR="000A084C" w:rsidRPr="00B07C46" w14:paraId="7B59618A" w14:textId="77777777" w:rsidTr="000A084C">
        <w:trPr>
          <w:jc w:val="center"/>
        </w:trPr>
        <w:tc>
          <w:tcPr>
            <w:tcW w:w="3121" w:type="dxa"/>
            <w:vAlign w:val="center"/>
            <w:hideMark/>
          </w:tcPr>
          <w:p w14:paraId="28C2D9DA" w14:textId="56F1C336" w:rsidR="000A084C" w:rsidRPr="00B07C46" w:rsidRDefault="000A084C">
            <w:pPr>
              <w:pStyle w:val="NoSpacing"/>
              <w:jc w:val="both"/>
              <w:rPr>
                <w:rFonts w:ascii="Book Antiqua" w:eastAsia="Times New Roman" w:hAnsi="Book Antiqua" w:cs="Times New Roman"/>
                <w:color w:val="000000"/>
                <w:sz w:val="20"/>
                <w:szCs w:val="20"/>
              </w:rPr>
            </w:pPr>
            <w:proofErr w:type="spellStart"/>
            <w:r w:rsidRPr="00B07C46">
              <w:rPr>
                <w:rFonts w:ascii="Book Antiqua" w:eastAsia="Times New Roman" w:hAnsi="Book Antiqua" w:cs="Times New Roman"/>
                <w:color w:val="000000"/>
                <w:sz w:val="20"/>
                <w:szCs w:val="20"/>
              </w:rPr>
              <w:t>Monday</w:t>
            </w:r>
            <w:r w:rsidRPr="00E46419">
              <w:rPr>
                <w:rFonts w:ascii="Book Antiqua" w:eastAsia="Times New Roman" w:hAnsi="Book Antiqua" w:cs="Times New Roman"/>
                <w:color w:val="000000"/>
                <w:sz w:val="20"/>
                <w:szCs w:val="20"/>
                <w:vertAlign w:val="subscript"/>
              </w:rPr>
              <w:t>t</w:t>
            </w:r>
            <w:proofErr w:type="spellEnd"/>
          </w:p>
        </w:tc>
        <w:tc>
          <w:tcPr>
            <w:tcW w:w="1627" w:type="dxa"/>
            <w:gridSpan w:val="2"/>
            <w:vAlign w:val="bottom"/>
            <w:hideMark/>
          </w:tcPr>
          <w:p w14:paraId="562C44D4"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0.0017***</w:t>
            </w:r>
          </w:p>
        </w:tc>
      </w:tr>
      <w:tr w:rsidR="000A084C" w:rsidRPr="00B07C46" w14:paraId="1C9B195D" w14:textId="77777777" w:rsidTr="000A084C">
        <w:trPr>
          <w:jc w:val="center"/>
        </w:trPr>
        <w:tc>
          <w:tcPr>
            <w:tcW w:w="3121" w:type="dxa"/>
            <w:vAlign w:val="center"/>
          </w:tcPr>
          <w:p w14:paraId="2EFFD3E2"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627" w:type="dxa"/>
            <w:gridSpan w:val="2"/>
            <w:vAlign w:val="bottom"/>
            <w:hideMark/>
          </w:tcPr>
          <w:p w14:paraId="27705C8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(5.49)</w:t>
            </w:r>
          </w:p>
        </w:tc>
      </w:tr>
      <w:tr w:rsidR="000A084C" w:rsidRPr="00B07C46" w14:paraId="23C9DCA5" w14:textId="77777777" w:rsidTr="000A084C">
        <w:trPr>
          <w:jc w:val="center"/>
        </w:trPr>
        <w:tc>
          <w:tcPr>
            <w:tcW w:w="3121" w:type="dxa"/>
            <w:vAlign w:val="center"/>
            <w:hideMark/>
          </w:tcPr>
          <w:p w14:paraId="0528C899"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Constant</w:t>
            </w:r>
          </w:p>
        </w:tc>
        <w:tc>
          <w:tcPr>
            <w:tcW w:w="1627" w:type="dxa"/>
            <w:gridSpan w:val="2"/>
            <w:vAlign w:val="bottom"/>
            <w:hideMark/>
          </w:tcPr>
          <w:p w14:paraId="08A457D3"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-0.1059***</w:t>
            </w:r>
          </w:p>
        </w:tc>
      </w:tr>
      <w:tr w:rsidR="000A084C" w:rsidRPr="00B07C46" w14:paraId="72FEB8A2" w14:textId="77777777" w:rsidTr="000A084C">
        <w:trPr>
          <w:jc w:val="center"/>
        </w:trPr>
        <w:tc>
          <w:tcPr>
            <w:tcW w:w="3121" w:type="dxa"/>
            <w:vAlign w:val="center"/>
          </w:tcPr>
          <w:p w14:paraId="1222791D" w14:textId="77777777" w:rsidR="000A084C" w:rsidRPr="00B07C46" w:rsidRDefault="000A084C">
            <w:pPr>
              <w:pStyle w:val="NoSpacing"/>
              <w:jc w:val="both"/>
              <w:rPr>
                <w:rFonts w:ascii="Book Antiqua" w:eastAsia="Times New Roman" w:hAnsi="Book Antiqua" w:cs="Times New Roman"/>
                <w:color w:val="000000"/>
                <w:sz w:val="20"/>
                <w:szCs w:val="20"/>
              </w:rPr>
            </w:pPr>
          </w:p>
        </w:tc>
        <w:tc>
          <w:tcPr>
            <w:tcW w:w="1627" w:type="dxa"/>
            <w:gridSpan w:val="2"/>
            <w:vAlign w:val="bottom"/>
            <w:hideMark/>
          </w:tcPr>
          <w:p w14:paraId="4F8D18D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(-14.09)</w:t>
            </w:r>
          </w:p>
        </w:tc>
      </w:tr>
      <w:tr w:rsidR="000A084C" w:rsidRPr="00B07C46" w14:paraId="7388BE5B" w14:textId="77777777" w:rsidTr="000A084C">
        <w:trPr>
          <w:jc w:val="center"/>
        </w:trPr>
        <w:tc>
          <w:tcPr>
            <w:tcW w:w="3121" w:type="dxa"/>
            <w:vAlign w:val="center"/>
            <w:hideMark/>
          </w:tcPr>
          <w:p w14:paraId="30FE1876"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Control for:</w:t>
            </w:r>
          </w:p>
        </w:tc>
        <w:tc>
          <w:tcPr>
            <w:tcW w:w="1627" w:type="dxa"/>
            <w:gridSpan w:val="2"/>
          </w:tcPr>
          <w:p w14:paraId="1EFD3937" w14:textId="77777777" w:rsidR="000A084C" w:rsidRPr="00B07C46" w:rsidRDefault="000A084C">
            <w:pPr>
              <w:pStyle w:val="NoSpacing"/>
              <w:jc w:val="both"/>
              <w:rPr>
                <w:rFonts w:ascii="Book Antiqua" w:eastAsia="Times New Roman" w:hAnsi="Book Antiqua" w:cs="Times New Roman"/>
                <w:color w:val="000000"/>
                <w:sz w:val="20"/>
                <w:szCs w:val="20"/>
              </w:rPr>
            </w:pPr>
          </w:p>
        </w:tc>
      </w:tr>
      <w:tr w:rsidR="000A084C" w:rsidRPr="00B07C46" w14:paraId="246DB471" w14:textId="77777777" w:rsidTr="000A084C">
        <w:trPr>
          <w:jc w:val="center"/>
        </w:trPr>
        <w:tc>
          <w:tcPr>
            <w:tcW w:w="3121" w:type="dxa"/>
            <w:vAlign w:val="center"/>
            <w:hideMark/>
          </w:tcPr>
          <w:p w14:paraId="5FFB9EE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Month-FE</w:t>
            </w:r>
          </w:p>
        </w:tc>
        <w:tc>
          <w:tcPr>
            <w:tcW w:w="1627" w:type="dxa"/>
            <w:gridSpan w:val="2"/>
            <w:hideMark/>
          </w:tcPr>
          <w:p w14:paraId="530C92EF"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YES</w:t>
            </w:r>
          </w:p>
        </w:tc>
      </w:tr>
      <w:tr w:rsidR="000A084C" w:rsidRPr="00B07C46" w14:paraId="17AFA251" w14:textId="77777777" w:rsidTr="000A084C">
        <w:trPr>
          <w:jc w:val="center"/>
        </w:trPr>
        <w:tc>
          <w:tcPr>
            <w:tcW w:w="3121" w:type="dxa"/>
            <w:vAlign w:val="center"/>
            <w:hideMark/>
          </w:tcPr>
          <w:p w14:paraId="1FB00FD2"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N</w:t>
            </w:r>
          </w:p>
        </w:tc>
        <w:tc>
          <w:tcPr>
            <w:tcW w:w="1627" w:type="dxa"/>
            <w:gridSpan w:val="2"/>
            <w:vAlign w:val="bottom"/>
            <w:hideMark/>
          </w:tcPr>
          <w:p w14:paraId="405BAAAE"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113.585</w:t>
            </w:r>
          </w:p>
        </w:tc>
      </w:tr>
      <w:tr w:rsidR="000A084C" w:rsidRPr="00B07C46" w14:paraId="40678C62" w14:textId="77777777" w:rsidTr="000A084C">
        <w:trPr>
          <w:jc w:val="center"/>
        </w:trPr>
        <w:tc>
          <w:tcPr>
            <w:tcW w:w="3121" w:type="dxa"/>
            <w:tcBorders>
              <w:top w:val="nil"/>
              <w:left w:val="nil"/>
              <w:bottom w:val="single" w:sz="4" w:space="0" w:color="auto"/>
              <w:right w:val="nil"/>
            </w:tcBorders>
            <w:vAlign w:val="center"/>
            <w:hideMark/>
          </w:tcPr>
          <w:p w14:paraId="47F2AD61"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Adjusted R2</w:t>
            </w:r>
          </w:p>
        </w:tc>
        <w:tc>
          <w:tcPr>
            <w:tcW w:w="1627" w:type="dxa"/>
            <w:gridSpan w:val="2"/>
            <w:tcBorders>
              <w:top w:val="nil"/>
              <w:left w:val="nil"/>
              <w:bottom w:val="single" w:sz="4" w:space="0" w:color="auto"/>
              <w:right w:val="nil"/>
            </w:tcBorders>
            <w:vAlign w:val="bottom"/>
            <w:hideMark/>
          </w:tcPr>
          <w:p w14:paraId="43F245AB"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0.0074</w:t>
            </w:r>
          </w:p>
        </w:tc>
      </w:tr>
      <w:tr w:rsidR="000A084C" w:rsidRPr="00B07C46" w14:paraId="4C2F1642" w14:textId="77777777" w:rsidTr="000A084C">
        <w:trPr>
          <w:jc w:val="center"/>
        </w:trPr>
        <w:tc>
          <w:tcPr>
            <w:tcW w:w="3121" w:type="dxa"/>
            <w:tcBorders>
              <w:top w:val="single" w:sz="4" w:space="0" w:color="auto"/>
              <w:left w:val="nil"/>
              <w:bottom w:val="nil"/>
              <w:right w:val="nil"/>
            </w:tcBorders>
            <w:vAlign w:val="center"/>
            <w:hideMark/>
          </w:tcPr>
          <w:p w14:paraId="5F816E95" w14:textId="77777777" w:rsidR="000A084C" w:rsidRPr="00B07C46" w:rsidRDefault="000A084C">
            <w:pPr>
              <w:pStyle w:val="NoSpacing"/>
              <w:jc w:val="both"/>
              <w:rPr>
                <w:rFonts w:ascii="Book Antiqua" w:eastAsia="Times New Roman" w:hAnsi="Book Antiqua" w:cs="Times New Roman"/>
                <w:color w:val="000000"/>
                <w:sz w:val="20"/>
                <w:szCs w:val="20"/>
              </w:rPr>
            </w:pPr>
            <w:r w:rsidRPr="00B07C46">
              <w:rPr>
                <w:rFonts w:ascii="Book Antiqua" w:eastAsia="Times New Roman" w:hAnsi="Book Antiqua" w:cs="Times New Roman"/>
                <w:color w:val="000000"/>
                <w:sz w:val="20"/>
                <w:szCs w:val="20"/>
              </w:rPr>
              <w:t>Source: Proceed data, 2021</w:t>
            </w:r>
          </w:p>
        </w:tc>
        <w:tc>
          <w:tcPr>
            <w:tcW w:w="1627" w:type="dxa"/>
            <w:gridSpan w:val="2"/>
            <w:tcBorders>
              <w:top w:val="single" w:sz="4" w:space="0" w:color="auto"/>
              <w:left w:val="nil"/>
              <w:bottom w:val="nil"/>
              <w:right w:val="nil"/>
            </w:tcBorders>
          </w:tcPr>
          <w:p w14:paraId="037C21F3" w14:textId="77777777" w:rsidR="000A084C" w:rsidRPr="00B07C46" w:rsidRDefault="000A084C">
            <w:pPr>
              <w:pStyle w:val="NoSpacing"/>
              <w:jc w:val="both"/>
              <w:rPr>
                <w:rFonts w:ascii="Book Antiqua" w:eastAsia="Times New Roman" w:hAnsi="Book Antiqua" w:cs="Times New Roman"/>
                <w:color w:val="000000"/>
                <w:sz w:val="20"/>
                <w:szCs w:val="20"/>
              </w:rPr>
            </w:pPr>
          </w:p>
        </w:tc>
      </w:tr>
    </w:tbl>
    <w:p w14:paraId="4F841C24" w14:textId="63D6E957" w:rsidR="00A57078" w:rsidRDefault="00A57078" w:rsidP="007C2A94">
      <w:pPr>
        <w:spacing w:before="120" w:after="120" w:line="240" w:lineRule="auto"/>
        <w:jc w:val="both"/>
        <w:rPr>
          <w:rFonts w:ascii="Book Antiqua" w:eastAsia="Times New Roman" w:hAnsi="Book Antiqua" w:cs="Times New Roman"/>
          <w:color w:val="000000"/>
        </w:rPr>
      </w:pPr>
    </w:p>
    <w:p w14:paraId="46C29256" w14:textId="77777777" w:rsidR="00F94C8A" w:rsidRPr="00B07C46" w:rsidRDefault="00F94C8A" w:rsidP="007C2A94">
      <w:pPr>
        <w:spacing w:before="120" w:after="120" w:line="240" w:lineRule="auto"/>
        <w:jc w:val="both"/>
        <w:rPr>
          <w:rFonts w:ascii="Book Antiqua" w:eastAsia="Times New Roman" w:hAnsi="Book Antiqua" w:cs="Times New Roman"/>
          <w:color w:val="000000"/>
        </w:rPr>
      </w:pPr>
    </w:p>
    <w:p w14:paraId="1A386AEB" w14:textId="51D5EEE0" w:rsidR="00A57078" w:rsidRPr="00F94C8A" w:rsidRDefault="00A57078" w:rsidP="003830D1">
      <w:pPr>
        <w:pStyle w:val="ListParagraph"/>
        <w:numPr>
          <w:ilvl w:val="0"/>
          <w:numId w:val="2"/>
        </w:numPr>
        <w:spacing w:before="120" w:after="120" w:line="240" w:lineRule="auto"/>
        <w:ind w:left="567" w:hanging="567"/>
        <w:jc w:val="both"/>
        <w:rPr>
          <w:rFonts w:ascii="Book Antiqua" w:eastAsia="Times New Roman" w:hAnsi="Book Antiqua" w:cstheme="minorHAnsi"/>
          <w:b/>
          <w:sz w:val="28"/>
          <w:szCs w:val="28"/>
        </w:rPr>
      </w:pPr>
      <w:r w:rsidRPr="007C2A94">
        <w:rPr>
          <w:rFonts w:ascii="Book Antiqua" w:eastAsia="Times New Roman" w:hAnsi="Book Antiqua" w:cstheme="minorHAnsi"/>
          <w:b/>
          <w:color w:val="000000"/>
          <w:sz w:val="28"/>
          <w:szCs w:val="28"/>
        </w:rPr>
        <w:t>Conclusion</w:t>
      </w:r>
    </w:p>
    <w:p w14:paraId="52BE267A" w14:textId="77777777" w:rsidR="00F94C8A" w:rsidRPr="007C2A94" w:rsidRDefault="00F94C8A" w:rsidP="00F94C8A">
      <w:pPr>
        <w:pStyle w:val="ListParagraph"/>
        <w:spacing w:before="120" w:after="120" w:line="240" w:lineRule="auto"/>
        <w:ind w:left="567"/>
        <w:jc w:val="both"/>
        <w:rPr>
          <w:rFonts w:ascii="Book Antiqua" w:eastAsia="Times New Roman" w:hAnsi="Book Antiqua" w:cstheme="minorHAnsi"/>
          <w:b/>
          <w:sz w:val="28"/>
          <w:szCs w:val="28"/>
        </w:rPr>
      </w:pPr>
    </w:p>
    <w:p w14:paraId="42B18108" w14:textId="77777777" w:rsidR="00C61DFD" w:rsidRDefault="00C61DFD" w:rsidP="00C61DFD">
      <w:pPr>
        <w:spacing w:before="120" w:after="120" w:line="240" w:lineRule="auto"/>
        <w:ind w:firstLine="567"/>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This study discusses the effect of COVID-19 on stock return cases taken from Indonesia and Malaysia. We found different results in both countries. Compared to Indonesia, the COVID-19 cases in Malaysia are lower. COVID-19 seems less influence on Malaysia’s stock return. In contrast, Indonesia’s stock return is strongly related to the increase of COVID-19 cases. If COVID-19 cases are increasing, it will decrease the stock return in Indonesia. The robustness test to avoid bias measurement and the results show the same output.</w:t>
      </w:r>
    </w:p>
    <w:p w14:paraId="2EAFE494" w14:textId="77777777" w:rsidR="00C61DFD" w:rsidRDefault="00C61DFD" w:rsidP="00C61DFD">
      <w:pPr>
        <w:spacing w:before="120" w:after="120" w:line="240" w:lineRule="auto"/>
        <w:ind w:firstLine="567"/>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 xml:space="preserve">To test the effect of the day through stock return during the pandemic, we are using the moderate effect of Monday and Friday. A previous study found the effect of weekend and investor mood can affect the stock return on Monday and Friday. But there is a study that argued whatever the day is still affects negatively on a stock return during pandemic diseases. The result of this study found that Monday affects negatively on stock return, but Friday is the opposite. Even in pandemic diseases the weekend effect still considers the investor sentiment. </w:t>
      </w:r>
    </w:p>
    <w:p w14:paraId="2F97138E" w14:textId="77777777" w:rsidR="00C12DAA" w:rsidRDefault="00C12DAA" w:rsidP="005922DC">
      <w:pPr>
        <w:spacing w:before="120" w:after="120" w:line="240" w:lineRule="auto"/>
        <w:ind w:firstLine="567"/>
        <w:jc w:val="both"/>
        <w:rPr>
          <w:rFonts w:ascii="Book Antiqua" w:eastAsia="Times New Roman" w:hAnsi="Book Antiqua" w:cs="Times New Roman"/>
          <w:color w:val="000000"/>
          <w:sz w:val="24"/>
          <w:szCs w:val="24"/>
        </w:rPr>
      </w:pPr>
    </w:p>
    <w:p w14:paraId="0B2BE43B" w14:textId="64BB1714" w:rsidR="00C12DAA" w:rsidRPr="00C12DAA" w:rsidRDefault="00C12DAA" w:rsidP="00C12DAA">
      <w:pPr>
        <w:pStyle w:val="ListParagraph"/>
        <w:numPr>
          <w:ilvl w:val="0"/>
          <w:numId w:val="2"/>
        </w:numPr>
        <w:spacing w:before="120" w:after="120" w:line="240" w:lineRule="auto"/>
        <w:jc w:val="both"/>
        <w:rPr>
          <w:rFonts w:ascii="Book Antiqua" w:eastAsia="Times New Roman" w:hAnsi="Book Antiqua" w:cs="Times New Roman"/>
          <w:color w:val="000000"/>
          <w:sz w:val="28"/>
          <w:szCs w:val="28"/>
        </w:rPr>
      </w:pPr>
      <w:r w:rsidRPr="00C12DAA">
        <w:rPr>
          <w:rFonts w:ascii="Book Antiqua" w:eastAsia="Times New Roman" w:hAnsi="Book Antiqua" w:cs="Times New Roman"/>
          <w:b/>
          <w:bCs/>
          <w:color w:val="000000"/>
          <w:sz w:val="28"/>
          <w:szCs w:val="28"/>
        </w:rPr>
        <w:t>Limitations</w:t>
      </w:r>
    </w:p>
    <w:p w14:paraId="78714855" w14:textId="77777777" w:rsidR="00C12DAA" w:rsidRPr="00C12DAA" w:rsidRDefault="00C12DAA" w:rsidP="00C12DAA">
      <w:pPr>
        <w:pStyle w:val="ListParagraph"/>
        <w:spacing w:before="120" w:after="120" w:line="240" w:lineRule="auto"/>
        <w:jc w:val="both"/>
        <w:rPr>
          <w:rFonts w:ascii="Book Antiqua" w:eastAsia="Times New Roman" w:hAnsi="Book Antiqua" w:cs="Times New Roman"/>
          <w:color w:val="000000"/>
          <w:sz w:val="24"/>
          <w:szCs w:val="24"/>
        </w:rPr>
      </w:pPr>
    </w:p>
    <w:p w14:paraId="589616A4" w14:textId="67156656" w:rsidR="00C12DAA" w:rsidRDefault="005922DC" w:rsidP="005922DC">
      <w:pPr>
        <w:spacing w:before="120" w:after="120" w:line="240" w:lineRule="auto"/>
        <w:ind w:firstLine="567"/>
        <w:jc w:val="both"/>
        <w:rPr>
          <w:rFonts w:ascii="Book Antiqua" w:eastAsia="Times New Roman" w:hAnsi="Book Antiqua" w:cs="Times New Roman"/>
          <w:color w:val="000000"/>
          <w:sz w:val="24"/>
          <w:szCs w:val="24"/>
        </w:rPr>
      </w:pPr>
      <w:r w:rsidRPr="007C2A94">
        <w:rPr>
          <w:rFonts w:ascii="Book Antiqua" w:eastAsia="Times New Roman" w:hAnsi="Book Antiqua" w:cs="Times New Roman"/>
          <w:color w:val="000000"/>
          <w:sz w:val="24"/>
          <w:szCs w:val="24"/>
        </w:rPr>
        <w:lastRenderedPageBreak/>
        <w:t>This study is using two countries to compare the COVID-19 on stock return. Each country may have differe</w:t>
      </w:r>
      <w:r w:rsidR="00C61DFD">
        <w:rPr>
          <w:rFonts w:ascii="Book Antiqua" w:eastAsia="Times New Roman" w:hAnsi="Book Antiqua" w:cs="Times New Roman"/>
          <w:color w:val="000000"/>
          <w:sz w:val="24"/>
          <w:szCs w:val="24"/>
        </w:rPr>
        <w:t>nt</w:t>
      </w:r>
      <w:r w:rsidRPr="007C2A94">
        <w:rPr>
          <w:rFonts w:ascii="Book Antiqua" w:eastAsia="Times New Roman" w:hAnsi="Book Antiqua" w:cs="Times New Roman"/>
          <w:color w:val="000000"/>
          <w:sz w:val="24"/>
          <w:szCs w:val="24"/>
        </w:rPr>
        <w:t xml:space="preserve"> infected cases and may affect the results in contrast. </w:t>
      </w:r>
      <w:r w:rsidR="00ED77FD" w:rsidRPr="00ED77FD">
        <w:rPr>
          <w:rFonts w:ascii="Book Antiqua" w:eastAsia="Times New Roman" w:hAnsi="Book Antiqua" w:cs="Times New Roman"/>
          <w:color w:val="000000"/>
          <w:sz w:val="24"/>
          <w:szCs w:val="24"/>
        </w:rPr>
        <w:t>Comparing two countries with similar COVID-19 cases or similar graphs will minimize bias in the results.</w:t>
      </w:r>
      <w:r w:rsidR="00A10339">
        <w:rPr>
          <w:rFonts w:ascii="Book Antiqua" w:eastAsia="Times New Roman" w:hAnsi="Book Antiqua" w:cs="Times New Roman"/>
          <w:color w:val="000000"/>
          <w:sz w:val="24"/>
          <w:szCs w:val="24"/>
        </w:rPr>
        <w:t xml:space="preserve"> </w:t>
      </w:r>
      <w:r w:rsidR="001A12D8" w:rsidRPr="001A12D8">
        <w:rPr>
          <w:rFonts w:ascii="Book Antiqua" w:eastAsia="Times New Roman" w:hAnsi="Book Antiqua" w:cs="Times New Roman"/>
          <w:color w:val="000000"/>
          <w:sz w:val="24"/>
          <w:szCs w:val="24"/>
        </w:rPr>
        <w:t>Choosing a country with almost identical infected cases can provide more reliable findings to compare.</w:t>
      </w:r>
    </w:p>
    <w:p w14:paraId="0BDDD69C" w14:textId="4DB212D6" w:rsidR="005922DC" w:rsidRPr="007C2A94" w:rsidRDefault="00C12DAA" w:rsidP="005922DC">
      <w:pPr>
        <w:spacing w:before="120" w:after="120" w:line="240" w:lineRule="auto"/>
        <w:ind w:firstLine="567"/>
        <w:jc w:val="both"/>
        <w:rPr>
          <w:rFonts w:ascii="Book Antiqua" w:eastAsia="Times New Roman" w:hAnsi="Book Antiqua" w:cs="Times New Roman"/>
          <w:color w:val="000000"/>
          <w:sz w:val="24"/>
          <w:szCs w:val="24"/>
        </w:rPr>
      </w:pPr>
      <w:r w:rsidRPr="00C12DAA">
        <w:rPr>
          <w:rFonts w:ascii="Book Antiqua" w:eastAsia="Times New Roman" w:hAnsi="Book Antiqua" w:cs="Times New Roman"/>
          <w:color w:val="000000"/>
          <w:sz w:val="24"/>
          <w:szCs w:val="24"/>
        </w:rPr>
        <w:t>This study does not use the company sector classification.</w:t>
      </w:r>
      <w:r>
        <w:rPr>
          <w:rFonts w:ascii="Book Antiqua" w:eastAsia="Times New Roman" w:hAnsi="Book Antiqua" w:cs="Times New Roman"/>
          <w:color w:val="000000"/>
          <w:sz w:val="24"/>
          <w:szCs w:val="24"/>
        </w:rPr>
        <w:t xml:space="preserve"> </w:t>
      </w:r>
      <w:r w:rsidR="005922DC" w:rsidRPr="007C2A94">
        <w:rPr>
          <w:rFonts w:ascii="Book Antiqua" w:eastAsia="Times New Roman" w:hAnsi="Book Antiqua" w:cs="Times New Roman"/>
          <w:color w:val="000000"/>
          <w:sz w:val="24"/>
          <w:szCs w:val="24"/>
        </w:rPr>
        <w:t xml:space="preserve">A classification by firm sector can give clearer and more accurate comparative findings. </w:t>
      </w:r>
      <w:r w:rsidR="00E36932" w:rsidRPr="00E36932">
        <w:rPr>
          <w:rFonts w:ascii="Book Antiqua" w:eastAsia="Times New Roman" w:hAnsi="Book Antiqua" w:cs="Times New Roman"/>
          <w:color w:val="000000"/>
          <w:sz w:val="24"/>
          <w:szCs w:val="24"/>
        </w:rPr>
        <w:t>By looking at the differences between sectors, it can provide clearer knowledge and input because not all sectors can be evenly matched.</w:t>
      </w:r>
      <w:r w:rsidR="00E36932">
        <w:rPr>
          <w:rFonts w:ascii="Book Antiqua" w:eastAsia="Times New Roman" w:hAnsi="Book Antiqua" w:cs="Times New Roman"/>
          <w:color w:val="000000"/>
          <w:sz w:val="24"/>
          <w:szCs w:val="24"/>
        </w:rPr>
        <w:t xml:space="preserve"> </w:t>
      </w:r>
      <w:r w:rsidR="00E36932" w:rsidRPr="00E36932">
        <w:rPr>
          <w:rFonts w:ascii="Book Antiqua" w:eastAsia="Times New Roman" w:hAnsi="Book Antiqua" w:cs="Times New Roman"/>
          <w:color w:val="000000"/>
          <w:sz w:val="24"/>
          <w:szCs w:val="24"/>
        </w:rPr>
        <w:t>During a pandemic, the transportation and health sectors, for example, will provide quite different outcomes.</w:t>
      </w:r>
      <w:r w:rsidR="00E36932">
        <w:rPr>
          <w:rFonts w:ascii="Book Antiqua" w:eastAsia="Times New Roman" w:hAnsi="Book Antiqua" w:cs="Times New Roman"/>
          <w:color w:val="000000"/>
          <w:sz w:val="24"/>
          <w:szCs w:val="24"/>
        </w:rPr>
        <w:t xml:space="preserve"> </w:t>
      </w:r>
      <w:r w:rsidR="00E36932" w:rsidRPr="00E36932">
        <w:rPr>
          <w:rFonts w:ascii="Book Antiqua" w:eastAsia="Times New Roman" w:hAnsi="Book Antiqua" w:cs="Times New Roman"/>
          <w:color w:val="000000"/>
          <w:sz w:val="24"/>
          <w:szCs w:val="24"/>
        </w:rPr>
        <w:t>Because in plain view, the transportation sector will have a negative impact because of the government's prohibition on traveling, while the health sector will have a positive impact because health issues are being emphasized during the pandemic.</w:t>
      </w:r>
    </w:p>
    <w:p w14:paraId="7478DF77" w14:textId="11A5A972" w:rsidR="005922DC" w:rsidRDefault="005922DC" w:rsidP="007C2A94">
      <w:pPr>
        <w:spacing w:before="120" w:after="120" w:line="240" w:lineRule="auto"/>
        <w:jc w:val="both"/>
        <w:rPr>
          <w:rFonts w:ascii="Book Antiqua" w:eastAsia="Times New Roman" w:hAnsi="Book Antiqua" w:cs="Times New Roman"/>
          <w:color w:val="000000"/>
          <w:sz w:val="20"/>
          <w:szCs w:val="20"/>
        </w:rPr>
      </w:pPr>
    </w:p>
    <w:p w14:paraId="1B623C21" w14:textId="59B26BD9" w:rsidR="000F61CC" w:rsidRDefault="000F61CC" w:rsidP="000F61CC">
      <w:pPr>
        <w:pStyle w:val="ListParagraph"/>
        <w:numPr>
          <w:ilvl w:val="0"/>
          <w:numId w:val="2"/>
        </w:numPr>
        <w:spacing w:before="120" w:after="120" w:line="240" w:lineRule="auto"/>
        <w:jc w:val="both"/>
        <w:rPr>
          <w:rFonts w:ascii="Book Antiqua" w:eastAsia="Times New Roman" w:hAnsi="Book Antiqua" w:cs="Times New Roman"/>
          <w:b/>
          <w:bCs/>
          <w:color w:val="000000"/>
          <w:sz w:val="28"/>
          <w:szCs w:val="28"/>
        </w:rPr>
      </w:pPr>
      <w:r w:rsidRPr="000F61CC">
        <w:rPr>
          <w:rFonts w:ascii="Book Antiqua" w:eastAsia="Times New Roman" w:hAnsi="Book Antiqua" w:cs="Times New Roman"/>
          <w:b/>
          <w:bCs/>
          <w:color w:val="000000"/>
          <w:sz w:val="28"/>
          <w:szCs w:val="28"/>
        </w:rPr>
        <w:t>SUGGESTIONS</w:t>
      </w:r>
    </w:p>
    <w:p w14:paraId="2CE03D86" w14:textId="77777777" w:rsidR="008C75FB" w:rsidRPr="008C75FB" w:rsidRDefault="008C75FB" w:rsidP="008C75FB">
      <w:pPr>
        <w:spacing w:before="120" w:after="120" w:line="240" w:lineRule="auto"/>
        <w:ind w:left="360"/>
        <w:jc w:val="both"/>
        <w:rPr>
          <w:rFonts w:ascii="Book Antiqua" w:eastAsia="Times New Roman" w:hAnsi="Book Antiqua" w:cs="Times New Roman"/>
          <w:b/>
          <w:bCs/>
          <w:color w:val="000000"/>
          <w:sz w:val="28"/>
          <w:szCs w:val="28"/>
        </w:rPr>
      </w:pPr>
    </w:p>
    <w:p w14:paraId="42B6348C" w14:textId="208F413E" w:rsidR="008C75FB" w:rsidRPr="008C75FB" w:rsidRDefault="008C75FB" w:rsidP="008C75FB">
      <w:pPr>
        <w:spacing w:before="120" w:after="120" w:line="240" w:lineRule="auto"/>
        <w:ind w:firstLine="360"/>
        <w:jc w:val="both"/>
        <w:rPr>
          <w:rFonts w:ascii="Book Antiqua" w:eastAsia="Times New Roman" w:hAnsi="Book Antiqua" w:cs="Times New Roman"/>
          <w:color w:val="000000"/>
          <w:sz w:val="24"/>
          <w:szCs w:val="24"/>
        </w:rPr>
      </w:pPr>
      <w:r w:rsidRPr="008C75FB">
        <w:rPr>
          <w:rFonts w:ascii="Book Antiqua" w:eastAsia="Times New Roman" w:hAnsi="Book Antiqua" w:cs="Times New Roman"/>
          <w:color w:val="000000"/>
          <w:sz w:val="24"/>
          <w:szCs w:val="24"/>
        </w:rPr>
        <w:t>Based on the results of research, discussion, and conclusions, we can provide recommendations to investors and interested parties for effective re-evaluation. During a pandemic, the results are mixed due to regional differences, cases and sentiments will be different. Negative market sentiment regarding COVID-19 cases in Indonesia in 2020 makes it a suggestion for investors to think and evaluate carefully. Whether this is the right moment to invest when the market price is discounting or withdraw</w:t>
      </w:r>
      <w:r w:rsidR="00C61DFD">
        <w:rPr>
          <w:rFonts w:ascii="Book Antiqua" w:eastAsia="Times New Roman" w:hAnsi="Book Antiqua" w:cs="Times New Roman"/>
          <w:color w:val="000000"/>
          <w:sz w:val="24"/>
          <w:szCs w:val="24"/>
        </w:rPr>
        <w:t>ing</w:t>
      </w:r>
      <w:r w:rsidRPr="008C75FB">
        <w:rPr>
          <w:rFonts w:ascii="Book Antiqua" w:eastAsia="Times New Roman" w:hAnsi="Book Antiqua" w:cs="Times New Roman"/>
          <w:color w:val="000000"/>
          <w:sz w:val="24"/>
          <w:szCs w:val="24"/>
        </w:rPr>
        <w:t xml:space="preserve"> from investing this year, the decision will be returned to investors.</w:t>
      </w:r>
    </w:p>
    <w:p w14:paraId="7EC3CCA5" w14:textId="3F3B79C1" w:rsidR="008C75FB" w:rsidRPr="008C75FB" w:rsidRDefault="008C75FB" w:rsidP="008C75FB">
      <w:pPr>
        <w:spacing w:before="120" w:after="120" w:line="240" w:lineRule="auto"/>
        <w:ind w:firstLine="360"/>
        <w:jc w:val="both"/>
        <w:rPr>
          <w:rFonts w:ascii="Book Antiqua" w:eastAsia="Times New Roman" w:hAnsi="Book Antiqua" w:cs="Times New Roman"/>
          <w:color w:val="000000"/>
          <w:sz w:val="24"/>
          <w:szCs w:val="24"/>
        </w:rPr>
      </w:pPr>
      <w:r w:rsidRPr="008C75FB">
        <w:rPr>
          <w:rFonts w:ascii="Book Antiqua" w:eastAsia="Times New Roman" w:hAnsi="Book Antiqua" w:cs="Times New Roman"/>
          <w:color w:val="000000"/>
          <w:sz w:val="24"/>
          <w:szCs w:val="24"/>
        </w:rPr>
        <w:t>This study contributes to stock returns literature. The Coronavirus disease (COVID-19) hurt the capital market in Indonesia. Also, this study helps to support study about the day effect still occur in</w:t>
      </w:r>
      <w:r w:rsidR="00C61DFD">
        <w:rPr>
          <w:rFonts w:ascii="Book Antiqua" w:eastAsia="Times New Roman" w:hAnsi="Book Antiqua" w:cs="Times New Roman"/>
          <w:color w:val="000000"/>
          <w:sz w:val="24"/>
          <w:szCs w:val="24"/>
        </w:rPr>
        <w:t xml:space="preserve"> the</w:t>
      </w:r>
      <w:r w:rsidRPr="008C75FB">
        <w:rPr>
          <w:rFonts w:ascii="Book Antiqua" w:eastAsia="Times New Roman" w:hAnsi="Book Antiqua" w:cs="Times New Roman"/>
          <w:color w:val="000000"/>
          <w:sz w:val="24"/>
          <w:szCs w:val="24"/>
        </w:rPr>
        <w:t xml:space="preserve"> pandemic event, Monday found to be negative effect market while Friday affects positively due to weekend mood of investors. It is expected that this study will attract future researchers who will be able to conduct more research on the topics covered. Additional studies are expected to enable a broader analysis of the state of the market during a pandemic or other event in a country.</w:t>
      </w:r>
    </w:p>
    <w:p w14:paraId="335A70FB" w14:textId="211B6F6A" w:rsidR="000F61CC" w:rsidRDefault="000F61CC" w:rsidP="000F61CC">
      <w:pPr>
        <w:spacing w:before="120" w:after="120" w:line="240" w:lineRule="auto"/>
        <w:ind w:left="360"/>
        <w:jc w:val="both"/>
        <w:rPr>
          <w:rFonts w:ascii="Book Antiqua" w:eastAsia="Times New Roman" w:hAnsi="Book Antiqua" w:cs="Times New Roman"/>
          <w:color w:val="000000"/>
          <w:sz w:val="20"/>
          <w:szCs w:val="20"/>
        </w:rPr>
      </w:pPr>
    </w:p>
    <w:p w14:paraId="348DF7D2" w14:textId="4569039D" w:rsidR="00E46419" w:rsidRDefault="00E46419" w:rsidP="000F61CC">
      <w:pPr>
        <w:spacing w:before="120" w:after="120" w:line="240" w:lineRule="auto"/>
        <w:ind w:left="360"/>
        <w:jc w:val="both"/>
        <w:rPr>
          <w:rFonts w:ascii="Book Antiqua" w:eastAsia="Times New Roman" w:hAnsi="Book Antiqua" w:cs="Times New Roman"/>
          <w:color w:val="000000"/>
          <w:sz w:val="20"/>
          <w:szCs w:val="20"/>
        </w:rPr>
      </w:pPr>
    </w:p>
    <w:p w14:paraId="68BC6D15" w14:textId="1FB1B0AC" w:rsidR="00E46419" w:rsidRDefault="00E46419" w:rsidP="000F61CC">
      <w:pPr>
        <w:spacing w:before="120" w:after="120" w:line="240" w:lineRule="auto"/>
        <w:ind w:left="360"/>
        <w:jc w:val="both"/>
        <w:rPr>
          <w:rFonts w:ascii="Book Antiqua" w:eastAsia="Times New Roman" w:hAnsi="Book Antiqua" w:cs="Times New Roman"/>
          <w:color w:val="000000"/>
          <w:sz w:val="20"/>
          <w:szCs w:val="20"/>
        </w:rPr>
      </w:pPr>
    </w:p>
    <w:p w14:paraId="7ED37B7D" w14:textId="123575C8" w:rsidR="00E46419" w:rsidRDefault="00E46419" w:rsidP="000F61CC">
      <w:pPr>
        <w:spacing w:before="120" w:after="120" w:line="240" w:lineRule="auto"/>
        <w:ind w:left="360"/>
        <w:jc w:val="both"/>
        <w:rPr>
          <w:rFonts w:ascii="Book Antiqua" w:eastAsia="Times New Roman" w:hAnsi="Book Antiqua" w:cs="Times New Roman"/>
          <w:color w:val="000000"/>
          <w:sz w:val="20"/>
          <w:szCs w:val="20"/>
        </w:rPr>
      </w:pPr>
    </w:p>
    <w:p w14:paraId="27F42770" w14:textId="5C99CCDA" w:rsidR="00E46419" w:rsidRDefault="00E46419" w:rsidP="000F61CC">
      <w:pPr>
        <w:spacing w:before="120" w:after="120" w:line="240" w:lineRule="auto"/>
        <w:ind w:left="360"/>
        <w:jc w:val="both"/>
        <w:rPr>
          <w:rFonts w:ascii="Book Antiqua" w:eastAsia="Times New Roman" w:hAnsi="Book Antiqua" w:cs="Times New Roman"/>
          <w:color w:val="000000"/>
          <w:sz w:val="20"/>
          <w:szCs w:val="20"/>
        </w:rPr>
      </w:pPr>
    </w:p>
    <w:p w14:paraId="1354A6E2" w14:textId="3192DDDB" w:rsidR="00E46419" w:rsidRDefault="00E46419" w:rsidP="000F61CC">
      <w:pPr>
        <w:spacing w:before="120" w:after="120" w:line="240" w:lineRule="auto"/>
        <w:ind w:left="360"/>
        <w:jc w:val="both"/>
        <w:rPr>
          <w:rFonts w:ascii="Book Antiqua" w:eastAsia="Times New Roman" w:hAnsi="Book Antiqua" w:cs="Times New Roman"/>
          <w:color w:val="000000"/>
          <w:sz w:val="20"/>
          <w:szCs w:val="20"/>
        </w:rPr>
      </w:pPr>
    </w:p>
    <w:p w14:paraId="6A55E569" w14:textId="7C4ED897" w:rsidR="00E46419" w:rsidRDefault="00E46419" w:rsidP="000F61CC">
      <w:pPr>
        <w:spacing w:before="120" w:after="120" w:line="240" w:lineRule="auto"/>
        <w:ind w:left="360"/>
        <w:jc w:val="both"/>
        <w:rPr>
          <w:rFonts w:ascii="Book Antiqua" w:eastAsia="Times New Roman" w:hAnsi="Book Antiqua" w:cs="Times New Roman"/>
          <w:color w:val="000000"/>
          <w:sz w:val="20"/>
          <w:szCs w:val="20"/>
        </w:rPr>
      </w:pPr>
    </w:p>
    <w:p w14:paraId="77D804D3" w14:textId="77777777" w:rsidR="00E46419" w:rsidRPr="000F61CC" w:rsidRDefault="00E46419" w:rsidP="000F61CC">
      <w:pPr>
        <w:spacing w:before="120" w:after="120" w:line="240" w:lineRule="auto"/>
        <w:ind w:left="360"/>
        <w:jc w:val="both"/>
        <w:rPr>
          <w:rFonts w:ascii="Book Antiqua" w:eastAsia="Times New Roman" w:hAnsi="Book Antiqua" w:cs="Times New Roman"/>
          <w:color w:val="000000"/>
          <w:sz w:val="20"/>
          <w:szCs w:val="20"/>
        </w:rPr>
      </w:pPr>
    </w:p>
    <w:p w14:paraId="10690584" w14:textId="28055619" w:rsidR="005922DC" w:rsidRPr="00B07C46" w:rsidRDefault="005922DC" w:rsidP="00B35125">
      <w:pPr>
        <w:spacing w:before="120" w:after="120" w:line="240" w:lineRule="auto"/>
        <w:ind w:firstLine="567"/>
        <w:jc w:val="both"/>
        <w:rPr>
          <w:rFonts w:ascii="Book Antiqua" w:eastAsia="Times New Roman" w:hAnsi="Book Antiqua" w:cs="Times New Roman"/>
          <w:color w:val="000000"/>
          <w:sz w:val="20"/>
          <w:szCs w:val="20"/>
        </w:rPr>
      </w:pPr>
    </w:p>
    <w:p w14:paraId="6FC4B8F2" w14:textId="77777777" w:rsidR="005922DC" w:rsidRPr="00B07C46" w:rsidRDefault="005922DC" w:rsidP="00B35125">
      <w:pPr>
        <w:spacing w:before="120" w:after="120" w:line="240" w:lineRule="auto"/>
        <w:ind w:firstLine="567"/>
        <w:jc w:val="both"/>
        <w:rPr>
          <w:rFonts w:ascii="Book Antiqua" w:eastAsia="Times New Roman" w:hAnsi="Book Antiqua" w:cs="Times New Roman"/>
          <w:color w:val="000000"/>
          <w:sz w:val="20"/>
          <w:szCs w:val="20"/>
        </w:rPr>
      </w:pPr>
    </w:p>
    <w:p w14:paraId="24035117" w14:textId="77777777" w:rsidR="00A57078" w:rsidRPr="00B07C46" w:rsidRDefault="00A57078" w:rsidP="00A57078">
      <w:pPr>
        <w:spacing w:before="120" w:after="120" w:line="240" w:lineRule="auto"/>
        <w:jc w:val="both"/>
        <w:rPr>
          <w:rFonts w:ascii="Book Antiqua" w:eastAsia="Times New Roman" w:hAnsi="Book Antiqua" w:cstheme="minorHAnsi"/>
          <w:b/>
          <w:sz w:val="24"/>
          <w:szCs w:val="24"/>
        </w:rPr>
      </w:pPr>
      <w:r w:rsidRPr="00B07C46">
        <w:rPr>
          <w:rFonts w:ascii="Book Antiqua" w:eastAsia="Times New Roman" w:hAnsi="Book Antiqua" w:cstheme="minorHAnsi"/>
          <w:b/>
          <w:color w:val="000000"/>
          <w:sz w:val="24"/>
          <w:szCs w:val="24"/>
        </w:rPr>
        <w:lastRenderedPageBreak/>
        <w:t>Ref</w:t>
      </w:r>
      <w:r w:rsidR="008A00D4" w:rsidRPr="00B07C46">
        <w:rPr>
          <w:rFonts w:ascii="Book Antiqua" w:eastAsia="Times New Roman" w:hAnsi="Book Antiqua" w:cstheme="minorHAnsi"/>
          <w:b/>
          <w:color w:val="000000"/>
          <w:sz w:val="24"/>
          <w:szCs w:val="24"/>
        </w:rPr>
        <w:t>e</w:t>
      </w:r>
      <w:r w:rsidRPr="00B07C46">
        <w:rPr>
          <w:rFonts w:ascii="Book Antiqua" w:eastAsia="Times New Roman" w:hAnsi="Book Antiqua" w:cstheme="minorHAnsi"/>
          <w:b/>
          <w:color w:val="000000"/>
          <w:sz w:val="24"/>
          <w:szCs w:val="24"/>
        </w:rPr>
        <w:t>rences</w:t>
      </w:r>
    </w:p>
    <w:p w14:paraId="7D112850" w14:textId="4F195311" w:rsidR="00FC6BB2" w:rsidRPr="00FC6BB2" w:rsidRDefault="005922DC"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7C2A94">
        <w:rPr>
          <w:rFonts w:ascii="Book Antiqua" w:eastAsia="Times New Roman" w:hAnsi="Book Antiqua" w:cs="Times New Roman"/>
          <w:sz w:val="24"/>
          <w:szCs w:val="24"/>
          <w:shd w:val="clear" w:color="auto" w:fill="FFFFFF"/>
        </w:rPr>
        <w:fldChar w:fldCharType="begin" w:fldLock="1"/>
      </w:r>
      <w:r w:rsidRPr="007C2A94">
        <w:rPr>
          <w:rFonts w:ascii="Book Antiqua" w:eastAsia="Times New Roman" w:hAnsi="Book Antiqua" w:cs="Times New Roman"/>
          <w:sz w:val="24"/>
          <w:szCs w:val="24"/>
          <w:shd w:val="clear" w:color="auto" w:fill="FFFFFF"/>
        </w:rPr>
        <w:instrText xml:space="preserve">ADDIN Mendeley Bibliography CSL_BIBLIOGRAPHY </w:instrText>
      </w:r>
      <w:r w:rsidRPr="007C2A94">
        <w:rPr>
          <w:rFonts w:ascii="Book Antiqua" w:eastAsia="Times New Roman" w:hAnsi="Book Antiqua" w:cs="Times New Roman"/>
          <w:sz w:val="24"/>
          <w:szCs w:val="24"/>
          <w:shd w:val="clear" w:color="auto" w:fill="FFFFFF"/>
        </w:rPr>
        <w:fldChar w:fldCharType="separate"/>
      </w:r>
      <w:r w:rsidR="00FC6BB2" w:rsidRPr="00FC6BB2">
        <w:rPr>
          <w:rFonts w:ascii="Book Antiqua" w:hAnsi="Book Antiqua" w:cs="Times New Roman"/>
          <w:noProof/>
          <w:sz w:val="24"/>
          <w:szCs w:val="24"/>
        </w:rPr>
        <w:t xml:space="preserve">Ajayi, R. A., Friedman, J., &amp; Mehdian, S. M. (1998). On the relationship between stock returns and exchange rates: Tests of granger causality. </w:t>
      </w:r>
      <w:r w:rsidR="00FC6BB2" w:rsidRPr="00FC6BB2">
        <w:rPr>
          <w:rFonts w:ascii="Book Antiqua" w:hAnsi="Book Antiqua" w:cs="Times New Roman"/>
          <w:i/>
          <w:iCs/>
          <w:noProof/>
          <w:sz w:val="24"/>
          <w:szCs w:val="24"/>
        </w:rPr>
        <w:t>Global Finance Journal</w:t>
      </w:r>
      <w:r w:rsidR="00FC6BB2" w:rsidRPr="00FC6BB2">
        <w:rPr>
          <w:rFonts w:ascii="Book Antiqua" w:hAnsi="Book Antiqua" w:cs="Times New Roman"/>
          <w:noProof/>
          <w:sz w:val="24"/>
          <w:szCs w:val="24"/>
        </w:rPr>
        <w:t xml:space="preserve">, </w:t>
      </w:r>
      <w:r w:rsidR="00FC6BB2" w:rsidRPr="00FC6BB2">
        <w:rPr>
          <w:rFonts w:ascii="Book Antiqua" w:hAnsi="Book Antiqua" w:cs="Times New Roman"/>
          <w:i/>
          <w:iCs/>
          <w:noProof/>
          <w:sz w:val="24"/>
          <w:szCs w:val="24"/>
        </w:rPr>
        <w:t>9</w:t>
      </w:r>
      <w:r w:rsidR="00FC6BB2" w:rsidRPr="00FC6BB2">
        <w:rPr>
          <w:rFonts w:ascii="Book Antiqua" w:hAnsi="Book Antiqua" w:cs="Times New Roman"/>
          <w:noProof/>
          <w:sz w:val="24"/>
          <w:szCs w:val="24"/>
        </w:rPr>
        <w:t>(2), 241–251.</w:t>
      </w:r>
      <w:hyperlink r:id="rId15" w:history="1">
        <w:r w:rsidR="00FC6BB2" w:rsidRPr="000712B7">
          <w:rPr>
            <w:rStyle w:val="Hyperlink"/>
            <w:rFonts w:ascii="Book Antiqua" w:hAnsi="Book Antiqua" w:cs="Times New Roman"/>
            <w:noProof/>
            <w:sz w:val="24"/>
            <w:szCs w:val="24"/>
          </w:rPr>
          <w:t xml:space="preserve"> https://doi.org/10.1016/s1044-0283(98)90006-0</w:t>
        </w:r>
      </w:hyperlink>
    </w:p>
    <w:p w14:paraId="16448CFC" w14:textId="391F452B"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Al-Awadhi, A. M., Alsaifi, K., Al-Awadhi, A., &amp; Alhammadi, S. (2020). Death and contagious infectious diseases: Impact of the COVID-19 virus on stock market returns. </w:t>
      </w:r>
      <w:r w:rsidRPr="00FC6BB2">
        <w:rPr>
          <w:rFonts w:ascii="Book Antiqua" w:hAnsi="Book Antiqua" w:cs="Times New Roman"/>
          <w:i/>
          <w:iCs/>
          <w:noProof/>
          <w:sz w:val="24"/>
          <w:szCs w:val="24"/>
        </w:rPr>
        <w:t>Journal of Behavioral and Experimental Finance</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27</w:t>
      </w:r>
      <w:r w:rsidRPr="00FC6BB2">
        <w:rPr>
          <w:rFonts w:ascii="Book Antiqua" w:hAnsi="Book Antiqua" w:cs="Times New Roman"/>
          <w:noProof/>
          <w:sz w:val="24"/>
          <w:szCs w:val="24"/>
        </w:rPr>
        <w:t xml:space="preserve">, 100326. </w:t>
      </w:r>
      <w:hyperlink r:id="rId16" w:history="1">
        <w:r w:rsidRPr="000712B7">
          <w:rPr>
            <w:rStyle w:val="Hyperlink"/>
            <w:rFonts w:ascii="Book Antiqua" w:hAnsi="Book Antiqua" w:cs="Times New Roman"/>
            <w:noProof/>
            <w:sz w:val="24"/>
            <w:szCs w:val="24"/>
          </w:rPr>
          <w:t>https://doi.org/10.1016/j.jbef.2020.100326</w:t>
        </w:r>
      </w:hyperlink>
    </w:p>
    <w:p w14:paraId="5EE16634" w14:textId="39DDFDE2"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Ashraf, B. N. (2020). Stock markets’ reaction to COVID-19: Cases or fatalities? </w:t>
      </w:r>
      <w:r w:rsidRPr="00FC6BB2">
        <w:rPr>
          <w:rFonts w:ascii="Book Antiqua" w:hAnsi="Book Antiqua" w:cs="Times New Roman"/>
          <w:i/>
          <w:iCs/>
          <w:noProof/>
          <w:sz w:val="24"/>
          <w:szCs w:val="24"/>
        </w:rPr>
        <w:t>Research in International Business and Finance</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54</w:t>
      </w:r>
      <w:r w:rsidRPr="00FC6BB2">
        <w:rPr>
          <w:rFonts w:ascii="Book Antiqua" w:hAnsi="Book Antiqua" w:cs="Times New Roman"/>
          <w:noProof/>
          <w:sz w:val="24"/>
          <w:szCs w:val="24"/>
        </w:rPr>
        <w:t xml:space="preserve">, 101249. </w:t>
      </w:r>
      <w:hyperlink r:id="rId17" w:history="1">
        <w:r w:rsidRPr="000712B7">
          <w:rPr>
            <w:rStyle w:val="Hyperlink"/>
            <w:rFonts w:ascii="Book Antiqua" w:hAnsi="Book Antiqua" w:cs="Times New Roman"/>
            <w:noProof/>
            <w:sz w:val="24"/>
            <w:szCs w:val="24"/>
          </w:rPr>
          <w:t>https://doi.org/10.1016/j.ribaf.2020.101249</w:t>
        </w:r>
      </w:hyperlink>
    </w:p>
    <w:p w14:paraId="081ABDBF" w14:textId="0ABD0028"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Baltagi, B. (2021). Econometric Analysis of Panel Data. In </w:t>
      </w:r>
      <w:r w:rsidRPr="00FC6BB2">
        <w:rPr>
          <w:rFonts w:ascii="Book Antiqua" w:hAnsi="Book Antiqua" w:cs="Times New Roman"/>
          <w:i/>
          <w:iCs/>
          <w:noProof/>
          <w:sz w:val="24"/>
          <w:szCs w:val="24"/>
        </w:rPr>
        <w:t>Springer International Publishing</w:t>
      </w:r>
      <w:r w:rsidRPr="00FC6BB2">
        <w:rPr>
          <w:rFonts w:ascii="Book Antiqua" w:hAnsi="Book Antiqua" w:cs="Times New Roman"/>
          <w:noProof/>
          <w:sz w:val="24"/>
          <w:szCs w:val="24"/>
        </w:rPr>
        <w:t xml:space="preserve">. Retrieved from </w:t>
      </w:r>
      <w:hyperlink r:id="rId18" w:history="1">
        <w:r w:rsidRPr="000712B7">
          <w:rPr>
            <w:rStyle w:val="Hyperlink"/>
            <w:rFonts w:ascii="Book Antiqua" w:hAnsi="Book Antiqua" w:cs="Times New Roman"/>
            <w:noProof/>
            <w:sz w:val="24"/>
            <w:szCs w:val="24"/>
          </w:rPr>
          <w:t>https://www.google.co.id/books/edition/_/j_yUzQEACAAJ?hl=en&amp;sa=X&amp;ved=2ahUKEwiGov2_5NfwAhVTWysKHbBxCYsQre8FMBd6BAgiECA</w:t>
        </w:r>
      </w:hyperlink>
    </w:p>
    <w:p w14:paraId="04EE0E99" w14:textId="5B9FFF80"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Birru, J. (2018). Day of the week and the cross-section of returns. </w:t>
      </w:r>
      <w:r w:rsidRPr="00FC6BB2">
        <w:rPr>
          <w:rFonts w:ascii="Book Antiqua" w:hAnsi="Book Antiqua" w:cs="Times New Roman"/>
          <w:i/>
          <w:iCs/>
          <w:noProof/>
          <w:sz w:val="24"/>
          <w:szCs w:val="24"/>
        </w:rPr>
        <w:t>Journal of Financial Economics</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130</w:t>
      </w:r>
      <w:r w:rsidRPr="00FC6BB2">
        <w:rPr>
          <w:rFonts w:ascii="Book Antiqua" w:hAnsi="Book Antiqua" w:cs="Times New Roman"/>
          <w:noProof/>
          <w:sz w:val="24"/>
          <w:szCs w:val="24"/>
        </w:rPr>
        <w:t xml:space="preserve">(1), 182–214. </w:t>
      </w:r>
      <w:hyperlink r:id="rId19" w:history="1">
        <w:r w:rsidRPr="000712B7">
          <w:rPr>
            <w:rStyle w:val="Hyperlink"/>
            <w:rFonts w:ascii="Book Antiqua" w:hAnsi="Book Antiqua" w:cs="Times New Roman"/>
            <w:noProof/>
            <w:sz w:val="24"/>
            <w:szCs w:val="24"/>
          </w:rPr>
          <w:t>https://doi.org/10.1016/j.jfineco.2018.06.008</w:t>
        </w:r>
      </w:hyperlink>
    </w:p>
    <w:p w14:paraId="3BB2BEA0" w14:textId="490039F4"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Campbell, J. Y., Grossman, S. J., &amp; Wang, J. (1993). Trading Volume and Serial Correlation in Stock Returns. </w:t>
      </w:r>
      <w:r w:rsidRPr="00FC6BB2">
        <w:rPr>
          <w:rFonts w:ascii="Book Antiqua" w:hAnsi="Book Antiqua" w:cs="Times New Roman"/>
          <w:i/>
          <w:iCs/>
          <w:noProof/>
          <w:sz w:val="24"/>
          <w:szCs w:val="24"/>
        </w:rPr>
        <w:t>The Quarterly Journal of Economics</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108</w:t>
      </w:r>
      <w:r w:rsidRPr="00FC6BB2">
        <w:rPr>
          <w:rFonts w:ascii="Book Antiqua" w:hAnsi="Book Antiqua" w:cs="Times New Roman"/>
          <w:noProof/>
          <w:sz w:val="24"/>
          <w:szCs w:val="24"/>
        </w:rPr>
        <w:t xml:space="preserve">(4), 905–939. </w:t>
      </w:r>
      <w:hyperlink r:id="rId20" w:history="1">
        <w:r w:rsidRPr="000712B7">
          <w:rPr>
            <w:rStyle w:val="Hyperlink"/>
            <w:rFonts w:ascii="Book Antiqua" w:hAnsi="Book Antiqua" w:cs="Times New Roman"/>
            <w:noProof/>
            <w:sz w:val="24"/>
            <w:szCs w:val="24"/>
          </w:rPr>
          <w:t>https://doi.org/10.2307/2118454</w:t>
        </w:r>
      </w:hyperlink>
    </w:p>
    <w:p w14:paraId="5347DF0F" w14:textId="707B29F3"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Cheng, C. (2020). </w:t>
      </w:r>
      <w:r w:rsidRPr="00FC6BB2">
        <w:rPr>
          <w:rFonts w:ascii="Book Antiqua" w:hAnsi="Book Antiqua" w:cs="Times New Roman"/>
          <w:i/>
          <w:iCs/>
          <w:noProof/>
          <w:sz w:val="24"/>
          <w:szCs w:val="24"/>
        </w:rPr>
        <w:t>COVID-19 in Malaysia: Economic Impacts &amp; Fiscal Responses</w:t>
      </w:r>
      <w:r w:rsidRPr="00FC6BB2">
        <w:rPr>
          <w:rFonts w:ascii="Book Antiqua" w:hAnsi="Book Antiqua" w:cs="Times New Roman"/>
          <w:noProof/>
          <w:sz w:val="24"/>
          <w:szCs w:val="24"/>
        </w:rPr>
        <w:t>. Retrieved from https://</w:t>
      </w:r>
      <w:hyperlink r:id="rId21" w:history="1">
        <w:r w:rsidRPr="000712B7">
          <w:rPr>
            <w:rStyle w:val="Hyperlink"/>
            <w:rFonts w:ascii="Book Antiqua" w:hAnsi="Book Antiqua" w:cs="Times New Roman"/>
            <w:noProof/>
            <w:sz w:val="24"/>
            <w:szCs w:val="24"/>
          </w:rPr>
          <w:t>www.isis.org.my/2020/03/26/covid-19-in-malaysia-economic-impacts-fiscal-responses/</w:t>
        </w:r>
      </w:hyperlink>
    </w:p>
    <w:p w14:paraId="0745219D" w14:textId="59007B35"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Chia, R. C. J., Liew, V. K. Sen, &amp; Rowland, R. (2020). Daily new COVID-19 cases, the movement control order, and Malaysian stock market. </w:t>
      </w:r>
      <w:r w:rsidRPr="00FC6BB2">
        <w:rPr>
          <w:rFonts w:ascii="Book Antiqua" w:hAnsi="Book Antiqua" w:cs="Times New Roman"/>
          <w:i/>
          <w:iCs/>
          <w:noProof/>
          <w:sz w:val="24"/>
          <w:szCs w:val="24"/>
        </w:rPr>
        <w:t>International Journal of Business and Society</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21</w:t>
      </w:r>
      <w:r w:rsidRPr="00FC6BB2">
        <w:rPr>
          <w:rFonts w:ascii="Book Antiqua" w:hAnsi="Book Antiqua" w:cs="Times New Roman"/>
          <w:noProof/>
          <w:sz w:val="24"/>
          <w:szCs w:val="24"/>
        </w:rPr>
        <w:t xml:space="preserve">(2), 553–568. </w:t>
      </w:r>
      <w:hyperlink r:id="rId22" w:history="1">
        <w:r w:rsidRPr="000712B7">
          <w:rPr>
            <w:rStyle w:val="Hyperlink"/>
            <w:rFonts w:ascii="Book Antiqua" w:hAnsi="Book Antiqua" w:cs="Times New Roman"/>
            <w:noProof/>
            <w:sz w:val="24"/>
            <w:szCs w:val="24"/>
          </w:rPr>
          <w:t>https://doi.org/10.33736/ijbs.3271.2020</w:t>
        </w:r>
      </w:hyperlink>
    </w:p>
    <w:p w14:paraId="02272B60" w14:textId="4B6289DA"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Ciner, C. (2021). Stock return predictability in the time of COVID-19. </w:t>
      </w:r>
      <w:r w:rsidRPr="00FC6BB2">
        <w:rPr>
          <w:rFonts w:ascii="Book Antiqua" w:hAnsi="Book Antiqua" w:cs="Times New Roman"/>
          <w:i/>
          <w:iCs/>
          <w:noProof/>
          <w:sz w:val="24"/>
          <w:szCs w:val="24"/>
        </w:rPr>
        <w:t>Finance Research Letters</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38</w:t>
      </w:r>
      <w:r w:rsidRPr="00FC6BB2">
        <w:rPr>
          <w:rFonts w:ascii="Book Antiqua" w:hAnsi="Book Antiqua" w:cs="Times New Roman"/>
          <w:noProof/>
          <w:sz w:val="24"/>
          <w:szCs w:val="24"/>
        </w:rPr>
        <w:t xml:space="preserve">, 101705. </w:t>
      </w:r>
      <w:hyperlink r:id="rId23" w:history="1">
        <w:r w:rsidRPr="000712B7">
          <w:rPr>
            <w:rStyle w:val="Hyperlink"/>
            <w:rFonts w:ascii="Book Antiqua" w:hAnsi="Book Antiqua" w:cs="Times New Roman"/>
            <w:noProof/>
            <w:sz w:val="24"/>
            <w:szCs w:val="24"/>
          </w:rPr>
          <w:t>https://doi.org/10.1016/j.frl.2020.101705</w:t>
        </w:r>
      </w:hyperlink>
    </w:p>
    <w:p w14:paraId="33B7C337" w14:textId="094AAC9D"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Dilla, S., Sari, L. K., &amp; Achsani, N. A. (2020). Estimating the Effect of the Covid-19 Outbreak Events on the Indonesia Sectoral Stock Return. </w:t>
      </w:r>
      <w:r w:rsidRPr="00FC6BB2">
        <w:rPr>
          <w:rFonts w:ascii="Book Antiqua" w:hAnsi="Book Antiqua" w:cs="Times New Roman"/>
          <w:i/>
          <w:iCs/>
          <w:noProof/>
          <w:sz w:val="24"/>
          <w:szCs w:val="24"/>
        </w:rPr>
        <w:t>Jurnal Aplikasi Bisnis Dan Manajemen</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6</w:t>
      </w:r>
      <w:r w:rsidRPr="00FC6BB2">
        <w:rPr>
          <w:rFonts w:ascii="Book Antiqua" w:hAnsi="Book Antiqua" w:cs="Times New Roman"/>
          <w:noProof/>
          <w:sz w:val="24"/>
          <w:szCs w:val="24"/>
        </w:rPr>
        <w:t xml:space="preserve">(3), 662–668. </w:t>
      </w:r>
      <w:hyperlink r:id="rId24" w:history="1">
        <w:r w:rsidRPr="000712B7">
          <w:rPr>
            <w:rStyle w:val="Hyperlink"/>
            <w:rFonts w:ascii="Book Antiqua" w:hAnsi="Book Antiqua" w:cs="Times New Roman"/>
            <w:noProof/>
            <w:sz w:val="24"/>
            <w:szCs w:val="24"/>
          </w:rPr>
          <w:t>https://doi.org/10.17358/jabm.6.3.662</w:t>
        </w:r>
      </w:hyperlink>
    </w:p>
    <w:p w14:paraId="2BC8D772" w14:textId="2E12E7BC"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Herwany, A., Febrian, E., Anwar, M., &amp; Gunardi, A. (2021). The Influence of the COVID-19 Pandemic on Stock Market Returns in Indonesia Stock Exchange. </w:t>
      </w:r>
      <w:r w:rsidRPr="00FC6BB2">
        <w:rPr>
          <w:rFonts w:ascii="Book Antiqua" w:hAnsi="Book Antiqua" w:cs="Times New Roman"/>
          <w:i/>
          <w:iCs/>
          <w:noProof/>
          <w:sz w:val="24"/>
          <w:szCs w:val="24"/>
        </w:rPr>
        <w:t>Journal of Asian Finance, Economics and Business</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8</w:t>
      </w:r>
      <w:r w:rsidRPr="00FC6BB2">
        <w:rPr>
          <w:rFonts w:ascii="Book Antiqua" w:hAnsi="Book Antiqua" w:cs="Times New Roman"/>
          <w:noProof/>
          <w:sz w:val="24"/>
          <w:szCs w:val="24"/>
        </w:rPr>
        <w:t xml:space="preserve">(3), 39–47. </w:t>
      </w:r>
      <w:hyperlink r:id="rId25" w:history="1">
        <w:r w:rsidRPr="000712B7">
          <w:rPr>
            <w:rStyle w:val="Hyperlink"/>
            <w:rFonts w:ascii="Book Antiqua" w:hAnsi="Book Antiqua" w:cs="Times New Roman"/>
            <w:noProof/>
            <w:sz w:val="24"/>
            <w:szCs w:val="24"/>
          </w:rPr>
          <w:t>https://doi.org/10.13106/jafeb.2021.vol8.no3.0039</w:t>
        </w:r>
      </w:hyperlink>
    </w:p>
    <w:p w14:paraId="52FDFF50" w14:textId="544DF1A6"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Iacobucci, G. (2021). Covid-19: New UK variant may be linked to increased death rate, early data indicate. </w:t>
      </w:r>
      <w:r w:rsidRPr="00FC6BB2">
        <w:rPr>
          <w:rFonts w:ascii="Book Antiqua" w:hAnsi="Book Antiqua" w:cs="Times New Roman"/>
          <w:i/>
          <w:iCs/>
          <w:noProof/>
          <w:sz w:val="24"/>
          <w:szCs w:val="24"/>
        </w:rPr>
        <w:t>The BMJ</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372</w:t>
      </w:r>
      <w:r w:rsidRPr="00FC6BB2">
        <w:rPr>
          <w:rFonts w:ascii="Book Antiqua" w:hAnsi="Book Antiqua" w:cs="Times New Roman"/>
          <w:noProof/>
          <w:sz w:val="24"/>
          <w:szCs w:val="24"/>
        </w:rPr>
        <w:t xml:space="preserve">(January), 1–2. </w:t>
      </w:r>
      <w:hyperlink r:id="rId26" w:history="1">
        <w:r w:rsidRPr="000712B7">
          <w:rPr>
            <w:rStyle w:val="Hyperlink"/>
            <w:rFonts w:ascii="Book Antiqua" w:hAnsi="Book Antiqua" w:cs="Times New Roman"/>
            <w:noProof/>
            <w:sz w:val="24"/>
            <w:szCs w:val="24"/>
          </w:rPr>
          <w:t>https://doi.org/10.1136/bmj.n230</w:t>
        </w:r>
      </w:hyperlink>
    </w:p>
    <w:p w14:paraId="7538842A" w14:textId="77777777"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IDX, I. S. E. (2020). </w:t>
      </w:r>
      <w:r w:rsidRPr="00FC6BB2">
        <w:rPr>
          <w:rFonts w:ascii="Book Antiqua" w:hAnsi="Book Antiqua" w:cs="Times New Roman"/>
          <w:i/>
          <w:iCs/>
          <w:noProof/>
          <w:sz w:val="24"/>
          <w:szCs w:val="24"/>
        </w:rPr>
        <w:t>Laporan Statistic IDX Tahun 2020</w:t>
      </w:r>
      <w:r w:rsidRPr="00FC6BB2">
        <w:rPr>
          <w:rFonts w:ascii="Book Antiqua" w:hAnsi="Book Antiqua" w:cs="Times New Roman"/>
          <w:noProof/>
          <w:sz w:val="24"/>
          <w:szCs w:val="24"/>
        </w:rPr>
        <w:t>.</w:t>
      </w:r>
    </w:p>
    <w:p w14:paraId="143332E0" w14:textId="68C4D986"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lastRenderedPageBreak/>
        <w:t xml:space="preserve">Linsmeier, T. J., Thornton, D. B., Venkatachalam, M., &amp; Welker, M. (2002). The Effect of Mandated Market Risk Disclosures on Trading Volume Sensitivity to Interest Rate, Exchange Rate, and Commodity Price Movements. </w:t>
      </w:r>
      <w:r w:rsidRPr="00FC6BB2">
        <w:rPr>
          <w:rFonts w:ascii="Book Antiqua" w:hAnsi="Book Antiqua" w:cs="Times New Roman"/>
          <w:i/>
          <w:iCs/>
          <w:noProof/>
          <w:sz w:val="24"/>
          <w:szCs w:val="24"/>
        </w:rPr>
        <w:t>The Accounting Review</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77</w:t>
      </w:r>
      <w:r w:rsidRPr="00FC6BB2">
        <w:rPr>
          <w:rFonts w:ascii="Book Antiqua" w:hAnsi="Book Antiqua" w:cs="Times New Roman"/>
          <w:noProof/>
          <w:sz w:val="24"/>
          <w:szCs w:val="24"/>
        </w:rPr>
        <w:t xml:space="preserve">(2), 343–377. </w:t>
      </w:r>
      <w:hyperlink r:id="rId27" w:history="1">
        <w:r w:rsidRPr="000712B7">
          <w:rPr>
            <w:rStyle w:val="Hyperlink"/>
            <w:rFonts w:ascii="Book Antiqua" w:hAnsi="Book Antiqua" w:cs="Times New Roman"/>
            <w:noProof/>
            <w:sz w:val="24"/>
            <w:szCs w:val="24"/>
          </w:rPr>
          <w:t>https://doi.org/10.2308/accr.2002.77.2.343</w:t>
        </w:r>
      </w:hyperlink>
    </w:p>
    <w:p w14:paraId="0B337958" w14:textId="38658AF2"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Mazur, M., Dang, M., &amp; Vega, M. (2021). COVID-19 and the march 2020 stock market crash. Evidence from S&amp;P1500. </w:t>
      </w:r>
      <w:r w:rsidRPr="00FC6BB2">
        <w:rPr>
          <w:rFonts w:ascii="Book Antiqua" w:hAnsi="Book Antiqua" w:cs="Times New Roman"/>
          <w:i/>
          <w:iCs/>
          <w:noProof/>
          <w:sz w:val="24"/>
          <w:szCs w:val="24"/>
        </w:rPr>
        <w:t>Finance Research Letters</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38</w:t>
      </w:r>
      <w:r w:rsidRPr="00FC6BB2">
        <w:rPr>
          <w:rFonts w:ascii="Book Antiqua" w:hAnsi="Book Antiqua" w:cs="Times New Roman"/>
          <w:noProof/>
          <w:sz w:val="24"/>
          <w:szCs w:val="24"/>
        </w:rPr>
        <w:t xml:space="preserve">(March), 101690. </w:t>
      </w:r>
      <w:hyperlink r:id="rId28" w:history="1">
        <w:r w:rsidRPr="000712B7">
          <w:rPr>
            <w:rStyle w:val="Hyperlink"/>
            <w:rFonts w:ascii="Book Antiqua" w:hAnsi="Book Antiqua" w:cs="Times New Roman"/>
            <w:noProof/>
            <w:sz w:val="24"/>
            <w:szCs w:val="24"/>
          </w:rPr>
          <w:t>https://doi.org/10.1016/j.frl.2020.101690</w:t>
        </w:r>
      </w:hyperlink>
    </w:p>
    <w:p w14:paraId="50C2E0C3" w14:textId="72C189AD"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Mishra, D. B. (1999). Presence of Friday Effect in the Indian Stock Market. </w:t>
      </w:r>
      <w:r w:rsidRPr="00FC6BB2">
        <w:rPr>
          <w:rFonts w:ascii="Book Antiqua" w:hAnsi="Book Antiqua" w:cs="Times New Roman"/>
          <w:i/>
          <w:iCs/>
          <w:noProof/>
          <w:sz w:val="24"/>
          <w:szCs w:val="24"/>
        </w:rPr>
        <w:t>Paradigm</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3</w:t>
      </w:r>
      <w:r w:rsidRPr="00FC6BB2">
        <w:rPr>
          <w:rFonts w:ascii="Book Antiqua" w:hAnsi="Book Antiqua" w:cs="Times New Roman"/>
          <w:noProof/>
          <w:sz w:val="24"/>
          <w:szCs w:val="24"/>
        </w:rPr>
        <w:t xml:space="preserve">(2), 57–64. </w:t>
      </w:r>
      <w:hyperlink r:id="rId29" w:history="1">
        <w:r w:rsidRPr="000712B7">
          <w:rPr>
            <w:rStyle w:val="Hyperlink"/>
            <w:rFonts w:ascii="Book Antiqua" w:hAnsi="Book Antiqua" w:cs="Times New Roman"/>
            <w:noProof/>
            <w:sz w:val="24"/>
            <w:szCs w:val="24"/>
          </w:rPr>
          <w:t>https://doi.org/10.1177/0971890719990209</w:t>
        </w:r>
      </w:hyperlink>
    </w:p>
    <w:p w14:paraId="5F3570BB" w14:textId="0E2A4C4D"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Narayan, P. K., Phan, D. H. B., &amp; Liu, G. (2021). COVID-19 lockdowns, stimulus packages, travel bans, and stock returns. </w:t>
      </w:r>
      <w:r w:rsidRPr="00FC6BB2">
        <w:rPr>
          <w:rFonts w:ascii="Book Antiqua" w:hAnsi="Book Antiqua" w:cs="Times New Roman"/>
          <w:i/>
          <w:iCs/>
          <w:noProof/>
          <w:sz w:val="24"/>
          <w:szCs w:val="24"/>
        </w:rPr>
        <w:t>Finance Research Letters</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38</w:t>
      </w:r>
      <w:r w:rsidRPr="00FC6BB2">
        <w:rPr>
          <w:rFonts w:ascii="Book Antiqua" w:hAnsi="Book Antiqua" w:cs="Times New Roman"/>
          <w:noProof/>
          <w:sz w:val="24"/>
          <w:szCs w:val="24"/>
        </w:rPr>
        <w:t xml:space="preserve">(August), 101732. </w:t>
      </w:r>
      <w:hyperlink r:id="rId30" w:history="1">
        <w:r w:rsidRPr="000712B7">
          <w:rPr>
            <w:rStyle w:val="Hyperlink"/>
            <w:rFonts w:ascii="Book Antiqua" w:hAnsi="Book Antiqua" w:cs="Times New Roman"/>
            <w:noProof/>
            <w:sz w:val="24"/>
            <w:szCs w:val="24"/>
          </w:rPr>
          <w:t>https://doi.org/10.1016/j.frl.2020.101732</w:t>
        </w:r>
      </w:hyperlink>
    </w:p>
    <w:p w14:paraId="2032923F" w14:textId="4E356694"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Nurcahyono, N., Hanum, A. N., &amp; Sukesti, F. (2021). The COVID-19 Outbreak and its Impact on Stock Market Returns</w:t>
      </w:r>
      <w:r w:rsidRPr="00FC6BB2">
        <w:rPr>
          <w:rFonts w:ascii="Times New Roman" w:hAnsi="Times New Roman" w:cs="Times New Roman"/>
          <w:noProof/>
          <w:sz w:val="24"/>
          <w:szCs w:val="24"/>
        </w:rPr>
        <w:t> </w:t>
      </w:r>
      <w:r w:rsidRPr="00FC6BB2">
        <w:rPr>
          <w:rFonts w:ascii="Book Antiqua" w:hAnsi="Book Antiqua" w:cs="Times New Roman"/>
          <w:noProof/>
          <w:sz w:val="24"/>
          <w:szCs w:val="24"/>
        </w:rPr>
        <w:t xml:space="preserve">: Evidence From Indonesia. </w:t>
      </w:r>
      <w:r w:rsidRPr="00FC6BB2">
        <w:rPr>
          <w:rFonts w:ascii="Book Antiqua" w:hAnsi="Book Antiqua" w:cs="Times New Roman"/>
          <w:i/>
          <w:iCs/>
          <w:noProof/>
          <w:sz w:val="24"/>
          <w:szCs w:val="24"/>
        </w:rPr>
        <w:t>Jurnal Dinamika Akuntansi Dan Bisnis</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8</w:t>
      </w:r>
      <w:r w:rsidRPr="00FC6BB2">
        <w:rPr>
          <w:rFonts w:ascii="Book Antiqua" w:hAnsi="Book Antiqua" w:cs="Times New Roman"/>
          <w:noProof/>
          <w:sz w:val="24"/>
          <w:szCs w:val="24"/>
        </w:rPr>
        <w:t xml:space="preserve">(1), 47–58. Retrieved from </w:t>
      </w:r>
      <w:hyperlink r:id="rId31" w:history="1">
        <w:r w:rsidRPr="000712B7">
          <w:rPr>
            <w:rStyle w:val="Hyperlink"/>
            <w:rFonts w:ascii="Book Antiqua" w:hAnsi="Book Antiqua" w:cs="Times New Roman"/>
            <w:noProof/>
            <w:sz w:val="24"/>
            <w:szCs w:val="24"/>
          </w:rPr>
          <w:t>http://jurnal.unsyiah.ac.id/JDAB/index</w:t>
        </w:r>
      </w:hyperlink>
    </w:p>
    <w:p w14:paraId="4F214C55" w14:textId="564E9F3D"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Robin, R. (2021). Death Infectious: Impact of the Coronavirus Disease (COVID-19) on Stock Returns. </w:t>
      </w:r>
      <w:r w:rsidRPr="00FC6BB2">
        <w:rPr>
          <w:rFonts w:ascii="Book Antiqua" w:hAnsi="Book Antiqua" w:cs="Times New Roman"/>
          <w:i/>
          <w:iCs/>
          <w:noProof/>
          <w:sz w:val="24"/>
          <w:szCs w:val="24"/>
        </w:rPr>
        <w:t>Journal of Economics, Business, &amp; Accountancy Ventura</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24</w:t>
      </w:r>
      <w:r w:rsidRPr="00FC6BB2">
        <w:rPr>
          <w:rFonts w:ascii="Book Antiqua" w:hAnsi="Book Antiqua" w:cs="Times New Roman"/>
          <w:noProof/>
          <w:sz w:val="24"/>
          <w:szCs w:val="24"/>
        </w:rPr>
        <w:t xml:space="preserve">(1), 95. </w:t>
      </w:r>
      <w:hyperlink r:id="rId32" w:history="1">
        <w:r w:rsidRPr="000712B7">
          <w:rPr>
            <w:rStyle w:val="Hyperlink"/>
            <w:rFonts w:ascii="Book Antiqua" w:hAnsi="Book Antiqua" w:cs="Times New Roman"/>
            <w:noProof/>
            <w:sz w:val="24"/>
            <w:szCs w:val="24"/>
          </w:rPr>
          <w:t>https://doi.org/10.14414/jebav.v24i1.2574</w:t>
        </w:r>
      </w:hyperlink>
    </w:p>
    <w:p w14:paraId="4B7A43BA" w14:textId="6BF1820F"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Shah, A. U. M., Safri, S. N. A., Thevadas, R., Noordin, N. K., Rahman, A. A., Sekawi, Z., … Sultan, M. T. H. (2020). COVID-19 outbreak in Malaysia: Actions taken by the Malaysian government. </w:t>
      </w:r>
      <w:r w:rsidRPr="00FC6BB2">
        <w:rPr>
          <w:rFonts w:ascii="Book Antiqua" w:hAnsi="Book Antiqua" w:cs="Times New Roman"/>
          <w:i/>
          <w:iCs/>
          <w:noProof/>
          <w:sz w:val="24"/>
          <w:szCs w:val="24"/>
        </w:rPr>
        <w:t>International Journal of Infectious Diseases</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97</w:t>
      </w:r>
      <w:r w:rsidRPr="00FC6BB2">
        <w:rPr>
          <w:rFonts w:ascii="Book Antiqua" w:hAnsi="Book Antiqua" w:cs="Times New Roman"/>
          <w:noProof/>
          <w:sz w:val="24"/>
          <w:szCs w:val="24"/>
        </w:rPr>
        <w:t xml:space="preserve">, 108–116. </w:t>
      </w:r>
      <w:hyperlink r:id="rId33" w:history="1">
        <w:r w:rsidRPr="000712B7">
          <w:rPr>
            <w:rStyle w:val="Hyperlink"/>
            <w:rFonts w:ascii="Book Antiqua" w:hAnsi="Book Antiqua" w:cs="Times New Roman"/>
            <w:noProof/>
            <w:sz w:val="24"/>
            <w:szCs w:val="24"/>
          </w:rPr>
          <w:t>https://doi.org/10.1016/j.ijid.2020.05.093</w:t>
        </w:r>
      </w:hyperlink>
    </w:p>
    <w:p w14:paraId="2C851129" w14:textId="4AF61C6A"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Smirlock, M., &amp; Starks, L. (1986). Day-of-the-week and intraday effects in stock returns. </w:t>
      </w:r>
      <w:r w:rsidRPr="00FC6BB2">
        <w:rPr>
          <w:rFonts w:ascii="Book Antiqua" w:hAnsi="Book Antiqua" w:cs="Times New Roman"/>
          <w:i/>
          <w:iCs/>
          <w:noProof/>
          <w:sz w:val="24"/>
          <w:szCs w:val="24"/>
        </w:rPr>
        <w:t>Journal of Financial Economics</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17</w:t>
      </w:r>
      <w:r w:rsidRPr="00FC6BB2">
        <w:rPr>
          <w:rFonts w:ascii="Book Antiqua" w:hAnsi="Book Antiqua" w:cs="Times New Roman"/>
          <w:noProof/>
          <w:sz w:val="24"/>
          <w:szCs w:val="24"/>
        </w:rPr>
        <w:t xml:space="preserve">(1), 197–210. </w:t>
      </w:r>
      <w:hyperlink r:id="rId34" w:history="1">
        <w:r w:rsidRPr="000712B7">
          <w:rPr>
            <w:rStyle w:val="Hyperlink"/>
            <w:rFonts w:ascii="Book Antiqua" w:hAnsi="Book Antiqua" w:cs="Times New Roman"/>
            <w:noProof/>
            <w:sz w:val="24"/>
            <w:szCs w:val="24"/>
          </w:rPr>
          <w:t>https://doi.org/10.1016/0304-405X(86)90011-5</w:t>
        </w:r>
      </w:hyperlink>
    </w:p>
    <w:p w14:paraId="07F01C87" w14:textId="2DA6458E" w:rsidR="00FC6BB2" w:rsidRPr="00FC6BB2" w:rsidRDefault="00FC6BB2" w:rsidP="00FC6BB2">
      <w:pPr>
        <w:widowControl w:val="0"/>
        <w:autoSpaceDE w:val="0"/>
        <w:autoSpaceDN w:val="0"/>
        <w:adjustRightInd w:val="0"/>
        <w:spacing w:line="240" w:lineRule="auto"/>
        <w:ind w:left="480" w:hanging="480"/>
        <w:rPr>
          <w:rFonts w:ascii="Book Antiqua" w:hAnsi="Book Antiqua" w:cs="Times New Roman"/>
          <w:noProof/>
          <w:sz w:val="24"/>
          <w:szCs w:val="24"/>
        </w:rPr>
      </w:pPr>
      <w:r w:rsidRPr="00FC6BB2">
        <w:rPr>
          <w:rFonts w:ascii="Book Antiqua" w:hAnsi="Book Antiqua" w:cs="Times New Roman"/>
          <w:noProof/>
          <w:sz w:val="24"/>
          <w:szCs w:val="24"/>
        </w:rPr>
        <w:t xml:space="preserve">Wise, J. (2020). Covid-19: New coronavirus variant is identified in UK. </w:t>
      </w:r>
      <w:r w:rsidRPr="00FC6BB2">
        <w:rPr>
          <w:rFonts w:ascii="Book Antiqua" w:hAnsi="Book Antiqua" w:cs="Times New Roman"/>
          <w:i/>
          <w:iCs/>
          <w:noProof/>
          <w:sz w:val="24"/>
          <w:szCs w:val="24"/>
        </w:rPr>
        <w:t>BMJ (Clinical Research Ed.)</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371</w:t>
      </w:r>
      <w:r w:rsidRPr="00FC6BB2">
        <w:rPr>
          <w:rFonts w:ascii="Book Antiqua" w:hAnsi="Book Antiqua" w:cs="Times New Roman"/>
          <w:noProof/>
          <w:sz w:val="24"/>
          <w:szCs w:val="24"/>
        </w:rPr>
        <w:t xml:space="preserve">(December), m4857. </w:t>
      </w:r>
      <w:hyperlink r:id="rId35" w:history="1">
        <w:r w:rsidRPr="000712B7">
          <w:rPr>
            <w:rStyle w:val="Hyperlink"/>
            <w:rFonts w:ascii="Book Antiqua" w:hAnsi="Book Antiqua" w:cs="Times New Roman"/>
            <w:noProof/>
            <w:sz w:val="24"/>
            <w:szCs w:val="24"/>
          </w:rPr>
          <w:t>https://doi.org/10.1136/bmj.m4857</w:t>
        </w:r>
      </w:hyperlink>
    </w:p>
    <w:p w14:paraId="21831739" w14:textId="718562B9" w:rsidR="00FC6BB2" w:rsidRPr="00FC6BB2" w:rsidRDefault="00FC6BB2" w:rsidP="00FC6BB2">
      <w:pPr>
        <w:widowControl w:val="0"/>
        <w:autoSpaceDE w:val="0"/>
        <w:autoSpaceDN w:val="0"/>
        <w:adjustRightInd w:val="0"/>
        <w:spacing w:line="240" w:lineRule="auto"/>
        <w:ind w:left="480" w:hanging="480"/>
        <w:rPr>
          <w:rFonts w:ascii="Book Antiqua" w:hAnsi="Book Antiqua"/>
          <w:noProof/>
          <w:sz w:val="24"/>
        </w:rPr>
      </w:pPr>
      <w:r w:rsidRPr="00FC6BB2">
        <w:rPr>
          <w:rFonts w:ascii="Book Antiqua" w:hAnsi="Book Antiqua" w:cs="Times New Roman"/>
          <w:noProof/>
          <w:sz w:val="24"/>
          <w:szCs w:val="24"/>
        </w:rPr>
        <w:t xml:space="preserve">Xu, L. (2021). Stock Return and the COVID-19 pandemic: Evidence from Canada and the US. </w:t>
      </w:r>
      <w:r w:rsidRPr="00FC6BB2">
        <w:rPr>
          <w:rFonts w:ascii="Book Antiqua" w:hAnsi="Book Antiqua" w:cs="Times New Roman"/>
          <w:i/>
          <w:iCs/>
          <w:noProof/>
          <w:sz w:val="24"/>
          <w:szCs w:val="24"/>
        </w:rPr>
        <w:t>Finance Research Letters</w:t>
      </w:r>
      <w:r w:rsidRPr="00FC6BB2">
        <w:rPr>
          <w:rFonts w:ascii="Book Antiqua" w:hAnsi="Book Antiqua" w:cs="Times New Roman"/>
          <w:noProof/>
          <w:sz w:val="24"/>
          <w:szCs w:val="24"/>
        </w:rPr>
        <w:t xml:space="preserve">, </w:t>
      </w:r>
      <w:r w:rsidRPr="00FC6BB2">
        <w:rPr>
          <w:rFonts w:ascii="Book Antiqua" w:hAnsi="Book Antiqua" w:cs="Times New Roman"/>
          <w:i/>
          <w:iCs/>
          <w:noProof/>
          <w:sz w:val="24"/>
          <w:szCs w:val="24"/>
        </w:rPr>
        <w:t>38</w:t>
      </w:r>
      <w:r w:rsidRPr="00FC6BB2">
        <w:rPr>
          <w:rFonts w:ascii="Book Antiqua" w:hAnsi="Book Antiqua" w:cs="Times New Roman"/>
          <w:noProof/>
          <w:sz w:val="24"/>
          <w:szCs w:val="24"/>
        </w:rPr>
        <w:t xml:space="preserve">, 101872. </w:t>
      </w:r>
      <w:hyperlink r:id="rId36" w:history="1">
        <w:r w:rsidRPr="000712B7">
          <w:rPr>
            <w:rStyle w:val="Hyperlink"/>
            <w:rFonts w:ascii="Book Antiqua" w:hAnsi="Book Antiqua" w:cs="Times New Roman"/>
            <w:noProof/>
            <w:sz w:val="24"/>
            <w:szCs w:val="24"/>
          </w:rPr>
          <w:t>https://doi.org/10.1016/j.frl.2020.101872</w:t>
        </w:r>
      </w:hyperlink>
    </w:p>
    <w:p w14:paraId="5B1EE088" w14:textId="02D63BFF" w:rsidR="007B472D" w:rsidRPr="00B07C46" w:rsidRDefault="005922DC" w:rsidP="007C2A94">
      <w:pPr>
        <w:spacing w:line="240" w:lineRule="auto"/>
        <w:ind w:left="567" w:hanging="567"/>
        <w:jc w:val="both"/>
        <w:rPr>
          <w:rFonts w:ascii="Book Antiqua" w:hAnsi="Book Antiqua"/>
        </w:rPr>
      </w:pPr>
      <w:r w:rsidRPr="007C2A94">
        <w:rPr>
          <w:rFonts w:ascii="Book Antiqua" w:eastAsia="Times New Roman" w:hAnsi="Book Antiqua" w:cs="Times New Roman"/>
          <w:sz w:val="24"/>
          <w:szCs w:val="24"/>
          <w:shd w:val="clear" w:color="auto" w:fill="FFFFFF"/>
        </w:rPr>
        <w:fldChar w:fldCharType="end"/>
      </w:r>
    </w:p>
    <w:sectPr w:rsidR="007B472D" w:rsidRPr="00B07C46" w:rsidSect="00DE76EF">
      <w:pgSz w:w="11907" w:h="16840" w:code="9"/>
      <w:pgMar w:top="1134" w:right="170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99B0" w14:textId="77777777" w:rsidR="001779BB" w:rsidRDefault="001779BB" w:rsidP="00A231EE">
      <w:pPr>
        <w:spacing w:after="0" w:line="240" w:lineRule="auto"/>
      </w:pPr>
      <w:r>
        <w:separator/>
      </w:r>
    </w:p>
  </w:endnote>
  <w:endnote w:type="continuationSeparator" w:id="0">
    <w:p w14:paraId="6095BB25" w14:textId="77777777" w:rsidR="001779BB" w:rsidRDefault="001779BB" w:rsidP="00A2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D657" w14:textId="77777777" w:rsidR="001779BB" w:rsidRDefault="001779BB" w:rsidP="00A231EE">
      <w:pPr>
        <w:spacing w:after="0" w:line="240" w:lineRule="auto"/>
      </w:pPr>
      <w:r>
        <w:separator/>
      </w:r>
    </w:p>
  </w:footnote>
  <w:footnote w:type="continuationSeparator" w:id="0">
    <w:p w14:paraId="192AF420" w14:textId="77777777" w:rsidR="001779BB" w:rsidRDefault="001779BB" w:rsidP="00A23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A38ED"/>
    <w:multiLevelType w:val="hybridMultilevel"/>
    <w:tmpl w:val="7FBAAB36"/>
    <w:lvl w:ilvl="0" w:tplc="BE28BE14">
      <w:start w:val="1"/>
      <w:numFmt w:val="decimal"/>
      <w:lvlText w:val="%1."/>
      <w:lvlJc w:val="left"/>
      <w:pPr>
        <w:ind w:left="720" w:hanging="360"/>
      </w:pPr>
      <w:rPr>
        <w:rFonts w:ascii="Book Antiqua" w:hAnsi="Book Antiqua"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B51A9B"/>
    <w:multiLevelType w:val="hybridMultilevel"/>
    <w:tmpl w:val="E970351C"/>
    <w:lvl w:ilvl="0" w:tplc="8F0C2F7A">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MjA1NjI3sjQzNDZV0lEKTi0uzszPAymwqAUA8nPwZiwAAAA="/>
  </w:docVars>
  <w:rsids>
    <w:rsidRoot w:val="00B136FE"/>
    <w:rsid w:val="000354AD"/>
    <w:rsid w:val="000712B7"/>
    <w:rsid w:val="000A084C"/>
    <w:rsid w:val="000C005D"/>
    <w:rsid w:val="000F61CC"/>
    <w:rsid w:val="00104D3D"/>
    <w:rsid w:val="00164A1A"/>
    <w:rsid w:val="001779BB"/>
    <w:rsid w:val="0018263C"/>
    <w:rsid w:val="001953C9"/>
    <w:rsid w:val="001A12D8"/>
    <w:rsid w:val="00214A88"/>
    <w:rsid w:val="00247CFE"/>
    <w:rsid w:val="002A490C"/>
    <w:rsid w:val="002B28EF"/>
    <w:rsid w:val="00381861"/>
    <w:rsid w:val="003830D1"/>
    <w:rsid w:val="004635C5"/>
    <w:rsid w:val="0048236D"/>
    <w:rsid w:val="004C4E70"/>
    <w:rsid w:val="005922DC"/>
    <w:rsid w:val="00644504"/>
    <w:rsid w:val="006F084E"/>
    <w:rsid w:val="00720A04"/>
    <w:rsid w:val="00737665"/>
    <w:rsid w:val="00760EE1"/>
    <w:rsid w:val="007917A4"/>
    <w:rsid w:val="007B472D"/>
    <w:rsid w:val="007C2A94"/>
    <w:rsid w:val="007E45A8"/>
    <w:rsid w:val="00821980"/>
    <w:rsid w:val="008A00D4"/>
    <w:rsid w:val="008C75FB"/>
    <w:rsid w:val="008F6794"/>
    <w:rsid w:val="00906D72"/>
    <w:rsid w:val="009D5576"/>
    <w:rsid w:val="00A10339"/>
    <w:rsid w:val="00A1055B"/>
    <w:rsid w:val="00A12B7D"/>
    <w:rsid w:val="00A231EE"/>
    <w:rsid w:val="00A44E34"/>
    <w:rsid w:val="00A57078"/>
    <w:rsid w:val="00A74BF2"/>
    <w:rsid w:val="00A75041"/>
    <w:rsid w:val="00AA50F9"/>
    <w:rsid w:val="00AB6940"/>
    <w:rsid w:val="00B07C46"/>
    <w:rsid w:val="00B136FE"/>
    <w:rsid w:val="00B30B43"/>
    <w:rsid w:val="00B35125"/>
    <w:rsid w:val="00BA56E9"/>
    <w:rsid w:val="00BC083B"/>
    <w:rsid w:val="00BD6CA4"/>
    <w:rsid w:val="00BE2D5C"/>
    <w:rsid w:val="00C12DAA"/>
    <w:rsid w:val="00C17C5D"/>
    <w:rsid w:val="00C61DFD"/>
    <w:rsid w:val="00C70350"/>
    <w:rsid w:val="00C74D32"/>
    <w:rsid w:val="00C86258"/>
    <w:rsid w:val="00CC3B6E"/>
    <w:rsid w:val="00D617A0"/>
    <w:rsid w:val="00D64C29"/>
    <w:rsid w:val="00DE76EF"/>
    <w:rsid w:val="00E02007"/>
    <w:rsid w:val="00E03B64"/>
    <w:rsid w:val="00E36932"/>
    <w:rsid w:val="00E46419"/>
    <w:rsid w:val="00E66E5A"/>
    <w:rsid w:val="00E8383B"/>
    <w:rsid w:val="00EB03E7"/>
    <w:rsid w:val="00ED08BB"/>
    <w:rsid w:val="00ED77FD"/>
    <w:rsid w:val="00F65FC3"/>
    <w:rsid w:val="00F83AA8"/>
    <w:rsid w:val="00F94C8A"/>
    <w:rsid w:val="00FC58D0"/>
    <w:rsid w:val="00FC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E9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B6940"/>
    <w:pPr>
      <w:spacing w:after="0" w:line="240" w:lineRule="auto"/>
    </w:pPr>
  </w:style>
  <w:style w:type="table" w:styleId="TableGrid">
    <w:name w:val="Table Grid"/>
    <w:basedOn w:val="TableNormal"/>
    <w:uiPriority w:val="39"/>
    <w:rsid w:val="000A08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22DC"/>
    <w:rPr>
      <w:color w:val="605E5C"/>
      <w:shd w:val="clear" w:color="auto" w:fill="E1DFDD"/>
    </w:rPr>
  </w:style>
  <w:style w:type="paragraph" w:styleId="Header">
    <w:name w:val="header"/>
    <w:basedOn w:val="Normal"/>
    <w:link w:val="HeaderChar"/>
    <w:uiPriority w:val="99"/>
    <w:unhideWhenUsed/>
    <w:rsid w:val="00A23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1EE"/>
  </w:style>
  <w:style w:type="paragraph" w:styleId="Footer">
    <w:name w:val="footer"/>
    <w:basedOn w:val="Normal"/>
    <w:link w:val="FooterChar"/>
    <w:uiPriority w:val="99"/>
    <w:unhideWhenUsed/>
    <w:rsid w:val="00A23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2443">
      <w:bodyDiv w:val="1"/>
      <w:marLeft w:val="0"/>
      <w:marRight w:val="0"/>
      <w:marTop w:val="0"/>
      <w:marBottom w:val="0"/>
      <w:divBdr>
        <w:top w:val="none" w:sz="0" w:space="0" w:color="auto"/>
        <w:left w:val="none" w:sz="0" w:space="0" w:color="auto"/>
        <w:bottom w:val="none" w:sz="0" w:space="0" w:color="auto"/>
        <w:right w:val="none" w:sz="0" w:space="0" w:color="auto"/>
      </w:divBdr>
    </w:div>
    <w:div w:id="190536542">
      <w:bodyDiv w:val="1"/>
      <w:marLeft w:val="0"/>
      <w:marRight w:val="0"/>
      <w:marTop w:val="0"/>
      <w:marBottom w:val="0"/>
      <w:divBdr>
        <w:top w:val="none" w:sz="0" w:space="0" w:color="auto"/>
        <w:left w:val="none" w:sz="0" w:space="0" w:color="auto"/>
        <w:bottom w:val="none" w:sz="0" w:space="0" w:color="auto"/>
        <w:right w:val="none" w:sz="0" w:space="0" w:color="auto"/>
      </w:divBdr>
    </w:div>
    <w:div w:id="500051358">
      <w:bodyDiv w:val="1"/>
      <w:marLeft w:val="0"/>
      <w:marRight w:val="0"/>
      <w:marTop w:val="0"/>
      <w:marBottom w:val="0"/>
      <w:divBdr>
        <w:top w:val="none" w:sz="0" w:space="0" w:color="auto"/>
        <w:left w:val="none" w:sz="0" w:space="0" w:color="auto"/>
        <w:bottom w:val="none" w:sz="0" w:space="0" w:color="auto"/>
        <w:right w:val="none" w:sz="0" w:space="0" w:color="auto"/>
      </w:divBdr>
    </w:div>
    <w:div w:id="544103025">
      <w:bodyDiv w:val="1"/>
      <w:marLeft w:val="0"/>
      <w:marRight w:val="0"/>
      <w:marTop w:val="0"/>
      <w:marBottom w:val="0"/>
      <w:divBdr>
        <w:top w:val="none" w:sz="0" w:space="0" w:color="auto"/>
        <w:left w:val="none" w:sz="0" w:space="0" w:color="auto"/>
        <w:bottom w:val="none" w:sz="0" w:space="0" w:color="auto"/>
        <w:right w:val="none" w:sz="0" w:space="0" w:color="auto"/>
      </w:divBdr>
    </w:div>
    <w:div w:id="654073267">
      <w:bodyDiv w:val="1"/>
      <w:marLeft w:val="0"/>
      <w:marRight w:val="0"/>
      <w:marTop w:val="0"/>
      <w:marBottom w:val="0"/>
      <w:divBdr>
        <w:top w:val="none" w:sz="0" w:space="0" w:color="auto"/>
        <w:left w:val="none" w:sz="0" w:space="0" w:color="auto"/>
        <w:bottom w:val="none" w:sz="0" w:space="0" w:color="auto"/>
        <w:right w:val="none" w:sz="0" w:space="0" w:color="auto"/>
      </w:divBdr>
    </w:div>
    <w:div w:id="689532696">
      <w:bodyDiv w:val="1"/>
      <w:marLeft w:val="0"/>
      <w:marRight w:val="0"/>
      <w:marTop w:val="0"/>
      <w:marBottom w:val="0"/>
      <w:divBdr>
        <w:top w:val="none" w:sz="0" w:space="0" w:color="auto"/>
        <w:left w:val="none" w:sz="0" w:space="0" w:color="auto"/>
        <w:bottom w:val="none" w:sz="0" w:space="0" w:color="auto"/>
        <w:right w:val="none" w:sz="0" w:space="0" w:color="auto"/>
      </w:divBdr>
    </w:div>
    <w:div w:id="739903989">
      <w:bodyDiv w:val="1"/>
      <w:marLeft w:val="0"/>
      <w:marRight w:val="0"/>
      <w:marTop w:val="0"/>
      <w:marBottom w:val="0"/>
      <w:divBdr>
        <w:top w:val="none" w:sz="0" w:space="0" w:color="auto"/>
        <w:left w:val="none" w:sz="0" w:space="0" w:color="auto"/>
        <w:bottom w:val="none" w:sz="0" w:space="0" w:color="auto"/>
        <w:right w:val="none" w:sz="0" w:space="0" w:color="auto"/>
      </w:divBdr>
    </w:div>
    <w:div w:id="915481826">
      <w:bodyDiv w:val="1"/>
      <w:marLeft w:val="0"/>
      <w:marRight w:val="0"/>
      <w:marTop w:val="0"/>
      <w:marBottom w:val="0"/>
      <w:divBdr>
        <w:top w:val="none" w:sz="0" w:space="0" w:color="auto"/>
        <w:left w:val="none" w:sz="0" w:space="0" w:color="auto"/>
        <w:bottom w:val="none" w:sz="0" w:space="0" w:color="auto"/>
        <w:right w:val="none" w:sz="0" w:space="0" w:color="auto"/>
      </w:divBdr>
    </w:div>
    <w:div w:id="971249770">
      <w:bodyDiv w:val="1"/>
      <w:marLeft w:val="0"/>
      <w:marRight w:val="0"/>
      <w:marTop w:val="0"/>
      <w:marBottom w:val="0"/>
      <w:divBdr>
        <w:top w:val="none" w:sz="0" w:space="0" w:color="auto"/>
        <w:left w:val="none" w:sz="0" w:space="0" w:color="auto"/>
        <w:bottom w:val="none" w:sz="0" w:space="0" w:color="auto"/>
        <w:right w:val="none" w:sz="0" w:space="0" w:color="auto"/>
      </w:divBdr>
    </w:div>
    <w:div w:id="1038511387">
      <w:bodyDiv w:val="1"/>
      <w:marLeft w:val="0"/>
      <w:marRight w:val="0"/>
      <w:marTop w:val="0"/>
      <w:marBottom w:val="0"/>
      <w:divBdr>
        <w:top w:val="none" w:sz="0" w:space="0" w:color="auto"/>
        <w:left w:val="none" w:sz="0" w:space="0" w:color="auto"/>
        <w:bottom w:val="none" w:sz="0" w:space="0" w:color="auto"/>
        <w:right w:val="none" w:sz="0" w:space="0" w:color="auto"/>
      </w:divBdr>
    </w:div>
    <w:div w:id="1283458650">
      <w:bodyDiv w:val="1"/>
      <w:marLeft w:val="0"/>
      <w:marRight w:val="0"/>
      <w:marTop w:val="0"/>
      <w:marBottom w:val="0"/>
      <w:divBdr>
        <w:top w:val="none" w:sz="0" w:space="0" w:color="auto"/>
        <w:left w:val="none" w:sz="0" w:space="0" w:color="auto"/>
        <w:bottom w:val="none" w:sz="0" w:space="0" w:color="auto"/>
        <w:right w:val="none" w:sz="0" w:space="0" w:color="auto"/>
      </w:divBdr>
    </w:div>
    <w:div w:id="1668245424">
      <w:bodyDiv w:val="1"/>
      <w:marLeft w:val="0"/>
      <w:marRight w:val="0"/>
      <w:marTop w:val="0"/>
      <w:marBottom w:val="0"/>
      <w:divBdr>
        <w:top w:val="none" w:sz="0" w:space="0" w:color="auto"/>
        <w:left w:val="none" w:sz="0" w:space="0" w:color="auto"/>
        <w:bottom w:val="none" w:sz="0" w:space="0" w:color="auto"/>
        <w:right w:val="none" w:sz="0" w:space="0" w:color="auto"/>
      </w:divBdr>
    </w:div>
    <w:div w:id="1864316925">
      <w:bodyDiv w:val="1"/>
      <w:marLeft w:val="0"/>
      <w:marRight w:val="0"/>
      <w:marTop w:val="0"/>
      <w:marBottom w:val="0"/>
      <w:divBdr>
        <w:top w:val="none" w:sz="0" w:space="0" w:color="auto"/>
        <w:left w:val="none" w:sz="0" w:space="0" w:color="auto"/>
        <w:bottom w:val="none" w:sz="0" w:space="0" w:color="auto"/>
        <w:right w:val="none" w:sz="0" w:space="0" w:color="auto"/>
      </w:divBdr>
    </w:div>
    <w:div w:id="213104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www.google.co.id/books/edition/_/j_yUzQEACAAJ?hl=en&amp;sa=X&amp;ved=2ahUKEwiGov2_5NfwAhVTWysKHbBxCYsQre8FMBd6BAgiECA" TargetMode="External"/><Relationship Id="rId26" Type="http://schemas.openxmlformats.org/officeDocument/2006/relationships/hyperlink" Target="https://doi.org/10.1136/bmj.n230" TargetMode="External"/><Relationship Id="rId3" Type="http://schemas.openxmlformats.org/officeDocument/2006/relationships/styles" Target="styles.xml"/><Relationship Id="rId21" Type="http://schemas.openxmlformats.org/officeDocument/2006/relationships/hyperlink" Target="www.isis.org.my/2020/03/26/covid-19-in-malaysia-economic-impacts-fiscal-responses/" TargetMode="External"/><Relationship Id="rId34" Type="http://schemas.openxmlformats.org/officeDocument/2006/relationships/hyperlink" Target="https://doi.org/10.1016/0304-405X(86)90011-5"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doi.org/10.1016/j.ribaf.2020.101249" TargetMode="External"/><Relationship Id="rId25" Type="http://schemas.openxmlformats.org/officeDocument/2006/relationships/hyperlink" Target="https://doi.org/10.13106/jafeb.2021.vol8.no3.0039" TargetMode="External"/><Relationship Id="rId33" Type="http://schemas.openxmlformats.org/officeDocument/2006/relationships/hyperlink" Target="https://doi.org/10.1016/j.ijid.2020.05.09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bef.2020.100326" TargetMode="External"/><Relationship Id="rId20" Type="http://schemas.openxmlformats.org/officeDocument/2006/relationships/hyperlink" Target="https://doi.org/10.2307/2118454" TargetMode="External"/><Relationship Id="rId29" Type="http://schemas.openxmlformats.org/officeDocument/2006/relationships/hyperlink" Target="https://doi.org/10.1177/09718907199902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doi.org/10.17358/jabm.6.3.662" TargetMode="External"/><Relationship Id="rId32" Type="http://schemas.openxmlformats.org/officeDocument/2006/relationships/hyperlink" Target="https://doi.org/10.14414/jebav.v24i1.257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20https:/doi.org/10.1016/s1044-0283(98)90006-0" TargetMode="External"/><Relationship Id="rId23" Type="http://schemas.openxmlformats.org/officeDocument/2006/relationships/hyperlink" Target="https://doi.org/10.1016/j.frl.2020.101705" TargetMode="External"/><Relationship Id="rId28" Type="http://schemas.openxmlformats.org/officeDocument/2006/relationships/hyperlink" Target="https://doi.org/10.1016/j.frl.2020.101690" TargetMode="External"/><Relationship Id="rId36" Type="http://schemas.openxmlformats.org/officeDocument/2006/relationships/hyperlink" Target="https://doi.org/10.1016/j.frl.2020.101872" TargetMode="External"/><Relationship Id="rId10" Type="http://schemas.openxmlformats.org/officeDocument/2006/relationships/diagramData" Target="diagrams/data1.xml"/><Relationship Id="rId19" Type="http://schemas.openxmlformats.org/officeDocument/2006/relationships/hyperlink" Target="https://doi.org/10.1016/j.jfineco.2018.06.008" TargetMode="External"/><Relationship Id="rId31" Type="http://schemas.openxmlformats.org/officeDocument/2006/relationships/hyperlink" Target="http://jurnal.unsyiah.ac.id/JDAB/index"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yperlink" Target="https://doi.org/10.33736/ijbs.3271.2020" TargetMode="External"/><Relationship Id="rId27" Type="http://schemas.openxmlformats.org/officeDocument/2006/relationships/hyperlink" Target="https://doi.org/10.2308/accr.2002.77.2.343" TargetMode="External"/><Relationship Id="rId30" Type="http://schemas.openxmlformats.org/officeDocument/2006/relationships/hyperlink" Target="https://doi.org/10.1016/j.frl.2020.101732" TargetMode="External"/><Relationship Id="rId35" Type="http://schemas.openxmlformats.org/officeDocument/2006/relationships/hyperlink" Target="https://doi.org/10.1136/bmj.m4857"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9950B9-E171-4E5C-A236-32D015733FD7}" type="doc">
      <dgm:prSet loTypeId="urn:diagrams.loki3.com/VaryingWidthList" loCatId="list" qsTypeId="urn:microsoft.com/office/officeart/2005/8/quickstyle/simple1" qsCatId="simple" csTypeId="urn:microsoft.com/office/officeart/2005/8/colors/accent1_2" csCatId="accent1" phldr="1"/>
      <dgm:spPr/>
    </dgm:pt>
    <dgm:pt modelId="{4616558A-012B-4FFA-AEEA-E14282F47C2C}">
      <dgm:prSet phldrT="[Text]">
        <dgm:style>
          <a:lnRef idx="2">
            <a:schemeClr val="dk1"/>
          </a:lnRef>
          <a:fillRef idx="1">
            <a:schemeClr val="lt1"/>
          </a:fillRef>
          <a:effectRef idx="0">
            <a:schemeClr val="dk1"/>
          </a:effectRef>
          <a:fontRef idx="minor">
            <a:schemeClr val="dk1"/>
          </a:fontRef>
        </dgm:style>
      </dgm:prSet>
      <dgm:spPr/>
      <dgm:t>
        <a:bodyPr/>
        <a:lstStyle/>
        <a:p>
          <a:pPr algn="ctr"/>
          <a:r>
            <a:rPr lang="en-US">
              <a:latin typeface="Times New Roman" panose="02020603050405020304" pitchFamily="18" charset="0"/>
              <a:cs typeface="Times New Roman" panose="02020603050405020304" pitchFamily="18" charset="0"/>
            </a:rPr>
            <a:t>2 March 2020</a:t>
          </a:r>
        </a:p>
        <a:p>
          <a:pPr algn="ctr"/>
          <a:r>
            <a:rPr lang="en-US">
              <a:latin typeface="Times New Roman" panose="02020603050405020304" pitchFamily="18" charset="0"/>
              <a:cs typeface="Times New Roman" panose="02020603050405020304" pitchFamily="18" charset="0"/>
            </a:rPr>
            <a:t>Indonesia government announced first confirmed Covid-19 cases in Indonesia</a:t>
          </a:r>
        </a:p>
      </dgm:t>
    </dgm:pt>
    <dgm:pt modelId="{C41D111A-615B-46C4-B1D7-8CEEA53BFA9F}" type="parTrans" cxnId="{F36CE4A1-1A19-45AB-AA5E-FDC8B1844B78}">
      <dgm:prSet/>
      <dgm:spPr/>
      <dgm:t>
        <a:bodyPr/>
        <a:lstStyle/>
        <a:p>
          <a:pPr algn="ctr"/>
          <a:endParaRPr lang="id-ID"/>
        </a:p>
      </dgm:t>
    </dgm:pt>
    <dgm:pt modelId="{F5AE8E97-7479-4CA0-AADE-1593A0AAF775}" type="sibTrans" cxnId="{F36CE4A1-1A19-45AB-AA5E-FDC8B1844B78}">
      <dgm:prSet/>
      <dgm:spPr/>
      <dgm:t>
        <a:bodyPr/>
        <a:lstStyle/>
        <a:p>
          <a:pPr algn="ctr"/>
          <a:endParaRPr lang="id-ID"/>
        </a:p>
      </dgm:t>
    </dgm:pt>
    <dgm:pt modelId="{F2E9788F-0EEA-4886-AAE7-AA29FA67A1E8}">
      <dgm:prSet phldrT="[Text]">
        <dgm:style>
          <a:lnRef idx="2">
            <a:schemeClr val="dk1"/>
          </a:lnRef>
          <a:fillRef idx="1">
            <a:schemeClr val="lt1"/>
          </a:fillRef>
          <a:effectRef idx="0">
            <a:schemeClr val="dk1"/>
          </a:effectRef>
          <a:fontRef idx="minor">
            <a:schemeClr val="dk1"/>
          </a:fontRef>
        </dgm:style>
      </dgm:prSet>
      <dgm:spPr/>
      <dgm:t>
        <a:bodyPr/>
        <a:lstStyle/>
        <a:p>
          <a:pPr algn="ctr"/>
          <a:r>
            <a:rPr lang="en-US">
              <a:latin typeface="Times New Roman" panose="02020603050405020304" pitchFamily="18" charset="0"/>
              <a:cs typeface="Times New Roman" panose="02020603050405020304" pitchFamily="18" charset="0"/>
            </a:rPr>
            <a:t>10 April 2020 </a:t>
          </a:r>
        </a:p>
        <a:p>
          <a:pPr algn="ctr"/>
          <a:r>
            <a:rPr lang="en-US">
              <a:latin typeface="Times New Roman" panose="02020603050405020304" pitchFamily="18" charset="0"/>
              <a:cs typeface="Times New Roman" panose="02020603050405020304" pitchFamily="18" charset="0"/>
            </a:rPr>
            <a:t>Indonesia's COVID-19 cases reached out 3000 confirmed and 300 death cases, first lockdown regulate implemented in Indonesia</a:t>
          </a:r>
          <a:endParaRPr lang="id-ID">
            <a:latin typeface="Times New Roman" panose="02020603050405020304" pitchFamily="18" charset="0"/>
            <a:cs typeface="Times New Roman" panose="02020603050405020304" pitchFamily="18" charset="0"/>
          </a:endParaRPr>
        </a:p>
      </dgm:t>
    </dgm:pt>
    <dgm:pt modelId="{10E5C673-BE71-42C4-AB7E-1A5C95672D72}" type="parTrans" cxnId="{4D05D841-A3CC-4686-98F9-C80604FA44D2}">
      <dgm:prSet/>
      <dgm:spPr/>
      <dgm:t>
        <a:bodyPr/>
        <a:lstStyle/>
        <a:p>
          <a:pPr algn="ctr"/>
          <a:endParaRPr lang="id-ID"/>
        </a:p>
      </dgm:t>
    </dgm:pt>
    <dgm:pt modelId="{006E7D19-62B1-4C57-A52E-6108D283455B}" type="sibTrans" cxnId="{4D05D841-A3CC-4686-98F9-C80604FA44D2}">
      <dgm:prSet/>
      <dgm:spPr/>
      <dgm:t>
        <a:bodyPr/>
        <a:lstStyle/>
        <a:p>
          <a:pPr algn="ctr"/>
          <a:endParaRPr lang="id-ID"/>
        </a:p>
      </dgm:t>
    </dgm:pt>
    <dgm:pt modelId="{C745EB14-9135-4117-9CF7-14D71CBE65B1}">
      <dgm:prSet phldrT="[Text]">
        <dgm:style>
          <a:lnRef idx="2">
            <a:schemeClr val="dk1"/>
          </a:lnRef>
          <a:fillRef idx="1">
            <a:schemeClr val="lt1"/>
          </a:fillRef>
          <a:effectRef idx="0">
            <a:schemeClr val="dk1"/>
          </a:effectRef>
          <a:fontRef idx="minor">
            <a:schemeClr val="dk1"/>
          </a:fontRef>
        </dgm:style>
      </dgm:prSet>
      <dgm:spPr/>
      <dgm:t>
        <a:bodyPr/>
        <a:lstStyle/>
        <a:p>
          <a:pPr algn="ctr"/>
          <a:r>
            <a:rPr lang="en-US">
              <a:latin typeface="Times New Roman" panose="02020603050405020304" pitchFamily="18" charset="0"/>
              <a:cs typeface="Times New Roman" panose="02020603050405020304" pitchFamily="18" charset="0"/>
            </a:rPr>
            <a:t>November 2019</a:t>
          </a:r>
        </a:p>
        <a:p>
          <a:pPr algn="ctr"/>
          <a:r>
            <a:rPr lang="en-US">
              <a:latin typeface="Times New Roman" panose="02020603050405020304" pitchFamily="18" charset="0"/>
              <a:cs typeface="Times New Roman" panose="02020603050405020304" pitchFamily="18" charset="0"/>
            </a:rPr>
            <a:t>The Wuhan City Healtd Commision reported the first cases of coronavirus</a:t>
          </a:r>
        </a:p>
      </dgm:t>
    </dgm:pt>
    <dgm:pt modelId="{C149EFE2-8036-41CD-B989-3FB813A88834}" type="parTrans" cxnId="{656C4246-C234-4841-A78C-CD93274A79FF}">
      <dgm:prSet/>
      <dgm:spPr/>
      <dgm:t>
        <a:bodyPr/>
        <a:lstStyle/>
        <a:p>
          <a:pPr algn="ctr"/>
          <a:endParaRPr lang="id-ID"/>
        </a:p>
      </dgm:t>
    </dgm:pt>
    <dgm:pt modelId="{F817C9C8-3FC1-4A20-B57E-BBFCDDAC607C}" type="sibTrans" cxnId="{656C4246-C234-4841-A78C-CD93274A79FF}">
      <dgm:prSet/>
      <dgm:spPr/>
      <dgm:t>
        <a:bodyPr/>
        <a:lstStyle/>
        <a:p>
          <a:pPr algn="ctr"/>
          <a:endParaRPr lang="id-ID"/>
        </a:p>
      </dgm:t>
    </dgm:pt>
    <dgm:pt modelId="{B1239FB7-C0AF-40E2-9229-1CC76FB937B2}">
      <dgm:prSet phldrT="[Text]">
        <dgm:style>
          <a:lnRef idx="2">
            <a:schemeClr val="dk1"/>
          </a:lnRef>
          <a:fillRef idx="1">
            <a:schemeClr val="lt1"/>
          </a:fillRef>
          <a:effectRef idx="0">
            <a:schemeClr val="dk1"/>
          </a:effectRef>
          <a:fontRef idx="minor">
            <a:schemeClr val="dk1"/>
          </a:fontRef>
        </dgm:style>
      </dgm:prSet>
      <dgm:spPr/>
      <dgm:t>
        <a:bodyPr/>
        <a:lstStyle/>
        <a:p>
          <a:pPr algn="ctr"/>
          <a:r>
            <a:rPr lang="en-US">
              <a:latin typeface="Times New Roman" panose="02020603050405020304" pitchFamily="18" charset="0"/>
              <a:cs typeface="Times New Roman" panose="02020603050405020304" pitchFamily="18" charset="0"/>
            </a:rPr>
            <a:t>11 March 2020</a:t>
          </a:r>
        </a:p>
        <a:p>
          <a:pPr algn="ctr"/>
          <a:r>
            <a:rPr lang="en-US">
              <a:latin typeface="Times New Roman" panose="02020603050405020304" pitchFamily="18" charset="0"/>
              <a:cs typeface="Times New Roman" panose="02020603050405020304" pitchFamily="18" charset="0"/>
            </a:rPr>
            <a:t>WHO declared the COVID-19 as the global pandemic issue</a:t>
          </a:r>
        </a:p>
      </dgm:t>
    </dgm:pt>
    <dgm:pt modelId="{315886C2-1EA3-4AB2-BC38-39961131AF2F}" type="parTrans" cxnId="{291B61C8-851D-4989-AB70-C0D4A7972734}">
      <dgm:prSet/>
      <dgm:spPr/>
      <dgm:t>
        <a:bodyPr/>
        <a:lstStyle/>
        <a:p>
          <a:pPr algn="ctr"/>
          <a:endParaRPr lang="id-ID"/>
        </a:p>
      </dgm:t>
    </dgm:pt>
    <dgm:pt modelId="{049DD3E9-A612-42E3-A16B-46FD9D5D070E}" type="sibTrans" cxnId="{291B61C8-851D-4989-AB70-C0D4A7972734}">
      <dgm:prSet/>
      <dgm:spPr/>
      <dgm:t>
        <a:bodyPr/>
        <a:lstStyle/>
        <a:p>
          <a:pPr algn="ctr"/>
          <a:endParaRPr lang="id-ID"/>
        </a:p>
      </dgm:t>
    </dgm:pt>
    <dgm:pt modelId="{D20FE115-4906-4F29-8C64-7D52CDF5541C}">
      <dgm:prSet phldrT="[Text]">
        <dgm:style>
          <a:lnRef idx="2">
            <a:schemeClr val="dk1"/>
          </a:lnRef>
          <a:fillRef idx="1">
            <a:schemeClr val="lt1"/>
          </a:fillRef>
          <a:effectRef idx="0">
            <a:schemeClr val="dk1"/>
          </a:effectRef>
          <a:fontRef idx="minor">
            <a:schemeClr val="dk1"/>
          </a:fontRef>
        </dgm:style>
      </dgm:prSet>
      <dgm:spPr/>
      <dgm:t>
        <a:bodyPr/>
        <a:lstStyle/>
        <a:p>
          <a:pPr algn="ctr"/>
          <a:r>
            <a:rPr lang="en-US">
              <a:latin typeface="Times New Roman" panose="02020603050405020304" pitchFamily="18" charset="0"/>
              <a:cs typeface="Times New Roman" panose="02020603050405020304" pitchFamily="18" charset="0"/>
            </a:rPr>
            <a:t>25 January 2020</a:t>
          </a:r>
        </a:p>
        <a:p>
          <a:pPr algn="ctr"/>
          <a:r>
            <a:rPr lang="en-US">
              <a:latin typeface="Times New Roman" panose="02020603050405020304" pitchFamily="18" charset="0"/>
              <a:cs typeface="Times New Roman" panose="02020603050405020304" pitchFamily="18" charset="0"/>
            </a:rPr>
            <a:t>First case confirmed in Malaysia</a:t>
          </a:r>
        </a:p>
      </dgm:t>
    </dgm:pt>
    <dgm:pt modelId="{E357E805-F2B8-4C18-9351-10B4E37447C8}" type="parTrans" cxnId="{367A2364-D8A7-4AD5-9A76-C09893EDA9B5}">
      <dgm:prSet/>
      <dgm:spPr/>
      <dgm:t>
        <a:bodyPr/>
        <a:lstStyle/>
        <a:p>
          <a:endParaRPr lang="id-ID"/>
        </a:p>
      </dgm:t>
    </dgm:pt>
    <dgm:pt modelId="{E26975D2-F00E-4CB8-9BA6-EC1C34DFADFF}" type="sibTrans" cxnId="{367A2364-D8A7-4AD5-9A76-C09893EDA9B5}">
      <dgm:prSet/>
      <dgm:spPr/>
      <dgm:t>
        <a:bodyPr/>
        <a:lstStyle/>
        <a:p>
          <a:endParaRPr lang="id-ID"/>
        </a:p>
      </dgm:t>
    </dgm:pt>
    <dgm:pt modelId="{F43AC232-3702-4B32-8EDF-C556361E3974}">
      <dgm:prSet phldrT="[Text]">
        <dgm:style>
          <a:lnRef idx="2">
            <a:schemeClr val="dk1"/>
          </a:lnRef>
          <a:fillRef idx="1">
            <a:schemeClr val="lt1"/>
          </a:fillRef>
          <a:effectRef idx="0">
            <a:schemeClr val="dk1"/>
          </a:effectRef>
          <a:fontRef idx="minor">
            <a:schemeClr val="dk1"/>
          </a:fontRef>
        </dgm:style>
      </dgm:prSet>
      <dgm:spPr/>
      <dgm:t>
        <a:bodyPr/>
        <a:lstStyle/>
        <a:p>
          <a:pPr algn="ctr"/>
          <a:r>
            <a:rPr lang="en-US">
              <a:latin typeface="Times New Roman" panose="02020603050405020304" pitchFamily="18" charset="0"/>
              <a:cs typeface="Times New Roman" panose="02020603050405020304" pitchFamily="18" charset="0"/>
            </a:rPr>
            <a:t>18 March 2020</a:t>
          </a:r>
        </a:p>
        <a:p>
          <a:pPr algn="ctr"/>
          <a:r>
            <a:rPr lang="en-US">
              <a:latin typeface="Times New Roman" panose="02020603050405020304" pitchFamily="18" charset="0"/>
              <a:cs typeface="Times New Roman" panose="02020603050405020304" pitchFamily="18" charset="0"/>
            </a:rPr>
            <a:t>Lockdown policies applied in Malaysia</a:t>
          </a:r>
        </a:p>
      </dgm:t>
    </dgm:pt>
    <dgm:pt modelId="{129DFE3B-6CA8-49EC-8A6D-149AD14DCCBF}" type="parTrans" cxnId="{1AC93CEE-8C16-417E-AF57-EE05C09E14CC}">
      <dgm:prSet/>
      <dgm:spPr/>
      <dgm:t>
        <a:bodyPr/>
        <a:lstStyle/>
        <a:p>
          <a:endParaRPr lang="id-ID"/>
        </a:p>
      </dgm:t>
    </dgm:pt>
    <dgm:pt modelId="{BCC15888-C9DB-447C-89A8-657A43651F2D}" type="sibTrans" cxnId="{1AC93CEE-8C16-417E-AF57-EE05C09E14CC}">
      <dgm:prSet/>
      <dgm:spPr/>
      <dgm:t>
        <a:bodyPr/>
        <a:lstStyle/>
        <a:p>
          <a:endParaRPr lang="id-ID"/>
        </a:p>
      </dgm:t>
    </dgm:pt>
    <dgm:pt modelId="{EA2C6E6F-44A3-413B-9066-B1DFEEE29A3E}">
      <dgm:prSet phldrT="[Text]">
        <dgm:style>
          <a:lnRef idx="2">
            <a:schemeClr val="dk1"/>
          </a:lnRef>
          <a:fillRef idx="1">
            <a:schemeClr val="lt1"/>
          </a:fillRef>
          <a:effectRef idx="0">
            <a:schemeClr val="dk1"/>
          </a:effectRef>
          <a:fontRef idx="minor">
            <a:schemeClr val="dk1"/>
          </a:fontRef>
        </dgm:style>
      </dgm:prSet>
      <dgm:spPr/>
      <dgm:t>
        <a:bodyPr/>
        <a:lstStyle/>
        <a:p>
          <a:pPr algn="ctr"/>
          <a:r>
            <a:rPr lang="en-US">
              <a:latin typeface="Times New Roman" panose="02020603050405020304" pitchFamily="18" charset="0"/>
              <a:cs typeface="Times New Roman" panose="02020603050405020304" pitchFamily="18" charset="0"/>
            </a:rPr>
            <a:t>March 2020</a:t>
          </a:r>
        </a:p>
        <a:p>
          <a:pPr algn="ctr"/>
          <a:r>
            <a:rPr lang="en-US">
              <a:latin typeface="Times New Roman" panose="02020603050405020304" pitchFamily="18" charset="0"/>
              <a:cs typeface="Times New Roman" panose="02020603050405020304" pitchFamily="18" charset="0"/>
            </a:rPr>
            <a:t>Indonesia's stock market fall to 25% while Malaysia's fall to 20.52%</a:t>
          </a:r>
        </a:p>
      </dgm:t>
    </dgm:pt>
    <dgm:pt modelId="{F5E76629-3A64-4113-B3CA-D79B6F7D9BAD}" type="parTrans" cxnId="{39766673-8647-456C-BC4C-D0E27497BA57}">
      <dgm:prSet/>
      <dgm:spPr/>
      <dgm:t>
        <a:bodyPr/>
        <a:lstStyle/>
        <a:p>
          <a:endParaRPr lang="id-ID"/>
        </a:p>
      </dgm:t>
    </dgm:pt>
    <dgm:pt modelId="{1C889022-FC3D-4181-86B1-2946A5543D28}" type="sibTrans" cxnId="{39766673-8647-456C-BC4C-D0E27497BA57}">
      <dgm:prSet/>
      <dgm:spPr/>
      <dgm:t>
        <a:bodyPr/>
        <a:lstStyle/>
        <a:p>
          <a:endParaRPr lang="id-ID"/>
        </a:p>
      </dgm:t>
    </dgm:pt>
    <dgm:pt modelId="{D4FEBB14-24A3-4DA1-8EAF-B3FABAFEB6FF}" type="pres">
      <dgm:prSet presAssocID="{359950B9-E171-4E5C-A236-32D015733FD7}" presName="Name0" presStyleCnt="0">
        <dgm:presLayoutVars>
          <dgm:resizeHandles/>
        </dgm:presLayoutVars>
      </dgm:prSet>
      <dgm:spPr/>
    </dgm:pt>
    <dgm:pt modelId="{2E945E1F-CF48-4810-B086-51AC79D13E0D}" type="pres">
      <dgm:prSet presAssocID="{C745EB14-9135-4117-9CF7-14D71CBE65B1}" presName="text" presStyleLbl="node1" presStyleIdx="0" presStyleCnt="7" custScaleX="271318">
        <dgm:presLayoutVars>
          <dgm:bulletEnabled val="1"/>
        </dgm:presLayoutVars>
      </dgm:prSet>
      <dgm:spPr/>
    </dgm:pt>
    <dgm:pt modelId="{8999DE7D-7EC6-41D4-BD61-F2FB66FFBC65}" type="pres">
      <dgm:prSet presAssocID="{F817C9C8-3FC1-4A20-B57E-BBFCDDAC607C}" presName="space" presStyleCnt="0"/>
      <dgm:spPr/>
    </dgm:pt>
    <dgm:pt modelId="{BF1F62CA-C5C7-42E6-A695-A5EC8A56214E}" type="pres">
      <dgm:prSet presAssocID="{D20FE115-4906-4F29-8C64-7D52CDF5541C}" presName="text" presStyleLbl="node1" presStyleIdx="1" presStyleCnt="7" custScaleX="416056">
        <dgm:presLayoutVars>
          <dgm:bulletEnabled val="1"/>
        </dgm:presLayoutVars>
      </dgm:prSet>
      <dgm:spPr/>
    </dgm:pt>
    <dgm:pt modelId="{67DAB3EA-D97A-4EA5-81FF-8DA433F251D4}" type="pres">
      <dgm:prSet presAssocID="{E26975D2-F00E-4CB8-9BA6-EC1C34DFADFF}" presName="space" presStyleCnt="0"/>
      <dgm:spPr/>
    </dgm:pt>
    <dgm:pt modelId="{0BB75B9B-BEF3-4C32-93BA-CB4048DFFC55}" type="pres">
      <dgm:prSet presAssocID="{4616558A-012B-4FFA-AEEA-E14282F47C2C}" presName="text" presStyleLbl="node1" presStyleIdx="2" presStyleCnt="7" custScaleX="259522">
        <dgm:presLayoutVars>
          <dgm:bulletEnabled val="1"/>
        </dgm:presLayoutVars>
      </dgm:prSet>
      <dgm:spPr/>
    </dgm:pt>
    <dgm:pt modelId="{73A0D67D-6A86-4F74-AC05-2196FE006128}" type="pres">
      <dgm:prSet presAssocID="{F5AE8E97-7479-4CA0-AADE-1593A0AAF775}" presName="space" presStyleCnt="0"/>
      <dgm:spPr/>
    </dgm:pt>
    <dgm:pt modelId="{1B117333-427F-4410-A7C4-798E19A11BF2}" type="pres">
      <dgm:prSet presAssocID="{B1239FB7-C0AF-40E2-9229-1CC76FB937B2}" presName="text" presStyleLbl="node1" presStyleIdx="3" presStyleCnt="7" custScaleX="331611">
        <dgm:presLayoutVars>
          <dgm:bulletEnabled val="1"/>
        </dgm:presLayoutVars>
      </dgm:prSet>
      <dgm:spPr/>
    </dgm:pt>
    <dgm:pt modelId="{853057CA-B18B-4331-A113-D4BCAAB02734}" type="pres">
      <dgm:prSet presAssocID="{049DD3E9-A612-42E3-A16B-46FD9D5D070E}" presName="space" presStyleCnt="0"/>
      <dgm:spPr/>
    </dgm:pt>
    <dgm:pt modelId="{F01EC3B2-9CFA-451C-B555-81CDFBDA8688}" type="pres">
      <dgm:prSet presAssocID="{F43AC232-3702-4B32-8EDF-C556361E3974}" presName="text" presStyleLbl="node1" presStyleIdx="4" presStyleCnt="7" custScaleX="351047">
        <dgm:presLayoutVars>
          <dgm:bulletEnabled val="1"/>
        </dgm:presLayoutVars>
      </dgm:prSet>
      <dgm:spPr/>
    </dgm:pt>
    <dgm:pt modelId="{904ACB51-57D8-4A7C-8856-83D12F1BEF6B}" type="pres">
      <dgm:prSet presAssocID="{BCC15888-C9DB-447C-89A8-657A43651F2D}" presName="space" presStyleCnt="0"/>
      <dgm:spPr/>
    </dgm:pt>
    <dgm:pt modelId="{E8DEC8D0-FE6C-423C-AC42-3B3C0E32F87E}" type="pres">
      <dgm:prSet presAssocID="{EA2C6E6F-44A3-413B-9066-B1DFEEE29A3E}" presName="text" presStyleLbl="node1" presStyleIdx="5" presStyleCnt="7" custScaleX="204246">
        <dgm:presLayoutVars>
          <dgm:bulletEnabled val="1"/>
        </dgm:presLayoutVars>
      </dgm:prSet>
      <dgm:spPr/>
    </dgm:pt>
    <dgm:pt modelId="{BFEE7E6E-A917-4B97-AD7F-E575A3800D01}" type="pres">
      <dgm:prSet presAssocID="{1C889022-FC3D-4181-86B1-2946A5543D28}" presName="space" presStyleCnt="0"/>
      <dgm:spPr/>
    </dgm:pt>
    <dgm:pt modelId="{EB7A545A-242A-487B-A6A7-6A8A424A3421}" type="pres">
      <dgm:prSet presAssocID="{F2E9788F-0EEA-4886-AAE7-AA29FA67A1E8}" presName="text" presStyleLbl="node1" presStyleIdx="6" presStyleCnt="7" custScaleX="335204">
        <dgm:presLayoutVars>
          <dgm:bulletEnabled val="1"/>
        </dgm:presLayoutVars>
      </dgm:prSet>
      <dgm:spPr/>
    </dgm:pt>
  </dgm:ptLst>
  <dgm:cxnLst>
    <dgm:cxn modelId="{1EE65307-6B9B-42B4-8A5D-9D5CD472038E}" type="presOf" srcId="{4616558A-012B-4FFA-AEEA-E14282F47C2C}" destId="{0BB75B9B-BEF3-4C32-93BA-CB4048DFFC55}" srcOrd="0" destOrd="0" presId="urn:diagrams.loki3.com/VaryingWidthList"/>
    <dgm:cxn modelId="{3E953F60-4B4D-439B-A695-E1D30E0F46AE}" type="presOf" srcId="{B1239FB7-C0AF-40E2-9229-1CC76FB937B2}" destId="{1B117333-427F-4410-A7C4-798E19A11BF2}" srcOrd="0" destOrd="0" presId="urn:diagrams.loki3.com/VaryingWidthList"/>
    <dgm:cxn modelId="{4D05D841-A3CC-4686-98F9-C80604FA44D2}" srcId="{359950B9-E171-4E5C-A236-32D015733FD7}" destId="{F2E9788F-0EEA-4886-AAE7-AA29FA67A1E8}" srcOrd="6" destOrd="0" parTransId="{10E5C673-BE71-42C4-AB7E-1A5C95672D72}" sibTransId="{006E7D19-62B1-4C57-A52E-6108D283455B}"/>
    <dgm:cxn modelId="{367A2364-D8A7-4AD5-9A76-C09893EDA9B5}" srcId="{359950B9-E171-4E5C-A236-32D015733FD7}" destId="{D20FE115-4906-4F29-8C64-7D52CDF5541C}" srcOrd="1" destOrd="0" parTransId="{E357E805-F2B8-4C18-9351-10B4E37447C8}" sibTransId="{E26975D2-F00E-4CB8-9BA6-EC1C34DFADFF}"/>
    <dgm:cxn modelId="{656C4246-C234-4841-A78C-CD93274A79FF}" srcId="{359950B9-E171-4E5C-A236-32D015733FD7}" destId="{C745EB14-9135-4117-9CF7-14D71CBE65B1}" srcOrd="0" destOrd="0" parTransId="{C149EFE2-8036-41CD-B989-3FB813A88834}" sibTransId="{F817C9C8-3FC1-4A20-B57E-BBFCDDAC607C}"/>
    <dgm:cxn modelId="{39766673-8647-456C-BC4C-D0E27497BA57}" srcId="{359950B9-E171-4E5C-A236-32D015733FD7}" destId="{EA2C6E6F-44A3-413B-9066-B1DFEEE29A3E}" srcOrd="5" destOrd="0" parTransId="{F5E76629-3A64-4113-B3CA-D79B6F7D9BAD}" sibTransId="{1C889022-FC3D-4181-86B1-2946A5543D28}"/>
    <dgm:cxn modelId="{B28C4B79-36CA-4B92-ABDF-E41DFAFAAB98}" type="presOf" srcId="{F43AC232-3702-4B32-8EDF-C556361E3974}" destId="{F01EC3B2-9CFA-451C-B555-81CDFBDA8688}" srcOrd="0" destOrd="0" presId="urn:diagrams.loki3.com/VaryingWidthList"/>
    <dgm:cxn modelId="{AF3C8E7B-659C-4C04-A715-7ADF0AD8C54E}" type="presOf" srcId="{C745EB14-9135-4117-9CF7-14D71CBE65B1}" destId="{2E945E1F-CF48-4810-B086-51AC79D13E0D}" srcOrd="0" destOrd="0" presId="urn:diagrams.loki3.com/VaryingWidthList"/>
    <dgm:cxn modelId="{91DACC80-75A4-4152-8AA4-2C76AC07C8D1}" type="presOf" srcId="{359950B9-E171-4E5C-A236-32D015733FD7}" destId="{D4FEBB14-24A3-4DA1-8EAF-B3FABAFEB6FF}" srcOrd="0" destOrd="0" presId="urn:diagrams.loki3.com/VaryingWidthList"/>
    <dgm:cxn modelId="{713DD893-27D0-4CB4-AB18-389D394BEDDF}" type="presOf" srcId="{F2E9788F-0EEA-4886-AAE7-AA29FA67A1E8}" destId="{EB7A545A-242A-487B-A6A7-6A8A424A3421}" srcOrd="0" destOrd="0" presId="urn:diagrams.loki3.com/VaryingWidthList"/>
    <dgm:cxn modelId="{24B20D99-9B03-400E-AC05-E521E97113C0}" type="presOf" srcId="{EA2C6E6F-44A3-413B-9066-B1DFEEE29A3E}" destId="{E8DEC8D0-FE6C-423C-AC42-3B3C0E32F87E}" srcOrd="0" destOrd="0" presId="urn:diagrams.loki3.com/VaryingWidthList"/>
    <dgm:cxn modelId="{F36CE4A1-1A19-45AB-AA5E-FDC8B1844B78}" srcId="{359950B9-E171-4E5C-A236-32D015733FD7}" destId="{4616558A-012B-4FFA-AEEA-E14282F47C2C}" srcOrd="2" destOrd="0" parTransId="{C41D111A-615B-46C4-B1D7-8CEEA53BFA9F}" sibTransId="{F5AE8E97-7479-4CA0-AADE-1593A0AAF775}"/>
    <dgm:cxn modelId="{291B61C8-851D-4989-AB70-C0D4A7972734}" srcId="{359950B9-E171-4E5C-A236-32D015733FD7}" destId="{B1239FB7-C0AF-40E2-9229-1CC76FB937B2}" srcOrd="3" destOrd="0" parTransId="{315886C2-1EA3-4AB2-BC38-39961131AF2F}" sibTransId="{049DD3E9-A612-42E3-A16B-46FD9D5D070E}"/>
    <dgm:cxn modelId="{0AF92EE9-88F9-4C89-9A68-ACCFEE07A5B8}" type="presOf" srcId="{D20FE115-4906-4F29-8C64-7D52CDF5541C}" destId="{BF1F62CA-C5C7-42E6-A695-A5EC8A56214E}" srcOrd="0" destOrd="0" presId="urn:diagrams.loki3.com/VaryingWidthList"/>
    <dgm:cxn modelId="{1AC93CEE-8C16-417E-AF57-EE05C09E14CC}" srcId="{359950B9-E171-4E5C-A236-32D015733FD7}" destId="{F43AC232-3702-4B32-8EDF-C556361E3974}" srcOrd="4" destOrd="0" parTransId="{129DFE3B-6CA8-49EC-8A6D-149AD14DCCBF}" sibTransId="{BCC15888-C9DB-447C-89A8-657A43651F2D}"/>
    <dgm:cxn modelId="{7E4B4CD4-CFCE-43E7-ABBB-EC0E5EB99B38}" type="presParOf" srcId="{D4FEBB14-24A3-4DA1-8EAF-B3FABAFEB6FF}" destId="{2E945E1F-CF48-4810-B086-51AC79D13E0D}" srcOrd="0" destOrd="0" presId="urn:diagrams.loki3.com/VaryingWidthList"/>
    <dgm:cxn modelId="{C3CE3AC6-43CE-4703-BAA9-50B73704F1E1}" type="presParOf" srcId="{D4FEBB14-24A3-4DA1-8EAF-B3FABAFEB6FF}" destId="{8999DE7D-7EC6-41D4-BD61-F2FB66FFBC65}" srcOrd="1" destOrd="0" presId="urn:diagrams.loki3.com/VaryingWidthList"/>
    <dgm:cxn modelId="{1DE623A2-34D5-4F2F-A4C3-3858F1724765}" type="presParOf" srcId="{D4FEBB14-24A3-4DA1-8EAF-B3FABAFEB6FF}" destId="{BF1F62CA-C5C7-42E6-A695-A5EC8A56214E}" srcOrd="2" destOrd="0" presId="urn:diagrams.loki3.com/VaryingWidthList"/>
    <dgm:cxn modelId="{1FD5C708-FBD5-4EC6-B060-09B4D053F0BA}" type="presParOf" srcId="{D4FEBB14-24A3-4DA1-8EAF-B3FABAFEB6FF}" destId="{67DAB3EA-D97A-4EA5-81FF-8DA433F251D4}" srcOrd="3" destOrd="0" presId="urn:diagrams.loki3.com/VaryingWidthList"/>
    <dgm:cxn modelId="{68992315-4818-460E-ABD0-59862D4953A8}" type="presParOf" srcId="{D4FEBB14-24A3-4DA1-8EAF-B3FABAFEB6FF}" destId="{0BB75B9B-BEF3-4C32-93BA-CB4048DFFC55}" srcOrd="4" destOrd="0" presId="urn:diagrams.loki3.com/VaryingWidthList"/>
    <dgm:cxn modelId="{87E26975-3F5C-48E1-AEE2-D96A51E3C9CC}" type="presParOf" srcId="{D4FEBB14-24A3-4DA1-8EAF-B3FABAFEB6FF}" destId="{73A0D67D-6A86-4F74-AC05-2196FE006128}" srcOrd="5" destOrd="0" presId="urn:diagrams.loki3.com/VaryingWidthList"/>
    <dgm:cxn modelId="{AC233F04-5B2B-478D-835D-2761B6A295D8}" type="presParOf" srcId="{D4FEBB14-24A3-4DA1-8EAF-B3FABAFEB6FF}" destId="{1B117333-427F-4410-A7C4-798E19A11BF2}" srcOrd="6" destOrd="0" presId="urn:diagrams.loki3.com/VaryingWidthList"/>
    <dgm:cxn modelId="{95FA9823-7B80-4B7A-BCD9-ACB530163F5B}" type="presParOf" srcId="{D4FEBB14-24A3-4DA1-8EAF-B3FABAFEB6FF}" destId="{853057CA-B18B-4331-A113-D4BCAAB02734}" srcOrd="7" destOrd="0" presId="urn:diagrams.loki3.com/VaryingWidthList"/>
    <dgm:cxn modelId="{B5D91FAD-A446-479A-8A2E-8D4672B36481}" type="presParOf" srcId="{D4FEBB14-24A3-4DA1-8EAF-B3FABAFEB6FF}" destId="{F01EC3B2-9CFA-451C-B555-81CDFBDA8688}" srcOrd="8" destOrd="0" presId="urn:diagrams.loki3.com/VaryingWidthList"/>
    <dgm:cxn modelId="{E099F83D-DC22-4724-BB7D-ADFE28CA3962}" type="presParOf" srcId="{D4FEBB14-24A3-4DA1-8EAF-B3FABAFEB6FF}" destId="{904ACB51-57D8-4A7C-8856-83D12F1BEF6B}" srcOrd="9" destOrd="0" presId="urn:diagrams.loki3.com/VaryingWidthList"/>
    <dgm:cxn modelId="{AF1F0EA4-106C-4968-B78E-102D8F110330}" type="presParOf" srcId="{D4FEBB14-24A3-4DA1-8EAF-B3FABAFEB6FF}" destId="{E8DEC8D0-FE6C-423C-AC42-3B3C0E32F87E}" srcOrd="10" destOrd="0" presId="urn:diagrams.loki3.com/VaryingWidthList"/>
    <dgm:cxn modelId="{DFCDDCC5-A100-4A3B-BB0D-9F14067767AE}" type="presParOf" srcId="{D4FEBB14-24A3-4DA1-8EAF-B3FABAFEB6FF}" destId="{BFEE7E6E-A917-4B97-AD7F-E575A3800D01}" srcOrd="11" destOrd="0" presId="urn:diagrams.loki3.com/VaryingWidthList"/>
    <dgm:cxn modelId="{16C62902-1202-4873-A725-179A0AEECE8A}" type="presParOf" srcId="{D4FEBB14-24A3-4DA1-8EAF-B3FABAFEB6FF}" destId="{EB7A545A-242A-487B-A6A7-6A8A424A3421}" srcOrd="12" destOrd="0" presId="urn:diagrams.loki3.com/VaryingWidthList"/>
  </dgm:cxnLst>
  <dgm:bg>
    <a:no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945E1F-CF48-4810-B086-51AC79D13E0D}">
      <dsp:nvSpPr>
        <dsp:cNvPr id="0" name=""/>
        <dsp:cNvSpPr/>
      </dsp:nvSpPr>
      <dsp:spPr>
        <a:xfrm>
          <a:off x="0" y="224"/>
          <a:ext cx="5407025" cy="36049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November 2019</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The Wuhan City Healtd Commision reported the first cases of coronavirus</a:t>
          </a:r>
        </a:p>
      </dsp:txBody>
      <dsp:txXfrm>
        <a:off x="0" y="224"/>
        <a:ext cx="5407025" cy="360496"/>
      </dsp:txXfrm>
    </dsp:sp>
    <dsp:sp modelId="{BF1F62CA-C5C7-42E6-A695-A5EC8A56214E}">
      <dsp:nvSpPr>
        <dsp:cNvPr id="0" name=""/>
        <dsp:cNvSpPr/>
      </dsp:nvSpPr>
      <dsp:spPr>
        <a:xfrm>
          <a:off x="0" y="378746"/>
          <a:ext cx="5407025" cy="36049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25 January 2020</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First case confirmed in Malaysia</a:t>
          </a:r>
        </a:p>
      </dsp:txBody>
      <dsp:txXfrm>
        <a:off x="0" y="378746"/>
        <a:ext cx="5407025" cy="360496"/>
      </dsp:txXfrm>
    </dsp:sp>
    <dsp:sp modelId="{0BB75B9B-BEF3-4C32-93BA-CB4048DFFC55}">
      <dsp:nvSpPr>
        <dsp:cNvPr id="0" name=""/>
        <dsp:cNvSpPr/>
      </dsp:nvSpPr>
      <dsp:spPr>
        <a:xfrm>
          <a:off x="0" y="757267"/>
          <a:ext cx="5407025" cy="36049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2 March 2020</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Indonesia government announced first confirmed Covid-19 cases in Indonesia</a:t>
          </a:r>
        </a:p>
      </dsp:txBody>
      <dsp:txXfrm>
        <a:off x="0" y="757267"/>
        <a:ext cx="5407025" cy="360496"/>
      </dsp:txXfrm>
    </dsp:sp>
    <dsp:sp modelId="{1B117333-427F-4410-A7C4-798E19A11BF2}">
      <dsp:nvSpPr>
        <dsp:cNvPr id="0" name=""/>
        <dsp:cNvSpPr/>
      </dsp:nvSpPr>
      <dsp:spPr>
        <a:xfrm>
          <a:off x="0" y="1135789"/>
          <a:ext cx="5407025" cy="36049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11 March 2020</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WHO declared the COVID-19 as the global pandemic issue</a:t>
          </a:r>
        </a:p>
      </dsp:txBody>
      <dsp:txXfrm>
        <a:off x="0" y="1135789"/>
        <a:ext cx="5407025" cy="360496"/>
      </dsp:txXfrm>
    </dsp:sp>
    <dsp:sp modelId="{F01EC3B2-9CFA-451C-B555-81CDFBDA8688}">
      <dsp:nvSpPr>
        <dsp:cNvPr id="0" name=""/>
        <dsp:cNvSpPr/>
      </dsp:nvSpPr>
      <dsp:spPr>
        <a:xfrm>
          <a:off x="0" y="1514310"/>
          <a:ext cx="5407025" cy="36049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18 March 2020</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Lockdown policies applied in Malaysia</a:t>
          </a:r>
        </a:p>
      </dsp:txBody>
      <dsp:txXfrm>
        <a:off x="0" y="1514310"/>
        <a:ext cx="5407025" cy="360496"/>
      </dsp:txXfrm>
    </dsp:sp>
    <dsp:sp modelId="{E8DEC8D0-FE6C-423C-AC42-3B3C0E32F87E}">
      <dsp:nvSpPr>
        <dsp:cNvPr id="0" name=""/>
        <dsp:cNvSpPr/>
      </dsp:nvSpPr>
      <dsp:spPr>
        <a:xfrm>
          <a:off x="0" y="1892832"/>
          <a:ext cx="5407025" cy="36049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March 2020</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Indonesia's stock market fall to 25% while Malaysia's fall to 20.52%</a:t>
          </a:r>
        </a:p>
      </dsp:txBody>
      <dsp:txXfrm>
        <a:off x="0" y="1892832"/>
        <a:ext cx="5407025" cy="360496"/>
      </dsp:txXfrm>
    </dsp:sp>
    <dsp:sp modelId="{EB7A545A-242A-487B-A6A7-6A8A424A3421}">
      <dsp:nvSpPr>
        <dsp:cNvPr id="0" name=""/>
        <dsp:cNvSpPr/>
      </dsp:nvSpPr>
      <dsp:spPr>
        <a:xfrm>
          <a:off x="0" y="2271353"/>
          <a:ext cx="5407025" cy="36049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10 April 2020 </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Indonesia's COVID-19 cases reached out 3000 confirmed and 300 death cases, first lockdown regulate implemented in Indonesia</a:t>
          </a:r>
          <a:endParaRPr lang="id-ID" sz="800" kern="1200">
            <a:latin typeface="Times New Roman" panose="02020603050405020304" pitchFamily="18" charset="0"/>
            <a:cs typeface="Times New Roman" panose="02020603050405020304" pitchFamily="18" charset="0"/>
          </a:endParaRPr>
        </a:p>
      </dsp:txBody>
      <dsp:txXfrm>
        <a:off x="0" y="2271353"/>
        <a:ext cx="5407025" cy="360496"/>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8FFF-DA1D-4A2B-8C6C-13FB6731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15547</Words>
  <Characters>88622</Characters>
  <Application>Microsoft Office Word</Application>
  <DocSecurity>0</DocSecurity>
  <Lines>738</Lines>
  <Paragraphs>207</Paragraphs>
  <ScaleCrop>false</ScaleCrop>
  <Company/>
  <LinksUpToDate>false</LinksUpToDate>
  <CharactersWithSpaces>103962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2022-03-25T14:35:00Z</dcterms:created>
  <dcterms:modified xsi:type="dcterms:W3CDTF">2022-03-25T14:35:00Z</dcterms:modified>
</cp:coreProperties>
</file>