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DD79" w14:textId="77777777" w:rsidR="0092786C" w:rsidRDefault="00000000">
      <w:pPr>
        <w:spacing w:after="0" w:line="240" w:lineRule="auto"/>
        <w:rPr>
          <w:rFonts w:ascii="Cambria" w:eastAsia="Cambria" w:hAnsi="Cambria" w:cs="Cambria"/>
          <w:b/>
          <w:sz w:val="24"/>
          <w:szCs w:val="24"/>
        </w:rPr>
      </w:pPr>
      <w:r>
        <w:rPr>
          <w:rFonts w:ascii="Cambria" w:eastAsia="Cambria" w:hAnsi="Cambria" w:cs="Cambria"/>
          <w:b/>
          <w:smallCaps/>
          <w:color w:val="323E4F"/>
          <w:sz w:val="24"/>
          <w:szCs w:val="24"/>
        </w:rPr>
        <w:t xml:space="preserve">Before Using This Layout, </w:t>
      </w:r>
    </w:p>
    <w:p w14:paraId="7FB5331C" w14:textId="77777777" w:rsidR="0092786C" w:rsidRDefault="00000000">
      <w:pPr>
        <w:spacing w:after="0" w:line="240" w:lineRule="auto"/>
        <w:rPr>
          <w:rFonts w:ascii="Cambria" w:eastAsia="Cambria" w:hAnsi="Cambria" w:cs="Cambria"/>
          <w:color w:val="C00000"/>
          <w:sz w:val="20"/>
          <w:szCs w:val="20"/>
        </w:rPr>
      </w:pPr>
      <w:r>
        <w:rPr>
          <w:rFonts w:ascii="Cambria" w:eastAsia="Cambria" w:hAnsi="Cambria" w:cs="Cambria"/>
          <w:b/>
          <w:color w:val="C00000"/>
          <w:sz w:val="20"/>
          <w:szCs w:val="20"/>
        </w:rPr>
        <w:t>Please read all the information in the Authors’ Guidelines.</w:t>
      </w:r>
    </w:p>
    <w:p w14:paraId="6576B64D" w14:textId="0447C15F" w:rsidR="0092786C" w:rsidRPr="00CC0DAD" w:rsidRDefault="00000000" w:rsidP="00CC0DAD">
      <w:pPr>
        <w:spacing w:after="0" w:line="276" w:lineRule="auto"/>
        <w:jc w:val="center"/>
        <w:rPr>
          <w:rFonts w:ascii="Century" w:hAnsi="Century" w:cs="Times New Roman"/>
          <w:b/>
          <w:bCs/>
          <w:sz w:val="28"/>
          <w:szCs w:val="28"/>
        </w:rPr>
      </w:pPr>
      <w:r>
        <w:rPr>
          <w:rFonts w:ascii="Cambria" w:eastAsia="Cambria" w:hAnsi="Cambria" w:cs="Cambria"/>
          <w:sz w:val="20"/>
          <w:szCs w:val="20"/>
        </w:rPr>
        <w:br/>
      </w:r>
      <w:r w:rsidR="00CC0DAD" w:rsidRPr="001E05B4">
        <w:rPr>
          <w:rFonts w:ascii="Century" w:hAnsi="Century" w:cs="Times New Roman"/>
          <w:b/>
          <w:bCs/>
          <w:sz w:val="28"/>
          <w:szCs w:val="28"/>
        </w:rPr>
        <w:t>TAX AVOIDANCE: OVERVIEW OF COMPANIES IN INDONESIA</w:t>
      </w:r>
    </w:p>
    <w:p w14:paraId="4A2EED39" w14:textId="77777777" w:rsidR="00CC0DAD" w:rsidRPr="00167A0F" w:rsidRDefault="00CC0DAD" w:rsidP="00CC0DAD">
      <w:pPr>
        <w:spacing w:after="0" w:line="276" w:lineRule="auto"/>
        <w:jc w:val="center"/>
        <w:rPr>
          <w:rFonts w:ascii="Century" w:hAnsi="Century" w:cs="Times New Roman"/>
          <w:b/>
          <w:bCs/>
        </w:rPr>
      </w:pPr>
      <w:r w:rsidRPr="00167A0F">
        <w:rPr>
          <w:rFonts w:ascii="Century" w:hAnsi="Century" w:cs="Times New Roman"/>
          <w:b/>
          <w:bCs/>
        </w:rPr>
        <w:t>Rachmawati Meita Oktaviani</w:t>
      </w:r>
      <w:r w:rsidRPr="00167A0F">
        <w:rPr>
          <w:rFonts w:ascii="Century" w:hAnsi="Century" w:cs="Times New Roman"/>
          <w:b/>
          <w:bCs/>
          <w:vertAlign w:val="superscript"/>
        </w:rPr>
        <w:t>1</w:t>
      </w:r>
      <w:proofErr w:type="gramStart"/>
      <w:r w:rsidRPr="00167A0F">
        <w:rPr>
          <w:rFonts w:ascii="Century" w:hAnsi="Century" w:cs="Times New Roman"/>
          <w:b/>
          <w:bCs/>
        </w:rPr>
        <w:t>* ,</w:t>
      </w:r>
      <w:proofErr w:type="gramEnd"/>
      <w:r w:rsidRPr="00167A0F">
        <w:rPr>
          <w:rFonts w:ascii="Century" w:hAnsi="Century" w:cs="Times New Roman"/>
          <w:b/>
          <w:bCs/>
        </w:rPr>
        <w:t xml:space="preserve"> </w:t>
      </w:r>
      <w:proofErr w:type="spellStart"/>
      <w:r w:rsidRPr="00167A0F">
        <w:rPr>
          <w:rFonts w:ascii="Century" w:hAnsi="Century" w:cs="Times New Roman"/>
          <w:b/>
          <w:bCs/>
        </w:rPr>
        <w:t>Sevi</w:t>
      </w:r>
      <w:proofErr w:type="spellEnd"/>
      <w:r w:rsidRPr="00167A0F">
        <w:rPr>
          <w:rFonts w:ascii="Century" w:hAnsi="Century" w:cs="Times New Roman"/>
          <w:b/>
          <w:bCs/>
        </w:rPr>
        <w:t xml:space="preserve"> </w:t>
      </w:r>
      <w:proofErr w:type="spellStart"/>
      <w:r w:rsidRPr="00167A0F">
        <w:rPr>
          <w:rFonts w:ascii="Century" w:hAnsi="Century" w:cs="Times New Roman"/>
          <w:b/>
          <w:bCs/>
        </w:rPr>
        <w:t>Lestya</w:t>
      </w:r>
      <w:proofErr w:type="spellEnd"/>
      <w:r w:rsidRPr="00167A0F">
        <w:rPr>
          <w:rFonts w:ascii="Century" w:hAnsi="Century" w:cs="Times New Roman"/>
          <w:b/>
          <w:bCs/>
        </w:rPr>
        <w:t xml:space="preserve"> Dewi</w:t>
      </w:r>
      <w:r w:rsidRPr="00167A0F">
        <w:rPr>
          <w:rFonts w:ascii="Century" w:hAnsi="Century" w:cs="Times New Roman"/>
          <w:b/>
          <w:bCs/>
          <w:vertAlign w:val="superscript"/>
        </w:rPr>
        <w:t>2</w:t>
      </w:r>
      <w:r w:rsidRPr="00167A0F">
        <w:rPr>
          <w:rFonts w:ascii="Century" w:hAnsi="Century" w:cs="Times New Roman"/>
          <w:b/>
          <w:bCs/>
        </w:rPr>
        <w:t xml:space="preserve">, </w:t>
      </w:r>
      <w:proofErr w:type="spellStart"/>
      <w:r w:rsidRPr="00167A0F">
        <w:rPr>
          <w:rFonts w:ascii="Century" w:hAnsi="Century" w:cs="Times New Roman"/>
          <w:b/>
          <w:bCs/>
        </w:rPr>
        <w:t>Sartika</w:t>
      </w:r>
      <w:proofErr w:type="spellEnd"/>
      <w:r w:rsidRPr="00167A0F">
        <w:rPr>
          <w:rFonts w:ascii="Century" w:hAnsi="Century" w:cs="Times New Roman"/>
          <w:b/>
          <w:bCs/>
        </w:rPr>
        <w:t xml:space="preserve"> Wulandari</w:t>
      </w:r>
      <w:r w:rsidRPr="00167A0F">
        <w:rPr>
          <w:rFonts w:ascii="Century" w:hAnsi="Century" w:cs="Times New Roman"/>
          <w:b/>
          <w:bCs/>
          <w:vertAlign w:val="superscript"/>
        </w:rPr>
        <w:t>3</w:t>
      </w:r>
      <w:r w:rsidRPr="00167A0F">
        <w:rPr>
          <w:rFonts w:ascii="Century" w:hAnsi="Century" w:cs="Times New Roman"/>
          <w:b/>
          <w:bCs/>
        </w:rPr>
        <w:t>, Sunarto</w:t>
      </w:r>
      <w:r w:rsidRPr="00167A0F">
        <w:rPr>
          <w:rFonts w:ascii="Century" w:hAnsi="Century" w:cs="Times New Roman"/>
          <w:b/>
          <w:bCs/>
          <w:vertAlign w:val="superscript"/>
        </w:rPr>
        <w:t>4</w:t>
      </w:r>
    </w:p>
    <w:p w14:paraId="796C8E77" w14:textId="76844BAF" w:rsidR="00CC0DAD" w:rsidRPr="001E05B4" w:rsidRDefault="00CC0DAD" w:rsidP="00CC0DAD">
      <w:pPr>
        <w:spacing w:after="0" w:line="276" w:lineRule="auto"/>
        <w:jc w:val="center"/>
        <w:rPr>
          <w:rFonts w:ascii="Century" w:hAnsi="Century" w:cs="Times New Roman"/>
        </w:rPr>
      </w:pPr>
      <w:r>
        <w:rPr>
          <w:rFonts w:ascii="Century" w:hAnsi="Century" w:cs="Times New Roman"/>
          <w:vertAlign w:val="superscript"/>
        </w:rPr>
        <w:t>1,2,3,</w:t>
      </w:r>
      <w:r w:rsidRPr="00167A0F">
        <w:rPr>
          <w:rFonts w:ascii="Century" w:hAnsi="Century" w:cs="Times New Roman"/>
          <w:vertAlign w:val="superscript"/>
        </w:rPr>
        <w:t>4</w:t>
      </w:r>
      <w:r>
        <w:rPr>
          <w:rFonts w:ascii="Century" w:hAnsi="Century" w:cs="Times New Roman"/>
        </w:rPr>
        <w:t xml:space="preserve">Accounting Department, Faculty of Economic and </w:t>
      </w:r>
      <w:proofErr w:type="spellStart"/>
      <w:r>
        <w:rPr>
          <w:rFonts w:ascii="Century" w:hAnsi="Century" w:cs="Times New Roman"/>
        </w:rPr>
        <w:t>Bussiness</w:t>
      </w:r>
      <w:proofErr w:type="spellEnd"/>
      <w:r>
        <w:rPr>
          <w:rFonts w:ascii="Century" w:hAnsi="Century" w:cs="Times New Roman"/>
        </w:rPr>
        <w:t xml:space="preserve">, </w:t>
      </w:r>
      <w:r w:rsidRPr="001E05B4">
        <w:rPr>
          <w:rFonts w:ascii="Century" w:hAnsi="Century" w:cs="Times New Roman"/>
        </w:rPr>
        <w:t xml:space="preserve">Universitas </w:t>
      </w:r>
      <w:proofErr w:type="spellStart"/>
      <w:r w:rsidRPr="001E05B4">
        <w:rPr>
          <w:rFonts w:ascii="Century" w:hAnsi="Century" w:cs="Times New Roman"/>
        </w:rPr>
        <w:t>Stikubank</w:t>
      </w:r>
      <w:proofErr w:type="spellEnd"/>
      <w:r w:rsidRPr="001E05B4">
        <w:rPr>
          <w:rFonts w:ascii="Century" w:hAnsi="Century" w:cs="Times New Roman"/>
        </w:rPr>
        <w:t xml:space="preserve"> Semarang</w:t>
      </w:r>
      <w:r>
        <w:rPr>
          <w:rFonts w:ascii="Century" w:hAnsi="Century" w:cs="Times New Roman"/>
        </w:rPr>
        <w:t>, Central Java, Indonesia</w:t>
      </w:r>
    </w:p>
    <w:p w14:paraId="54A2655D" w14:textId="77777777" w:rsidR="00CC0DAD" w:rsidRPr="001E05B4" w:rsidRDefault="00CC0DAD" w:rsidP="00CC0DAD">
      <w:pPr>
        <w:spacing w:after="0" w:line="276" w:lineRule="auto"/>
        <w:jc w:val="center"/>
        <w:rPr>
          <w:rStyle w:val="Hyperlink"/>
          <w:rFonts w:ascii="Century" w:hAnsi="Century" w:cs="Times New Roman"/>
        </w:rPr>
      </w:pPr>
      <w:r w:rsidRPr="001E05B4">
        <w:rPr>
          <w:rFonts w:ascii="Century" w:hAnsi="Century" w:cs="Times New Roman"/>
        </w:rPr>
        <w:t xml:space="preserve">*Corresponding </w:t>
      </w:r>
      <w:proofErr w:type="gramStart"/>
      <w:r w:rsidRPr="001E05B4">
        <w:rPr>
          <w:rFonts w:ascii="Century" w:hAnsi="Century" w:cs="Times New Roman"/>
        </w:rPr>
        <w:t>author :</w:t>
      </w:r>
      <w:proofErr w:type="gramEnd"/>
      <w:r w:rsidRPr="001E05B4">
        <w:rPr>
          <w:rFonts w:ascii="Century" w:hAnsi="Century" w:cs="Times New Roman"/>
        </w:rPr>
        <w:t xml:space="preserve"> </w:t>
      </w:r>
      <w:hyperlink r:id="rId6" w:history="1">
        <w:r w:rsidRPr="001E05B4">
          <w:rPr>
            <w:rStyle w:val="Hyperlink"/>
            <w:rFonts w:ascii="Century" w:hAnsi="Century" w:cs="Times New Roman"/>
          </w:rPr>
          <w:t>meitarachma@edu.unisbank.ac.id</w:t>
        </w:r>
      </w:hyperlink>
    </w:p>
    <w:p w14:paraId="3462E21A" w14:textId="77777777" w:rsidR="0092786C" w:rsidRDefault="0092786C">
      <w:pPr>
        <w:spacing w:after="0" w:line="240" w:lineRule="auto"/>
        <w:rPr>
          <w:rFonts w:ascii="Cambria" w:eastAsia="Cambria" w:hAnsi="Cambria" w:cs="Cambria"/>
          <w:sz w:val="20"/>
          <w:szCs w:val="20"/>
        </w:rPr>
      </w:pPr>
    </w:p>
    <w:tbl>
      <w:tblPr>
        <w:tblStyle w:val="a"/>
        <w:tblW w:w="2410" w:type="dxa"/>
        <w:tblBorders>
          <w:top w:val="single" w:sz="4" w:space="0" w:color="000000"/>
          <w:bottom w:val="single" w:sz="4" w:space="0" w:color="000000"/>
        </w:tblBorders>
        <w:tblLayout w:type="fixed"/>
        <w:tblLook w:val="0400" w:firstRow="0" w:lastRow="0" w:firstColumn="0" w:lastColumn="0" w:noHBand="0" w:noVBand="1"/>
      </w:tblPr>
      <w:tblGrid>
        <w:gridCol w:w="2410"/>
      </w:tblGrid>
      <w:tr w:rsidR="0092786C" w14:paraId="217A2A3B" w14:textId="77777777">
        <w:trPr>
          <w:trHeight w:val="870"/>
        </w:trPr>
        <w:tc>
          <w:tcPr>
            <w:tcW w:w="2410" w:type="dxa"/>
            <w:shd w:val="clear" w:color="auto" w:fill="auto"/>
          </w:tcPr>
          <w:p w14:paraId="5088D0BE" w14:textId="77777777" w:rsidR="0092786C" w:rsidRDefault="00000000">
            <w:pPr>
              <w:spacing w:after="0" w:line="240" w:lineRule="auto"/>
              <w:rPr>
                <w:rFonts w:ascii="Cambria" w:eastAsia="Cambria" w:hAnsi="Cambria" w:cs="Cambria"/>
                <w:b/>
                <w:color w:val="000000"/>
                <w:sz w:val="18"/>
                <w:szCs w:val="18"/>
              </w:rPr>
            </w:pPr>
            <w:r>
              <w:rPr>
                <w:rFonts w:ascii="Cambria" w:eastAsia="Cambria" w:hAnsi="Cambria" w:cs="Cambria"/>
                <w:b/>
                <w:color w:val="000000"/>
                <w:sz w:val="18"/>
                <w:szCs w:val="18"/>
              </w:rPr>
              <w:t>Article history:</w:t>
            </w:r>
          </w:p>
          <w:p w14:paraId="2BBCE5F0" w14:textId="77777777" w:rsidR="0092786C" w:rsidRDefault="00000000">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xml:space="preserve">Received: </w:t>
            </w:r>
            <w:r>
              <w:rPr>
                <w:rFonts w:ascii="Cambria" w:eastAsia="Cambria" w:hAnsi="Cambria" w:cs="Cambria"/>
                <w:color w:val="222222"/>
                <w:sz w:val="18"/>
                <w:szCs w:val="18"/>
                <w:highlight w:val="white"/>
              </w:rPr>
              <w:t>2020-12-31</w:t>
            </w:r>
          </w:p>
          <w:p w14:paraId="08CDE4A9" w14:textId="77777777" w:rsidR="0092786C" w:rsidRDefault="00000000">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 xml:space="preserve">Revised: </w:t>
            </w:r>
            <w:r>
              <w:rPr>
                <w:rFonts w:ascii="Cambria" w:eastAsia="Cambria" w:hAnsi="Cambria" w:cs="Cambria"/>
                <w:color w:val="222222"/>
                <w:sz w:val="18"/>
                <w:szCs w:val="18"/>
                <w:highlight w:val="white"/>
              </w:rPr>
              <w:t>2020-12-31</w:t>
            </w:r>
          </w:p>
          <w:p w14:paraId="5DC9CAE9" w14:textId="77777777" w:rsidR="0092786C" w:rsidRDefault="00000000">
            <w:pPr>
              <w:spacing w:after="0" w:line="240" w:lineRule="auto"/>
              <w:rPr>
                <w:rFonts w:ascii="Cambria" w:eastAsia="Cambria" w:hAnsi="Cambria" w:cs="Cambria"/>
                <w:color w:val="000000"/>
                <w:sz w:val="18"/>
                <w:szCs w:val="18"/>
              </w:rPr>
            </w:pPr>
            <w:r>
              <w:rPr>
                <w:rFonts w:ascii="Cambria" w:eastAsia="Cambria" w:hAnsi="Cambria" w:cs="Cambria"/>
                <w:color w:val="000000"/>
                <w:sz w:val="18"/>
                <w:szCs w:val="18"/>
              </w:rPr>
              <w:t>Accepted: 2020-12-31</w:t>
            </w:r>
          </w:p>
        </w:tc>
      </w:tr>
    </w:tbl>
    <w:p w14:paraId="66B2EE40" w14:textId="77777777" w:rsidR="0092786C" w:rsidRDefault="0092786C">
      <w:pPr>
        <w:widowControl w:val="0"/>
        <w:pBdr>
          <w:top w:val="nil"/>
          <w:left w:val="nil"/>
          <w:bottom w:val="nil"/>
          <w:right w:val="nil"/>
          <w:between w:val="nil"/>
        </w:pBdr>
        <w:spacing w:after="0" w:line="240" w:lineRule="auto"/>
        <w:jc w:val="both"/>
        <w:rPr>
          <w:rFonts w:ascii="Cambria" w:eastAsia="Cambria" w:hAnsi="Cambria" w:cs="Cambria"/>
          <w:color w:val="000000"/>
          <w:sz w:val="20"/>
          <w:szCs w:val="20"/>
        </w:rPr>
      </w:pPr>
    </w:p>
    <w:p w14:paraId="796AFEC3" w14:textId="77777777" w:rsidR="0092786C" w:rsidRDefault="00000000">
      <w:pPr>
        <w:spacing w:after="0" w:line="240" w:lineRule="auto"/>
        <w:rPr>
          <w:rFonts w:ascii="Cambria" w:eastAsia="Cambria" w:hAnsi="Cambria" w:cs="Cambria"/>
          <w:color w:val="FF0000"/>
          <w:sz w:val="20"/>
          <w:szCs w:val="20"/>
        </w:rPr>
      </w:pPr>
      <w:r>
        <w:rPr>
          <w:rFonts w:ascii="Cambria" w:eastAsia="Cambria" w:hAnsi="Cambria" w:cs="Cambria"/>
          <w:noProof/>
          <w:sz w:val="20"/>
          <w:szCs w:val="20"/>
        </w:rPr>
        <w:drawing>
          <wp:inline distT="0" distB="0" distL="0" distR="0" wp14:anchorId="7B0CE982" wp14:editId="3967254D">
            <wp:extent cx="142875" cy="142875"/>
            <wp:effectExtent l="0" t="0" r="0" b="0"/>
            <wp:docPr id="4" name="image1.png" descr="Image result for symbol email"/>
            <wp:cNvGraphicFramePr/>
            <a:graphic xmlns:a="http://schemas.openxmlformats.org/drawingml/2006/main">
              <a:graphicData uri="http://schemas.openxmlformats.org/drawingml/2006/picture">
                <pic:pic xmlns:pic="http://schemas.openxmlformats.org/drawingml/2006/picture">
                  <pic:nvPicPr>
                    <pic:cNvPr id="0" name="image1.png" descr="Image result for symbol email"/>
                    <pic:cNvPicPr preferRelativeResize="0"/>
                  </pic:nvPicPr>
                  <pic:blipFill>
                    <a:blip r:embed="rId7"/>
                    <a:srcRect/>
                    <a:stretch>
                      <a:fillRect/>
                    </a:stretch>
                  </pic:blipFill>
                  <pic:spPr>
                    <a:xfrm>
                      <a:off x="0" y="0"/>
                      <a:ext cx="142875" cy="142875"/>
                    </a:xfrm>
                    <a:prstGeom prst="rect">
                      <a:avLst/>
                    </a:prstGeom>
                    <a:ln/>
                  </pic:spPr>
                </pic:pic>
              </a:graphicData>
            </a:graphic>
          </wp:inline>
        </w:drawing>
      </w:r>
      <w:r>
        <w:rPr>
          <w:rFonts w:ascii="Cambria" w:eastAsia="Cambria" w:hAnsi="Cambria" w:cs="Cambria"/>
          <w:sz w:val="20"/>
          <w:szCs w:val="20"/>
        </w:rPr>
        <w:t xml:space="preserve"> Corresponding Author:</w:t>
      </w:r>
    </w:p>
    <w:p w14:paraId="18BC862A" w14:textId="77777777" w:rsidR="0092786C" w:rsidRDefault="00000000">
      <w:pPr>
        <w:spacing w:after="0" w:line="240" w:lineRule="auto"/>
        <w:rPr>
          <w:rFonts w:ascii="Cambria" w:eastAsia="Cambria" w:hAnsi="Cambria" w:cs="Cambria"/>
          <w:sz w:val="20"/>
          <w:szCs w:val="20"/>
        </w:rPr>
      </w:pPr>
      <w:r>
        <w:rPr>
          <w:rFonts w:ascii="Cambria" w:eastAsia="Cambria" w:hAnsi="Cambria" w:cs="Cambria"/>
          <w:b/>
          <w:sz w:val="20"/>
          <w:szCs w:val="20"/>
        </w:rPr>
        <w:t>Name author</w:t>
      </w:r>
      <w:r>
        <w:rPr>
          <w:rFonts w:ascii="Cambria" w:eastAsia="Cambria" w:hAnsi="Cambria" w:cs="Cambria"/>
          <w:sz w:val="20"/>
          <w:szCs w:val="20"/>
        </w:rPr>
        <w:t>: Tel.  ………….</w:t>
      </w:r>
    </w:p>
    <w:p w14:paraId="1373AE89" w14:textId="77777777" w:rsidR="0092786C" w:rsidRDefault="00000000">
      <w:pPr>
        <w:spacing w:after="0" w:line="240" w:lineRule="auto"/>
        <w:rPr>
          <w:rFonts w:ascii="Cambria" w:eastAsia="Cambria" w:hAnsi="Cambria" w:cs="Cambria"/>
          <w:color w:val="000000"/>
          <w:sz w:val="20"/>
          <w:szCs w:val="20"/>
        </w:rPr>
      </w:pPr>
      <w:r>
        <w:rPr>
          <w:rFonts w:ascii="Cambria" w:eastAsia="Cambria" w:hAnsi="Cambria" w:cs="Cambria"/>
          <w:sz w:val="20"/>
          <w:szCs w:val="20"/>
        </w:rPr>
        <w:t>E-mail: ……………………</w:t>
      </w:r>
      <w:proofErr w:type="gramStart"/>
      <w:r>
        <w:rPr>
          <w:rFonts w:ascii="Cambria" w:eastAsia="Cambria" w:hAnsi="Cambria" w:cs="Cambria"/>
          <w:sz w:val="20"/>
          <w:szCs w:val="20"/>
        </w:rPr>
        <w:t>…..</w:t>
      </w:r>
      <w:proofErr w:type="gramEnd"/>
    </w:p>
    <w:p w14:paraId="57FB76DD" w14:textId="77777777" w:rsidR="0092786C" w:rsidRDefault="0092786C">
      <w:pPr>
        <w:spacing w:after="0" w:line="240" w:lineRule="auto"/>
        <w:rPr>
          <w:rFonts w:ascii="Cambria" w:eastAsia="Cambria" w:hAnsi="Cambria" w:cs="Cambria"/>
          <w:sz w:val="24"/>
          <w:szCs w:val="24"/>
        </w:rPr>
      </w:pPr>
    </w:p>
    <w:p w14:paraId="650BE5DB" w14:textId="77777777" w:rsidR="0092786C" w:rsidRDefault="00000000">
      <w:pPr>
        <w:jc w:val="center"/>
        <w:rPr>
          <w:rFonts w:ascii="Cambria" w:eastAsia="Cambria" w:hAnsi="Cambria" w:cs="Cambria"/>
          <w:b/>
          <w:sz w:val="48"/>
          <w:szCs w:val="48"/>
        </w:rPr>
      </w:pPr>
      <w:r>
        <w:rPr>
          <w:rFonts w:ascii="Cambria" w:eastAsia="Cambria" w:hAnsi="Cambria" w:cs="Cambria"/>
          <w:b/>
        </w:rPr>
        <w:t>Abstract</w:t>
      </w:r>
    </w:p>
    <w:p w14:paraId="40D8290A" w14:textId="7815C7EF" w:rsidR="0092786C" w:rsidRDefault="00CC0DAD">
      <w:pPr>
        <w:spacing w:after="0" w:line="240" w:lineRule="auto"/>
        <w:jc w:val="both"/>
        <w:rPr>
          <w:rFonts w:ascii="Cambria" w:eastAsia="Cambria" w:hAnsi="Cambria" w:cs="Cambria"/>
          <w:color w:val="000000"/>
          <w:sz w:val="20"/>
          <w:szCs w:val="20"/>
          <w:highlight w:val="white"/>
        </w:rPr>
      </w:pPr>
      <w:r w:rsidRPr="00E73AF7">
        <w:rPr>
          <w:rFonts w:ascii="Century" w:hAnsi="Century" w:cs="Times New Roman"/>
          <w:iCs/>
        </w:rPr>
        <w:t xml:space="preserve">This study aims to examine and analyzed the effect of leverage and capital intensity on tax avoidance with independent commissioner and institutional ownership as moderating variables. The population in this study is the manufacturing companies listed on the Indonesia Stock Exchange (IDX) in 2016-2020. The techniques of determining the sample used was purposive sampling and obtained 75 samples. The analysis used is Panel Data Moderate Regression Analysis (MRA) using software </w:t>
      </w:r>
      <w:proofErr w:type="spellStart"/>
      <w:r w:rsidRPr="00E73AF7">
        <w:rPr>
          <w:rFonts w:ascii="Century" w:hAnsi="Century" w:cs="Times New Roman"/>
          <w:iCs/>
        </w:rPr>
        <w:t>eviews</w:t>
      </w:r>
      <w:proofErr w:type="spellEnd"/>
      <w:r w:rsidRPr="00E73AF7">
        <w:rPr>
          <w:rFonts w:ascii="Century" w:hAnsi="Century" w:cs="Times New Roman"/>
          <w:iCs/>
        </w:rPr>
        <w:t xml:space="preserve"> 9. The result of the analysis showed that leverage and capital intensity have no effect on tax avoidance. Independent commissioner does not </w:t>
      </w:r>
      <w:proofErr w:type="gramStart"/>
      <w:r w:rsidRPr="00E73AF7">
        <w:rPr>
          <w:rFonts w:ascii="Century" w:hAnsi="Century" w:cs="Times New Roman"/>
          <w:iCs/>
        </w:rPr>
        <w:t>moderated</w:t>
      </w:r>
      <w:proofErr w:type="gramEnd"/>
      <w:r w:rsidRPr="00E73AF7">
        <w:rPr>
          <w:rFonts w:ascii="Century" w:hAnsi="Century" w:cs="Times New Roman"/>
          <w:iCs/>
        </w:rPr>
        <w:t xml:space="preserve"> the effect of leverage on tax avoidance. Independent commissioner can weaken the moderate effect of capital intensity on tax avoidance. institutional ownership is not able to moderated the effect of leverage and capital intensity on tax avoidance</w:t>
      </w:r>
    </w:p>
    <w:p w14:paraId="3FAB34CE" w14:textId="1205247A" w:rsidR="0092786C" w:rsidRDefault="00000000">
      <w:pPr>
        <w:spacing w:after="0" w:line="240" w:lineRule="auto"/>
        <w:jc w:val="both"/>
        <w:rPr>
          <w:rFonts w:ascii="Cambria" w:eastAsia="Cambria" w:hAnsi="Cambria" w:cs="Cambria"/>
          <w:sz w:val="20"/>
          <w:szCs w:val="20"/>
        </w:rPr>
      </w:pPr>
      <w:r>
        <w:rPr>
          <w:rFonts w:ascii="Cambria" w:eastAsia="Cambria" w:hAnsi="Cambria" w:cs="Cambria"/>
          <w:b/>
          <w:color w:val="000000"/>
          <w:sz w:val="20"/>
          <w:szCs w:val="20"/>
        </w:rPr>
        <w:t xml:space="preserve">Keywords: </w:t>
      </w:r>
      <w:r w:rsidR="00CC0DAD" w:rsidRPr="00E73AF7">
        <w:rPr>
          <w:rFonts w:ascii="Century" w:hAnsi="Century" w:cs="Times New Roman"/>
          <w:iCs/>
        </w:rPr>
        <w:t>capital intensity</w:t>
      </w:r>
      <w:r w:rsidR="00CC0DAD" w:rsidRPr="00E73AF7">
        <w:rPr>
          <w:rFonts w:ascii="Century" w:hAnsi="Century" w:cs="Times New Roman"/>
        </w:rPr>
        <w:t xml:space="preserve">, institutional ownership, independent commissioner, </w:t>
      </w:r>
      <w:r w:rsidR="00CC0DAD" w:rsidRPr="00E73AF7">
        <w:rPr>
          <w:rFonts w:ascii="Century" w:hAnsi="Century" w:cs="Times New Roman"/>
          <w:iCs/>
        </w:rPr>
        <w:t>leverage</w:t>
      </w:r>
      <w:r w:rsidR="00CC0DAD" w:rsidRPr="00E73AF7">
        <w:rPr>
          <w:rFonts w:ascii="Century" w:hAnsi="Century" w:cs="Times New Roman"/>
        </w:rPr>
        <w:t xml:space="preserve">, </w:t>
      </w:r>
      <w:r w:rsidR="00CC0DAD" w:rsidRPr="00E73AF7">
        <w:rPr>
          <w:rFonts w:ascii="Century" w:hAnsi="Century" w:cs="Times New Roman"/>
          <w:iCs/>
        </w:rPr>
        <w:t>tax avoidance</w:t>
      </w:r>
    </w:p>
    <w:p w14:paraId="2615AA50" w14:textId="77777777" w:rsidR="0092786C" w:rsidRDefault="00000000">
      <w:pPr>
        <w:spacing w:after="0" w:line="240" w:lineRule="auto"/>
        <w:jc w:val="both"/>
        <w:rPr>
          <w:rFonts w:ascii="Cambria" w:eastAsia="Cambria" w:hAnsi="Cambria" w:cs="Cambria"/>
          <w:sz w:val="20"/>
          <w:szCs w:val="20"/>
        </w:rPr>
      </w:pPr>
      <w:r>
        <w:rPr>
          <w:rFonts w:ascii="Cambria" w:eastAsia="Cambria" w:hAnsi="Cambria" w:cs="Cambria"/>
          <w:b/>
          <w:color w:val="000000"/>
          <w:sz w:val="20"/>
          <w:szCs w:val="20"/>
        </w:rPr>
        <w:t xml:space="preserve">JEL Classification: </w:t>
      </w:r>
      <w:r>
        <w:rPr>
          <w:rFonts w:ascii="Cambria" w:eastAsia="Cambria" w:hAnsi="Cambria" w:cs="Cambria"/>
          <w:color w:val="000000"/>
          <w:sz w:val="20"/>
          <w:szCs w:val="20"/>
        </w:rPr>
        <w:t>D13, I31, J22*</w:t>
      </w:r>
    </w:p>
    <w:p w14:paraId="61B69E23" w14:textId="25B3D96C" w:rsidR="0092786C" w:rsidRPr="00CC0DAD" w:rsidRDefault="0092786C" w:rsidP="00F00A13">
      <w:pPr>
        <w:pBdr>
          <w:top w:val="nil"/>
          <w:left w:val="nil"/>
          <w:bottom w:val="nil"/>
          <w:right w:val="nil"/>
          <w:between w:val="nil"/>
        </w:pBdr>
        <w:spacing w:after="0" w:line="240" w:lineRule="auto"/>
        <w:jc w:val="both"/>
        <w:rPr>
          <w:rFonts w:ascii="Cambria" w:eastAsia="Cambria" w:hAnsi="Cambria" w:cs="Cambria"/>
          <w:color w:val="C00000"/>
          <w:sz w:val="18"/>
          <w:szCs w:val="18"/>
          <w:highlight w:val="white"/>
        </w:rPr>
      </w:pPr>
    </w:p>
    <w:p w14:paraId="35DD8141" w14:textId="77777777" w:rsidR="0092786C" w:rsidRDefault="00000000">
      <w:pPr>
        <w:numPr>
          <w:ilvl w:val="0"/>
          <w:numId w:val="1"/>
        </w:numPr>
        <w:pBdr>
          <w:top w:val="nil"/>
          <w:left w:val="nil"/>
          <w:bottom w:val="nil"/>
          <w:right w:val="nil"/>
          <w:between w:val="nil"/>
        </w:pBdr>
        <w:spacing w:after="0" w:line="240" w:lineRule="auto"/>
        <w:ind w:left="567" w:hanging="567"/>
        <w:jc w:val="both"/>
        <w:rPr>
          <w:b/>
          <w:color w:val="000000"/>
          <w:sz w:val="24"/>
          <w:szCs w:val="24"/>
          <w:highlight w:val="white"/>
        </w:rPr>
      </w:pPr>
      <w:r>
        <w:rPr>
          <w:b/>
          <w:color w:val="000000"/>
          <w:sz w:val="24"/>
          <w:szCs w:val="24"/>
          <w:highlight w:val="white"/>
        </w:rPr>
        <w:t>Introduction</w:t>
      </w:r>
    </w:p>
    <w:p w14:paraId="0DB45A9B" w14:textId="77777777" w:rsidR="0092786C" w:rsidRDefault="0092786C">
      <w:pPr>
        <w:spacing w:after="0" w:line="240" w:lineRule="auto"/>
        <w:jc w:val="both"/>
        <w:rPr>
          <w:rFonts w:ascii="Book Antiqua" w:eastAsia="Book Antiqua" w:hAnsi="Book Antiqua" w:cs="Book Antiqua"/>
          <w:color w:val="000000"/>
          <w:sz w:val="20"/>
          <w:szCs w:val="20"/>
          <w:highlight w:val="white"/>
        </w:rPr>
      </w:pPr>
    </w:p>
    <w:p w14:paraId="6F4B3FFA" w14:textId="77777777" w:rsidR="00CC0DAD" w:rsidRPr="00E73AF7" w:rsidRDefault="00CC0DAD" w:rsidP="00CC0DAD">
      <w:pPr>
        <w:pStyle w:val="ListParagraph"/>
        <w:spacing w:after="0" w:line="276" w:lineRule="auto"/>
        <w:ind w:left="432" w:firstLine="432"/>
        <w:jc w:val="both"/>
        <w:rPr>
          <w:rFonts w:ascii="Century" w:hAnsi="Century" w:cs="Times New Roman"/>
        </w:rPr>
      </w:pPr>
      <w:r w:rsidRPr="00E73AF7">
        <w:rPr>
          <w:rFonts w:ascii="Century" w:hAnsi="Century" w:cs="Times New Roman"/>
        </w:rPr>
        <w:t>Taxes are used as a tool for the implementation of national development and general government expenditures for the prosperity and welfare of the Indonesian people. Based on the Publication of the Directorate General of Taxes' Performance Report, data on targets and achievements of tax revenues for the 2016-2020 period, are shown in table 1.1 below.</w:t>
      </w:r>
    </w:p>
    <w:p w14:paraId="34E24079" w14:textId="77777777" w:rsidR="00CC0DAD" w:rsidRPr="001E05B4" w:rsidRDefault="00CC0DAD" w:rsidP="00CC0DAD">
      <w:pPr>
        <w:spacing w:after="0" w:line="240" w:lineRule="auto"/>
        <w:ind w:left="426"/>
        <w:contextualSpacing/>
        <w:jc w:val="center"/>
        <w:rPr>
          <w:rFonts w:ascii="Century" w:hAnsi="Century" w:cs="Times New Roman"/>
          <w:b/>
          <w:bCs/>
          <w:sz w:val="24"/>
          <w:szCs w:val="24"/>
        </w:rPr>
      </w:pPr>
    </w:p>
    <w:p w14:paraId="66D03619" w14:textId="77777777" w:rsidR="00CC0DAD" w:rsidRPr="00E66C83" w:rsidRDefault="00CC0DAD" w:rsidP="00CC0DAD">
      <w:pPr>
        <w:spacing w:after="0" w:line="240" w:lineRule="auto"/>
        <w:ind w:left="426"/>
        <w:contextualSpacing/>
        <w:jc w:val="center"/>
        <w:rPr>
          <w:rFonts w:ascii="Century" w:hAnsi="Century" w:cs="Times New Roman"/>
          <w:b/>
          <w:bCs/>
        </w:rPr>
      </w:pPr>
      <w:r w:rsidRPr="00E66C83">
        <w:rPr>
          <w:rFonts w:ascii="Century" w:hAnsi="Century" w:cs="Times New Roman"/>
          <w:b/>
          <w:bCs/>
        </w:rPr>
        <w:t xml:space="preserve">Table 1. </w:t>
      </w:r>
      <w:r w:rsidRPr="00E66C83">
        <w:rPr>
          <w:rFonts w:ascii="Century" w:hAnsi="Century" w:cs="Times New Roman"/>
        </w:rPr>
        <w:t>2016-2020 Tax Revenue Achievement</w:t>
      </w:r>
    </w:p>
    <w:p w14:paraId="5CB85C9C" w14:textId="77777777" w:rsidR="00CC0DAD" w:rsidRPr="00E66C83" w:rsidRDefault="00CC0DAD" w:rsidP="00CC0DAD">
      <w:pPr>
        <w:spacing w:after="0" w:line="240" w:lineRule="auto"/>
        <w:ind w:left="425"/>
        <w:contextualSpacing/>
        <w:jc w:val="center"/>
        <w:rPr>
          <w:rFonts w:ascii="Century" w:hAnsi="Century" w:cs="Times New Roman"/>
          <w:b/>
          <w:bCs/>
        </w:rPr>
      </w:pPr>
      <w:r w:rsidRPr="00E66C83">
        <w:rPr>
          <w:rFonts w:ascii="Century" w:hAnsi="Century" w:cs="Times New Roman"/>
          <w:b/>
          <w:bCs/>
        </w:rPr>
        <w:t>(Trillion Rupiah)</w:t>
      </w:r>
    </w:p>
    <w:tbl>
      <w:tblPr>
        <w:tblStyle w:val="PlainTable21"/>
        <w:tblW w:w="7636" w:type="dxa"/>
        <w:tblInd w:w="1170" w:type="dxa"/>
        <w:tblLook w:val="04A0" w:firstRow="1" w:lastRow="0" w:firstColumn="1" w:lastColumn="0" w:noHBand="0" w:noVBand="1"/>
      </w:tblPr>
      <w:tblGrid>
        <w:gridCol w:w="2546"/>
        <w:gridCol w:w="1134"/>
        <w:gridCol w:w="992"/>
        <w:gridCol w:w="986"/>
        <w:gridCol w:w="992"/>
        <w:gridCol w:w="986"/>
      </w:tblGrid>
      <w:tr w:rsidR="00CC0DAD" w:rsidRPr="00E73AF7" w14:paraId="0BCC4717" w14:textId="77777777" w:rsidTr="000A4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27C5AC5B" w14:textId="77777777" w:rsidR="00CC0DAD" w:rsidRPr="00E73AF7" w:rsidRDefault="00CC0DAD" w:rsidP="000A418C">
            <w:pPr>
              <w:pStyle w:val="ListParagraph"/>
              <w:ind w:left="0"/>
              <w:jc w:val="both"/>
              <w:rPr>
                <w:rFonts w:ascii="Times New Roman" w:hAnsi="Times New Roman" w:cs="Times New Roman"/>
              </w:rPr>
            </w:pPr>
            <w:r w:rsidRPr="00E73AF7">
              <w:rPr>
                <w:rFonts w:ascii="Times New Roman" w:hAnsi="Times New Roman" w:cs="Times New Roman"/>
              </w:rPr>
              <w:t>Period</w:t>
            </w:r>
          </w:p>
        </w:tc>
        <w:tc>
          <w:tcPr>
            <w:tcW w:w="1134" w:type="dxa"/>
          </w:tcPr>
          <w:p w14:paraId="6571F72C" w14:textId="77777777" w:rsidR="00CC0DAD" w:rsidRPr="00E73AF7" w:rsidRDefault="00CC0DAD" w:rsidP="000A418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AF7">
              <w:rPr>
                <w:rFonts w:ascii="Times New Roman" w:hAnsi="Times New Roman" w:cs="Times New Roman"/>
                <w:sz w:val="24"/>
                <w:szCs w:val="24"/>
              </w:rPr>
              <w:t>2016</w:t>
            </w:r>
          </w:p>
        </w:tc>
        <w:tc>
          <w:tcPr>
            <w:tcW w:w="992" w:type="dxa"/>
          </w:tcPr>
          <w:p w14:paraId="60244433" w14:textId="77777777" w:rsidR="00CC0DAD" w:rsidRPr="00E73AF7" w:rsidRDefault="00CC0DAD" w:rsidP="000A418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AF7">
              <w:rPr>
                <w:rFonts w:ascii="Times New Roman" w:hAnsi="Times New Roman" w:cs="Times New Roman"/>
                <w:sz w:val="24"/>
                <w:szCs w:val="24"/>
              </w:rPr>
              <w:t>2017</w:t>
            </w:r>
          </w:p>
        </w:tc>
        <w:tc>
          <w:tcPr>
            <w:tcW w:w="986" w:type="dxa"/>
          </w:tcPr>
          <w:p w14:paraId="6A5943F9" w14:textId="77777777" w:rsidR="00CC0DAD" w:rsidRPr="00E73AF7" w:rsidRDefault="00CC0DAD" w:rsidP="000A418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AF7">
              <w:rPr>
                <w:rFonts w:ascii="Times New Roman" w:hAnsi="Times New Roman" w:cs="Times New Roman"/>
                <w:sz w:val="24"/>
                <w:szCs w:val="24"/>
              </w:rPr>
              <w:t>2018</w:t>
            </w:r>
          </w:p>
        </w:tc>
        <w:tc>
          <w:tcPr>
            <w:tcW w:w="992" w:type="dxa"/>
          </w:tcPr>
          <w:p w14:paraId="7D91936D" w14:textId="77777777" w:rsidR="00CC0DAD" w:rsidRPr="00E73AF7" w:rsidRDefault="00CC0DAD" w:rsidP="000A418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AF7">
              <w:rPr>
                <w:rFonts w:ascii="Times New Roman" w:hAnsi="Times New Roman" w:cs="Times New Roman"/>
                <w:sz w:val="24"/>
                <w:szCs w:val="24"/>
              </w:rPr>
              <w:t>2019</w:t>
            </w:r>
          </w:p>
        </w:tc>
        <w:tc>
          <w:tcPr>
            <w:tcW w:w="986" w:type="dxa"/>
          </w:tcPr>
          <w:p w14:paraId="54D1B2FC" w14:textId="77777777" w:rsidR="00CC0DAD" w:rsidRPr="00E73AF7" w:rsidRDefault="00CC0DAD" w:rsidP="000A418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3AF7">
              <w:rPr>
                <w:rFonts w:ascii="Times New Roman" w:hAnsi="Times New Roman" w:cs="Times New Roman"/>
                <w:sz w:val="24"/>
                <w:szCs w:val="24"/>
              </w:rPr>
              <w:t>2020</w:t>
            </w:r>
          </w:p>
        </w:tc>
      </w:tr>
      <w:tr w:rsidR="00CC0DAD" w:rsidRPr="00E73AF7" w14:paraId="3BFAE1D6"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36CFF328" w14:textId="77777777" w:rsidR="00CC0DAD" w:rsidRPr="00E73AF7" w:rsidRDefault="00CC0DAD" w:rsidP="000A418C">
            <w:pPr>
              <w:pStyle w:val="ListParagraph"/>
              <w:ind w:left="0"/>
              <w:jc w:val="both"/>
              <w:rPr>
                <w:rFonts w:ascii="Times New Roman" w:hAnsi="Times New Roman" w:cs="Times New Roman"/>
              </w:rPr>
            </w:pPr>
            <w:r w:rsidRPr="00E73AF7">
              <w:rPr>
                <w:rFonts w:ascii="Times New Roman" w:hAnsi="Times New Roman" w:cs="Times New Roman"/>
              </w:rPr>
              <w:t>Tax Target</w:t>
            </w:r>
          </w:p>
        </w:tc>
        <w:tc>
          <w:tcPr>
            <w:tcW w:w="1134" w:type="dxa"/>
          </w:tcPr>
          <w:p w14:paraId="62B0090A"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1.355,20</w:t>
            </w:r>
          </w:p>
        </w:tc>
        <w:tc>
          <w:tcPr>
            <w:tcW w:w="992" w:type="dxa"/>
          </w:tcPr>
          <w:p w14:paraId="1657B7BA"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1.283,57</w:t>
            </w:r>
          </w:p>
        </w:tc>
        <w:tc>
          <w:tcPr>
            <w:tcW w:w="986" w:type="dxa"/>
          </w:tcPr>
          <w:p w14:paraId="3E300E0C"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1.424,00</w:t>
            </w:r>
          </w:p>
        </w:tc>
        <w:tc>
          <w:tcPr>
            <w:tcW w:w="992" w:type="dxa"/>
          </w:tcPr>
          <w:p w14:paraId="5497B408"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1.577,56</w:t>
            </w:r>
          </w:p>
        </w:tc>
        <w:tc>
          <w:tcPr>
            <w:tcW w:w="986" w:type="dxa"/>
          </w:tcPr>
          <w:p w14:paraId="5AE2704B"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1.198,82</w:t>
            </w:r>
          </w:p>
        </w:tc>
      </w:tr>
      <w:tr w:rsidR="00CC0DAD" w:rsidRPr="00E73AF7" w14:paraId="66CE71E8" w14:textId="77777777" w:rsidTr="000A418C">
        <w:tc>
          <w:tcPr>
            <w:cnfStyle w:val="001000000000" w:firstRow="0" w:lastRow="0" w:firstColumn="1" w:lastColumn="0" w:oddVBand="0" w:evenVBand="0" w:oddHBand="0" w:evenHBand="0" w:firstRowFirstColumn="0" w:firstRowLastColumn="0" w:lastRowFirstColumn="0" w:lastRowLastColumn="0"/>
            <w:tcW w:w="2546" w:type="dxa"/>
          </w:tcPr>
          <w:p w14:paraId="22B69A7F" w14:textId="77777777" w:rsidR="00CC0DAD" w:rsidRPr="00E73AF7" w:rsidRDefault="00CC0DAD" w:rsidP="000A418C">
            <w:pPr>
              <w:pStyle w:val="ListParagraph"/>
              <w:ind w:left="0"/>
              <w:jc w:val="both"/>
              <w:rPr>
                <w:rFonts w:ascii="Times New Roman" w:hAnsi="Times New Roman" w:cs="Times New Roman"/>
              </w:rPr>
            </w:pPr>
            <w:r w:rsidRPr="00E73AF7">
              <w:rPr>
                <w:rFonts w:ascii="Times New Roman" w:hAnsi="Times New Roman" w:cs="Times New Roman"/>
              </w:rPr>
              <w:t>Realization Tax</w:t>
            </w:r>
          </w:p>
        </w:tc>
        <w:tc>
          <w:tcPr>
            <w:tcW w:w="1134" w:type="dxa"/>
          </w:tcPr>
          <w:p w14:paraId="5251C61D" w14:textId="77777777" w:rsidR="00CC0DAD" w:rsidRPr="00E73AF7" w:rsidRDefault="00CC0DAD" w:rsidP="000A418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1.105,81</w:t>
            </w:r>
          </w:p>
        </w:tc>
        <w:tc>
          <w:tcPr>
            <w:tcW w:w="992" w:type="dxa"/>
          </w:tcPr>
          <w:p w14:paraId="262A276B" w14:textId="77777777" w:rsidR="00CC0DAD" w:rsidRPr="00E73AF7" w:rsidRDefault="00CC0DAD" w:rsidP="000A418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1.151,03</w:t>
            </w:r>
          </w:p>
        </w:tc>
        <w:tc>
          <w:tcPr>
            <w:tcW w:w="986" w:type="dxa"/>
          </w:tcPr>
          <w:p w14:paraId="3A370864" w14:textId="77777777" w:rsidR="00CC0DAD" w:rsidRPr="00E73AF7" w:rsidRDefault="00CC0DAD" w:rsidP="000A418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1.315,51</w:t>
            </w:r>
          </w:p>
        </w:tc>
        <w:tc>
          <w:tcPr>
            <w:tcW w:w="992" w:type="dxa"/>
          </w:tcPr>
          <w:p w14:paraId="6C49B9F8" w14:textId="77777777" w:rsidR="00CC0DAD" w:rsidRPr="00E73AF7" w:rsidRDefault="00CC0DAD" w:rsidP="000A418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1.332,06</w:t>
            </w:r>
          </w:p>
        </w:tc>
        <w:tc>
          <w:tcPr>
            <w:tcW w:w="986" w:type="dxa"/>
          </w:tcPr>
          <w:p w14:paraId="63705089" w14:textId="77777777" w:rsidR="00CC0DAD" w:rsidRPr="00E73AF7" w:rsidRDefault="00CC0DAD" w:rsidP="000A418C">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1.069,98</w:t>
            </w:r>
          </w:p>
        </w:tc>
      </w:tr>
      <w:tr w:rsidR="00CC0DAD" w:rsidRPr="00E73AF7" w14:paraId="28FCC1E7"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18F4BED4" w14:textId="77777777" w:rsidR="00CC0DAD" w:rsidRPr="00E73AF7" w:rsidRDefault="00CC0DAD" w:rsidP="000A418C">
            <w:pPr>
              <w:pStyle w:val="ListParagraph"/>
              <w:ind w:left="0"/>
              <w:rPr>
                <w:rFonts w:ascii="Times New Roman" w:hAnsi="Times New Roman" w:cs="Times New Roman"/>
              </w:rPr>
            </w:pPr>
            <w:r w:rsidRPr="00E73AF7">
              <w:rPr>
                <w:rFonts w:ascii="Times New Roman" w:hAnsi="Times New Roman" w:cs="Times New Roman"/>
              </w:rPr>
              <w:t>Percentage of Tax Revenue</w:t>
            </w:r>
          </w:p>
        </w:tc>
        <w:tc>
          <w:tcPr>
            <w:tcW w:w="1134" w:type="dxa"/>
          </w:tcPr>
          <w:p w14:paraId="004993ED"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81,60%</w:t>
            </w:r>
          </w:p>
        </w:tc>
        <w:tc>
          <w:tcPr>
            <w:tcW w:w="992" w:type="dxa"/>
          </w:tcPr>
          <w:p w14:paraId="21BC9476"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89,67%</w:t>
            </w:r>
          </w:p>
        </w:tc>
        <w:tc>
          <w:tcPr>
            <w:tcW w:w="986" w:type="dxa"/>
          </w:tcPr>
          <w:p w14:paraId="5A983089"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92,23%</w:t>
            </w:r>
          </w:p>
        </w:tc>
        <w:tc>
          <w:tcPr>
            <w:tcW w:w="992" w:type="dxa"/>
          </w:tcPr>
          <w:p w14:paraId="1B8ACC71"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84,44%</w:t>
            </w:r>
          </w:p>
        </w:tc>
        <w:tc>
          <w:tcPr>
            <w:tcW w:w="986" w:type="dxa"/>
          </w:tcPr>
          <w:p w14:paraId="36D1C845" w14:textId="77777777" w:rsidR="00CC0DAD" w:rsidRPr="00E73AF7" w:rsidRDefault="00CC0DAD" w:rsidP="000A418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73AF7">
              <w:rPr>
                <w:rFonts w:ascii="Times New Roman" w:hAnsi="Times New Roman" w:cs="Times New Roman"/>
              </w:rPr>
              <w:t>89,25%</w:t>
            </w:r>
          </w:p>
        </w:tc>
      </w:tr>
    </w:tbl>
    <w:p w14:paraId="03A795A9" w14:textId="77777777" w:rsidR="00CC0DAD" w:rsidRPr="00E73AF7" w:rsidRDefault="00CC0DAD" w:rsidP="00CC0DAD">
      <w:pPr>
        <w:spacing w:after="0" w:line="480" w:lineRule="auto"/>
        <w:ind w:left="426"/>
        <w:jc w:val="both"/>
        <w:rPr>
          <w:rFonts w:ascii="Times New Roman" w:hAnsi="Times New Roman" w:cs="Times New Roman"/>
          <w:sz w:val="20"/>
          <w:szCs w:val="20"/>
        </w:rPr>
      </w:pPr>
      <w:r w:rsidRPr="00E73AF7">
        <w:rPr>
          <w:rFonts w:ascii="Times New Roman" w:hAnsi="Times New Roman" w:cs="Times New Roman"/>
          <w:i/>
          <w:iCs/>
          <w:sz w:val="20"/>
          <w:szCs w:val="20"/>
        </w:rPr>
        <w:t xml:space="preserve">               Source: Revenue Performance Report, Directorate General of Taxes 2016-2020</w:t>
      </w:r>
    </w:p>
    <w:p w14:paraId="4F252699" w14:textId="77777777" w:rsidR="00CC0DAD" w:rsidRPr="00E73AF7" w:rsidRDefault="00CC0DAD" w:rsidP="00CC0DAD">
      <w:pPr>
        <w:spacing w:after="0" w:line="276" w:lineRule="auto"/>
        <w:ind w:left="432"/>
        <w:jc w:val="both"/>
        <w:rPr>
          <w:rFonts w:ascii="Century" w:hAnsi="Century" w:cs="Times New Roman"/>
        </w:rPr>
      </w:pPr>
      <w:r w:rsidRPr="00E73AF7">
        <w:rPr>
          <w:rFonts w:ascii="Century" w:hAnsi="Century" w:cs="Times New Roman"/>
        </w:rPr>
        <w:t xml:space="preserve">Table 1 describes the achievement of tax revenue in Indonesia that has not reached the target desired by the Minister of Finance which can be seen through the percentage of tax revenue. One of the reasons for not meeting the target or tax plan is tax avoidance. </w:t>
      </w:r>
      <w:r w:rsidRPr="00E73AF7">
        <w:rPr>
          <w:rFonts w:ascii="Century" w:hAnsi="Century" w:cs="Times New Roman"/>
          <w:iCs/>
        </w:rPr>
        <w:t xml:space="preserve">Tax avoidance is a way to reduce the tax burden without breaking the law, but it is not recommended by the government. </w:t>
      </w:r>
      <w:proofErr w:type="spellStart"/>
      <w:r w:rsidRPr="00E73AF7">
        <w:rPr>
          <w:rFonts w:ascii="Century" w:hAnsi="Century" w:cs="Times New Roman"/>
          <w:iCs/>
        </w:rPr>
        <w:t>Sinaga</w:t>
      </w:r>
      <w:proofErr w:type="spellEnd"/>
      <w:r w:rsidRPr="00E73AF7">
        <w:rPr>
          <w:rFonts w:ascii="Century" w:hAnsi="Century" w:cs="Times New Roman"/>
          <w:iCs/>
        </w:rPr>
        <w:t xml:space="preserve"> and </w:t>
      </w:r>
      <w:proofErr w:type="spellStart"/>
      <w:r w:rsidRPr="00E73AF7">
        <w:rPr>
          <w:rFonts w:ascii="Century" w:hAnsi="Century" w:cs="Times New Roman"/>
          <w:iCs/>
        </w:rPr>
        <w:t>Suardikha</w:t>
      </w:r>
      <w:proofErr w:type="spellEnd"/>
      <w:r w:rsidRPr="00E73AF7">
        <w:rPr>
          <w:rFonts w:ascii="Century" w:hAnsi="Century" w:cs="Times New Roman"/>
          <w:iCs/>
        </w:rPr>
        <w:t xml:space="preserve"> (2019) stated that the government wants high tax payments, while low taxes are desired by companies because it can lead to reduced company profits. Tax avoidance or tax avoidance can be done by utilizing transactions that are not included in the tax object (</w:t>
      </w:r>
      <w:proofErr w:type="spellStart"/>
      <w:r w:rsidRPr="00E73AF7">
        <w:rPr>
          <w:rFonts w:ascii="Century" w:hAnsi="Century" w:cs="Times New Roman"/>
          <w:iCs/>
        </w:rPr>
        <w:t>Handayani</w:t>
      </w:r>
      <w:proofErr w:type="spellEnd"/>
      <w:r w:rsidRPr="00E73AF7">
        <w:rPr>
          <w:rFonts w:ascii="Century" w:hAnsi="Century" w:cs="Times New Roman"/>
          <w:iCs/>
        </w:rPr>
        <w:t xml:space="preserve"> and Hebrew, 2019)</w:t>
      </w:r>
      <w:r w:rsidRPr="00E73AF7">
        <w:rPr>
          <w:rFonts w:ascii="Century" w:hAnsi="Century" w:cs="Times New Roman"/>
          <w:i/>
          <w:iCs/>
        </w:rPr>
        <w:t>.</w:t>
      </w:r>
    </w:p>
    <w:p w14:paraId="5F4689E1" w14:textId="77777777" w:rsidR="00CC0DAD" w:rsidRPr="00E73AF7" w:rsidRDefault="00CC0DAD" w:rsidP="00CC0DAD">
      <w:pPr>
        <w:spacing w:after="0" w:line="276" w:lineRule="auto"/>
        <w:ind w:left="432" w:firstLine="567"/>
        <w:jc w:val="both"/>
        <w:rPr>
          <w:rFonts w:ascii="Century" w:hAnsi="Century" w:cs="Times New Roman"/>
        </w:rPr>
      </w:pPr>
      <w:r w:rsidRPr="00E73AF7">
        <w:rPr>
          <w:rFonts w:ascii="Century" w:hAnsi="Century" w:cs="Times New Roman"/>
        </w:rPr>
        <w:t>The independent variable related to tax avoidance is leverage or the level of debt. One of the companies that take tax avoidance actions can be indicated by the level of the leverage ratio (</w:t>
      </w:r>
      <w:proofErr w:type="spellStart"/>
      <w:r w:rsidRPr="00E73AF7">
        <w:rPr>
          <w:rFonts w:ascii="Century" w:hAnsi="Century" w:cs="Times New Roman"/>
        </w:rPr>
        <w:t>Sinaga</w:t>
      </w:r>
      <w:proofErr w:type="spellEnd"/>
      <w:r w:rsidRPr="00E73AF7">
        <w:rPr>
          <w:rFonts w:ascii="Century" w:hAnsi="Century" w:cs="Times New Roman"/>
        </w:rPr>
        <w:t xml:space="preserve"> &amp; </w:t>
      </w:r>
      <w:proofErr w:type="spellStart"/>
      <w:r w:rsidRPr="00E73AF7">
        <w:rPr>
          <w:rFonts w:ascii="Century" w:hAnsi="Century" w:cs="Times New Roman"/>
        </w:rPr>
        <w:t>Suardikha</w:t>
      </w:r>
      <w:proofErr w:type="spellEnd"/>
      <w:r w:rsidRPr="00E73AF7">
        <w:rPr>
          <w:rFonts w:ascii="Century" w:hAnsi="Century" w:cs="Times New Roman"/>
        </w:rPr>
        <w:t xml:space="preserve">, 2019). Leverage can affect the company's interest expense and profit before tax. Leverage is financing for the company's operational costs </w:t>
      </w:r>
      <w:r w:rsidRPr="00E73AF7">
        <w:rPr>
          <w:rFonts w:ascii="Century" w:hAnsi="Century" w:cs="Times New Roman"/>
        </w:rPr>
        <w:lastRenderedPageBreak/>
        <w:t>which will be compared with the size of the debt used for the financing (</w:t>
      </w:r>
      <w:proofErr w:type="spellStart"/>
      <w:r w:rsidRPr="00E73AF7">
        <w:rPr>
          <w:rFonts w:ascii="Century" w:hAnsi="Century" w:cs="Times New Roman"/>
        </w:rPr>
        <w:t>Praditasari</w:t>
      </w:r>
      <w:proofErr w:type="spellEnd"/>
      <w:r w:rsidRPr="00E73AF7">
        <w:rPr>
          <w:rFonts w:ascii="Century" w:hAnsi="Century" w:cs="Times New Roman"/>
        </w:rPr>
        <w:t xml:space="preserve"> &amp; Setiawan, 2017). Research related to leverage conducted by </w:t>
      </w:r>
      <w:proofErr w:type="spellStart"/>
      <w:r w:rsidRPr="00E73AF7">
        <w:rPr>
          <w:rFonts w:ascii="Century" w:hAnsi="Century" w:cs="Times New Roman"/>
        </w:rPr>
        <w:t>Sinaga</w:t>
      </w:r>
      <w:proofErr w:type="spellEnd"/>
      <w:r w:rsidRPr="00E73AF7">
        <w:rPr>
          <w:rFonts w:ascii="Century" w:hAnsi="Century" w:cs="Times New Roman"/>
        </w:rPr>
        <w:t xml:space="preserve"> &amp; </w:t>
      </w:r>
      <w:proofErr w:type="spellStart"/>
      <w:r w:rsidRPr="00E73AF7">
        <w:rPr>
          <w:rFonts w:ascii="Century" w:hAnsi="Century" w:cs="Times New Roman"/>
        </w:rPr>
        <w:t>Suardikha</w:t>
      </w:r>
      <w:proofErr w:type="spellEnd"/>
      <w:r w:rsidRPr="00E73AF7">
        <w:rPr>
          <w:rFonts w:ascii="Century" w:hAnsi="Century" w:cs="Times New Roman"/>
        </w:rPr>
        <w:t xml:space="preserve"> (2019) and </w:t>
      </w:r>
      <w:proofErr w:type="spellStart"/>
      <w:r w:rsidRPr="00E73AF7">
        <w:rPr>
          <w:rFonts w:ascii="Century" w:hAnsi="Century" w:cs="Times New Roman"/>
        </w:rPr>
        <w:t>Antari</w:t>
      </w:r>
      <w:proofErr w:type="spellEnd"/>
      <w:r w:rsidRPr="00E73AF7">
        <w:rPr>
          <w:rFonts w:ascii="Century" w:hAnsi="Century" w:cs="Times New Roman"/>
        </w:rPr>
        <w:t xml:space="preserve"> &amp; Setiawan, (2020) that leverage has a positive influence on tax avoidance. The results of </w:t>
      </w:r>
      <w:proofErr w:type="spellStart"/>
      <w:r w:rsidRPr="00E73AF7">
        <w:rPr>
          <w:rFonts w:ascii="Century" w:hAnsi="Century" w:cs="Times New Roman"/>
        </w:rPr>
        <w:t>Susanti’s</w:t>
      </w:r>
      <w:proofErr w:type="spellEnd"/>
      <w:r w:rsidRPr="00E73AF7">
        <w:rPr>
          <w:rFonts w:ascii="Century" w:hAnsi="Century" w:cs="Times New Roman"/>
        </w:rPr>
        <w:t xml:space="preserve"> (2018) research show that leverage has no effect on tax avoidance which is in line with research (</w:t>
      </w:r>
      <w:proofErr w:type="spellStart"/>
      <w:r w:rsidRPr="00E73AF7">
        <w:rPr>
          <w:rFonts w:ascii="Century" w:hAnsi="Century" w:cs="Times New Roman"/>
        </w:rPr>
        <w:t>Arianandini</w:t>
      </w:r>
      <w:proofErr w:type="spellEnd"/>
      <w:r w:rsidRPr="00E73AF7">
        <w:rPr>
          <w:rFonts w:ascii="Century" w:hAnsi="Century" w:cs="Times New Roman"/>
        </w:rPr>
        <w:t xml:space="preserve"> &amp; </w:t>
      </w:r>
      <w:proofErr w:type="spellStart"/>
      <w:r w:rsidRPr="00E73AF7">
        <w:rPr>
          <w:rFonts w:ascii="Century" w:hAnsi="Century" w:cs="Times New Roman"/>
        </w:rPr>
        <w:t>Ramantha</w:t>
      </w:r>
      <w:proofErr w:type="spellEnd"/>
      <w:r w:rsidRPr="00E73AF7">
        <w:rPr>
          <w:rFonts w:ascii="Century" w:hAnsi="Century" w:cs="Times New Roman"/>
        </w:rPr>
        <w:t xml:space="preserve">, 2018). In contrast to </w:t>
      </w:r>
      <w:proofErr w:type="spellStart"/>
      <w:r w:rsidRPr="00E73AF7">
        <w:rPr>
          <w:rFonts w:ascii="Century" w:hAnsi="Century" w:cs="Times New Roman"/>
        </w:rPr>
        <w:t>Prasatya</w:t>
      </w:r>
      <w:proofErr w:type="spellEnd"/>
      <w:r w:rsidRPr="00E73AF7">
        <w:rPr>
          <w:rFonts w:ascii="Century" w:hAnsi="Century" w:cs="Times New Roman"/>
        </w:rPr>
        <w:t xml:space="preserve"> et al. (2020) which states that leverage has an effect on tax avoidance.</w:t>
      </w:r>
    </w:p>
    <w:p w14:paraId="302475D3" w14:textId="77777777" w:rsidR="00CC0DAD" w:rsidRPr="00E73AF7" w:rsidRDefault="00CC0DAD" w:rsidP="00CC0DAD">
      <w:pPr>
        <w:spacing w:after="0" w:line="276" w:lineRule="auto"/>
        <w:ind w:left="426" w:firstLine="567"/>
        <w:jc w:val="both"/>
        <w:rPr>
          <w:rFonts w:ascii="Century" w:hAnsi="Century" w:cs="Times New Roman"/>
        </w:rPr>
      </w:pPr>
      <w:r w:rsidRPr="00E73AF7">
        <w:rPr>
          <w:rFonts w:ascii="Century" w:hAnsi="Century" w:cs="Times New Roman"/>
        </w:rPr>
        <w:t xml:space="preserve">Another independent variable related to tax avoidance is capital intensity or capital intensity ratio. </w:t>
      </w:r>
      <w:proofErr w:type="spellStart"/>
      <w:r w:rsidRPr="00E73AF7">
        <w:rPr>
          <w:rFonts w:ascii="Century" w:hAnsi="Century" w:cs="Times New Roman"/>
        </w:rPr>
        <w:t>Apsari</w:t>
      </w:r>
      <w:proofErr w:type="spellEnd"/>
      <w:r w:rsidRPr="00E73AF7">
        <w:rPr>
          <w:rFonts w:ascii="Century" w:hAnsi="Century" w:cs="Times New Roman"/>
        </w:rPr>
        <w:t xml:space="preserve"> and </w:t>
      </w:r>
      <w:proofErr w:type="spellStart"/>
      <w:r w:rsidRPr="00E73AF7">
        <w:rPr>
          <w:rFonts w:ascii="Century" w:hAnsi="Century" w:cs="Times New Roman"/>
        </w:rPr>
        <w:t>Supadmi</w:t>
      </w:r>
      <w:proofErr w:type="spellEnd"/>
      <w:r w:rsidRPr="00E73AF7">
        <w:rPr>
          <w:rFonts w:ascii="Century" w:hAnsi="Century" w:cs="Times New Roman"/>
        </w:rPr>
        <w:t xml:space="preserve"> (2018) explain that the amount of investment used in the company's fixed assets is called capital intensity. In the company's financial statements, almost all assets will experience depreciation and will be charged to depreciation expense. Previous research conducted by </w:t>
      </w:r>
      <w:proofErr w:type="spellStart"/>
      <w:r w:rsidRPr="00E73AF7">
        <w:rPr>
          <w:rFonts w:ascii="Century" w:hAnsi="Century" w:cs="Times New Roman"/>
        </w:rPr>
        <w:t>Sinaga</w:t>
      </w:r>
      <w:proofErr w:type="spellEnd"/>
      <w:r w:rsidRPr="00E73AF7">
        <w:rPr>
          <w:rFonts w:ascii="Century" w:hAnsi="Century" w:cs="Times New Roman"/>
        </w:rPr>
        <w:t xml:space="preserve"> &amp; </w:t>
      </w:r>
      <w:proofErr w:type="spellStart"/>
      <w:r w:rsidRPr="00E73AF7">
        <w:rPr>
          <w:rFonts w:ascii="Century" w:hAnsi="Century" w:cs="Times New Roman"/>
        </w:rPr>
        <w:t>Suardikha</w:t>
      </w:r>
      <w:proofErr w:type="spellEnd"/>
      <w:r w:rsidRPr="00E73AF7">
        <w:rPr>
          <w:rFonts w:ascii="Century" w:hAnsi="Century" w:cs="Times New Roman"/>
        </w:rPr>
        <w:t xml:space="preserve"> (2019) found that capital intensity has a negative effect on tax avoidance. </w:t>
      </w:r>
      <w:proofErr w:type="spellStart"/>
      <w:r w:rsidRPr="00E73AF7">
        <w:rPr>
          <w:rFonts w:ascii="Century" w:hAnsi="Century" w:cs="Times New Roman"/>
        </w:rPr>
        <w:t>Susanti</w:t>
      </w:r>
      <w:proofErr w:type="spellEnd"/>
      <w:r w:rsidRPr="00E73AF7">
        <w:rPr>
          <w:rFonts w:ascii="Century" w:hAnsi="Century" w:cs="Times New Roman"/>
        </w:rPr>
        <w:t xml:space="preserve"> (2018) states that capital intensity has no effect on tax avoidance. In addition, </w:t>
      </w:r>
      <w:proofErr w:type="spellStart"/>
      <w:r w:rsidRPr="00E73AF7">
        <w:rPr>
          <w:rFonts w:ascii="Century" w:hAnsi="Century" w:cs="Times New Roman"/>
        </w:rPr>
        <w:t>Dwiyanti</w:t>
      </w:r>
      <w:proofErr w:type="spellEnd"/>
      <w:r w:rsidRPr="00E73AF7">
        <w:rPr>
          <w:rFonts w:ascii="Century" w:hAnsi="Century" w:cs="Times New Roman"/>
        </w:rPr>
        <w:t xml:space="preserve"> and </w:t>
      </w:r>
      <w:proofErr w:type="spellStart"/>
      <w:r w:rsidRPr="00E73AF7">
        <w:rPr>
          <w:rFonts w:ascii="Century" w:hAnsi="Century" w:cs="Times New Roman"/>
        </w:rPr>
        <w:t>Jati</w:t>
      </w:r>
      <w:proofErr w:type="spellEnd"/>
      <w:r w:rsidRPr="00E73AF7">
        <w:rPr>
          <w:rFonts w:ascii="Century" w:hAnsi="Century" w:cs="Times New Roman"/>
        </w:rPr>
        <w:t xml:space="preserve"> (2019) revealed that capital intensity has a positive effect on tax avoidance. </w:t>
      </w:r>
    </w:p>
    <w:p w14:paraId="01C8E783" w14:textId="77777777" w:rsidR="00CC0DAD" w:rsidRPr="00E73AF7" w:rsidRDefault="00CC0DAD" w:rsidP="00CC0DAD">
      <w:pPr>
        <w:spacing w:after="0" w:line="276" w:lineRule="auto"/>
        <w:ind w:left="426" w:firstLine="567"/>
        <w:jc w:val="both"/>
        <w:rPr>
          <w:rFonts w:ascii="Century" w:hAnsi="Century" w:cs="Times New Roman"/>
        </w:rPr>
      </w:pPr>
      <w:r w:rsidRPr="00E73AF7">
        <w:rPr>
          <w:rFonts w:ascii="Century" w:hAnsi="Century" w:cs="Times New Roman"/>
        </w:rPr>
        <w:t>The independent commissioner will be used as a moderating variable. The large proportion of independent commissioners in a company is believed to be able to monitor company management (</w:t>
      </w:r>
      <w:proofErr w:type="spellStart"/>
      <w:r w:rsidRPr="00E73AF7">
        <w:rPr>
          <w:rFonts w:ascii="Century" w:hAnsi="Century" w:cs="Times New Roman"/>
        </w:rPr>
        <w:t>Sinaga</w:t>
      </w:r>
      <w:proofErr w:type="spellEnd"/>
      <w:r w:rsidRPr="00E73AF7">
        <w:rPr>
          <w:rFonts w:ascii="Century" w:hAnsi="Century" w:cs="Times New Roman"/>
        </w:rPr>
        <w:t xml:space="preserve"> &amp; </w:t>
      </w:r>
      <w:proofErr w:type="spellStart"/>
      <w:r w:rsidRPr="00E73AF7">
        <w:rPr>
          <w:rFonts w:ascii="Century" w:hAnsi="Century" w:cs="Times New Roman"/>
        </w:rPr>
        <w:t>Suardikha</w:t>
      </w:r>
      <w:proofErr w:type="spellEnd"/>
      <w:r w:rsidRPr="00E73AF7">
        <w:rPr>
          <w:rFonts w:ascii="Century" w:hAnsi="Century" w:cs="Times New Roman"/>
        </w:rPr>
        <w:t xml:space="preserve">, 2019). Management's opportunistic behavior can be detrimental to the company because managers tend to be selfish. Research from </w:t>
      </w:r>
      <w:proofErr w:type="spellStart"/>
      <w:r w:rsidRPr="00E73AF7">
        <w:rPr>
          <w:rFonts w:ascii="Century" w:hAnsi="Century" w:cs="Times New Roman"/>
        </w:rPr>
        <w:t>Sinaga</w:t>
      </w:r>
      <w:proofErr w:type="spellEnd"/>
      <w:r w:rsidRPr="00E73AF7">
        <w:rPr>
          <w:rFonts w:ascii="Century" w:hAnsi="Century" w:cs="Times New Roman"/>
        </w:rPr>
        <w:t xml:space="preserve"> and </w:t>
      </w:r>
      <w:proofErr w:type="spellStart"/>
      <w:r w:rsidRPr="00E73AF7">
        <w:rPr>
          <w:rFonts w:ascii="Century" w:hAnsi="Century" w:cs="Times New Roman"/>
        </w:rPr>
        <w:t>Suardikha</w:t>
      </w:r>
      <w:proofErr w:type="spellEnd"/>
      <w:r w:rsidRPr="00E73AF7">
        <w:rPr>
          <w:rFonts w:ascii="Century" w:hAnsi="Century" w:cs="Times New Roman"/>
        </w:rPr>
        <w:t xml:space="preserve"> (2019) reveals that the influence of leverage and capital intensity on tax avoidance cannot be moderated by independent commissioners. Independent commissioners in the company can’t influence the decisions taken by management. </w:t>
      </w:r>
    </w:p>
    <w:p w14:paraId="1366477D" w14:textId="77777777" w:rsidR="00CC0DAD" w:rsidRPr="00E73AF7" w:rsidRDefault="00CC0DAD" w:rsidP="00CC0DAD">
      <w:pPr>
        <w:spacing w:after="0" w:line="276" w:lineRule="auto"/>
        <w:ind w:left="426" w:firstLine="567"/>
        <w:jc w:val="both"/>
        <w:rPr>
          <w:rFonts w:ascii="Century" w:hAnsi="Century" w:cs="Times New Roman"/>
        </w:rPr>
      </w:pPr>
      <w:r w:rsidRPr="00E73AF7">
        <w:rPr>
          <w:rFonts w:ascii="Century" w:hAnsi="Century" w:cs="Times New Roman"/>
        </w:rPr>
        <w:t>Another moderating variable that will be used is institutional ownership because institutional ownership is a proxy for good corporate governance. Institutional ownership is share ownership owned by the government or other agencies such as banks, insurance companies, limited liability companies, pension managers and other institutions (</w:t>
      </w:r>
      <w:proofErr w:type="spellStart"/>
      <w:r w:rsidRPr="00E73AF7">
        <w:rPr>
          <w:rFonts w:ascii="Century" w:hAnsi="Century" w:cs="Times New Roman"/>
        </w:rPr>
        <w:t>Yuni</w:t>
      </w:r>
      <w:proofErr w:type="spellEnd"/>
      <w:r w:rsidRPr="00E73AF7">
        <w:rPr>
          <w:rFonts w:ascii="Century" w:hAnsi="Century" w:cs="Times New Roman"/>
        </w:rPr>
        <w:t xml:space="preserve"> and Setiawan, 2019). The size of the percentage of institutional ownership is considered to be able to influence the decision making by management in a company. Research by </w:t>
      </w:r>
      <w:proofErr w:type="spellStart"/>
      <w:r w:rsidRPr="00E73AF7">
        <w:rPr>
          <w:rFonts w:ascii="Century" w:hAnsi="Century" w:cs="Times New Roman"/>
        </w:rPr>
        <w:t>Prasatya</w:t>
      </w:r>
      <w:proofErr w:type="spellEnd"/>
      <w:r w:rsidRPr="00E73AF7">
        <w:rPr>
          <w:rFonts w:ascii="Century" w:hAnsi="Century" w:cs="Times New Roman"/>
        </w:rPr>
        <w:t xml:space="preserve"> et al. (2020) states institutional ownership will weaken the relationship between leverage and tax avoidance. In addition, </w:t>
      </w:r>
      <w:proofErr w:type="spellStart"/>
      <w:r w:rsidRPr="00E73AF7">
        <w:rPr>
          <w:rFonts w:ascii="Century" w:hAnsi="Century" w:cs="Times New Roman"/>
        </w:rPr>
        <w:t>Yuni</w:t>
      </w:r>
      <w:proofErr w:type="spellEnd"/>
      <w:r w:rsidRPr="00E73AF7">
        <w:rPr>
          <w:rFonts w:ascii="Century" w:hAnsi="Century" w:cs="Times New Roman"/>
        </w:rPr>
        <w:t xml:space="preserve"> &amp; Setiawan (2019) stated that institutional ownership has a negative effect on tax avoidance. This is contrary to the results of </w:t>
      </w:r>
      <w:proofErr w:type="spellStart"/>
      <w:r w:rsidRPr="00E73AF7">
        <w:rPr>
          <w:rFonts w:ascii="Century" w:hAnsi="Century" w:cs="Times New Roman"/>
        </w:rPr>
        <w:t>Arianandini</w:t>
      </w:r>
      <w:proofErr w:type="spellEnd"/>
      <w:r w:rsidRPr="00E73AF7">
        <w:rPr>
          <w:rFonts w:ascii="Century" w:hAnsi="Century" w:cs="Times New Roman"/>
        </w:rPr>
        <w:t xml:space="preserve"> &amp; </w:t>
      </w:r>
      <w:proofErr w:type="spellStart"/>
      <w:r w:rsidRPr="00E73AF7">
        <w:rPr>
          <w:rFonts w:ascii="Century" w:hAnsi="Century" w:cs="Times New Roman"/>
        </w:rPr>
        <w:t>Ramantha's</w:t>
      </w:r>
      <w:proofErr w:type="spellEnd"/>
      <w:r w:rsidRPr="00E73AF7">
        <w:rPr>
          <w:rFonts w:ascii="Century" w:hAnsi="Century" w:cs="Times New Roman"/>
        </w:rPr>
        <w:t xml:space="preserve"> research (2018) which explains that institutional ownership has no effect on tax avoidance. In previous studies, there are still inconsistent results on the factors that cause tax avoidance. Therefore, tax avoidance still deserves to be re-examined using leverage and capital intensity moderated by independent commissioners and institutional ownership.</w:t>
      </w:r>
    </w:p>
    <w:p w14:paraId="1BF8C9AD" w14:textId="335A64E0" w:rsidR="0092786C" w:rsidRPr="00CC0DAD" w:rsidRDefault="00000000" w:rsidP="00F00A13">
      <w:pPr>
        <w:spacing w:after="0" w:line="240" w:lineRule="auto"/>
        <w:jc w:val="both"/>
        <w:rPr>
          <w:rFonts w:ascii="Cambria" w:eastAsia="Cambria" w:hAnsi="Cambria" w:cs="Cambria"/>
          <w:color w:val="000000"/>
          <w:sz w:val="20"/>
          <w:szCs w:val="20"/>
          <w:highlight w:val="white"/>
        </w:rPr>
      </w:pPr>
      <w:r>
        <w:rPr>
          <w:rFonts w:ascii="Cambria" w:eastAsia="Cambria" w:hAnsi="Cambria" w:cs="Cambria"/>
          <w:color w:val="000000"/>
          <w:sz w:val="20"/>
          <w:szCs w:val="20"/>
          <w:highlight w:val="white"/>
        </w:rPr>
        <w:t>.</w:t>
      </w:r>
    </w:p>
    <w:p w14:paraId="325DB24A" w14:textId="77777777" w:rsidR="0092786C" w:rsidRDefault="00000000">
      <w:pPr>
        <w:numPr>
          <w:ilvl w:val="0"/>
          <w:numId w:val="1"/>
        </w:numPr>
        <w:pBdr>
          <w:top w:val="nil"/>
          <w:left w:val="nil"/>
          <w:bottom w:val="nil"/>
          <w:right w:val="nil"/>
          <w:between w:val="nil"/>
        </w:pBdr>
        <w:ind w:left="567" w:hanging="567"/>
        <w:rPr>
          <w:b/>
          <w:color w:val="000000"/>
          <w:sz w:val="24"/>
          <w:szCs w:val="24"/>
        </w:rPr>
      </w:pPr>
      <w:r>
        <w:rPr>
          <w:b/>
          <w:color w:val="000000"/>
          <w:sz w:val="24"/>
          <w:szCs w:val="24"/>
        </w:rPr>
        <w:t>Hypotheses Development</w:t>
      </w:r>
    </w:p>
    <w:p w14:paraId="639F0880" w14:textId="62C3AE61"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Agency Theory</w:t>
      </w:r>
      <w:r>
        <w:rPr>
          <w:rFonts w:ascii="Century" w:hAnsi="Century" w:cs="Times New Roman"/>
          <w:b/>
          <w:bCs/>
        </w:rPr>
        <w:t xml:space="preserve">. </w:t>
      </w:r>
      <w:r w:rsidRPr="00CC0DAD">
        <w:rPr>
          <w:rFonts w:ascii="Century" w:hAnsi="Century" w:cs="Times New Roman"/>
          <w:iCs/>
        </w:rPr>
        <w:t xml:space="preserve">Agency Theory is related to the owner or shareholder (Principal) with the company manager (agent). Jensen and </w:t>
      </w:r>
      <w:proofErr w:type="spellStart"/>
      <w:r w:rsidRPr="00CC0DAD">
        <w:rPr>
          <w:rFonts w:ascii="Century" w:hAnsi="Century" w:cs="Times New Roman"/>
          <w:iCs/>
        </w:rPr>
        <w:t>Meckling</w:t>
      </w:r>
      <w:proofErr w:type="spellEnd"/>
      <w:r w:rsidRPr="00CC0DAD">
        <w:rPr>
          <w:rFonts w:ascii="Century" w:hAnsi="Century" w:cs="Times New Roman"/>
          <w:iCs/>
        </w:rPr>
        <w:t xml:space="preserve"> (1976) stated that the theory of agency was collaboration between two parties based on the contract, a shareholder called the authority to the company management as a party authorized, to make decisions related to the company's operations. The agent has more information related to the company than the </w:t>
      </w:r>
      <w:proofErr w:type="gramStart"/>
      <w:r w:rsidRPr="00CC0DAD">
        <w:rPr>
          <w:rFonts w:ascii="Century" w:hAnsi="Century" w:cs="Times New Roman"/>
          <w:iCs/>
        </w:rPr>
        <w:t>Principal</w:t>
      </w:r>
      <w:proofErr w:type="gramEnd"/>
      <w:r w:rsidRPr="00CC0DAD">
        <w:rPr>
          <w:rFonts w:ascii="Century" w:hAnsi="Century" w:cs="Times New Roman"/>
          <w:iCs/>
        </w:rPr>
        <w:t xml:space="preserve"> so it can cause agency problems (</w:t>
      </w:r>
      <w:proofErr w:type="spellStart"/>
      <w:r w:rsidRPr="00CC0DAD">
        <w:rPr>
          <w:rFonts w:ascii="Century" w:hAnsi="Century" w:cs="Times New Roman"/>
          <w:iCs/>
        </w:rPr>
        <w:t>Handayani</w:t>
      </w:r>
      <w:proofErr w:type="spellEnd"/>
      <w:r w:rsidRPr="00CC0DAD">
        <w:rPr>
          <w:rFonts w:ascii="Century" w:hAnsi="Century" w:cs="Times New Roman"/>
          <w:iCs/>
        </w:rPr>
        <w:t xml:space="preserve"> and Hebrews, 2019).</w:t>
      </w:r>
    </w:p>
    <w:p w14:paraId="671602FE" w14:textId="77777777"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The Effect of Leverage on Tax Avoidance</w:t>
      </w:r>
    </w:p>
    <w:p w14:paraId="527DCB13" w14:textId="77777777"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iCs/>
        </w:rPr>
        <w:t xml:space="preserve">Leverage is a financial ratio that reflects the relationship between debt and capital assets (Zainuddin &amp; </w:t>
      </w:r>
      <w:proofErr w:type="spellStart"/>
      <w:r w:rsidRPr="00CC0DAD">
        <w:rPr>
          <w:rFonts w:ascii="Century" w:hAnsi="Century" w:cs="Times New Roman"/>
          <w:iCs/>
        </w:rPr>
        <w:t>Anfas</w:t>
      </w:r>
      <w:proofErr w:type="spellEnd"/>
      <w:r w:rsidRPr="00CC0DAD">
        <w:rPr>
          <w:rFonts w:ascii="Century" w:hAnsi="Century" w:cs="Times New Roman"/>
          <w:iCs/>
        </w:rPr>
        <w:t xml:space="preserve">, 2021). One of the actions taken is to use the leverage ratio that can affect interest expenses. The interest expense will reduce profit before tax and will cause the tax burden that will be paid by the company. The theory of agency explains that shareholders and management will emphasize each other's egos that will make them achieve goals and prosper. Companies use high debt rather than capital or shares for financing their activities so that profits will decrease and payment of taxes tend to be below. While the shareholders will want a high return on their investment </w:t>
      </w:r>
      <w:proofErr w:type="gramStart"/>
      <w:r w:rsidRPr="00CC0DAD">
        <w:rPr>
          <w:rFonts w:ascii="Century" w:hAnsi="Century" w:cs="Times New Roman"/>
          <w:iCs/>
        </w:rPr>
        <w:t>so</w:t>
      </w:r>
      <w:proofErr w:type="gramEnd"/>
      <w:r w:rsidRPr="00CC0DAD">
        <w:rPr>
          <w:rFonts w:ascii="Century" w:hAnsi="Century" w:cs="Times New Roman"/>
          <w:iCs/>
        </w:rPr>
        <w:t xml:space="preserve"> it will cause agency conflicts. This is proved by </w:t>
      </w:r>
      <w:proofErr w:type="spellStart"/>
      <w:r w:rsidRPr="00CC0DAD">
        <w:rPr>
          <w:rFonts w:ascii="Century" w:hAnsi="Century" w:cs="Times New Roman"/>
          <w:iCs/>
        </w:rPr>
        <w:t>Sinaga</w:t>
      </w:r>
      <w:proofErr w:type="spellEnd"/>
      <w:r w:rsidRPr="00CC0DAD">
        <w:rPr>
          <w:rFonts w:ascii="Century" w:hAnsi="Century" w:cs="Times New Roman"/>
          <w:iCs/>
        </w:rPr>
        <w:t xml:space="preserve"> and </w:t>
      </w:r>
      <w:proofErr w:type="spellStart"/>
      <w:r w:rsidRPr="00CC0DAD">
        <w:rPr>
          <w:rFonts w:ascii="Century" w:hAnsi="Century" w:cs="Times New Roman"/>
          <w:iCs/>
        </w:rPr>
        <w:t>Suardikha's</w:t>
      </w:r>
      <w:proofErr w:type="spellEnd"/>
      <w:r w:rsidRPr="00CC0DAD">
        <w:rPr>
          <w:rFonts w:ascii="Century" w:hAnsi="Century" w:cs="Times New Roman"/>
          <w:iCs/>
        </w:rPr>
        <w:t xml:space="preserve"> (2019) research which states that leverage has a positive effect on tax avoidance. In line with </w:t>
      </w:r>
      <w:proofErr w:type="spellStart"/>
      <w:r w:rsidRPr="00CC0DAD">
        <w:rPr>
          <w:rFonts w:ascii="Century" w:hAnsi="Century" w:cs="Times New Roman"/>
          <w:iCs/>
        </w:rPr>
        <w:t>Ayuningtyas</w:t>
      </w:r>
      <w:proofErr w:type="spellEnd"/>
      <w:r w:rsidRPr="00CC0DAD">
        <w:rPr>
          <w:rFonts w:ascii="Century" w:hAnsi="Century" w:cs="Times New Roman"/>
          <w:iCs/>
        </w:rPr>
        <w:t xml:space="preserve"> and </w:t>
      </w:r>
      <w:proofErr w:type="spellStart"/>
      <w:r w:rsidRPr="00CC0DAD">
        <w:rPr>
          <w:rFonts w:ascii="Century" w:hAnsi="Century" w:cs="Times New Roman"/>
          <w:iCs/>
        </w:rPr>
        <w:t>Sujana</w:t>
      </w:r>
      <w:proofErr w:type="spellEnd"/>
      <w:r w:rsidRPr="00CC0DAD">
        <w:rPr>
          <w:rFonts w:ascii="Century" w:hAnsi="Century" w:cs="Times New Roman"/>
          <w:iCs/>
        </w:rPr>
        <w:t xml:space="preserve"> (2018) who mentioned that leverage had a positive effect on tax avoidance. In addition (</w:t>
      </w:r>
      <w:proofErr w:type="spellStart"/>
      <w:r w:rsidRPr="00CC0DAD">
        <w:rPr>
          <w:rFonts w:ascii="Century" w:hAnsi="Century" w:cs="Times New Roman"/>
          <w:iCs/>
        </w:rPr>
        <w:t>antari</w:t>
      </w:r>
      <w:proofErr w:type="spellEnd"/>
      <w:r w:rsidRPr="00CC0DAD">
        <w:rPr>
          <w:rFonts w:ascii="Century" w:hAnsi="Century" w:cs="Times New Roman"/>
          <w:iCs/>
        </w:rPr>
        <w:t xml:space="preserve"> and </w:t>
      </w:r>
      <w:proofErr w:type="spellStart"/>
      <w:r w:rsidRPr="00CC0DAD">
        <w:rPr>
          <w:rFonts w:ascii="Century" w:hAnsi="Century" w:cs="Times New Roman"/>
          <w:iCs/>
        </w:rPr>
        <w:t>setiawan</w:t>
      </w:r>
      <w:proofErr w:type="spellEnd"/>
      <w:r w:rsidRPr="00CC0DAD">
        <w:rPr>
          <w:rFonts w:ascii="Century" w:hAnsi="Century" w:cs="Times New Roman"/>
          <w:iCs/>
        </w:rPr>
        <w:t xml:space="preserve">, 2020) also mentioned that leverage had a positive effect on tax avoidance. Widodo and </w:t>
      </w:r>
      <w:proofErr w:type="spellStart"/>
      <w:r w:rsidRPr="00CC0DAD">
        <w:rPr>
          <w:rFonts w:ascii="Century" w:hAnsi="Century" w:cs="Times New Roman"/>
          <w:iCs/>
        </w:rPr>
        <w:t>Wulandari</w:t>
      </w:r>
      <w:proofErr w:type="spellEnd"/>
      <w:r w:rsidRPr="00CC0DAD">
        <w:rPr>
          <w:rFonts w:ascii="Century" w:hAnsi="Century" w:cs="Times New Roman"/>
          <w:iCs/>
        </w:rPr>
        <w:t xml:space="preserve"> (2021) explained that </w:t>
      </w:r>
      <w:r w:rsidRPr="00CC0DAD">
        <w:rPr>
          <w:rFonts w:ascii="Century" w:hAnsi="Century" w:cs="Times New Roman"/>
          <w:iCs/>
        </w:rPr>
        <w:lastRenderedPageBreak/>
        <w:t>leverage had a significant positive effect on tax avoidance. Based on theory and previous research, the hypothesis is formulated as follows:</w:t>
      </w:r>
    </w:p>
    <w:p w14:paraId="3EE47AF5" w14:textId="77777777" w:rsidR="00CC0DAD" w:rsidRPr="00CC0DAD" w:rsidRDefault="00CC0DAD" w:rsidP="00CC0DAD">
      <w:pPr>
        <w:spacing w:after="0" w:line="276" w:lineRule="auto"/>
        <w:jc w:val="both"/>
        <w:rPr>
          <w:rFonts w:ascii="Century" w:hAnsi="Century" w:cs="Times New Roman"/>
          <w:b/>
          <w:bCs/>
          <w:iCs/>
        </w:rPr>
      </w:pPr>
      <w:r w:rsidRPr="00CC0DAD">
        <w:rPr>
          <w:rFonts w:ascii="Century" w:hAnsi="Century" w:cs="Times New Roman"/>
          <w:b/>
          <w:bCs/>
          <w:iCs/>
        </w:rPr>
        <w:t>H</w:t>
      </w:r>
      <w:r w:rsidRPr="00CC0DAD">
        <w:rPr>
          <w:rFonts w:ascii="Century" w:hAnsi="Century" w:cs="Times New Roman"/>
          <w:b/>
          <w:bCs/>
          <w:iCs/>
          <w:vertAlign w:val="subscript"/>
        </w:rPr>
        <w:t>1</w:t>
      </w:r>
      <w:r w:rsidRPr="00CC0DAD">
        <w:rPr>
          <w:rFonts w:ascii="Century" w:hAnsi="Century" w:cs="Times New Roman"/>
          <w:b/>
          <w:bCs/>
          <w:iCs/>
        </w:rPr>
        <w:t>: Leverage has a positive effect on Tax Avoidance</w:t>
      </w:r>
    </w:p>
    <w:p w14:paraId="5E4DE7C9" w14:textId="77777777" w:rsidR="00CC0DAD" w:rsidRPr="00E73AF7" w:rsidRDefault="00CC0DAD" w:rsidP="00CC0DAD">
      <w:pPr>
        <w:pStyle w:val="ListParagraph"/>
        <w:spacing w:after="0" w:line="240" w:lineRule="auto"/>
        <w:jc w:val="both"/>
        <w:rPr>
          <w:rFonts w:ascii="Century" w:hAnsi="Century" w:cs="Times New Roman"/>
          <w:b/>
          <w:bCs/>
        </w:rPr>
      </w:pPr>
    </w:p>
    <w:p w14:paraId="6DC2019A" w14:textId="77777777" w:rsidR="00CC0DAD" w:rsidRPr="00CC0DAD" w:rsidRDefault="00CC0DAD" w:rsidP="00CC0DAD">
      <w:pPr>
        <w:spacing w:after="0" w:line="276" w:lineRule="auto"/>
        <w:jc w:val="both"/>
        <w:rPr>
          <w:rFonts w:ascii="Century" w:hAnsi="Century" w:cs="Times New Roman"/>
          <w:b/>
          <w:bCs/>
          <w:iCs/>
        </w:rPr>
      </w:pPr>
      <w:r w:rsidRPr="00CC0DAD">
        <w:rPr>
          <w:rFonts w:ascii="Century" w:hAnsi="Century" w:cs="Times New Roman"/>
          <w:b/>
          <w:bCs/>
        </w:rPr>
        <w:t xml:space="preserve">The Effect of </w:t>
      </w:r>
      <w:r w:rsidRPr="00CC0DAD">
        <w:rPr>
          <w:rFonts w:ascii="Century" w:hAnsi="Century" w:cs="Times New Roman"/>
          <w:b/>
          <w:bCs/>
          <w:iCs/>
        </w:rPr>
        <w:t>Capital Intensity</w:t>
      </w:r>
      <w:r w:rsidRPr="00CC0DAD">
        <w:rPr>
          <w:rFonts w:ascii="Century" w:hAnsi="Century" w:cs="Times New Roman"/>
          <w:b/>
          <w:bCs/>
        </w:rPr>
        <w:t xml:space="preserve"> on </w:t>
      </w:r>
      <w:r w:rsidRPr="00CC0DAD">
        <w:rPr>
          <w:rFonts w:ascii="Century" w:hAnsi="Century" w:cs="Times New Roman"/>
          <w:b/>
          <w:bCs/>
          <w:iCs/>
        </w:rPr>
        <w:t>Tax Avoidance</w:t>
      </w:r>
    </w:p>
    <w:p w14:paraId="46C46D40" w14:textId="77777777"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iCs/>
        </w:rPr>
        <w:t>Capital intensity describes the amount of investment from the company's capital allocated to fixed assets. The company takes into account that the benefits of the asset's life are shorter than the asset's useful life according to taxation, which will cause a positive fiscal correction (</w:t>
      </w:r>
      <w:proofErr w:type="spellStart"/>
      <w:r w:rsidRPr="00CC0DAD">
        <w:rPr>
          <w:rFonts w:ascii="Century" w:hAnsi="Century" w:cs="Times New Roman"/>
          <w:iCs/>
        </w:rPr>
        <w:t>Sinaga</w:t>
      </w:r>
      <w:proofErr w:type="spellEnd"/>
      <w:r w:rsidRPr="00CC0DAD">
        <w:rPr>
          <w:rFonts w:ascii="Century" w:hAnsi="Century" w:cs="Times New Roman"/>
          <w:iCs/>
        </w:rPr>
        <w:t xml:space="preserve"> and </w:t>
      </w:r>
      <w:proofErr w:type="spellStart"/>
      <w:r w:rsidRPr="00CC0DAD">
        <w:rPr>
          <w:rFonts w:ascii="Century" w:hAnsi="Century" w:cs="Times New Roman"/>
          <w:iCs/>
        </w:rPr>
        <w:t>Suardikha</w:t>
      </w:r>
      <w:proofErr w:type="spellEnd"/>
      <w:r w:rsidRPr="00CC0DAD">
        <w:rPr>
          <w:rFonts w:ascii="Century" w:hAnsi="Century" w:cs="Times New Roman"/>
          <w:iCs/>
        </w:rPr>
        <w:t>, 2019). Capital intensity describes how much capital efficiency is in fixed assets and is information for investors (</w:t>
      </w:r>
      <w:proofErr w:type="spellStart"/>
      <w:r w:rsidRPr="00CC0DAD">
        <w:rPr>
          <w:rFonts w:ascii="Century" w:hAnsi="Century" w:cs="Times New Roman"/>
          <w:iCs/>
        </w:rPr>
        <w:t>Comanor</w:t>
      </w:r>
      <w:proofErr w:type="spellEnd"/>
      <w:r w:rsidRPr="00CC0DAD">
        <w:rPr>
          <w:rFonts w:ascii="Century" w:hAnsi="Century" w:cs="Times New Roman"/>
          <w:iCs/>
        </w:rPr>
        <w:t xml:space="preserve"> &amp; Wilson, 1967). </w:t>
      </w:r>
      <w:proofErr w:type="spellStart"/>
      <w:r w:rsidRPr="00CC0DAD">
        <w:rPr>
          <w:rFonts w:ascii="Century" w:hAnsi="Century" w:cs="Times New Roman"/>
          <w:iCs/>
        </w:rPr>
        <w:t>Budianti</w:t>
      </w:r>
      <w:proofErr w:type="spellEnd"/>
      <w:r w:rsidRPr="00CC0DAD">
        <w:rPr>
          <w:rFonts w:ascii="Century" w:hAnsi="Century" w:cs="Times New Roman"/>
          <w:iCs/>
        </w:rPr>
        <w:t xml:space="preserve"> and Curry (2018) state that this positive fiscal correction is caused by differences in the calculation of the useful life of the company and taxation and the company's permission to depreciate its fixed assets. Agency theory explains that the emergence of agency conflicts due to differences in interests between shareholders and company management can be overcome by the depreciation expense arising from fixed assets. The use of capital intensity will overcome agency conflicts that arise because companies need to finance their operations and shareholders will get a return on their investment through the profits generated. This is proved by the research of </w:t>
      </w:r>
      <w:proofErr w:type="spellStart"/>
      <w:r w:rsidRPr="00CC0DAD">
        <w:rPr>
          <w:rFonts w:ascii="Century" w:hAnsi="Century" w:cs="Times New Roman"/>
          <w:iCs/>
        </w:rPr>
        <w:t>Sinaga</w:t>
      </w:r>
      <w:proofErr w:type="spellEnd"/>
      <w:r w:rsidRPr="00CC0DAD">
        <w:rPr>
          <w:rFonts w:ascii="Century" w:hAnsi="Century" w:cs="Times New Roman"/>
          <w:iCs/>
        </w:rPr>
        <w:t xml:space="preserve"> and </w:t>
      </w:r>
      <w:proofErr w:type="spellStart"/>
      <w:r w:rsidRPr="00CC0DAD">
        <w:rPr>
          <w:rFonts w:ascii="Century" w:hAnsi="Century" w:cs="Times New Roman"/>
          <w:iCs/>
        </w:rPr>
        <w:t>Suardikha</w:t>
      </w:r>
      <w:proofErr w:type="spellEnd"/>
      <w:r w:rsidRPr="00CC0DAD">
        <w:rPr>
          <w:rFonts w:ascii="Century" w:hAnsi="Century" w:cs="Times New Roman"/>
          <w:iCs/>
        </w:rPr>
        <w:t xml:space="preserve"> (2019) which states that capital intensity has a negative effect on tax avoidance. Zainuddin and </w:t>
      </w:r>
      <w:proofErr w:type="spellStart"/>
      <w:r w:rsidRPr="00CC0DAD">
        <w:rPr>
          <w:rFonts w:ascii="Century" w:hAnsi="Century" w:cs="Times New Roman"/>
          <w:iCs/>
        </w:rPr>
        <w:t>Anfas</w:t>
      </w:r>
      <w:proofErr w:type="spellEnd"/>
      <w:r w:rsidRPr="00CC0DAD">
        <w:rPr>
          <w:rFonts w:ascii="Century" w:hAnsi="Century" w:cs="Times New Roman"/>
          <w:iCs/>
        </w:rPr>
        <w:t xml:space="preserve"> (2021) state that capital intensity has a negative effect on tax avoidance. Capital intensity has a negative and insignificant effect (</w:t>
      </w:r>
      <w:proofErr w:type="spellStart"/>
      <w:r w:rsidRPr="00CC0DAD">
        <w:rPr>
          <w:rFonts w:ascii="Century" w:hAnsi="Century" w:cs="Times New Roman"/>
          <w:iCs/>
        </w:rPr>
        <w:t>Apsari</w:t>
      </w:r>
      <w:proofErr w:type="spellEnd"/>
      <w:r w:rsidRPr="00CC0DAD">
        <w:rPr>
          <w:rFonts w:ascii="Century" w:hAnsi="Century" w:cs="Times New Roman"/>
          <w:iCs/>
        </w:rPr>
        <w:t xml:space="preserve"> and </w:t>
      </w:r>
      <w:proofErr w:type="spellStart"/>
      <w:r w:rsidRPr="00CC0DAD">
        <w:rPr>
          <w:rFonts w:ascii="Century" w:hAnsi="Century" w:cs="Times New Roman"/>
          <w:iCs/>
        </w:rPr>
        <w:t>Supadmi</w:t>
      </w:r>
      <w:proofErr w:type="spellEnd"/>
      <w:r w:rsidRPr="00CC0DAD">
        <w:rPr>
          <w:rFonts w:ascii="Century" w:hAnsi="Century" w:cs="Times New Roman"/>
          <w:iCs/>
        </w:rPr>
        <w:t>, 2018). Based on the theory and previous research, the hypothesis is formulated as follows:</w:t>
      </w:r>
    </w:p>
    <w:p w14:paraId="78A01746" w14:textId="77777777"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H</w:t>
      </w:r>
      <w:proofErr w:type="gramStart"/>
      <w:r w:rsidRPr="00CC0DAD">
        <w:rPr>
          <w:rFonts w:ascii="Century" w:hAnsi="Century" w:cs="Times New Roman"/>
          <w:b/>
          <w:bCs/>
          <w:vertAlign w:val="subscript"/>
        </w:rPr>
        <w:t>2</w:t>
      </w:r>
      <w:r w:rsidRPr="00CC0DAD">
        <w:rPr>
          <w:rFonts w:ascii="Century" w:hAnsi="Century" w:cs="Times New Roman"/>
          <w:b/>
          <w:bCs/>
        </w:rPr>
        <w:t xml:space="preserve"> :</w:t>
      </w:r>
      <w:proofErr w:type="gramEnd"/>
      <w:r w:rsidRPr="00CC0DAD">
        <w:rPr>
          <w:rFonts w:ascii="Century" w:hAnsi="Century" w:cs="Times New Roman"/>
          <w:b/>
          <w:bCs/>
        </w:rPr>
        <w:t xml:space="preserve"> Capital Intensity has a negative influence on Tax Avoidance</w:t>
      </w:r>
    </w:p>
    <w:p w14:paraId="30A9CF44" w14:textId="77777777" w:rsidR="00CC0DAD" w:rsidRPr="00E73AF7" w:rsidRDefault="00CC0DAD" w:rsidP="00CC0DAD">
      <w:pPr>
        <w:pStyle w:val="ListParagraph"/>
        <w:spacing w:after="0" w:line="240" w:lineRule="auto"/>
        <w:jc w:val="both"/>
        <w:rPr>
          <w:rFonts w:ascii="Century" w:hAnsi="Century" w:cs="Times New Roman"/>
          <w:b/>
          <w:bCs/>
        </w:rPr>
      </w:pPr>
    </w:p>
    <w:p w14:paraId="7D8140D6" w14:textId="77777777"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Leverage Interaction with Independent Commissioners on Tax Avoidance</w:t>
      </w:r>
    </w:p>
    <w:p w14:paraId="62A1497A" w14:textId="77777777"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iCs/>
        </w:rPr>
        <w:t>Leverage is the debt ratio used by the company to meet its operational and investment costs (</w:t>
      </w:r>
      <w:proofErr w:type="spellStart"/>
      <w:r w:rsidRPr="00CC0DAD">
        <w:rPr>
          <w:rFonts w:ascii="Century" w:hAnsi="Century" w:cs="Times New Roman"/>
          <w:iCs/>
        </w:rPr>
        <w:t>Wijayanti</w:t>
      </w:r>
      <w:proofErr w:type="spellEnd"/>
      <w:r w:rsidRPr="00CC0DAD">
        <w:rPr>
          <w:rFonts w:ascii="Century" w:hAnsi="Century" w:cs="Times New Roman"/>
          <w:iCs/>
        </w:rPr>
        <w:t xml:space="preserve"> and Lely, 2017). The leverage used by the company to finance its operational activities can lead to an interest expense which will reduce profit before tax. In addition, the interest expense will reduce the tax that will be paid by the company. An independent commissioner is someone who has the authority to provide direction to managers in formulating strategies and managing the company (</w:t>
      </w:r>
      <w:proofErr w:type="spellStart"/>
      <w:r w:rsidRPr="00CC0DAD">
        <w:rPr>
          <w:rFonts w:ascii="Century" w:hAnsi="Century" w:cs="Times New Roman"/>
          <w:iCs/>
        </w:rPr>
        <w:t>Wijayanti</w:t>
      </w:r>
      <w:proofErr w:type="spellEnd"/>
      <w:r w:rsidRPr="00CC0DAD">
        <w:rPr>
          <w:rFonts w:ascii="Century" w:hAnsi="Century" w:cs="Times New Roman"/>
          <w:iCs/>
        </w:rPr>
        <w:t xml:space="preserve"> &amp; Lely, 2017). Agency theory states that there are differences in interests between management and shareholders, therefore independent commissioners are assigned to be supervisors in the company. Independent commissioners will guide the company's management and implement strategies to make the company better. The greater the proportion of independent commissioners, the less dysfunctional behavior will be, thereby reducing tax avoidance. This is in line with the results of </w:t>
      </w:r>
      <w:proofErr w:type="spellStart"/>
      <w:r w:rsidRPr="00CC0DAD">
        <w:rPr>
          <w:rFonts w:ascii="Century" w:hAnsi="Century" w:cs="Times New Roman"/>
          <w:iCs/>
        </w:rPr>
        <w:t>Yuni</w:t>
      </w:r>
      <w:proofErr w:type="spellEnd"/>
      <w:r w:rsidRPr="00CC0DAD">
        <w:rPr>
          <w:rFonts w:ascii="Century" w:hAnsi="Century" w:cs="Times New Roman"/>
          <w:iCs/>
        </w:rPr>
        <w:t xml:space="preserve"> and Setiawan's research (2019) which states that independent commissioners have a negative effect on tax avoidance. The proportion of independent commissioners that has a negative effect on tax avoidance is also mentioned by (</w:t>
      </w:r>
      <w:proofErr w:type="spellStart"/>
      <w:r w:rsidRPr="00CC0DAD">
        <w:rPr>
          <w:rFonts w:ascii="Century" w:hAnsi="Century" w:cs="Times New Roman"/>
          <w:iCs/>
        </w:rPr>
        <w:t>Saputri</w:t>
      </w:r>
      <w:proofErr w:type="spellEnd"/>
      <w:r w:rsidRPr="00CC0DAD">
        <w:rPr>
          <w:rFonts w:ascii="Century" w:hAnsi="Century" w:cs="Times New Roman"/>
          <w:iCs/>
        </w:rPr>
        <w:t>, 2018). Independent commissioners have a negative effect on independent commissioners (</w:t>
      </w:r>
      <w:proofErr w:type="spellStart"/>
      <w:r w:rsidRPr="00CC0DAD">
        <w:rPr>
          <w:rFonts w:ascii="Century" w:hAnsi="Century" w:cs="Times New Roman"/>
          <w:iCs/>
        </w:rPr>
        <w:t>Wijayanti</w:t>
      </w:r>
      <w:proofErr w:type="spellEnd"/>
      <w:r w:rsidRPr="00CC0DAD">
        <w:rPr>
          <w:rFonts w:ascii="Century" w:hAnsi="Century" w:cs="Times New Roman"/>
          <w:iCs/>
        </w:rPr>
        <w:t xml:space="preserve"> &amp; Lely, 2017). Based on the theory and previous research, the following hypothesis is formulated as follows:</w:t>
      </w:r>
    </w:p>
    <w:p w14:paraId="107C8FFB" w14:textId="44AB4803" w:rsidR="00CC0DAD" w:rsidRPr="00E73AF7" w:rsidRDefault="00CC0DAD" w:rsidP="00CC0DAD">
      <w:pPr>
        <w:spacing w:after="0" w:line="276" w:lineRule="auto"/>
        <w:jc w:val="both"/>
        <w:rPr>
          <w:rFonts w:ascii="Century" w:hAnsi="Century" w:cs="Times New Roman"/>
          <w:b/>
          <w:bCs/>
        </w:rPr>
      </w:pPr>
      <w:r w:rsidRPr="00CC0DAD">
        <w:rPr>
          <w:rFonts w:ascii="Century" w:hAnsi="Century" w:cs="Times New Roman"/>
          <w:b/>
          <w:bCs/>
        </w:rPr>
        <w:t>H</w:t>
      </w:r>
      <w:r w:rsidRPr="00CC0DAD">
        <w:rPr>
          <w:rFonts w:ascii="Century" w:hAnsi="Century" w:cs="Times New Roman"/>
          <w:b/>
          <w:bCs/>
          <w:vertAlign w:val="subscript"/>
        </w:rPr>
        <w:t>3</w:t>
      </w:r>
      <w:r w:rsidRPr="00CC0DAD">
        <w:rPr>
          <w:rFonts w:ascii="Century" w:hAnsi="Century" w:cs="Times New Roman"/>
          <w:b/>
          <w:bCs/>
        </w:rPr>
        <w:t>: Independent commissioners weaken the effect of leverage on tax avoidance</w:t>
      </w:r>
      <w:bookmarkStart w:id="0" w:name="_Toc91160406"/>
    </w:p>
    <w:p w14:paraId="15AC5233" w14:textId="77777777" w:rsidR="00CC0DAD" w:rsidRPr="00E73AF7" w:rsidRDefault="00CC0DAD" w:rsidP="00CC0DAD">
      <w:pPr>
        <w:pStyle w:val="Heading3"/>
        <w:spacing w:line="276" w:lineRule="auto"/>
        <w:jc w:val="both"/>
        <w:rPr>
          <w:rFonts w:ascii="Century" w:hAnsi="Century" w:cs="Times New Roman"/>
          <w:b w:val="0"/>
          <w:bCs/>
          <w:sz w:val="22"/>
          <w:szCs w:val="22"/>
        </w:rPr>
      </w:pPr>
      <w:r w:rsidRPr="00E73AF7">
        <w:rPr>
          <w:rFonts w:ascii="Century" w:hAnsi="Century" w:cs="Times New Roman"/>
          <w:bCs/>
          <w:sz w:val="22"/>
          <w:szCs w:val="22"/>
        </w:rPr>
        <w:t>Capital Intensity Interaction with Independent Commissioners on Tax Avoidance</w:t>
      </w:r>
    </w:p>
    <w:p w14:paraId="12924377" w14:textId="77777777" w:rsidR="00CC0DAD" w:rsidRDefault="00CC0DAD" w:rsidP="00CC0DAD">
      <w:pPr>
        <w:spacing w:after="0" w:line="276" w:lineRule="auto"/>
        <w:ind w:firstLine="360"/>
        <w:jc w:val="both"/>
        <w:rPr>
          <w:rFonts w:ascii="Century" w:hAnsi="Century" w:cs="Times New Roman"/>
        </w:rPr>
      </w:pPr>
      <w:r w:rsidRPr="00CC0DAD">
        <w:rPr>
          <w:rFonts w:ascii="Century" w:hAnsi="Century" w:cs="Times New Roman"/>
          <w:iCs/>
        </w:rPr>
        <w:t>Capital intensity is how much assets are invested in fixed assets (</w:t>
      </w:r>
      <w:proofErr w:type="spellStart"/>
      <w:r w:rsidRPr="00CC0DAD">
        <w:rPr>
          <w:rFonts w:ascii="Century" w:hAnsi="Century" w:cs="Times New Roman"/>
          <w:iCs/>
        </w:rPr>
        <w:t>Apsari</w:t>
      </w:r>
      <w:proofErr w:type="spellEnd"/>
      <w:r w:rsidRPr="00CC0DAD">
        <w:rPr>
          <w:rFonts w:ascii="Century" w:hAnsi="Century" w:cs="Times New Roman"/>
          <w:iCs/>
        </w:rPr>
        <w:t xml:space="preserve"> &amp; </w:t>
      </w:r>
      <w:proofErr w:type="spellStart"/>
      <w:r w:rsidRPr="00CC0DAD">
        <w:rPr>
          <w:rFonts w:ascii="Century" w:hAnsi="Century" w:cs="Times New Roman"/>
          <w:iCs/>
        </w:rPr>
        <w:t>Supadmi</w:t>
      </w:r>
      <w:proofErr w:type="spellEnd"/>
      <w:r w:rsidRPr="00CC0DAD">
        <w:rPr>
          <w:rFonts w:ascii="Century" w:hAnsi="Century" w:cs="Times New Roman"/>
          <w:iCs/>
        </w:rPr>
        <w:t>, 2018). An independent commissioner is a member of the board of commissioners who has no relationship with the company. Independent commissioners are a component of good corporate governance that can reduce agency conflicts (</w:t>
      </w:r>
      <w:proofErr w:type="spellStart"/>
      <w:r w:rsidRPr="00CC0DAD">
        <w:rPr>
          <w:rFonts w:ascii="Century" w:hAnsi="Century" w:cs="Times New Roman"/>
          <w:iCs/>
        </w:rPr>
        <w:t>Sinaga</w:t>
      </w:r>
      <w:proofErr w:type="spellEnd"/>
      <w:r w:rsidRPr="00CC0DAD">
        <w:rPr>
          <w:rFonts w:ascii="Century" w:hAnsi="Century" w:cs="Times New Roman"/>
          <w:iCs/>
        </w:rPr>
        <w:t xml:space="preserve"> and </w:t>
      </w:r>
      <w:proofErr w:type="spellStart"/>
      <w:r w:rsidRPr="00CC0DAD">
        <w:rPr>
          <w:rFonts w:ascii="Century" w:hAnsi="Century" w:cs="Times New Roman"/>
          <w:iCs/>
        </w:rPr>
        <w:t>Suardikha</w:t>
      </w:r>
      <w:proofErr w:type="spellEnd"/>
      <w:r w:rsidRPr="00CC0DAD">
        <w:rPr>
          <w:rFonts w:ascii="Century" w:hAnsi="Century" w:cs="Times New Roman"/>
          <w:iCs/>
        </w:rPr>
        <w:t>, 2019). Agency theory states that there is a difference in interests between the agent and the principal which is believed by the presence of an independent commissioner will further increase supervision and reduce agency conflict. The use of capital intensity can lead to depreciation expense which will reduce profit before tax, and will reduce the company's tax burden. The proportion of independent commissioners is expected to be able to monitor the performance and make management decisions related to taxation caused by capital intensity</w:t>
      </w:r>
      <w:r w:rsidRPr="00CC0DAD">
        <w:rPr>
          <w:rFonts w:ascii="Century" w:hAnsi="Century" w:cs="Times New Roman"/>
          <w:i/>
          <w:iCs/>
        </w:rPr>
        <w:t>.</w:t>
      </w:r>
    </w:p>
    <w:p w14:paraId="617CB05A" w14:textId="3EF9DCA4"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rPr>
        <w:t xml:space="preserve">This is in line with </w:t>
      </w:r>
      <w:proofErr w:type="spellStart"/>
      <w:r w:rsidRPr="00CC0DAD">
        <w:rPr>
          <w:rFonts w:ascii="Century" w:hAnsi="Century" w:cs="Times New Roman"/>
        </w:rPr>
        <w:t>Yuni</w:t>
      </w:r>
      <w:proofErr w:type="spellEnd"/>
      <w:r w:rsidRPr="00CC0DAD">
        <w:rPr>
          <w:rFonts w:ascii="Century" w:hAnsi="Century" w:cs="Times New Roman"/>
        </w:rPr>
        <w:t xml:space="preserve"> and Setiawan's research (2019) which states that independent commissioners have a negative effect on tax avoidance actions. The proportion of independent commissioners can carry out supervision and can prevent deviant actions that may occur in the company. </w:t>
      </w:r>
      <w:proofErr w:type="spellStart"/>
      <w:r w:rsidRPr="00CC0DAD">
        <w:rPr>
          <w:rFonts w:ascii="Century" w:hAnsi="Century" w:cs="Times New Roman"/>
        </w:rPr>
        <w:t>Wijayanti</w:t>
      </w:r>
      <w:proofErr w:type="spellEnd"/>
      <w:r w:rsidRPr="00CC0DAD">
        <w:rPr>
          <w:rFonts w:ascii="Century" w:hAnsi="Century" w:cs="Times New Roman"/>
        </w:rPr>
        <w:t xml:space="preserve"> and Lely (2017) mention that independent commissioners have a </w:t>
      </w:r>
      <w:r w:rsidRPr="00CC0DAD">
        <w:rPr>
          <w:rFonts w:ascii="Century" w:hAnsi="Century" w:cs="Times New Roman"/>
        </w:rPr>
        <w:lastRenderedPageBreak/>
        <w:t>negative effect on tax avoidance. Based on the theory and previous research, the following hypothesis is formulated as follows:</w:t>
      </w:r>
    </w:p>
    <w:p w14:paraId="07865D3E" w14:textId="77777777" w:rsidR="00CC0DAD" w:rsidRPr="00CC0DAD" w:rsidRDefault="00CC0DAD" w:rsidP="00CC0DAD">
      <w:pPr>
        <w:spacing w:after="0" w:line="276" w:lineRule="auto"/>
        <w:jc w:val="both"/>
        <w:rPr>
          <w:rFonts w:ascii="Century" w:hAnsi="Century"/>
          <w:b/>
          <w:bCs/>
        </w:rPr>
      </w:pPr>
      <w:r w:rsidRPr="00CC0DAD">
        <w:rPr>
          <w:rFonts w:ascii="Century" w:hAnsi="Century" w:cs="Times New Roman"/>
          <w:b/>
          <w:bCs/>
        </w:rPr>
        <w:t>H</w:t>
      </w:r>
      <w:r w:rsidRPr="00CC0DAD">
        <w:rPr>
          <w:rFonts w:ascii="Century" w:hAnsi="Century" w:cs="Times New Roman"/>
          <w:b/>
          <w:bCs/>
          <w:vertAlign w:val="subscript"/>
        </w:rPr>
        <w:t>4</w:t>
      </w:r>
      <w:r w:rsidRPr="00CC0DAD">
        <w:rPr>
          <w:rFonts w:ascii="Century" w:hAnsi="Century" w:cs="Times New Roman"/>
          <w:b/>
          <w:bCs/>
        </w:rPr>
        <w:t>: Independent commissioners weaken the effect of capital intensity on tax avoidance.</w:t>
      </w:r>
    </w:p>
    <w:bookmarkEnd w:id="0"/>
    <w:p w14:paraId="48B3C041" w14:textId="77777777" w:rsidR="00CC0DAD" w:rsidRPr="00CC0DAD" w:rsidRDefault="00CC0DAD" w:rsidP="00CC0DAD">
      <w:pPr>
        <w:pStyle w:val="ListParagraph"/>
        <w:spacing w:after="0" w:line="240" w:lineRule="auto"/>
        <w:jc w:val="both"/>
        <w:rPr>
          <w:rFonts w:ascii="Century" w:eastAsiaTheme="majorEastAsia" w:hAnsi="Century" w:cs="Times New Roman"/>
          <w:b/>
          <w:bCs/>
        </w:rPr>
      </w:pPr>
    </w:p>
    <w:p w14:paraId="32E36850" w14:textId="77777777" w:rsidR="00CC0DAD" w:rsidRPr="00CC0DAD" w:rsidRDefault="00CC0DAD" w:rsidP="00CC0DAD">
      <w:pPr>
        <w:spacing w:after="0" w:line="276" w:lineRule="auto"/>
        <w:jc w:val="both"/>
        <w:rPr>
          <w:rFonts w:ascii="Century" w:eastAsiaTheme="majorEastAsia" w:hAnsi="Century" w:cs="Times New Roman"/>
          <w:b/>
          <w:bCs/>
        </w:rPr>
      </w:pPr>
      <w:r w:rsidRPr="00CC0DAD">
        <w:rPr>
          <w:rFonts w:ascii="Century" w:eastAsiaTheme="majorEastAsia" w:hAnsi="Century" w:cs="Times New Roman"/>
          <w:b/>
          <w:bCs/>
        </w:rPr>
        <w:t>Leverage Interaction with Institutional Ownership on Tax Avoidance</w:t>
      </w:r>
    </w:p>
    <w:p w14:paraId="686921E7" w14:textId="77777777" w:rsidR="00CC0DAD" w:rsidRDefault="00CC0DAD" w:rsidP="00CC0DAD">
      <w:pPr>
        <w:spacing w:after="0" w:line="276" w:lineRule="auto"/>
        <w:ind w:firstLine="360"/>
        <w:jc w:val="both"/>
        <w:rPr>
          <w:rFonts w:ascii="Century" w:hAnsi="Century" w:cs="Times New Roman"/>
          <w:iCs/>
        </w:rPr>
      </w:pPr>
      <w:r w:rsidRPr="00CC0DAD">
        <w:rPr>
          <w:rFonts w:ascii="Century" w:hAnsi="Century" w:cs="Times New Roman"/>
          <w:iCs/>
        </w:rPr>
        <w:t>Leverage is a ratio used by companies to measure assets funded by debt (</w:t>
      </w:r>
      <w:proofErr w:type="spellStart"/>
      <w:r w:rsidRPr="00CC0DAD">
        <w:rPr>
          <w:rFonts w:ascii="Century" w:hAnsi="Century" w:cs="Times New Roman"/>
          <w:iCs/>
        </w:rPr>
        <w:t>Pratiwi</w:t>
      </w:r>
      <w:proofErr w:type="spellEnd"/>
      <w:r w:rsidRPr="00CC0DAD">
        <w:rPr>
          <w:rFonts w:ascii="Century" w:hAnsi="Century" w:cs="Times New Roman"/>
          <w:iCs/>
        </w:rPr>
        <w:t xml:space="preserve"> and Oktaviani, 2021). Institutional ownership is shares owned by institutions (Zainuddin and </w:t>
      </w:r>
      <w:proofErr w:type="spellStart"/>
      <w:r w:rsidRPr="00CC0DAD">
        <w:rPr>
          <w:rFonts w:ascii="Century" w:hAnsi="Century" w:cs="Times New Roman"/>
          <w:iCs/>
        </w:rPr>
        <w:t>Anfas</w:t>
      </w:r>
      <w:proofErr w:type="spellEnd"/>
      <w:r w:rsidRPr="00CC0DAD">
        <w:rPr>
          <w:rFonts w:ascii="Century" w:hAnsi="Century" w:cs="Times New Roman"/>
          <w:iCs/>
        </w:rPr>
        <w:t>, 2021). The use of leverage in reducing the company's tax burden often occurs in companies. This is measured using a high or low leverage ratio. A high leverage ratio will have an impact on high-interest expenses as well. High-interest expenses will reduce company profits and will affect the dividends distributed to shareholders (</w:t>
      </w:r>
      <w:proofErr w:type="spellStart"/>
      <w:r w:rsidRPr="00CC0DAD">
        <w:rPr>
          <w:rFonts w:ascii="Century" w:hAnsi="Century" w:cs="Times New Roman"/>
          <w:iCs/>
        </w:rPr>
        <w:t>Prasatya</w:t>
      </w:r>
      <w:proofErr w:type="spellEnd"/>
      <w:r w:rsidRPr="00CC0DAD">
        <w:rPr>
          <w:rFonts w:ascii="Century" w:hAnsi="Century" w:cs="Times New Roman"/>
          <w:iCs/>
        </w:rPr>
        <w:t xml:space="preserve"> et al., 2020). Institutional ownership as shareholders hopes to receive the maximum return on the shares that have been invested in the company (</w:t>
      </w:r>
      <w:proofErr w:type="spellStart"/>
      <w:r w:rsidRPr="00CC0DAD">
        <w:rPr>
          <w:rFonts w:ascii="Century" w:hAnsi="Century" w:cs="Times New Roman"/>
          <w:iCs/>
        </w:rPr>
        <w:t>Prasatya</w:t>
      </w:r>
      <w:proofErr w:type="spellEnd"/>
      <w:r w:rsidRPr="00CC0DAD">
        <w:rPr>
          <w:rFonts w:ascii="Century" w:hAnsi="Century" w:cs="Times New Roman"/>
          <w:iCs/>
        </w:rPr>
        <w:t xml:space="preserve"> et al., 2020). </w:t>
      </w:r>
    </w:p>
    <w:p w14:paraId="1153EC5B" w14:textId="67F62151" w:rsidR="00CC0DAD" w:rsidRPr="00CC0DAD" w:rsidRDefault="00CC0DAD" w:rsidP="00CC0DAD">
      <w:pPr>
        <w:spacing w:after="0" w:line="276" w:lineRule="auto"/>
        <w:ind w:firstLine="360"/>
        <w:jc w:val="both"/>
        <w:rPr>
          <w:rFonts w:ascii="Century" w:hAnsi="Century" w:cs="Times New Roman"/>
        </w:rPr>
      </w:pPr>
      <w:proofErr w:type="spellStart"/>
      <w:r w:rsidRPr="00CC0DAD">
        <w:rPr>
          <w:rFonts w:ascii="Century" w:hAnsi="Century" w:cs="Times New Roman"/>
          <w:iCs/>
        </w:rPr>
        <w:t>Aprianto</w:t>
      </w:r>
      <w:proofErr w:type="spellEnd"/>
      <w:r w:rsidRPr="00CC0DAD">
        <w:rPr>
          <w:rFonts w:ascii="Century" w:hAnsi="Century" w:cs="Times New Roman"/>
          <w:iCs/>
        </w:rPr>
        <w:t xml:space="preserve"> and </w:t>
      </w:r>
      <w:proofErr w:type="spellStart"/>
      <w:r w:rsidRPr="00CC0DAD">
        <w:rPr>
          <w:rFonts w:ascii="Century" w:hAnsi="Century" w:cs="Times New Roman"/>
          <w:iCs/>
        </w:rPr>
        <w:t>Dwimulyani</w:t>
      </w:r>
      <w:proofErr w:type="spellEnd"/>
      <w:r w:rsidRPr="00CC0DAD">
        <w:rPr>
          <w:rFonts w:ascii="Century" w:hAnsi="Century" w:cs="Times New Roman"/>
          <w:iCs/>
        </w:rPr>
        <w:t xml:space="preserve"> (2019) stated that companies that use a lot of loans from third parties will increase interest expenses and will reduce profits. Institutional ownership will demand a share of its investment rights so this will lead to agency conflicts. Agency theory explains that shareholders and management will have different interests that cause agency conflicts. Institutional ownership will oversee the performance of management so that management will be more careful when making decisions</w:t>
      </w:r>
      <w:r w:rsidRPr="00CC0DAD">
        <w:rPr>
          <w:rFonts w:ascii="Century" w:hAnsi="Century" w:cs="Times New Roman"/>
          <w:i/>
          <w:iCs/>
        </w:rPr>
        <w:t>.</w:t>
      </w:r>
      <w:r w:rsidRPr="00CC0DAD">
        <w:rPr>
          <w:rFonts w:ascii="Century" w:hAnsi="Century" w:cs="Times New Roman"/>
        </w:rPr>
        <w:t xml:space="preserve"> This is in line with the research of </w:t>
      </w:r>
      <w:proofErr w:type="spellStart"/>
      <w:r w:rsidRPr="00CC0DAD">
        <w:rPr>
          <w:rFonts w:ascii="Century" w:hAnsi="Century" w:cs="Times New Roman"/>
        </w:rPr>
        <w:t>Aprianto</w:t>
      </w:r>
      <w:proofErr w:type="spellEnd"/>
      <w:r w:rsidRPr="00CC0DAD">
        <w:rPr>
          <w:rFonts w:ascii="Century" w:hAnsi="Century" w:cs="Times New Roman"/>
        </w:rPr>
        <w:t xml:space="preserve"> and </w:t>
      </w:r>
      <w:proofErr w:type="spellStart"/>
      <w:r w:rsidRPr="00CC0DAD">
        <w:rPr>
          <w:rFonts w:ascii="Century" w:hAnsi="Century" w:cs="Times New Roman"/>
        </w:rPr>
        <w:t>Dwimulyani</w:t>
      </w:r>
      <w:proofErr w:type="spellEnd"/>
      <w:r w:rsidRPr="00CC0DAD">
        <w:rPr>
          <w:rFonts w:ascii="Century" w:hAnsi="Century" w:cs="Times New Roman"/>
        </w:rPr>
        <w:t xml:space="preserve"> (2019) state that institutional ownership is able to weaken the effect of leverage on tax avoidance. Research with similar results was also disclosed by </w:t>
      </w:r>
      <w:proofErr w:type="spellStart"/>
      <w:r w:rsidRPr="00CC0DAD">
        <w:rPr>
          <w:rFonts w:ascii="Century" w:hAnsi="Century" w:cs="Times New Roman"/>
        </w:rPr>
        <w:t>Prasatya</w:t>
      </w:r>
      <w:proofErr w:type="spellEnd"/>
      <w:r w:rsidRPr="00CC0DAD">
        <w:rPr>
          <w:rFonts w:ascii="Century" w:hAnsi="Century" w:cs="Times New Roman"/>
        </w:rPr>
        <w:t xml:space="preserve"> et al. (2020) that institutional ownership weakens the effect of leverage on tax avoidance. Based on the theory and previous research, the following hypothesis is formulated as follows:</w:t>
      </w:r>
    </w:p>
    <w:p w14:paraId="5B9F0E7D" w14:textId="77777777"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H</w:t>
      </w:r>
      <w:r w:rsidRPr="00CC0DAD">
        <w:rPr>
          <w:rFonts w:ascii="Century" w:hAnsi="Century" w:cs="Times New Roman"/>
          <w:b/>
          <w:bCs/>
          <w:vertAlign w:val="subscript"/>
        </w:rPr>
        <w:t>5</w:t>
      </w:r>
      <w:r w:rsidRPr="00CC0DAD">
        <w:rPr>
          <w:rFonts w:ascii="Century" w:hAnsi="Century" w:cs="Times New Roman"/>
          <w:b/>
          <w:bCs/>
        </w:rPr>
        <w:t>: Institutional ownership weakens the effect of leverage on tax avoidance.</w:t>
      </w:r>
    </w:p>
    <w:p w14:paraId="7FFBAA6C" w14:textId="77777777" w:rsidR="00CC0DAD" w:rsidRPr="00E73AF7" w:rsidRDefault="00CC0DAD" w:rsidP="00CC0DAD">
      <w:pPr>
        <w:pStyle w:val="ListParagraph"/>
        <w:spacing w:after="0" w:line="276" w:lineRule="auto"/>
        <w:jc w:val="both"/>
        <w:rPr>
          <w:rFonts w:ascii="Century" w:hAnsi="Century" w:cs="Times New Roman"/>
          <w:b/>
          <w:bCs/>
        </w:rPr>
      </w:pPr>
    </w:p>
    <w:p w14:paraId="74C5E957" w14:textId="77777777" w:rsidR="00CC0DAD" w:rsidRPr="00CC0DAD" w:rsidRDefault="00CC0DAD" w:rsidP="00CC0DAD">
      <w:pPr>
        <w:spacing w:after="0" w:line="276" w:lineRule="auto"/>
        <w:jc w:val="both"/>
        <w:rPr>
          <w:rFonts w:ascii="Century" w:hAnsi="Century" w:cs="Times New Roman"/>
          <w:b/>
          <w:bCs/>
        </w:rPr>
      </w:pPr>
      <w:r w:rsidRPr="00CC0DAD">
        <w:rPr>
          <w:rFonts w:ascii="Century" w:hAnsi="Century" w:cs="Times New Roman"/>
          <w:b/>
          <w:bCs/>
        </w:rPr>
        <w:t>Capital Intensity Interaction with Institutional Ownership on Tax Avoidance</w:t>
      </w:r>
    </w:p>
    <w:p w14:paraId="6795B566" w14:textId="77777777"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iCs/>
        </w:rPr>
        <w:t xml:space="preserve">Capital intensity is a reflection of how much investment capital is needed to earn income (Oktaviani et al., 2021). Institutional ownership is expected to be able to encourage increased supervision of management performance. A high capital intensity ratio will cause a high depreciation expense so that the tax borne tends to be below. Agency theory states that there will be differences in interests that cause agency conflicts when management will run the company for its own sake without paying attention to the company's shareholders. This can be controlled by institutional ownership because it can increase the supervision of management who behaves opportunistically. </w:t>
      </w:r>
      <w:proofErr w:type="spellStart"/>
      <w:r w:rsidRPr="00CC0DAD">
        <w:rPr>
          <w:rFonts w:ascii="Century" w:hAnsi="Century" w:cs="Times New Roman"/>
          <w:iCs/>
        </w:rPr>
        <w:t>Yuni</w:t>
      </w:r>
      <w:proofErr w:type="spellEnd"/>
      <w:r w:rsidRPr="00CC0DAD">
        <w:rPr>
          <w:rFonts w:ascii="Century" w:hAnsi="Century" w:cs="Times New Roman"/>
          <w:iCs/>
        </w:rPr>
        <w:t xml:space="preserve"> and Setiawan (2019) stated that large share ownership in a company will reduce tax avoidance.</w:t>
      </w:r>
      <w:r w:rsidRPr="00CC0DAD">
        <w:rPr>
          <w:rFonts w:ascii="Century" w:hAnsi="Century" w:cs="Times New Roman"/>
        </w:rPr>
        <w:t xml:space="preserve"> </w:t>
      </w:r>
    </w:p>
    <w:p w14:paraId="755D0190" w14:textId="77777777" w:rsidR="00CC0DAD" w:rsidRPr="00CC0DAD" w:rsidRDefault="00CC0DAD" w:rsidP="00CC0DAD">
      <w:pPr>
        <w:spacing w:after="0" w:line="276" w:lineRule="auto"/>
        <w:ind w:firstLine="360"/>
        <w:jc w:val="both"/>
        <w:rPr>
          <w:rFonts w:ascii="Century" w:hAnsi="Century" w:cs="Times New Roman"/>
        </w:rPr>
      </w:pPr>
      <w:r w:rsidRPr="00CC0DAD">
        <w:rPr>
          <w:rFonts w:ascii="Century" w:hAnsi="Century" w:cs="Times New Roman"/>
        </w:rPr>
        <w:t>This is in line with the results (</w:t>
      </w:r>
      <w:proofErr w:type="spellStart"/>
      <w:r w:rsidRPr="00CC0DAD">
        <w:rPr>
          <w:rFonts w:ascii="Century" w:hAnsi="Century" w:cs="Times New Roman"/>
        </w:rPr>
        <w:t>Yuni</w:t>
      </w:r>
      <w:proofErr w:type="spellEnd"/>
      <w:r w:rsidRPr="00CC0DAD">
        <w:rPr>
          <w:rFonts w:ascii="Century" w:hAnsi="Century" w:cs="Times New Roman"/>
        </w:rPr>
        <w:t xml:space="preserve"> and Setiawan, 2019) which state that institutional ownership has a negative effect on tax avoidance. Another similar study also mentioned by </w:t>
      </w:r>
      <w:proofErr w:type="spellStart"/>
      <w:r w:rsidRPr="00CC0DAD">
        <w:rPr>
          <w:rFonts w:ascii="Century" w:hAnsi="Century" w:cs="Times New Roman"/>
        </w:rPr>
        <w:t>Praditasari</w:t>
      </w:r>
      <w:proofErr w:type="spellEnd"/>
      <w:r w:rsidRPr="00CC0DAD">
        <w:rPr>
          <w:rFonts w:ascii="Century" w:hAnsi="Century" w:cs="Times New Roman"/>
        </w:rPr>
        <w:t xml:space="preserve"> and Setiawan (2017) that institutional ownership has a negative effect on tax avoidance. The results of the research by Khurana and Moser (2009) said that institutional ownership has a negative effect on tax avoidance. Based on the theory and previous research, the following hypotheses can be formulated as follows:</w:t>
      </w:r>
    </w:p>
    <w:p w14:paraId="0C11E6A7" w14:textId="77777777" w:rsidR="00CC0DAD" w:rsidRPr="00CC0DAD" w:rsidRDefault="00CC0DAD" w:rsidP="00CC0DAD">
      <w:pPr>
        <w:spacing w:after="0" w:line="276" w:lineRule="auto"/>
        <w:jc w:val="both"/>
        <w:rPr>
          <w:rFonts w:ascii="Century" w:hAnsi="Century" w:cs="Times New Roman"/>
        </w:rPr>
      </w:pPr>
      <w:r w:rsidRPr="00CC0DAD">
        <w:rPr>
          <w:rFonts w:ascii="Century" w:hAnsi="Century" w:cs="Times New Roman"/>
          <w:b/>
          <w:bCs/>
        </w:rPr>
        <w:t>H</w:t>
      </w:r>
      <w:r w:rsidRPr="00CC0DAD">
        <w:rPr>
          <w:rFonts w:ascii="Century" w:hAnsi="Century" w:cs="Times New Roman"/>
          <w:b/>
          <w:bCs/>
          <w:vertAlign w:val="subscript"/>
        </w:rPr>
        <w:t>6</w:t>
      </w:r>
      <w:r w:rsidRPr="00CC0DAD">
        <w:rPr>
          <w:rFonts w:ascii="Century" w:hAnsi="Century" w:cs="Times New Roman"/>
          <w:b/>
          <w:bCs/>
        </w:rPr>
        <w:t>: Institutional ownership weakens</w:t>
      </w:r>
      <w:r w:rsidRPr="00CC0DAD">
        <w:rPr>
          <w:rFonts w:ascii="Century" w:hAnsi="Century" w:cs="Times New Roman"/>
        </w:rPr>
        <w:t xml:space="preserve"> </w:t>
      </w:r>
      <w:r w:rsidRPr="00CC0DAD">
        <w:rPr>
          <w:rFonts w:ascii="Century" w:hAnsi="Century" w:cs="Times New Roman"/>
          <w:b/>
          <w:bCs/>
        </w:rPr>
        <w:t>the effect of capital intensity on tax avoidance</w:t>
      </w:r>
    </w:p>
    <w:p w14:paraId="5D25814C" w14:textId="77777777" w:rsidR="0092786C" w:rsidRDefault="0092786C" w:rsidP="00B40537">
      <w:pPr>
        <w:spacing w:after="0" w:line="240" w:lineRule="auto"/>
        <w:jc w:val="both"/>
        <w:rPr>
          <w:rFonts w:ascii="Book Antiqua" w:eastAsia="Book Antiqua" w:hAnsi="Book Antiqua" w:cs="Book Antiqua"/>
          <w:sz w:val="24"/>
          <w:szCs w:val="24"/>
        </w:rPr>
      </w:pPr>
    </w:p>
    <w:p w14:paraId="02DE374D" w14:textId="5FA69910" w:rsidR="0092786C" w:rsidRDefault="00000000">
      <w:pPr>
        <w:numPr>
          <w:ilvl w:val="0"/>
          <w:numId w:val="1"/>
        </w:numPr>
        <w:pBdr>
          <w:top w:val="nil"/>
          <w:left w:val="nil"/>
          <w:bottom w:val="nil"/>
          <w:right w:val="nil"/>
          <w:between w:val="nil"/>
        </w:pBdr>
        <w:spacing w:after="0" w:line="240" w:lineRule="auto"/>
        <w:ind w:left="567" w:hanging="567"/>
        <w:rPr>
          <w:b/>
          <w:color w:val="000000"/>
          <w:sz w:val="24"/>
          <w:szCs w:val="24"/>
        </w:rPr>
      </w:pPr>
      <w:r>
        <w:rPr>
          <w:b/>
          <w:color w:val="000000"/>
          <w:sz w:val="24"/>
          <w:szCs w:val="24"/>
        </w:rPr>
        <w:t>Method, Data, and Analysis</w:t>
      </w:r>
    </w:p>
    <w:p w14:paraId="154AE6F0" w14:textId="77777777" w:rsidR="00F00A13" w:rsidRDefault="00F00A13" w:rsidP="00F00A13">
      <w:pPr>
        <w:pBdr>
          <w:top w:val="nil"/>
          <w:left w:val="nil"/>
          <w:bottom w:val="nil"/>
          <w:right w:val="nil"/>
          <w:between w:val="nil"/>
        </w:pBdr>
        <w:spacing w:after="0" w:line="240" w:lineRule="auto"/>
        <w:ind w:left="567"/>
        <w:rPr>
          <w:b/>
          <w:color w:val="000000"/>
          <w:sz w:val="24"/>
          <w:szCs w:val="24"/>
        </w:rPr>
      </w:pPr>
    </w:p>
    <w:p w14:paraId="4BDD2F96"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Population and Sampling</w:t>
      </w:r>
    </w:p>
    <w:p w14:paraId="769785DC"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The population in this research is a manufacturing company listed on the Indonesia Stock Exchange (IDX) from 2016 to 2020. The sampling technique in this study used the purposive sampling technique and produced 75 research samples. The reason for using manufacturing is because the company's sector is the largest and has the highest level of assets among other sectors, so it is considered to represent the level of tax avoidance in the company. The period used for 2016-2020 is as long as that period can represent the results of other periods.</w:t>
      </w:r>
    </w:p>
    <w:p w14:paraId="246A868B" w14:textId="18D676C8"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The sample criteria used are as follows: 1) Manufacturing companies listed on the IDX in 2016-2020, 2) Companies that publish financial statements in a row, 3) Never experience a loss during the study period, 4) Companies that have a CETR value 0 to &lt;1, 5) Companies that do not receive tax refunds during 2016-2020, 6) Companies that submit financial statements in rupiah currency and end on December 31. The data used is secondary data from the websites of each company and the IDX website.</w:t>
      </w:r>
    </w:p>
    <w:p w14:paraId="6A267014" w14:textId="77777777" w:rsidR="00F00A13" w:rsidRDefault="00F00A13" w:rsidP="00B40537">
      <w:pPr>
        <w:spacing w:after="0" w:line="276" w:lineRule="auto"/>
        <w:jc w:val="both"/>
        <w:rPr>
          <w:rFonts w:ascii="Century" w:hAnsi="Century" w:cs="Times New Roman"/>
          <w:b/>
          <w:bCs/>
        </w:rPr>
      </w:pPr>
    </w:p>
    <w:p w14:paraId="25B83D9E" w14:textId="578D7DF8"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Tax Avoidance</w:t>
      </w:r>
    </w:p>
    <w:p w14:paraId="282095F0" w14:textId="77777777" w:rsidR="00B40537" w:rsidRPr="00B40537" w:rsidRDefault="00B40537" w:rsidP="00B40537">
      <w:pPr>
        <w:spacing w:after="0" w:line="276" w:lineRule="auto"/>
        <w:ind w:firstLine="360"/>
        <w:jc w:val="both"/>
        <w:rPr>
          <w:rFonts w:ascii="Century" w:hAnsi="Century" w:cs="Times New Roman"/>
          <w:iCs/>
        </w:rPr>
      </w:pPr>
      <w:r w:rsidRPr="00B40537">
        <w:rPr>
          <w:rFonts w:ascii="Century" w:hAnsi="Century" w:cs="Times New Roman"/>
          <w:iCs/>
        </w:rPr>
        <w:t>Tax avoidance is a safe method for taxpayers to use in terms of minimizing the tax burden that companies can do so as not to violate applicable tax laws (</w:t>
      </w:r>
      <w:proofErr w:type="spellStart"/>
      <w:r w:rsidRPr="00B40537">
        <w:rPr>
          <w:rFonts w:ascii="Century" w:hAnsi="Century" w:cs="Times New Roman"/>
          <w:iCs/>
        </w:rPr>
        <w:t>Yuni</w:t>
      </w:r>
      <w:proofErr w:type="spellEnd"/>
      <w:r w:rsidRPr="00B40537">
        <w:rPr>
          <w:rFonts w:ascii="Century" w:hAnsi="Century" w:cs="Times New Roman"/>
          <w:iCs/>
        </w:rPr>
        <w:t xml:space="preserve"> &amp; Setiawan, 2019). The measurements used in measuring tax avoidance vary, and in this study the Cash Effective Tax Rate (CETR) was used according to research (Chen et al., 2010) and (</w:t>
      </w:r>
      <w:proofErr w:type="spellStart"/>
      <w:r w:rsidRPr="00B40537">
        <w:rPr>
          <w:rFonts w:ascii="Century" w:hAnsi="Century" w:cs="Times New Roman"/>
          <w:iCs/>
        </w:rPr>
        <w:t>Sinaga</w:t>
      </w:r>
      <w:proofErr w:type="spellEnd"/>
      <w:r w:rsidRPr="00B40537">
        <w:rPr>
          <w:rFonts w:ascii="Century" w:hAnsi="Century" w:cs="Times New Roman"/>
          <w:iCs/>
        </w:rPr>
        <w:t xml:space="preserve"> &amp; </w:t>
      </w:r>
      <w:proofErr w:type="spellStart"/>
      <w:r w:rsidRPr="00B40537">
        <w:rPr>
          <w:rFonts w:ascii="Century" w:hAnsi="Century" w:cs="Times New Roman"/>
          <w:iCs/>
        </w:rPr>
        <w:t>Suardikha</w:t>
      </w:r>
      <w:proofErr w:type="spellEnd"/>
      <w:r w:rsidRPr="00B40537">
        <w:rPr>
          <w:rFonts w:ascii="Century" w:hAnsi="Century" w:cs="Times New Roman"/>
          <w:iCs/>
        </w:rPr>
        <w:t>, 2019). The formula used to measure the company's CETR is as follows:</w:t>
      </w:r>
    </w:p>
    <w:p w14:paraId="0524F33B" w14:textId="77777777" w:rsidR="00B40537" w:rsidRPr="00B40537" w:rsidRDefault="00B40537" w:rsidP="00B40537">
      <w:pPr>
        <w:spacing w:after="0" w:line="276" w:lineRule="auto"/>
        <w:jc w:val="both"/>
        <w:rPr>
          <w:rFonts w:ascii="Century" w:hAnsi="Century" w:cs="Times New Roman"/>
        </w:rPr>
      </w:pPr>
    </w:p>
    <w:p w14:paraId="7593C625" w14:textId="77777777" w:rsidR="00B40537" w:rsidRPr="00B40537" w:rsidRDefault="00B40537" w:rsidP="00B40537">
      <w:pPr>
        <w:spacing w:after="0" w:line="480" w:lineRule="auto"/>
        <w:jc w:val="both"/>
        <w:rPr>
          <w:rFonts w:ascii="Century" w:hAnsi="Century" w:cs="Times New Roman"/>
        </w:rPr>
      </w:pPr>
      <m:oMathPara>
        <m:oMathParaPr>
          <m:jc m:val="center"/>
        </m:oMathParaPr>
        <m:oMath>
          <m:r>
            <w:rPr>
              <w:rFonts w:ascii="Cambria Math" w:hAnsi="Cambria Math" w:cs="Times New Roman"/>
            </w:rPr>
            <m:t xml:space="preserve">CETR= </m:t>
          </m:r>
          <m:f>
            <m:fPr>
              <m:ctrlPr>
                <w:rPr>
                  <w:rFonts w:ascii="Cambria Math" w:hAnsi="Cambria Math" w:cs="Times New Roman"/>
                  <w:i/>
                </w:rPr>
              </m:ctrlPr>
            </m:fPr>
            <m:num>
              <m:r>
                <w:rPr>
                  <w:rFonts w:ascii="Cambria Math" w:hAnsi="Cambria Math" w:cs="Times New Roman"/>
                </w:rPr>
                <m:t>Tax Paid</m:t>
              </m:r>
            </m:num>
            <m:den>
              <m:r>
                <w:rPr>
                  <w:rFonts w:ascii="Cambria Math" w:hAnsi="Cambria Math" w:cs="Times New Roman"/>
                </w:rPr>
                <m:t>Net Income Before Tax</m:t>
              </m:r>
            </m:den>
          </m:f>
        </m:oMath>
      </m:oMathPara>
    </w:p>
    <w:p w14:paraId="41255D9F"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Leverage</w:t>
      </w:r>
    </w:p>
    <w:p w14:paraId="5185710E" w14:textId="77777777" w:rsidR="00B40537" w:rsidRPr="00B40537" w:rsidRDefault="00B40537" w:rsidP="00B40537">
      <w:pPr>
        <w:spacing w:after="0" w:line="276" w:lineRule="auto"/>
        <w:ind w:firstLine="360"/>
        <w:jc w:val="both"/>
        <w:rPr>
          <w:rFonts w:ascii="Century" w:hAnsi="Century" w:cs="Times New Roman"/>
          <w:iCs/>
        </w:rPr>
      </w:pPr>
      <w:r w:rsidRPr="00B40537">
        <w:rPr>
          <w:rFonts w:ascii="Century" w:hAnsi="Century" w:cs="Times New Roman"/>
          <w:iCs/>
        </w:rPr>
        <w:t>Leverage is the company's debt ratio which is used as the company's activity costs. The calculation of the debt to asset ratio refers to research (</w:t>
      </w:r>
      <w:proofErr w:type="spellStart"/>
      <w:r w:rsidRPr="00B40537">
        <w:rPr>
          <w:rFonts w:ascii="Century" w:hAnsi="Century" w:cs="Times New Roman"/>
          <w:iCs/>
        </w:rPr>
        <w:t>Sinaga</w:t>
      </w:r>
      <w:proofErr w:type="spellEnd"/>
      <w:r w:rsidRPr="00B40537">
        <w:rPr>
          <w:rFonts w:ascii="Century" w:hAnsi="Century" w:cs="Times New Roman"/>
          <w:iCs/>
        </w:rPr>
        <w:t xml:space="preserve"> &amp; </w:t>
      </w:r>
      <w:proofErr w:type="spellStart"/>
      <w:r w:rsidRPr="00B40537">
        <w:rPr>
          <w:rFonts w:ascii="Century" w:hAnsi="Century" w:cs="Times New Roman"/>
          <w:iCs/>
        </w:rPr>
        <w:t>Suardikha</w:t>
      </w:r>
      <w:proofErr w:type="spellEnd"/>
      <w:r w:rsidRPr="00B40537">
        <w:rPr>
          <w:rFonts w:ascii="Century" w:hAnsi="Century" w:cs="Times New Roman"/>
          <w:iCs/>
        </w:rPr>
        <w:t>, 2019). The formula used to calculate DAR is as follows:</w:t>
      </w:r>
    </w:p>
    <w:p w14:paraId="074F0D31" w14:textId="77777777" w:rsidR="00B40537" w:rsidRPr="00E73AF7" w:rsidRDefault="00B40537" w:rsidP="00B40537">
      <w:pPr>
        <w:pStyle w:val="ListParagraph"/>
        <w:spacing w:after="0" w:line="276" w:lineRule="auto"/>
        <w:jc w:val="both"/>
        <w:rPr>
          <w:rFonts w:ascii="Century" w:hAnsi="Century" w:cs="Times New Roman"/>
        </w:rPr>
      </w:pPr>
    </w:p>
    <w:p w14:paraId="7EB9C1E0" w14:textId="77777777" w:rsidR="00B40537" w:rsidRPr="00B40537" w:rsidRDefault="00B40537" w:rsidP="00B40537">
      <w:pPr>
        <w:spacing w:after="0" w:line="480" w:lineRule="auto"/>
        <w:jc w:val="center"/>
        <w:rPr>
          <w:rFonts w:ascii="Century" w:hAnsi="Century" w:cs="Times New Roman"/>
        </w:rPr>
      </w:pPr>
      <m:oMath>
        <m:r>
          <w:rPr>
            <w:rFonts w:ascii="Cambria Math" w:hAnsi="Cambria Math" w:cs="Times New Roman"/>
          </w:rPr>
          <m:t xml:space="preserve">DAR= </m:t>
        </m:r>
        <m:f>
          <m:fPr>
            <m:ctrlPr>
              <w:rPr>
                <w:rFonts w:ascii="Cambria Math" w:hAnsi="Cambria Math" w:cs="Times New Roman"/>
                <w:i/>
              </w:rPr>
            </m:ctrlPr>
          </m:fPr>
          <m:num>
            <m:r>
              <w:rPr>
                <w:rFonts w:ascii="Cambria Math" w:hAnsi="Cambria Math" w:cs="Times New Roman"/>
              </w:rPr>
              <m:t>Total Liabilities</m:t>
            </m:r>
          </m:num>
          <m:den>
            <m:r>
              <w:rPr>
                <w:rFonts w:ascii="Cambria Math" w:hAnsi="Cambria Math" w:cs="Times New Roman"/>
              </w:rPr>
              <m:t>Total Assets</m:t>
            </m:r>
          </m:den>
        </m:f>
      </m:oMath>
      <w:r w:rsidRPr="00B40537">
        <w:rPr>
          <w:rFonts w:ascii="Century" w:hAnsi="Century" w:cs="Times New Roman"/>
        </w:rPr>
        <w:t xml:space="preserve"> </w:t>
      </w:r>
    </w:p>
    <w:p w14:paraId="374FAD9B"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Capital Intensity</w:t>
      </w:r>
    </w:p>
    <w:p w14:paraId="06C3D746"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iCs/>
        </w:rPr>
        <w:t>Capital intensity is the ratio of the company's investment activities related to fixed assets (</w:t>
      </w:r>
      <w:proofErr w:type="spellStart"/>
      <w:r w:rsidRPr="00B40537">
        <w:rPr>
          <w:rFonts w:ascii="Century" w:hAnsi="Century" w:cs="Times New Roman"/>
          <w:iCs/>
        </w:rPr>
        <w:t>Furi</w:t>
      </w:r>
      <w:proofErr w:type="spellEnd"/>
      <w:r w:rsidRPr="00B40537">
        <w:rPr>
          <w:rFonts w:ascii="Century" w:hAnsi="Century" w:cs="Times New Roman"/>
          <w:iCs/>
        </w:rPr>
        <w:t>, 2018). The calculation of the capital intensity ratio is found in the study (</w:t>
      </w:r>
      <w:proofErr w:type="spellStart"/>
      <w:r w:rsidRPr="00B40537">
        <w:rPr>
          <w:rFonts w:ascii="Century" w:hAnsi="Century" w:cs="Times New Roman"/>
          <w:iCs/>
        </w:rPr>
        <w:t>Kalbuana</w:t>
      </w:r>
      <w:proofErr w:type="spellEnd"/>
      <w:r w:rsidRPr="00B40537">
        <w:rPr>
          <w:rFonts w:ascii="Century" w:hAnsi="Century" w:cs="Times New Roman"/>
          <w:iCs/>
        </w:rPr>
        <w:t xml:space="preserve"> et al., 2020) by dividing the total fixed assets and total assets. The formula used is as follows:</w:t>
      </w:r>
    </w:p>
    <w:p w14:paraId="2226423E" w14:textId="77777777" w:rsidR="00B40537" w:rsidRPr="00E73AF7" w:rsidRDefault="00B40537" w:rsidP="00B40537">
      <w:pPr>
        <w:pStyle w:val="ListParagraph"/>
        <w:spacing w:after="0" w:line="480" w:lineRule="auto"/>
        <w:jc w:val="both"/>
        <w:rPr>
          <w:rFonts w:ascii="Century" w:hAnsi="Century" w:cs="Times New Roman"/>
        </w:rPr>
      </w:pPr>
      <m:oMathPara>
        <m:oMathParaPr>
          <m:jc m:val="center"/>
        </m:oMathParaPr>
        <m:oMath>
          <m:r>
            <w:rPr>
              <w:rFonts w:ascii="Cambria Math" w:hAnsi="Cambria Math" w:cs="Times New Roman"/>
            </w:rPr>
            <m:t xml:space="preserve">CAPIN= </m:t>
          </m:r>
          <m:f>
            <m:fPr>
              <m:ctrlPr>
                <w:rPr>
                  <w:rFonts w:ascii="Cambria Math" w:hAnsi="Cambria Math" w:cs="Times New Roman"/>
                  <w:i/>
                </w:rPr>
              </m:ctrlPr>
            </m:fPr>
            <m:num>
              <m:r>
                <w:rPr>
                  <w:rFonts w:ascii="Cambria Math" w:hAnsi="Cambria Math" w:cs="Times New Roman"/>
                </w:rPr>
                <m:t>Total Fixed Assets</m:t>
              </m:r>
            </m:num>
            <m:den>
              <m:r>
                <w:rPr>
                  <w:rFonts w:ascii="Cambria Math" w:hAnsi="Cambria Math" w:cs="Times New Roman"/>
                </w:rPr>
                <m:t>Total Assets</m:t>
              </m:r>
            </m:den>
          </m:f>
        </m:oMath>
      </m:oMathPara>
    </w:p>
    <w:p w14:paraId="30C805A3"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Independent Commissioner</w:t>
      </w:r>
    </w:p>
    <w:p w14:paraId="048D1223"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Independent commissioners are members of the board's commissioners who are not affiliated with company management (KNKG, 2006). Independent commissioners are expected to be able to control and supervise the company's management. The proportion of independent commissioners is calculated by dividing the total number of independent commissioners by the total number of members of the board's commissioners (</w:t>
      </w:r>
      <w:proofErr w:type="spellStart"/>
      <w:r w:rsidRPr="00B40537">
        <w:rPr>
          <w:rFonts w:ascii="Century" w:hAnsi="Century" w:cs="Times New Roman"/>
        </w:rPr>
        <w:t>Prasatya</w:t>
      </w:r>
      <w:proofErr w:type="spellEnd"/>
      <w:r w:rsidRPr="00B40537">
        <w:rPr>
          <w:rFonts w:ascii="Century" w:hAnsi="Century" w:cs="Times New Roman"/>
        </w:rPr>
        <w:t xml:space="preserve"> et al., 2020) and (</w:t>
      </w:r>
      <w:proofErr w:type="spellStart"/>
      <w:r w:rsidRPr="00B40537">
        <w:rPr>
          <w:rFonts w:ascii="Century" w:hAnsi="Century" w:cs="Times New Roman"/>
        </w:rPr>
        <w:t>Sinaga</w:t>
      </w:r>
      <w:proofErr w:type="spellEnd"/>
      <w:r w:rsidRPr="00B40537">
        <w:rPr>
          <w:rFonts w:ascii="Century" w:hAnsi="Century" w:cs="Times New Roman"/>
        </w:rPr>
        <w:t xml:space="preserve"> &amp; </w:t>
      </w:r>
      <w:proofErr w:type="spellStart"/>
      <w:r w:rsidRPr="00B40537">
        <w:rPr>
          <w:rFonts w:ascii="Century" w:hAnsi="Century" w:cs="Times New Roman"/>
        </w:rPr>
        <w:t>Suardikha</w:t>
      </w:r>
      <w:proofErr w:type="spellEnd"/>
      <w:r w:rsidRPr="00B40537">
        <w:rPr>
          <w:rFonts w:ascii="Century" w:hAnsi="Century" w:cs="Times New Roman"/>
        </w:rPr>
        <w:t>, 2019). The calculation of the proportion of independent commissioners with the following formula:</w:t>
      </w:r>
    </w:p>
    <w:p w14:paraId="32FD8CFA" w14:textId="77777777" w:rsidR="00B40537" w:rsidRPr="00E73AF7" w:rsidRDefault="00B40537" w:rsidP="00B40537">
      <w:pPr>
        <w:pStyle w:val="ListParagraph"/>
        <w:spacing w:after="0" w:line="276" w:lineRule="auto"/>
        <w:jc w:val="both"/>
        <w:rPr>
          <w:rFonts w:ascii="Century" w:hAnsi="Century" w:cs="Times New Roman"/>
        </w:rPr>
      </w:pPr>
    </w:p>
    <w:p w14:paraId="44161881" w14:textId="77777777" w:rsidR="00B40537" w:rsidRPr="00E73AF7" w:rsidRDefault="00B40537" w:rsidP="00B40537">
      <w:pPr>
        <w:pStyle w:val="ListParagraph"/>
        <w:spacing w:after="0" w:line="480" w:lineRule="auto"/>
        <w:jc w:val="both"/>
        <w:rPr>
          <w:rFonts w:ascii="Century" w:hAnsi="Century" w:cs="Times New Roman"/>
        </w:rPr>
      </w:pPr>
      <m:oMathPara>
        <m:oMath>
          <m:r>
            <w:rPr>
              <w:rFonts w:ascii="Cambria Math" w:hAnsi="Cambria Math" w:cs="Times New Roman"/>
            </w:rPr>
            <m:t xml:space="preserve">KOMIN= </m:t>
          </m:r>
          <m:f>
            <m:fPr>
              <m:ctrlPr>
                <w:rPr>
                  <w:rFonts w:ascii="Cambria Math" w:hAnsi="Cambria Math" w:cs="Times New Roman"/>
                  <w:i/>
                </w:rPr>
              </m:ctrlPr>
            </m:fPr>
            <m:num>
              <m:r>
                <w:rPr>
                  <w:rFonts w:ascii="Cambria Math" w:hAnsi="Cambria Math" w:cs="Times New Roman"/>
                </w:rPr>
                <m:t>number of Independent Commissioners</m:t>
              </m:r>
            </m:num>
            <m:den>
              <m:r>
                <w:rPr>
                  <w:rFonts w:ascii="Cambria Math" w:hAnsi="Cambria Math" w:cs="Times New Roman"/>
                </w:rPr>
                <m:t>Number of Members of the Board's Commissioners</m:t>
              </m:r>
            </m:den>
          </m:f>
        </m:oMath>
      </m:oMathPara>
    </w:p>
    <w:p w14:paraId="1EB6E3DB" w14:textId="77777777" w:rsidR="00B40537" w:rsidRPr="00E73AF7" w:rsidRDefault="00B40537" w:rsidP="00B40537">
      <w:pPr>
        <w:pStyle w:val="ListParagraph"/>
        <w:spacing w:after="0" w:line="240" w:lineRule="auto"/>
        <w:jc w:val="both"/>
        <w:rPr>
          <w:rFonts w:ascii="Century" w:hAnsi="Century" w:cs="Times New Roman"/>
          <w:b/>
          <w:bCs/>
        </w:rPr>
      </w:pPr>
    </w:p>
    <w:p w14:paraId="69501DFA"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Institutional Ownership</w:t>
      </w:r>
    </w:p>
    <w:p w14:paraId="419ADC5B"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Institutional ownership is someone who has oversight of management performance so that it is more leveraged and is considered capable of monitoring decisions made by managers to be more effective and careful (</w:t>
      </w:r>
      <w:proofErr w:type="spellStart"/>
      <w:r w:rsidRPr="00B40537">
        <w:rPr>
          <w:rFonts w:ascii="Century" w:hAnsi="Century" w:cs="Times New Roman"/>
        </w:rPr>
        <w:t>Arianandini</w:t>
      </w:r>
      <w:proofErr w:type="spellEnd"/>
      <w:r w:rsidRPr="00B40537">
        <w:rPr>
          <w:rFonts w:ascii="Century" w:hAnsi="Century" w:cs="Times New Roman"/>
        </w:rPr>
        <w:t xml:space="preserve"> and </w:t>
      </w:r>
      <w:proofErr w:type="spellStart"/>
      <w:r w:rsidRPr="00B40537">
        <w:rPr>
          <w:rFonts w:ascii="Century" w:hAnsi="Century" w:cs="Times New Roman"/>
        </w:rPr>
        <w:t>Ramantha</w:t>
      </w:r>
      <w:proofErr w:type="spellEnd"/>
      <w:r w:rsidRPr="00B40537">
        <w:rPr>
          <w:rFonts w:ascii="Century" w:hAnsi="Century" w:cs="Times New Roman"/>
        </w:rPr>
        <w:t>, 2018). The proportion of institutional ownership is calculated by dividing the proportion of shares owned by the institution with the number of shares issued (</w:t>
      </w:r>
      <w:proofErr w:type="spellStart"/>
      <w:r w:rsidRPr="00B40537">
        <w:rPr>
          <w:rFonts w:ascii="Century" w:hAnsi="Century" w:cs="Times New Roman"/>
        </w:rPr>
        <w:t>Yuni</w:t>
      </w:r>
      <w:proofErr w:type="spellEnd"/>
      <w:r w:rsidRPr="00B40537">
        <w:rPr>
          <w:rFonts w:ascii="Century" w:hAnsi="Century" w:cs="Times New Roman"/>
        </w:rPr>
        <w:t xml:space="preserve"> &amp; Setiawan, 2019). The formula used is as follows:</w:t>
      </w:r>
    </w:p>
    <w:p w14:paraId="6D047569" w14:textId="77777777" w:rsidR="00B40537" w:rsidRPr="00E73AF7" w:rsidRDefault="00B40537" w:rsidP="00B40537">
      <w:pPr>
        <w:pStyle w:val="ListParagraph"/>
        <w:spacing w:after="0" w:line="276" w:lineRule="auto"/>
        <w:jc w:val="both"/>
        <w:rPr>
          <w:rFonts w:ascii="Century" w:hAnsi="Century" w:cs="Times New Roman"/>
          <w:noProof/>
        </w:rPr>
      </w:pPr>
    </w:p>
    <w:p w14:paraId="5F191BA1" w14:textId="5FAD9193" w:rsidR="00B40537" w:rsidRPr="00B40537" w:rsidRDefault="00B40537" w:rsidP="00B40537">
      <w:pPr>
        <w:spacing w:after="0" w:line="480" w:lineRule="auto"/>
        <w:jc w:val="both"/>
        <w:rPr>
          <w:rFonts w:ascii="Century" w:hAnsi="Century" w:cs="Times New Roman"/>
        </w:rPr>
      </w:pPr>
      <m:oMathPara>
        <m:oMathParaPr>
          <m:jc m:val="center"/>
        </m:oMathParaPr>
        <m:oMath>
          <m:r>
            <w:rPr>
              <w:rFonts w:ascii="Cambria Math" w:hAnsi="Cambria Math" w:cs="Times New Roman"/>
            </w:rPr>
            <m:t xml:space="preserve">KEPIN= </m:t>
          </m:r>
          <m:f>
            <m:fPr>
              <m:ctrlPr>
                <w:rPr>
                  <w:rFonts w:ascii="Cambria Math" w:hAnsi="Cambria Math" w:cs="Times New Roman"/>
                  <w:i/>
                </w:rPr>
              </m:ctrlPr>
            </m:fPr>
            <m:num>
              <m:r>
                <w:rPr>
                  <w:rFonts w:ascii="Cambria Math" w:hAnsi="Cambria Math" w:cs="Times New Roman"/>
                </w:rPr>
                <m:t>The proportion of shares owned by the institution</m:t>
              </m:r>
            </m:num>
            <m:den>
              <m:r>
                <w:rPr>
                  <w:rFonts w:ascii="Cambria Math" w:hAnsi="Cambria Math" w:cs="Times New Roman"/>
                </w:rPr>
                <m:t>Number of shares issued</m:t>
              </m:r>
            </m:den>
          </m:f>
        </m:oMath>
      </m:oMathPara>
    </w:p>
    <w:p w14:paraId="6145CB46"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Research Model</w:t>
      </w:r>
    </w:p>
    <w:p w14:paraId="4D9429D3"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This research model uses tax avoidance as an object that is explained by leverage, capital intensity, interaction between independent commissioners as a moderating variable and leverage, interaction between independent commissioners as a moderating variable and capital intensity, interactions between institutional ownership as a moderating variable and leverage, and the interaction between institutional ownership as a moderating variable with capital intensity. The panel data moderation regression equation model in this study is as follows:</w:t>
      </w:r>
    </w:p>
    <w:p w14:paraId="481564FC" w14:textId="77777777" w:rsidR="00B40537" w:rsidRPr="00E73AF7" w:rsidRDefault="00B40537" w:rsidP="00B40537">
      <w:pPr>
        <w:pStyle w:val="ListParagraph"/>
        <w:spacing w:after="0" w:line="240" w:lineRule="auto"/>
        <w:rPr>
          <w:rFonts w:ascii="Century" w:hAnsi="Century" w:cs="Times New Roman"/>
        </w:rPr>
      </w:pPr>
    </w:p>
    <w:p w14:paraId="77CFEF82" w14:textId="77777777" w:rsidR="00B40537" w:rsidRPr="00E73AF7" w:rsidRDefault="00B40537" w:rsidP="00B40537">
      <w:pPr>
        <w:pStyle w:val="ListParagraph"/>
        <w:spacing w:after="0" w:line="240" w:lineRule="auto"/>
        <w:rPr>
          <w:rFonts w:ascii="Century" w:hAnsi="Century" w:cs="Times New Roman"/>
        </w:rPr>
      </w:pPr>
      <w:r w:rsidRPr="00E73AF7">
        <w:rPr>
          <w:rFonts w:ascii="Century" w:hAnsi="Century" w:cs="Times New Roman"/>
        </w:rPr>
        <w:t>Y = α + β</w:t>
      </w:r>
      <w:r w:rsidRPr="00E73AF7">
        <w:rPr>
          <w:rFonts w:ascii="Century" w:hAnsi="Century" w:cs="Times New Roman"/>
          <w:vertAlign w:val="subscript"/>
        </w:rPr>
        <w:t>1</w:t>
      </w: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 xml:space="preserve"> +β</w:t>
      </w:r>
      <w:r w:rsidRPr="00E73AF7">
        <w:rPr>
          <w:rFonts w:ascii="Century" w:hAnsi="Century" w:cs="Times New Roman"/>
          <w:vertAlign w:val="subscript"/>
        </w:rPr>
        <w:t>2</w:t>
      </w: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 xml:space="preserve"> + β</w:t>
      </w:r>
      <w:r w:rsidRPr="00E73AF7">
        <w:rPr>
          <w:rFonts w:ascii="Century" w:hAnsi="Century" w:cs="Times New Roman"/>
          <w:vertAlign w:val="subscript"/>
        </w:rPr>
        <w:t>3</w:t>
      </w: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M</w:t>
      </w:r>
      <w:r w:rsidRPr="00E73AF7">
        <w:rPr>
          <w:rFonts w:ascii="Century" w:hAnsi="Century" w:cs="Times New Roman"/>
          <w:vertAlign w:val="subscript"/>
        </w:rPr>
        <w:t>1</w:t>
      </w:r>
      <w:r w:rsidRPr="00E73AF7">
        <w:rPr>
          <w:rFonts w:ascii="Century" w:hAnsi="Century" w:cs="Times New Roman"/>
        </w:rPr>
        <w:t xml:space="preserve"> + β</w:t>
      </w:r>
      <w:r w:rsidRPr="00E73AF7">
        <w:rPr>
          <w:rFonts w:ascii="Century" w:hAnsi="Century" w:cs="Times New Roman"/>
          <w:vertAlign w:val="subscript"/>
        </w:rPr>
        <w:t>4</w:t>
      </w: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M</w:t>
      </w:r>
      <w:r w:rsidRPr="00E73AF7">
        <w:rPr>
          <w:rFonts w:ascii="Century" w:hAnsi="Century" w:cs="Times New Roman"/>
          <w:vertAlign w:val="subscript"/>
        </w:rPr>
        <w:t>1</w:t>
      </w:r>
      <w:r w:rsidRPr="00E73AF7">
        <w:rPr>
          <w:rFonts w:ascii="Century" w:hAnsi="Century" w:cs="Times New Roman"/>
        </w:rPr>
        <w:t xml:space="preserve"> + β</w:t>
      </w:r>
      <w:r w:rsidRPr="00E73AF7">
        <w:rPr>
          <w:rFonts w:ascii="Century" w:hAnsi="Century" w:cs="Times New Roman"/>
          <w:vertAlign w:val="subscript"/>
        </w:rPr>
        <w:t>5</w:t>
      </w: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M</w:t>
      </w:r>
      <w:r w:rsidRPr="00E73AF7">
        <w:rPr>
          <w:rFonts w:ascii="Century" w:hAnsi="Century" w:cs="Times New Roman"/>
          <w:vertAlign w:val="subscript"/>
        </w:rPr>
        <w:t>2</w:t>
      </w:r>
      <w:r w:rsidRPr="00E73AF7">
        <w:rPr>
          <w:rFonts w:ascii="Century" w:hAnsi="Century" w:cs="Times New Roman"/>
        </w:rPr>
        <w:t xml:space="preserve"> + β</w:t>
      </w:r>
      <w:r w:rsidRPr="00E73AF7">
        <w:rPr>
          <w:rFonts w:ascii="Century" w:hAnsi="Century" w:cs="Times New Roman"/>
          <w:vertAlign w:val="subscript"/>
        </w:rPr>
        <w:t>6</w:t>
      </w: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M</w:t>
      </w:r>
      <w:r w:rsidRPr="00E73AF7">
        <w:rPr>
          <w:rFonts w:ascii="Century" w:hAnsi="Century" w:cs="Times New Roman"/>
          <w:vertAlign w:val="subscript"/>
        </w:rPr>
        <w:t>2</w:t>
      </w:r>
      <w:r w:rsidRPr="00E73AF7">
        <w:rPr>
          <w:rFonts w:ascii="Century" w:hAnsi="Century" w:cs="Times New Roman"/>
        </w:rPr>
        <w:t xml:space="preserve"> + ε…</w:t>
      </w:r>
    </w:p>
    <w:p w14:paraId="7F2457DE" w14:textId="77777777" w:rsidR="00B40537" w:rsidRPr="00B40537" w:rsidRDefault="00B40537" w:rsidP="00B40537">
      <w:pPr>
        <w:spacing w:after="0" w:line="240" w:lineRule="auto"/>
        <w:ind w:left="360"/>
        <w:jc w:val="both"/>
        <w:rPr>
          <w:rFonts w:ascii="Century" w:hAnsi="Century" w:cs="Times New Roman"/>
        </w:rPr>
      </w:pPr>
    </w:p>
    <w:p w14:paraId="1841E2DC" w14:textId="77777777" w:rsidR="00F00A13" w:rsidRDefault="00F00A13" w:rsidP="00B40537">
      <w:pPr>
        <w:pStyle w:val="ListParagraph"/>
        <w:spacing w:after="0" w:line="240" w:lineRule="auto"/>
        <w:jc w:val="both"/>
        <w:rPr>
          <w:rFonts w:ascii="Century" w:hAnsi="Century" w:cs="Times New Roman"/>
        </w:rPr>
      </w:pPr>
    </w:p>
    <w:p w14:paraId="12B4A8AF" w14:textId="77777777" w:rsidR="00F00A13" w:rsidRDefault="00F00A13" w:rsidP="00B40537">
      <w:pPr>
        <w:pStyle w:val="ListParagraph"/>
        <w:spacing w:after="0" w:line="240" w:lineRule="auto"/>
        <w:jc w:val="both"/>
        <w:rPr>
          <w:rFonts w:ascii="Century" w:hAnsi="Century" w:cs="Times New Roman"/>
        </w:rPr>
      </w:pPr>
    </w:p>
    <w:p w14:paraId="268BAD8B" w14:textId="77777777" w:rsidR="00F00A13" w:rsidRDefault="00F00A13" w:rsidP="00B40537">
      <w:pPr>
        <w:pStyle w:val="ListParagraph"/>
        <w:spacing w:after="0" w:line="240" w:lineRule="auto"/>
        <w:jc w:val="both"/>
        <w:rPr>
          <w:rFonts w:ascii="Century" w:hAnsi="Century" w:cs="Times New Roman"/>
        </w:rPr>
      </w:pPr>
    </w:p>
    <w:p w14:paraId="304BD36A" w14:textId="37B7F055" w:rsidR="00B40537" w:rsidRPr="00E73AF7" w:rsidRDefault="00B40537" w:rsidP="00B40537">
      <w:pPr>
        <w:pStyle w:val="ListParagraph"/>
        <w:spacing w:after="0" w:line="240" w:lineRule="auto"/>
        <w:jc w:val="both"/>
        <w:rPr>
          <w:rFonts w:ascii="Century" w:hAnsi="Century" w:cs="Times New Roman"/>
          <w:b/>
          <w:bCs/>
        </w:rPr>
      </w:pPr>
      <w:proofErr w:type="gramStart"/>
      <w:r w:rsidRPr="00E73AF7">
        <w:rPr>
          <w:rFonts w:ascii="Century" w:hAnsi="Century" w:cs="Times New Roman"/>
        </w:rPr>
        <w:t>Description :</w:t>
      </w:r>
      <w:proofErr w:type="gramEnd"/>
    </w:p>
    <w:p w14:paraId="67FA5568"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Y</w:t>
      </w:r>
      <w:r w:rsidRPr="00E73AF7">
        <w:rPr>
          <w:rFonts w:ascii="Century" w:hAnsi="Century" w:cs="Times New Roman"/>
        </w:rPr>
        <w:tab/>
        <w:t xml:space="preserve">: </w:t>
      </w:r>
      <w:r w:rsidRPr="00E73AF7">
        <w:rPr>
          <w:rFonts w:ascii="Century" w:hAnsi="Century" w:cs="Times New Roman"/>
          <w:i/>
          <w:iCs/>
        </w:rPr>
        <w:t>Tax Avoidance</w:t>
      </w:r>
    </w:p>
    <w:p w14:paraId="09AB7710"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α</w:t>
      </w:r>
      <w:r w:rsidRPr="00E73AF7">
        <w:rPr>
          <w:rFonts w:ascii="Century" w:hAnsi="Century" w:cs="Times New Roman"/>
        </w:rPr>
        <w:tab/>
      </w:r>
      <w:r w:rsidRPr="00E73AF7">
        <w:rPr>
          <w:rFonts w:ascii="Century" w:hAnsi="Century" w:cs="Times New Roman"/>
        </w:rPr>
        <w:tab/>
        <w:t>: Constant</w:t>
      </w:r>
    </w:p>
    <w:p w14:paraId="12035318"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β</w:t>
      </w:r>
      <w:r w:rsidRPr="00E73AF7">
        <w:rPr>
          <w:rFonts w:ascii="Century" w:hAnsi="Century" w:cs="Times New Roman"/>
          <w:vertAlign w:val="subscript"/>
        </w:rPr>
        <w:t>1</w:t>
      </w:r>
      <w:r w:rsidRPr="00E73AF7">
        <w:rPr>
          <w:rFonts w:ascii="Century" w:hAnsi="Century" w:cs="Times New Roman"/>
        </w:rPr>
        <w:t>-β</w:t>
      </w:r>
      <w:r w:rsidRPr="00E73AF7">
        <w:rPr>
          <w:rFonts w:ascii="Century" w:hAnsi="Century" w:cs="Times New Roman"/>
          <w:vertAlign w:val="subscript"/>
        </w:rPr>
        <w:t>6</w:t>
      </w:r>
      <w:r w:rsidRPr="00E73AF7">
        <w:rPr>
          <w:rFonts w:ascii="Century" w:hAnsi="Century" w:cs="Times New Roman"/>
        </w:rPr>
        <w:tab/>
        <w:t>: Regression coefficient of independent and moderating interaction</w:t>
      </w:r>
    </w:p>
    <w:p w14:paraId="24976EA0"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ab/>
        <w:t xml:space="preserve">: </w:t>
      </w:r>
      <w:r w:rsidRPr="00E73AF7">
        <w:rPr>
          <w:rFonts w:ascii="Century" w:hAnsi="Century" w:cs="Times New Roman"/>
          <w:iCs/>
        </w:rPr>
        <w:t>Leverage</w:t>
      </w:r>
    </w:p>
    <w:p w14:paraId="607BBEB9"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ab/>
        <w:t xml:space="preserve">: </w:t>
      </w:r>
      <w:r w:rsidRPr="00E73AF7">
        <w:rPr>
          <w:rFonts w:ascii="Century" w:hAnsi="Century" w:cs="Times New Roman"/>
          <w:iCs/>
        </w:rPr>
        <w:t>Capital Intensity</w:t>
      </w:r>
    </w:p>
    <w:p w14:paraId="0650ADCE"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M</w:t>
      </w:r>
      <w:r w:rsidRPr="00E73AF7">
        <w:rPr>
          <w:rFonts w:ascii="Century" w:hAnsi="Century" w:cs="Times New Roman"/>
          <w:vertAlign w:val="subscript"/>
        </w:rPr>
        <w:t>1</w:t>
      </w:r>
      <w:r w:rsidRPr="00E73AF7">
        <w:rPr>
          <w:rFonts w:ascii="Century" w:hAnsi="Century" w:cs="Times New Roman"/>
        </w:rPr>
        <w:tab/>
        <w:t>: Interaction between leverage and independent commissioners</w:t>
      </w:r>
    </w:p>
    <w:p w14:paraId="60286F35"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M</w:t>
      </w:r>
      <w:r w:rsidRPr="00E73AF7">
        <w:rPr>
          <w:rFonts w:ascii="Century" w:hAnsi="Century" w:cs="Times New Roman"/>
          <w:vertAlign w:val="subscript"/>
        </w:rPr>
        <w:t>1</w:t>
      </w:r>
      <w:r w:rsidRPr="00E73AF7">
        <w:rPr>
          <w:rFonts w:ascii="Century" w:hAnsi="Century" w:cs="Times New Roman"/>
        </w:rPr>
        <w:tab/>
        <w:t>: Interaction between capital intensity and independent commissioner</w:t>
      </w:r>
    </w:p>
    <w:p w14:paraId="0A3F2703"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1</w:t>
      </w:r>
      <w:r w:rsidRPr="00E73AF7">
        <w:rPr>
          <w:rFonts w:ascii="Century" w:hAnsi="Century" w:cs="Times New Roman"/>
        </w:rPr>
        <w:t>M</w:t>
      </w:r>
      <w:r w:rsidRPr="00E73AF7">
        <w:rPr>
          <w:rFonts w:ascii="Century" w:hAnsi="Century" w:cs="Times New Roman"/>
          <w:vertAlign w:val="subscript"/>
        </w:rPr>
        <w:t>2</w:t>
      </w:r>
      <w:r w:rsidRPr="00E73AF7">
        <w:rPr>
          <w:rFonts w:ascii="Century" w:hAnsi="Century" w:cs="Times New Roman"/>
        </w:rPr>
        <w:tab/>
        <w:t>: Interaction between leverage and institutional ownership</w:t>
      </w:r>
    </w:p>
    <w:p w14:paraId="33C86100" w14:textId="77777777" w:rsidR="00B40537" w:rsidRPr="00E73AF7" w:rsidRDefault="00B40537" w:rsidP="00B40537">
      <w:pPr>
        <w:pStyle w:val="ListParagraph"/>
        <w:spacing w:after="0" w:line="240" w:lineRule="auto"/>
        <w:jc w:val="both"/>
        <w:rPr>
          <w:rFonts w:ascii="Century" w:hAnsi="Century" w:cs="Times New Roman"/>
        </w:rPr>
      </w:pPr>
      <w:r w:rsidRPr="00E73AF7">
        <w:rPr>
          <w:rFonts w:ascii="Century" w:hAnsi="Century" w:cs="Times New Roman"/>
        </w:rPr>
        <w:t>X</w:t>
      </w:r>
      <w:r w:rsidRPr="00E73AF7">
        <w:rPr>
          <w:rFonts w:ascii="Century" w:hAnsi="Century" w:cs="Times New Roman"/>
          <w:vertAlign w:val="subscript"/>
        </w:rPr>
        <w:t>2</w:t>
      </w:r>
      <w:r w:rsidRPr="00E73AF7">
        <w:rPr>
          <w:rFonts w:ascii="Century" w:hAnsi="Century" w:cs="Times New Roman"/>
        </w:rPr>
        <w:t>M</w:t>
      </w:r>
      <w:r w:rsidRPr="00E73AF7">
        <w:rPr>
          <w:rFonts w:ascii="Century" w:hAnsi="Century" w:cs="Times New Roman"/>
          <w:vertAlign w:val="subscript"/>
        </w:rPr>
        <w:t>2</w:t>
      </w:r>
      <w:r w:rsidRPr="00E73AF7">
        <w:rPr>
          <w:rFonts w:ascii="Century" w:hAnsi="Century" w:cs="Times New Roman"/>
        </w:rPr>
        <w:tab/>
        <w:t>: Interaction between capital intensity and institutional ownership</w:t>
      </w:r>
    </w:p>
    <w:p w14:paraId="293E1EB5" w14:textId="77777777" w:rsidR="00B40537" w:rsidRPr="00E73AF7" w:rsidRDefault="00B40537" w:rsidP="00B40537">
      <w:pPr>
        <w:pStyle w:val="ListParagraph"/>
        <w:spacing w:after="0" w:line="240" w:lineRule="auto"/>
        <w:jc w:val="both"/>
        <w:rPr>
          <w:rFonts w:ascii="Century" w:hAnsi="Century" w:cs="Times New Roman"/>
          <w:i/>
          <w:iCs/>
        </w:rPr>
      </w:pPr>
      <w:r w:rsidRPr="00E73AF7">
        <w:rPr>
          <w:rFonts w:ascii="Century" w:hAnsi="Century" w:cs="Times New Roman"/>
        </w:rPr>
        <w:t>ε</w:t>
      </w:r>
      <w:r w:rsidRPr="00E73AF7">
        <w:rPr>
          <w:rFonts w:ascii="Century" w:hAnsi="Century" w:cs="Times New Roman"/>
        </w:rPr>
        <w:tab/>
        <w:t xml:space="preserve"> </w:t>
      </w:r>
      <w:r w:rsidRPr="00E73AF7">
        <w:rPr>
          <w:rFonts w:ascii="Century" w:hAnsi="Century" w:cs="Times New Roman"/>
        </w:rPr>
        <w:tab/>
        <w:t xml:space="preserve">: </w:t>
      </w:r>
      <w:r w:rsidRPr="00E73AF7">
        <w:rPr>
          <w:rFonts w:ascii="Century" w:hAnsi="Century" w:cs="Times New Roman"/>
          <w:i/>
          <w:iCs/>
        </w:rPr>
        <w:t>Error Term</w:t>
      </w:r>
    </w:p>
    <w:p w14:paraId="4F2CDA33" w14:textId="77777777" w:rsidR="00B40537" w:rsidRPr="00E73AF7" w:rsidRDefault="00B40537" w:rsidP="00B40537">
      <w:pPr>
        <w:pStyle w:val="ListParagraph"/>
        <w:spacing w:after="0" w:line="240" w:lineRule="auto"/>
        <w:jc w:val="both"/>
        <w:rPr>
          <w:rFonts w:ascii="Century" w:hAnsi="Century" w:cs="Times New Roman"/>
          <w:b/>
          <w:bCs/>
        </w:rPr>
      </w:pPr>
    </w:p>
    <w:p w14:paraId="06BBA535"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Data analysis technique</w:t>
      </w:r>
    </w:p>
    <w:p w14:paraId="67BD8B16"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rPr>
        <w:t>This research uses Panel Data Moderate Regression Analysis (MRA) technique using three approaches, namely Common Effect Model (CEM), Fixed Effect Model (FEM), and Random Effect Model (REM).</w:t>
      </w:r>
    </w:p>
    <w:p w14:paraId="6D8DCAF8"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Chow Test</w:t>
      </w:r>
    </w:p>
    <w:p w14:paraId="73B06F39" w14:textId="77777777" w:rsidR="00B40537" w:rsidRPr="00B40537" w:rsidRDefault="00B40537" w:rsidP="00B40537">
      <w:pPr>
        <w:spacing w:after="0" w:line="276" w:lineRule="auto"/>
        <w:ind w:firstLine="720"/>
        <w:jc w:val="both"/>
        <w:rPr>
          <w:rFonts w:ascii="Century" w:hAnsi="Century" w:cs="Times New Roman"/>
        </w:rPr>
      </w:pPr>
      <w:r w:rsidRPr="00B40537">
        <w:rPr>
          <w:rFonts w:ascii="Century" w:hAnsi="Century" w:cs="Times New Roman"/>
        </w:rPr>
        <w:t xml:space="preserve">Chow test is a test used to determine the best model for estimating panel data to be used in the research test by testing the Common Effect Model (CEM) and the Fixed Effect Model (FEM). If the test states that the null hypothesis is accepted or if the probability value is less than 0.05 then the model to be used is the Common Effect Model (CEM). If the test states that the null hypothesis is rejected or the probability value is greater than 0.05, the model to be used in the study is the Fixed Effect Model (FEM) and will proceed to the Hausman test. </w:t>
      </w:r>
    </w:p>
    <w:p w14:paraId="52A7C389"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Hausman Test</w:t>
      </w:r>
    </w:p>
    <w:p w14:paraId="474F0D36" w14:textId="7A0CFA09" w:rsidR="0092786C" w:rsidRPr="00B40537" w:rsidRDefault="00B40537" w:rsidP="00B40537">
      <w:pPr>
        <w:spacing w:after="0" w:line="276" w:lineRule="auto"/>
        <w:ind w:firstLine="567"/>
        <w:jc w:val="both"/>
        <w:rPr>
          <w:rFonts w:ascii="Century" w:hAnsi="Century" w:cs="Times New Roman"/>
        </w:rPr>
      </w:pPr>
      <w:r w:rsidRPr="00B40537">
        <w:rPr>
          <w:rFonts w:ascii="Century" w:hAnsi="Century" w:cs="Times New Roman"/>
        </w:rPr>
        <w:t>The Hausman test is a test used to determine whether the Fixed Effect Model or the Random Effect Model is the most appropriate to use in estimating the panel data. The results of the Hausman test which states that the null hypothesis is accepted or the probability is greater than 0.05, the model used is the Random Effect Model. If the results of the Hausman test state that the null hypothesis is rejected or the probability is less than 0.05 then the correct model to use is the Fixed Effect Model.</w:t>
      </w:r>
    </w:p>
    <w:p w14:paraId="3EBABDB7" w14:textId="77777777" w:rsidR="0092786C" w:rsidRDefault="00000000">
      <w:pPr>
        <w:numPr>
          <w:ilvl w:val="0"/>
          <w:numId w:val="1"/>
        </w:numPr>
        <w:pBdr>
          <w:top w:val="nil"/>
          <w:left w:val="nil"/>
          <w:bottom w:val="nil"/>
          <w:right w:val="nil"/>
          <w:between w:val="nil"/>
        </w:pBdr>
        <w:spacing w:before="120" w:after="120" w:line="240" w:lineRule="auto"/>
        <w:ind w:left="567" w:hanging="567"/>
        <w:jc w:val="both"/>
        <w:rPr>
          <w:b/>
          <w:color w:val="000000"/>
          <w:sz w:val="24"/>
          <w:szCs w:val="24"/>
        </w:rPr>
      </w:pPr>
      <w:r>
        <w:rPr>
          <w:b/>
          <w:color w:val="000000"/>
          <w:sz w:val="24"/>
          <w:szCs w:val="24"/>
        </w:rPr>
        <w:t>Results</w:t>
      </w:r>
    </w:p>
    <w:p w14:paraId="3DF502D2"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Descriptive Statistics Test</w:t>
      </w:r>
    </w:p>
    <w:p w14:paraId="7B7A02C2"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rPr>
        <w:t>Based on the descriptive statistical test, it can be seen in Table 2 below.</w:t>
      </w:r>
    </w:p>
    <w:p w14:paraId="12C8CFD4" w14:textId="311A88E1" w:rsidR="00B40537" w:rsidRPr="00B40537" w:rsidRDefault="00B40537" w:rsidP="00B40537">
      <w:pPr>
        <w:spacing w:after="0" w:line="276" w:lineRule="auto"/>
        <w:ind w:left="2160" w:firstLine="720"/>
        <w:rPr>
          <w:rFonts w:ascii="Century" w:hAnsi="Century" w:cs="Times New Roman"/>
          <w:b/>
          <w:bCs/>
        </w:rPr>
      </w:pPr>
      <w:r w:rsidRPr="00B40537">
        <w:rPr>
          <w:rFonts w:ascii="Century" w:hAnsi="Century" w:cs="Times New Roman"/>
          <w:b/>
          <w:bCs/>
        </w:rPr>
        <w:t xml:space="preserve">             Table 2. </w:t>
      </w:r>
      <w:r w:rsidRPr="00B40537">
        <w:rPr>
          <w:rFonts w:ascii="Century" w:hAnsi="Century" w:cs="Times New Roman"/>
        </w:rPr>
        <w:t>Descriptive Statistics</w:t>
      </w:r>
    </w:p>
    <w:tbl>
      <w:tblPr>
        <w:tblStyle w:val="PlainTable21"/>
        <w:tblW w:w="7186" w:type="dxa"/>
        <w:tblInd w:w="1170" w:type="dxa"/>
        <w:tblBorders>
          <w:top w:val="none" w:sz="0" w:space="0" w:color="auto"/>
          <w:bottom w:val="none" w:sz="0" w:space="0" w:color="auto"/>
        </w:tblBorders>
        <w:tblLook w:val="04A0" w:firstRow="1" w:lastRow="0" w:firstColumn="1" w:lastColumn="0" w:noHBand="0" w:noVBand="1"/>
      </w:tblPr>
      <w:tblGrid>
        <w:gridCol w:w="1622"/>
        <w:gridCol w:w="1195"/>
        <w:gridCol w:w="1195"/>
        <w:gridCol w:w="1195"/>
        <w:gridCol w:w="1195"/>
        <w:gridCol w:w="1195"/>
      </w:tblGrid>
      <w:tr w:rsidR="00B40537" w:rsidRPr="00900543" w14:paraId="5C39C89A" w14:textId="77777777" w:rsidTr="000A4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auto"/>
              <w:bottom w:val="single" w:sz="4" w:space="0" w:color="auto"/>
            </w:tcBorders>
          </w:tcPr>
          <w:p w14:paraId="3CD9BB87" w14:textId="77777777" w:rsidR="00B40537" w:rsidRPr="00900543" w:rsidRDefault="00B40537" w:rsidP="000A418C">
            <w:pPr>
              <w:pStyle w:val="ListParagraph"/>
              <w:ind w:left="0"/>
              <w:jc w:val="center"/>
              <w:rPr>
                <w:rFonts w:ascii="Century" w:hAnsi="Century" w:cs="Times New Roman"/>
                <w:noProof/>
              </w:rPr>
            </w:pPr>
          </w:p>
        </w:tc>
        <w:tc>
          <w:tcPr>
            <w:tcW w:w="1096" w:type="dxa"/>
            <w:tcBorders>
              <w:top w:val="single" w:sz="4" w:space="0" w:color="auto"/>
              <w:bottom w:val="single" w:sz="4" w:space="0" w:color="auto"/>
            </w:tcBorders>
          </w:tcPr>
          <w:p w14:paraId="07FBF6C6" w14:textId="77777777" w:rsidR="00B40537" w:rsidRPr="00900543" w:rsidRDefault="00B40537" w:rsidP="000A41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cs="Times New Roman"/>
                <w:b w:val="0"/>
                <w:bCs w:val="0"/>
                <w:noProof/>
              </w:rPr>
            </w:pPr>
            <w:r w:rsidRPr="00900543">
              <w:rPr>
                <w:rFonts w:ascii="Century" w:hAnsi="Century" w:cs="Times New Roman"/>
                <w:b w:val="0"/>
                <w:bCs w:val="0"/>
              </w:rPr>
              <w:t>CETR</w:t>
            </w:r>
          </w:p>
        </w:tc>
        <w:tc>
          <w:tcPr>
            <w:tcW w:w="1096" w:type="dxa"/>
            <w:tcBorders>
              <w:top w:val="single" w:sz="4" w:space="0" w:color="auto"/>
              <w:bottom w:val="single" w:sz="4" w:space="0" w:color="auto"/>
            </w:tcBorders>
          </w:tcPr>
          <w:p w14:paraId="6836BD67" w14:textId="77777777" w:rsidR="00B40537" w:rsidRPr="00900543" w:rsidRDefault="00B40537" w:rsidP="000A41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cs="Times New Roman"/>
                <w:b w:val="0"/>
                <w:bCs w:val="0"/>
              </w:rPr>
            </w:pPr>
            <w:r w:rsidRPr="00900543">
              <w:rPr>
                <w:rFonts w:ascii="Century" w:hAnsi="Century" w:cs="Times New Roman"/>
                <w:b w:val="0"/>
                <w:bCs w:val="0"/>
              </w:rPr>
              <w:t>DAR</w:t>
            </w:r>
          </w:p>
        </w:tc>
        <w:tc>
          <w:tcPr>
            <w:tcW w:w="1195" w:type="dxa"/>
            <w:tcBorders>
              <w:top w:val="single" w:sz="4" w:space="0" w:color="auto"/>
              <w:bottom w:val="single" w:sz="4" w:space="0" w:color="auto"/>
            </w:tcBorders>
          </w:tcPr>
          <w:p w14:paraId="170D1075" w14:textId="77777777" w:rsidR="00B40537" w:rsidRPr="00900543" w:rsidRDefault="00B40537" w:rsidP="000A41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cs="Times New Roman"/>
                <w:b w:val="0"/>
                <w:bCs w:val="0"/>
              </w:rPr>
            </w:pPr>
            <w:r w:rsidRPr="00900543">
              <w:rPr>
                <w:rFonts w:ascii="Century" w:hAnsi="Century" w:cs="Times New Roman"/>
                <w:b w:val="0"/>
                <w:bCs w:val="0"/>
              </w:rPr>
              <w:t xml:space="preserve">CAPIN </w:t>
            </w:r>
          </w:p>
        </w:tc>
        <w:tc>
          <w:tcPr>
            <w:tcW w:w="1096" w:type="dxa"/>
            <w:tcBorders>
              <w:top w:val="single" w:sz="4" w:space="0" w:color="auto"/>
              <w:bottom w:val="single" w:sz="4" w:space="0" w:color="auto"/>
            </w:tcBorders>
          </w:tcPr>
          <w:p w14:paraId="6B3D0B87" w14:textId="77777777" w:rsidR="00B40537" w:rsidRPr="00900543" w:rsidRDefault="00B40537" w:rsidP="000A41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cs="Times New Roman"/>
                <w:b w:val="0"/>
                <w:bCs w:val="0"/>
                <w:noProof/>
              </w:rPr>
            </w:pPr>
            <w:r w:rsidRPr="00900543">
              <w:rPr>
                <w:rFonts w:ascii="Century" w:hAnsi="Century" w:cs="Times New Roman"/>
                <w:b w:val="0"/>
                <w:bCs w:val="0"/>
              </w:rPr>
              <w:t>KOMIN</w:t>
            </w:r>
          </w:p>
        </w:tc>
        <w:tc>
          <w:tcPr>
            <w:tcW w:w="1271" w:type="dxa"/>
            <w:tcBorders>
              <w:top w:val="single" w:sz="4" w:space="0" w:color="auto"/>
              <w:bottom w:val="single" w:sz="4" w:space="0" w:color="auto"/>
            </w:tcBorders>
          </w:tcPr>
          <w:p w14:paraId="1FF02EA2" w14:textId="77777777" w:rsidR="00B40537" w:rsidRPr="00900543" w:rsidRDefault="00B40537" w:rsidP="000A418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cs="Times New Roman"/>
                <w:b w:val="0"/>
                <w:bCs w:val="0"/>
                <w:noProof/>
              </w:rPr>
            </w:pPr>
            <w:r w:rsidRPr="00900543">
              <w:rPr>
                <w:rFonts w:ascii="Century" w:hAnsi="Century" w:cs="Times New Roman"/>
                <w:b w:val="0"/>
                <w:bCs w:val="0"/>
              </w:rPr>
              <w:t>KEPINS</w:t>
            </w:r>
          </w:p>
        </w:tc>
      </w:tr>
      <w:tr w:rsidR="00B40537" w:rsidRPr="00900543" w14:paraId="55EC6B75"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auto"/>
              <w:bottom w:val="none" w:sz="0" w:space="0" w:color="auto"/>
            </w:tcBorders>
          </w:tcPr>
          <w:p w14:paraId="2FD1AE4A" w14:textId="77777777" w:rsidR="00B40537" w:rsidRPr="00900543" w:rsidRDefault="00B40537" w:rsidP="000A418C">
            <w:pPr>
              <w:pStyle w:val="ListParagraph"/>
              <w:ind w:left="0"/>
              <w:rPr>
                <w:rFonts w:ascii="Century" w:hAnsi="Century" w:cs="Times New Roman"/>
                <w:b w:val="0"/>
                <w:bCs w:val="0"/>
                <w:noProof/>
              </w:rPr>
            </w:pPr>
            <w:r w:rsidRPr="00900543">
              <w:rPr>
                <w:rFonts w:ascii="Century" w:hAnsi="Century" w:cs="Times New Roman"/>
                <w:b w:val="0"/>
                <w:bCs w:val="0"/>
              </w:rPr>
              <w:t> Mean</w:t>
            </w:r>
          </w:p>
        </w:tc>
        <w:tc>
          <w:tcPr>
            <w:tcW w:w="1096" w:type="dxa"/>
            <w:tcBorders>
              <w:top w:val="single" w:sz="4" w:space="0" w:color="auto"/>
              <w:bottom w:val="none" w:sz="0" w:space="0" w:color="auto"/>
            </w:tcBorders>
          </w:tcPr>
          <w:p w14:paraId="1A180768"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noProof/>
              </w:rPr>
            </w:pPr>
            <w:r w:rsidRPr="00900543">
              <w:rPr>
                <w:rFonts w:ascii="Century" w:hAnsi="Century" w:cs="Times New Roman"/>
              </w:rPr>
              <w:t> 0.267733</w:t>
            </w:r>
          </w:p>
        </w:tc>
        <w:tc>
          <w:tcPr>
            <w:tcW w:w="1096" w:type="dxa"/>
            <w:tcBorders>
              <w:top w:val="single" w:sz="4" w:space="0" w:color="auto"/>
              <w:bottom w:val="none" w:sz="0" w:space="0" w:color="auto"/>
            </w:tcBorders>
          </w:tcPr>
          <w:p w14:paraId="26E0CEF0"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noProof/>
              </w:rPr>
            </w:pPr>
            <w:r w:rsidRPr="00900543">
              <w:rPr>
                <w:rFonts w:ascii="Century" w:hAnsi="Century" w:cs="Times New Roman"/>
              </w:rPr>
              <w:t> 0.360133</w:t>
            </w:r>
          </w:p>
        </w:tc>
        <w:tc>
          <w:tcPr>
            <w:tcW w:w="1195" w:type="dxa"/>
            <w:tcBorders>
              <w:top w:val="single" w:sz="4" w:space="0" w:color="auto"/>
              <w:bottom w:val="none" w:sz="0" w:space="0" w:color="auto"/>
            </w:tcBorders>
          </w:tcPr>
          <w:p w14:paraId="196FA2D5"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noProof/>
              </w:rPr>
            </w:pPr>
            <w:r w:rsidRPr="00900543">
              <w:rPr>
                <w:rFonts w:ascii="Century" w:hAnsi="Century" w:cs="Times New Roman"/>
              </w:rPr>
              <w:t> 0.419600</w:t>
            </w:r>
          </w:p>
        </w:tc>
        <w:tc>
          <w:tcPr>
            <w:tcW w:w="1096" w:type="dxa"/>
            <w:tcBorders>
              <w:top w:val="single" w:sz="4" w:space="0" w:color="auto"/>
              <w:bottom w:val="none" w:sz="0" w:space="0" w:color="auto"/>
            </w:tcBorders>
          </w:tcPr>
          <w:p w14:paraId="6AC69074"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noProof/>
              </w:rPr>
            </w:pPr>
            <w:r w:rsidRPr="00900543">
              <w:rPr>
                <w:rFonts w:ascii="Century" w:hAnsi="Century" w:cs="Times New Roman"/>
              </w:rPr>
              <w:t> 0.460000</w:t>
            </w:r>
          </w:p>
        </w:tc>
        <w:tc>
          <w:tcPr>
            <w:tcW w:w="1271" w:type="dxa"/>
            <w:tcBorders>
              <w:top w:val="single" w:sz="4" w:space="0" w:color="auto"/>
              <w:bottom w:val="none" w:sz="0" w:space="0" w:color="auto"/>
            </w:tcBorders>
          </w:tcPr>
          <w:p w14:paraId="5EA0B27E"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noProof/>
              </w:rPr>
            </w:pPr>
            <w:r w:rsidRPr="00900543">
              <w:rPr>
                <w:rFonts w:ascii="Century" w:hAnsi="Century" w:cs="Times New Roman"/>
              </w:rPr>
              <w:t> 0.596667</w:t>
            </w:r>
          </w:p>
        </w:tc>
      </w:tr>
      <w:tr w:rsidR="00B40537" w:rsidRPr="00900543" w14:paraId="2BF6A64A"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69E33F9E"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Median</w:t>
            </w:r>
          </w:p>
        </w:tc>
        <w:tc>
          <w:tcPr>
            <w:tcW w:w="1096" w:type="dxa"/>
          </w:tcPr>
          <w:p w14:paraId="4E0C819D"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0.250000</w:t>
            </w:r>
          </w:p>
        </w:tc>
        <w:tc>
          <w:tcPr>
            <w:tcW w:w="1096" w:type="dxa"/>
          </w:tcPr>
          <w:p w14:paraId="50D54F7B"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0.350000</w:t>
            </w:r>
          </w:p>
        </w:tc>
        <w:tc>
          <w:tcPr>
            <w:tcW w:w="1195" w:type="dxa"/>
          </w:tcPr>
          <w:p w14:paraId="22570DA8"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0.450000</w:t>
            </w:r>
          </w:p>
        </w:tc>
        <w:tc>
          <w:tcPr>
            <w:tcW w:w="1096" w:type="dxa"/>
          </w:tcPr>
          <w:p w14:paraId="00B3B60F"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0.500000</w:t>
            </w:r>
          </w:p>
        </w:tc>
        <w:tc>
          <w:tcPr>
            <w:tcW w:w="1271" w:type="dxa"/>
          </w:tcPr>
          <w:p w14:paraId="095C10A1"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0.580000</w:t>
            </w:r>
          </w:p>
        </w:tc>
      </w:tr>
      <w:tr w:rsidR="00B40537" w:rsidRPr="00900543" w14:paraId="450E7A4C"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305633E5"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Maximum</w:t>
            </w:r>
          </w:p>
        </w:tc>
        <w:tc>
          <w:tcPr>
            <w:tcW w:w="1096" w:type="dxa"/>
            <w:tcBorders>
              <w:top w:val="none" w:sz="0" w:space="0" w:color="auto"/>
              <w:bottom w:val="none" w:sz="0" w:space="0" w:color="auto"/>
            </w:tcBorders>
          </w:tcPr>
          <w:p w14:paraId="7611B390"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0.890000</w:t>
            </w:r>
          </w:p>
        </w:tc>
        <w:tc>
          <w:tcPr>
            <w:tcW w:w="1096" w:type="dxa"/>
            <w:tcBorders>
              <w:top w:val="none" w:sz="0" w:space="0" w:color="auto"/>
              <w:bottom w:val="none" w:sz="0" w:space="0" w:color="auto"/>
            </w:tcBorders>
          </w:tcPr>
          <w:p w14:paraId="20229BEE"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0.820000</w:t>
            </w:r>
          </w:p>
        </w:tc>
        <w:tc>
          <w:tcPr>
            <w:tcW w:w="1195" w:type="dxa"/>
            <w:tcBorders>
              <w:top w:val="none" w:sz="0" w:space="0" w:color="auto"/>
              <w:bottom w:val="none" w:sz="0" w:space="0" w:color="auto"/>
            </w:tcBorders>
          </w:tcPr>
          <w:p w14:paraId="6AC4B806"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0.720000</w:t>
            </w:r>
          </w:p>
        </w:tc>
        <w:tc>
          <w:tcPr>
            <w:tcW w:w="1096" w:type="dxa"/>
            <w:tcBorders>
              <w:top w:val="none" w:sz="0" w:space="0" w:color="auto"/>
              <w:bottom w:val="none" w:sz="0" w:space="0" w:color="auto"/>
            </w:tcBorders>
          </w:tcPr>
          <w:p w14:paraId="17D4B1B9"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0.800000</w:t>
            </w:r>
          </w:p>
        </w:tc>
        <w:tc>
          <w:tcPr>
            <w:tcW w:w="1271" w:type="dxa"/>
            <w:tcBorders>
              <w:top w:val="none" w:sz="0" w:space="0" w:color="auto"/>
              <w:bottom w:val="none" w:sz="0" w:space="0" w:color="auto"/>
            </w:tcBorders>
          </w:tcPr>
          <w:p w14:paraId="55B2BD21"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0.920000</w:t>
            </w:r>
          </w:p>
        </w:tc>
      </w:tr>
      <w:tr w:rsidR="00B40537" w:rsidRPr="00900543" w14:paraId="42F1CE63"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5776913F"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Minimum</w:t>
            </w:r>
          </w:p>
        </w:tc>
        <w:tc>
          <w:tcPr>
            <w:tcW w:w="1096" w:type="dxa"/>
          </w:tcPr>
          <w:p w14:paraId="7AAEFD58"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0.030000</w:t>
            </w:r>
          </w:p>
        </w:tc>
        <w:tc>
          <w:tcPr>
            <w:tcW w:w="1096" w:type="dxa"/>
          </w:tcPr>
          <w:p w14:paraId="263A028B"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0.120000</w:t>
            </w:r>
          </w:p>
        </w:tc>
        <w:tc>
          <w:tcPr>
            <w:tcW w:w="1195" w:type="dxa"/>
          </w:tcPr>
          <w:p w14:paraId="1A8065CA"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0.030000</w:t>
            </w:r>
          </w:p>
        </w:tc>
        <w:tc>
          <w:tcPr>
            <w:tcW w:w="1096" w:type="dxa"/>
          </w:tcPr>
          <w:p w14:paraId="4ACDC150"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0.290000</w:t>
            </w:r>
          </w:p>
        </w:tc>
        <w:tc>
          <w:tcPr>
            <w:tcW w:w="1271" w:type="dxa"/>
          </w:tcPr>
          <w:p w14:paraId="527DE61D"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0.060000</w:t>
            </w:r>
          </w:p>
        </w:tc>
      </w:tr>
      <w:tr w:rsidR="00B40537" w:rsidRPr="00900543" w14:paraId="3322B9AF"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51877C5D"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Std. Dev.</w:t>
            </w:r>
          </w:p>
        </w:tc>
        <w:tc>
          <w:tcPr>
            <w:tcW w:w="1096" w:type="dxa"/>
            <w:tcBorders>
              <w:top w:val="none" w:sz="0" w:space="0" w:color="auto"/>
              <w:bottom w:val="none" w:sz="0" w:space="0" w:color="auto"/>
            </w:tcBorders>
          </w:tcPr>
          <w:p w14:paraId="55BAD1CD"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0.125424</w:t>
            </w:r>
          </w:p>
        </w:tc>
        <w:tc>
          <w:tcPr>
            <w:tcW w:w="1096" w:type="dxa"/>
            <w:tcBorders>
              <w:top w:val="none" w:sz="0" w:space="0" w:color="auto"/>
              <w:bottom w:val="none" w:sz="0" w:space="0" w:color="auto"/>
            </w:tcBorders>
          </w:tcPr>
          <w:p w14:paraId="7B0F9364"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0.155576</w:t>
            </w:r>
          </w:p>
        </w:tc>
        <w:tc>
          <w:tcPr>
            <w:tcW w:w="1195" w:type="dxa"/>
            <w:tcBorders>
              <w:top w:val="none" w:sz="0" w:space="0" w:color="auto"/>
              <w:bottom w:val="none" w:sz="0" w:space="0" w:color="auto"/>
            </w:tcBorders>
          </w:tcPr>
          <w:p w14:paraId="1F964F14"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0.130772</w:t>
            </w:r>
          </w:p>
        </w:tc>
        <w:tc>
          <w:tcPr>
            <w:tcW w:w="1096" w:type="dxa"/>
            <w:tcBorders>
              <w:top w:val="none" w:sz="0" w:space="0" w:color="auto"/>
              <w:bottom w:val="none" w:sz="0" w:space="0" w:color="auto"/>
            </w:tcBorders>
          </w:tcPr>
          <w:p w14:paraId="64646D88"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0.117623</w:t>
            </w:r>
          </w:p>
        </w:tc>
        <w:tc>
          <w:tcPr>
            <w:tcW w:w="1271" w:type="dxa"/>
            <w:tcBorders>
              <w:top w:val="none" w:sz="0" w:space="0" w:color="auto"/>
              <w:bottom w:val="none" w:sz="0" w:space="0" w:color="auto"/>
            </w:tcBorders>
          </w:tcPr>
          <w:p w14:paraId="7BCAEE3E"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0.247885</w:t>
            </w:r>
          </w:p>
        </w:tc>
      </w:tr>
      <w:tr w:rsidR="00B40537" w:rsidRPr="00900543" w14:paraId="5796A40C"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563A3D79"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Skewness</w:t>
            </w:r>
          </w:p>
        </w:tc>
        <w:tc>
          <w:tcPr>
            <w:tcW w:w="1096" w:type="dxa"/>
          </w:tcPr>
          <w:p w14:paraId="13552F10"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1.801329</w:t>
            </w:r>
          </w:p>
        </w:tc>
        <w:tc>
          <w:tcPr>
            <w:tcW w:w="1096" w:type="dxa"/>
          </w:tcPr>
          <w:p w14:paraId="45FB4610"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0.855658</w:t>
            </w:r>
          </w:p>
        </w:tc>
        <w:tc>
          <w:tcPr>
            <w:tcW w:w="1195" w:type="dxa"/>
          </w:tcPr>
          <w:p w14:paraId="53BBB811"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-0.202956</w:t>
            </w:r>
          </w:p>
        </w:tc>
        <w:tc>
          <w:tcPr>
            <w:tcW w:w="1096" w:type="dxa"/>
          </w:tcPr>
          <w:p w14:paraId="63913F5D"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0.894657</w:t>
            </w:r>
          </w:p>
        </w:tc>
        <w:tc>
          <w:tcPr>
            <w:tcW w:w="1271" w:type="dxa"/>
          </w:tcPr>
          <w:p w14:paraId="5638AECC"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-0.812878</w:t>
            </w:r>
          </w:p>
        </w:tc>
      </w:tr>
      <w:tr w:rsidR="00B40537" w:rsidRPr="00900543" w14:paraId="0DC5A6F3"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49203554"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Kurtosis</w:t>
            </w:r>
          </w:p>
        </w:tc>
        <w:tc>
          <w:tcPr>
            <w:tcW w:w="1096" w:type="dxa"/>
            <w:tcBorders>
              <w:top w:val="none" w:sz="0" w:space="0" w:color="auto"/>
              <w:bottom w:val="none" w:sz="0" w:space="0" w:color="auto"/>
            </w:tcBorders>
          </w:tcPr>
          <w:p w14:paraId="73AAB09A"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9.597835</w:t>
            </w:r>
          </w:p>
        </w:tc>
        <w:tc>
          <w:tcPr>
            <w:tcW w:w="1096" w:type="dxa"/>
            <w:tcBorders>
              <w:top w:val="none" w:sz="0" w:space="0" w:color="auto"/>
              <w:bottom w:val="none" w:sz="0" w:space="0" w:color="auto"/>
            </w:tcBorders>
          </w:tcPr>
          <w:p w14:paraId="76460305"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3.766130</w:t>
            </w:r>
          </w:p>
        </w:tc>
        <w:tc>
          <w:tcPr>
            <w:tcW w:w="1195" w:type="dxa"/>
            <w:tcBorders>
              <w:top w:val="none" w:sz="0" w:space="0" w:color="auto"/>
              <w:bottom w:val="none" w:sz="0" w:space="0" w:color="auto"/>
            </w:tcBorders>
          </w:tcPr>
          <w:p w14:paraId="76EED96A"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3.362362</w:t>
            </w:r>
          </w:p>
        </w:tc>
        <w:tc>
          <w:tcPr>
            <w:tcW w:w="1096" w:type="dxa"/>
            <w:tcBorders>
              <w:top w:val="none" w:sz="0" w:space="0" w:color="auto"/>
              <w:bottom w:val="none" w:sz="0" w:space="0" w:color="auto"/>
            </w:tcBorders>
          </w:tcPr>
          <w:p w14:paraId="4417A86D"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4.612447</w:t>
            </w:r>
          </w:p>
        </w:tc>
        <w:tc>
          <w:tcPr>
            <w:tcW w:w="1271" w:type="dxa"/>
            <w:tcBorders>
              <w:top w:val="none" w:sz="0" w:space="0" w:color="auto"/>
              <w:bottom w:val="none" w:sz="0" w:space="0" w:color="auto"/>
            </w:tcBorders>
          </w:tcPr>
          <w:p w14:paraId="5AA52D3F"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2.734342</w:t>
            </w:r>
          </w:p>
        </w:tc>
      </w:tr>
      <w:tr w:rsidR="00B40537" w:rsidRPr="00900543" w14:paraId="3B4F0D5C"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72A282AE" w14:textId="77777777" w:rsidR="00B40537" w:rsidRPr="00900543" w:rsidRDefault="00B40537" w:rsidP="000A418C">
            <w:pPr>
              <w:pStyle w:val="ListParagraph"/>
              <w:ind w:left="0"/>
              <w:rPr>
                <w:rFonts w:ascii="Century" w:hAnsi="Century" w:cs="Times New Roman"/>
                <w:b w:val="0"/>
                <w:bCs w:val="0"/>
              </w:rPr>
            </w:pPr>
          </w:p>
        </w:tc>
        <w:tc>
          <w:tcPr>
            <w:tcW w:w="1096" w:type="dxa"/>
          </w:tcPr>
          <w:p w14:paraId="5F7C3536"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096" w:type="dxa"/>
          </w:tcPr>
          <w:p w14:paraId="3B1236F4"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195" w:type="dxa"/>
          </w:tcPr>
          <w:p w14:paraId="44D2FC6B"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096" w:type="dxa"/>
          </w:tcPr>
          <w:p w14:paraId="6D2A5D2D"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271" w:type="dxa"/>
          </w:tcPr>
          <w:p w14:paraId="0D456C0E"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r>
      <w:tr w:rsidR="00B40537" w:rsidRPr="00900543" w14:paraId="36FB8C4C"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62C045B5"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Jarque-</w:t>
            </w:r>
            <w:proofErr w:type="spellStart"/>
            <w:r w:rsidRPr="00900543">
              <w:rPr>
                <w:rFonts w:ascii="Century" w:hAnsi="Century" w:cs="Times New Roman"/>
                <w:b w:val="0"/>
                <w:bCs w:val="0"/>
              </w:rPr>
              <w:t>Bera</w:t>
            </w:r>
            <w:proofErr w:type="spellEnd"/>
          </w:p>
        </w:tc>
        <w:tc>
          <w:tcPr>
            <w:tcW w:w="1096" w:type="dxa"/>
            <w:tcBorders>
              <w:top w:val="none" w:sz="0" w:space="0" w:color="auto"/>
              <w:bottom w:val="none" w:sz="0" w:space="0" w:color="auto"/>
            </w:tcBorders>
          </w:tcPr>
          <w:p w14:paraId="053F0EF1"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176.5956</w:t>
            </w:r>
          </w:p>
        </w:tc>
        <w:tc>
          <w:tcPr>
            <w:tcW w:w="1096" w:type="dxa"/>
            <w:tcBorders>
              <w:top w:val="none" w:sz="0" w:space="0" w:color="auto"/>
              <w:bottom w:val="none" w:sz="0" w:space="0" w:color="auto"/>
            </w:tcBorders>
          </w:tcPr>
          <w:p w14:paraId="5F2CF363"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10.98611</w:t>
            </w:r>
          </w:p>
        </w:tc>
        <w:tc>
          <w:tcPr>
            <w:tcW w:w="1195" w:type="dxa"/>
            <w:tcBorders>
              <w:top w:val="none" w:sz="0" w:space="0" w:color="auto"/>
              <w:bottom w:val="none" w:sz="0" w:space="0" w:color="auto"/>
            </w:tcBorders>
          </w:tcPr>
          <w:p w14:paraId="5A8213E0"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0.925219</w:t>
            </w:r>
          </w:p>
        </w:tc>
        <w:tc>
          <w:tcPr>
            <w:tcW w:w="1096" w:type="dxa"/>
            <w:tcBorders>
              <w:top w:val="none" w:sz="0" w:space="0" w:color="auto"/>
              <w:bottom w:val="none" w:sz="0" w:space="0" w:color="auto"/>
            </w:tcBorders>
          </w:tcPr>
          <w:p w14:paraId="4B415C54"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18.13010</w:t>
            </w:r>
          </w:p>
        </w:tc>
        <w:tc>
          <w:tcPr>
            <w:tcW w:w="1271" w:type="dxa"/>
            <w:tcBorders>
              <w:top w:val="none" w:sz="0" w:space="0" w:color="auto"/>
              <w:bottom w:val="none" w:sz="0" w:space="0" w:color="auto"/>
            </w:tcBorders>
          </w:tcPr>
          <w:p w14:paraId="257FE832"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8.480178</w:t>
            </w:r>
          </w:p>
        </w:tc>
      </w:tr>
      <w:tr w:rsidR="00B40537" w:rsidRPr="00900543" w14:paraId="1C9BA474"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6B421A0C"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Probability</w:t>
            </w:r>
          </w:p>
        </w:tc>
        <w:tc>
          <w:tcPr>
            <w:tcW w:w="1096" w:type="dxa"/>
          </w:tcPr>
          <w:p w14:paraId="61EE216A"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0.000000</w:t>
            </w:r>
          </w:p>
        </w:tc>
        <w:tc>
          <w:tcPr>
            <w:tcW w:w="1096" w:type="dxa"/>
          </w:tcPr>
          <w:p w14:paraId="0784BE72"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0.004115</w:t>
            </w:r>
          </w:p>
        </w:tc>
        <w:tc>
          <w:tcPr>
            <w:tcW w:w="1195" w:type="dxa"/>
          </w:tcPr>
          <w:p w14:paraId="0A8AD437"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0.629639</w:t>
            </w:r>
          </w:p>
        </w:tc>
        <w:tc>
          <w:tcPr>
            <w:tcW w:w="1096" w:type="dxa"/>
          </w:tcPr>
          <w:p w14:paraId="0AFBE952"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0.000116</w:t>
            </w:r>
          </w:p>
        </w:tc>
        <w:tc>
          <w:tcPr>
            <w:tcW w:w="1271" w:type="dxa"/>
          </w:tcPr>
          <w:p w14:paraId="7D32B020"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0.014406</w:t>
            </w:r>
          </w:p>
        </w:tc>
      </w:tr>
      <w:tr w:rsidR="00B40537" w:rsidRPr="00900543" w14:paraId="1FA70218"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1A00AE1D" w14:textId="77777777" w:rsidR="00B40537" w:rsidRPr="00900543" w:rsidRDefault="00B40537" w:rsidP="000A418C">
            <w:pPr>
              <w:pStyle w:val="ListParagraph"/>
              <w:ind w:left="0"/>
              <w:rPr>
                <w:rFonts w:ascii="Century" w:hAnsi="Century" w:cs="Times New Roman"/>
                <w:b w:val="0"/>
                <w:bCs w:val="0"/>
              </w:rPr>
            </w:pPr>
          </w:p>
        </w:tc>
        <w:tc>
          <w:tcPr>
            <w:tcW w:w="1096" w:type="dxa"/>
            <w:tcBorders>
              <w:top w:val="none" w:sz="0" w:space="0" w:color="auto"/>
              <w:bottom w:val="none" w:sz="0" w:space="0" w:color="auto"/>
            </w:tcBorders>
          </w:tcPr>
          <w:p w14:paraId="27245C50"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p>
        </w:tc>
        <w:tc>
          <w:tcPr>
            <w:tcW w:w="1096" w:type="dxa"/>
            <w:tcBorders>
              <w:top w:val="none" w:sz="0" w:space="0" w:color="auto"/>
              <w:bottom w:val="none" w:sz="0" w:space="0" w:color="auto"/>
            </w:tcBorders>
          </w:tcPr>
          <w:p w14:paraId="38F6315E"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p>
        </w:tc>
        <w:tc>
          <w:tcPr>
            <w:tcW w:w="1195" w:type="dxa"/>
            <w:tcBorders>
              <w:top w:val="none" w:sz="0" w:space="0" w:color="auto"/>
              <w:bottom w:val="none" w:sz="0" w:space="0" w:color="auto"/>
            </w:tcBorders>
          </w:tcPr>
          <w:p w14:paraId="57D0C7DA"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p>
        </w:tc>
        <w:tc>
          <w:tcPr>
            <w:tcW w:w="1096" w:type="dxa"/>
            <w:tcBorders>
              <w:top w:val="none" w:sz="0" w:space="0" w:color="auto"/>
              <w:bottom w:val="none" w:sz="0" w:space="0" w:color="auto"/>
            </w:tcBorders>
          </w:tcPr>
          <w:p w14:paraId="7F8FD4D4"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p>
        </w:tc>
        <w:tc>
          <w:tcPr>
            <w:tcW w:w="1271" w:type="dxa"/>
            <w:tcBorders>
              <w:top w:val="none" w:sz="0" w:space="0" w:color="auto"/>
              <w:bottom w:val="none" w:sz="0" w:space="0" w:color="auto"/>
            </w:tcBorders>
          </w:tcPr>
          <w:p w14:paraId="4BE4B2AA"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p>
        </w:tc>
      </w:tr>
      <w:tr w:rsidR="00B40537" w:rsidRPr="00900543" w14:paraId="6011B96B"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6508207E"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Sum</w:t>
            </w:r>
          </w:p>
        </w:tc>
        <w:tc>
          <w:tcPr>
            <w:tcW w:w="1096" w:type="dxa"/>
          </w:tcPr>
          <w:p w14:paraId="03D37072"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20.08000</w:t>
            </w:r>
          </w:p>
        </w:tc>
        <w:tc>
          <w:tcPr>
            <w:tcW w:w="1096" w:type="dxa"/>
          </w:tcPr>
          <w:p w14:paraId="618D83C1"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27.01000</w:t>
            </w:r>
          </w:p>
        </w:tc>
        <w:tc>
          <w:tcPr>
            <w:tcW w:w="1195" w:type="dxa"/>
          </w:tcPr>
          <w:p w14:paraId="0D0461C0"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31.47000</w:t>
            </w:r>
          </w:p>
        </w:tc>
        <w:tc>
          <w:tcPr>
            <w:tcW w:w="1096" w:type="dxa"/>
          </w:tcPr>
          <w:p w14:paraId="7C26C608"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34.50000</w:t>
            </w:r>
          </w:p>
        </w:tc>
        <w:tc>
          <w:tcPr>
            <w:tcW w:w="1271" w:type="dxa"/>
          </w:tcPr>
          <w:p w14:paraId="76882574"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r w:rsidRPr="00900543">
              <w:rPr>
                <w:rFonts w:ascii="Century" w:hAnsi="Century" w:cs="Times New Roman"/>
              </w:rPr>
              <w:t> 44.75000</w:t>
            </w:r>
          </w:p>
        </w:tc>
      </w:tr>
      <w:tr w:rsidR="00B40537" w:rsidRPr="00900543" w14:paraId="6410882A"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none" w:sz="0" w:space="0" w:color="auto"/>
            </w:tcBorders>
          </w:tcPr>
          <w:p w14:paraId="23031577"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Sum Sq. Dev.</w:t>
            </w:r>
          </w:p>
        </w:tc>
        <w:tc>
          <w:tcPr>
            <w:tcW w:w="1096" w:type="dxa"/>
            <w:tcBorders>
              <w:top w:val="none" w:sz="0" w:space="0" w:color="auto"/>
              <w:bottom w:val="none" w:sz="0" w:space="0" w:color="auto"/>
            </w:tcBorders>
          </w:tcPr>
          <w:p w14:paraId="485B36AB"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1.164115</w:t>
            </w:r>
          </w:p>
        </w:tc>
        <w:tc>
          <w:tcPr>
            <w:tcW w:w="1096" w:type="dxa"/>
            <w:tcBorders>
              <w:top w:val="none" w:sz="0" w:space="0" w:color="auto"/>
              <w:bottom w:val="none" w:sz="0" w:space="0" w:color="auto"/>
            </w:tcBorders>
          </w:tcPr>
          <w:p w14:paraId="6E4D200D"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1.791099</w:t>
            </w:r>
          </w:p>
        </w:tc>
        <w:tc>
          <w:tcPr>
            <w:tcW w:w="1195" w:type="dxa"/>
            <w:tcBorders>
              <w:top w:val="none" w:sz="0" w:space="0" w:color="auto"/>
              <w:bottom w:val="none" w:sz="0" w:space="0" w:color="auto"/>
            </w:tcBorders>
          </w:tcPr>
          <w:p w14:paraId="1FD37C13"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1.265488</w:t>
            </w:r>
          </w:p>
        </w:tc>
        <w:tc>
          <w:tcPr>
            <w:tcW w:w="1096" w:type="dxa"/>
            <w:tcBorders>
              <w:top w:val="none" w:sz="0" w:space="0" w:color="auto"/>
              <w:bottom w:val="none" w:sz="0" w:space="0" w:color="auto"/>
            </w:tcBorders>
          </w:tcPr>
          <w:p w14:paraId="0F4BA75E"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1.023800</w:t>
            </w:r>
          </w:p>
        </w:tc>
        <w:tc>
          <w:tcPr>
            <w:tcW w:w="1271" w:type="dxa"/>
            <w:tcBorders>
              <w:top w:val="none" w:sz="0" w:space="0" w:color="auto"/>
              <w:bottom w:val="none" w:sz="0" w:space="0" w:color="auto"/>
            </w:tcBorders>
          </w:tcPr>
          <w:p w14:paraId="6460790B"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4.547067</w:t>
            </w:r>
          </w:p>
        </w:tc>
      </w:tr>
      <w:tr w:rsidR="00B40537" w:rsidRPr="00900543" w14:paraId="7A24131E" w14:textId="77777777" w:rsidTr="000A418C">
        <w:tc>
          <w:tcPr>
            <w:cnfStyle w:val="001000000000" w:firstRow="0" w:lastRow="0" w:firstColumn="1" w:lastColumn="0" w:oddVBand="0" w:evenVBand="0" w:oddHBand="0" w:evenHBand="0" w:firstRowFirstColumn="0" w:firstRowLastColumn="0" w:lastRowFirstColumn="0" w:lastRowLastColumn="0"/>
            <w:tcW w:w="1432" w:type="dxa"/>
          </w:tcPr>
          <w:p w14:paraId="6944A60C" w14:textId="77777777" w:rsidR="00B40537" w:rsidRPr="00900543" w:rsidRDefault="00B40537" w:rsidP="000A418C">
            <w:pPr>
              <w:pStyle w:val="ListParagraph"/>
              <w:ind w:left="0"/>
              <w:rPr>
                <w:rFonts w:ascii="Century" w:hAnsi="Century" w:cs="Times New Roman"/>
                <w:b w:val="0"/>
                <w:bCs w:val="0"/>
              </w:rPr>
            </w:pPr>
          </w:p>
        </w:tc>
        <w:tc>
          <w:tcPr>
            <w:tcW w:w="1096" w:type="dxa"/>
          </w:tcPr>
          <w:p w14:paraId="09A2FEB1"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096" w:type="dxa"/>
          </w:tcPr>
          <w:p w14:paraId="4D118818"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195" w:type="dxa"/>
          </w:tcPr>
          <w:p w14:paraId="349ED89C"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096" w:type="dxa"/>
          </w:tcPr>
          <w:p w14:paraId="4CE8B4FC"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c>
          <w:tcPr>
            <w:tcW w:w="1271" w:type="dxa"/>
          </w:tcPr>
          <w:p w14:paraId="1673F8FF" w14:textId="77777777" w:rsidR="00B40537" w:rsidRPr="00900543" w:rsidRDefault="00B40537" w:rsidP="000A418C">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s="Times New Roman"/>
              </w:rPr>
            </w:pPr>
          </w:p>
        </w:tc>
      </w:tr>
      <w:tr w:rsidR="00B40537" w:rsidRPr="00900543" w14:paraId="0657E53D" w14:textId="77777777" w:rsidTr="000A4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top w:val="none" w:sz="0" w:space="0" w:color="auto"/>
              <w:bottom w:val="single" w:sz="4" w:space="0" w:color="auto"/>
            </w:tcBorders>
          </w:tcPr>
          <w:p w14:paraId="54FE66D9" w14:textId="77777777" w:rsidR="00B40537" w:rsidRPr="00900543" w:rsidRDefault="00B40537" w:rsidP="000A418C">
            <w:pPr>
              <w:pStyle w:val="ListParagraph"/>
              <w:ind w:left="0"/>
              <w:rPr>
                <w:rFonts w:ascii="Century" w:hAnsi="Century" w:cs="Times New Roman"/>
                <w:b w:val="0"/>
                <w:bCs w:val="0"/>
              </w:rPr>
            </w:pPr>
            <w:r w:rsidRPr="00900543">
              <w:rPr>
                <w:rFonts w:ascii="Century" w:hAnsi="Century" w:cs="Times New Roman"/>
                <w:b w:val="0"/>
                <w:bCs w:val="0"/>
              </w:rPr>
              <w:t> Observations</w:t>
            </w:r>
          </w:p>
        </w:tc>
        <w:tc>
          <w:tcPr>
            <w:tcW w:w="1096" w:type="dxa"/>
            <w:tcBorders>
              <w:top w:val="none" w:sz="0" w:space="0" w:color="auto"/>
              <w:bottom w:val="single" w:sz="4" w:space="0" w:color="auto"/>
            </w:tcBorders>
          </w:tcPr>
          <w:p w14:paraId="3EBC83E6"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75</w:t>
            </w:r>
          </w:p>
        </w:tc>
        <w:tc>
          <w:tcPr>
            <w:tcW w:w="1096" w:type="dxa"/>
            <w:tcBorders>
              <w:top w:val="none" w:sz="0" w:space="0" w:color="auto"/>
              <w:bottom w:val="single" w:sz="4" w:space="0" w:color="auto"/>
            </w:tcBorders>
          </w:tcPr>
          <w:p w14:paraId="611CEC10"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75</w:t>
            </w:r>
          </w:p>
        </w:tc>
        <w:tc>
          <w:tcPr>
            <w:tcW w:w="1195" w:type="dxa"/>
            <w:tcBorders>
              <w:top w:val="none" w:sz="0" w:space="0" w:color="auto"/>
              <w:bottom w:val="single" w:sz="4" w:space="0" w:color="auto"/>
            </w:tcBorders>
          </w:tcPr>
          <w:p w14:paraId="2D991607"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75</w:t>
            </w:r>
          </w:p>
        </w:tc>
        <w:tc>
          <w:tcPr>
            <w:tcW w:w="1096" w:type="dxa"/>
            <w:tcBorders>
              <w:top w:val="none" w:sz="0" w:space="0" w:color="auto"/>
              <w:bottom w:val="single" w:sz="4" w:space="0" w:color="auto"/>
            </w:tcBorders>
          </w:tcPr>
          <w:p w14:paraId="64EED9D1"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75</w:t>
            </w:r>
          </w:p>
        </w:tc>
        <w:tc>
          <w:tcPr>
            <w:tcW w:w="1271" w:type="dxa"/>
            <w:tcBorders>
              <w:top w:val="none" w:sz="0" w:space="0" w:color="auto"/>
              <w:bottom w:val="single" w:sz="4" w:space="0" w:color="auto"/>
            </w:tcBorders>
          </w:tcPr>
          <w:p w14:paraId="3A270782" w14:textId="77777777" w:rsidR="00B40537" w:rsidRPr="00900543" w:rsidRDefault="00B40537" w:rsidP="000A418C">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s="Times New Roman"/>
              </w:rPr>
            </w:pPr>
            <w:r w:rsidRPr="00900543">
              <w:rPr>
                <w:rFonts w:ascii="Century" w:hAnsi="Century" w:cs="Times New Roman"/>
              </w:rPr>
              <w:t> 75</w:t>
            </w:r>
          </w:p>
        </w:tc>
      </w:tr>
    </w:tbl>
    <w:p w14:paraId="750214EC" w14:textId="77777777" w:rsidR="00B40537" w:rsidRPr="00900543" w:rsidRDefault="00B40537" w:rsidP="00B40537">
      <w:pPr>
        <w:pStyle w:val="ListParagraph"/>
        <w:spacing w:after="0" w:line="240" w:lineRule="auto"/>
        <w:jc w:val="both"/>
        <w:rPr>
          <w:rFonts w:ascii="Century" w:hAnsi="Century" w:cs="Times New Roman"/>
          <w:b/>
          <w:bCs/>
        </w:rPr>
      </w:pPr>
    </w:p>
    <w:p w14:paraId="6BE991AD"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b/>
          <w:bCs/>
        </w:rPr>
        <w:t xml:space="preserve">Tax Avoidance. </w:t>
      </w:r>
      <w:r w:rsidRPr="00B40537">
        <w:rPr>
          <w:rFonts w:ascii="Century" w:hAnsi="Century" w:cs="Times New Roman"/>
        </w:rPr>
        <w:t xml:space="preserve">The value of tax avoidance as measured by CETR in the object of research varies greatly with a maximum CETR value of 0.89 percent at PT Chitose International </w:t>
      </w:r>
      <w:proofErr w:type="spellStart"/>
      <w:r w:rsidRPr="00B40537">
        <w:rPr>
          <w:rFonts w:ascii="Century" w:hAnsi="Century" w:cs="Times New Roman"/>
        </w:rPr>
        <w:t>Tbk</w:t>
      </w:r>
      <w:proofErr w:type="spellEnd"/>
      <w:r w:rsidRPr="00B40537">
        <w:rPr>
          <w:rFonts w:ascii="Century" w:hAnsi="Century" w:cs="Times New Roman"/>
        </w:rPr>
        <w:t xml:space="preserve"> in 2020. The minimum CETR value is 0.03 percent at PT </w:t>
      </w:r>
      <w:proofErr w:type="spellStart"/>
      <w:r w:rsidRPr="00B40537">
        <w:rPr>
          <w:rFonts w:ascii="Century" w:hAnsi="Century" w:cs="Times New Roman"/>
        </w:rPr>
        <w:t>Chaeroen</w:t>
      </w:r>
      <w:proofErr w:type="spellEnd"/>
      <w:r w:rsidRPr="00B40537">
        <w:rPr>
          <w:rFonts w:ascii="Century" w:hAnsi="Century" w:cs="Times New Roman"/>
        </w:rPr>
        <w:t xml:space="preserve"> Pokphand Indonesia </w:t>
      </w:r>
      <w:proofErr w:type="spellStart"/>
      <w:r w:rsidRPr="00B40537">
        <w:rPr>
          <w:rFonts w:ascii="Century" w:hAnsi="Century" w:cs="Times New Roman"/>
        </w:rPr>
        <w:t>Tbk</w:t>
      </w:r>
      <w:proofErr w:type="spellEnd"/>
      <w:r w:rsidRPr="00B40537">
        <w:rPr>
          <w:rFonts w:ascii="Century" w:hAnsi="Century" w:cs="Times New Roman"/>
        </w:rPr>
        <w:t xml:space="preserve"> in 2016. Mean or the average tax avoidance variable shows a number of 0.267733 which illustrates that the average value of tax avoidance in the companies used as the sample is </w:t>
      </w:r>
      <w:r w:rsidRPr="00B40537">
        <w:rPr>
          <w:rFonts w:ascii="Century" w:hAnsi="Century" w:cs="Times New Roman"/>
        </w:rPr>
        <w:lastRenderedPageBreak/>
        <w:t>only 26.77 percent. The standard deviation shows the number 0.125424, which means the difference in the value of the variables that occur in tax avoidance in the study against the average value of 12.54 percent.</w:t>
      </w:r>
    </w:p>
    <w:p w14:paraId="7A868212"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b/>
          <w:bCs/>
        </w:rPr>
        <w:t xml:space="preserve">Leverage. </w:t>
      </w:r>
      <w:r w:rsidRPr="00B40537">
        <w:rPr>
          <w:rFonts w:ascii="Century" w:hAnsi="Century" w:cs="Times New Roman"/>
        </w:rPr>
        <w:t xml:space="preserve">The leverage value proxied by DAR in the object of this research shows a maximum value of 0.820000 or 0.82 percent which is at PT Ultra Jaya Milk Industry in 2020 and PT </w:t>
      </w:r>
      <w:proofErr w:type="spellStart"/>
      <w:r w:rsidRPr="00B40537">
        <w:rPr>
          <w:rFonts w:ascii="Century" w:hAnsi="Century" w:cs="Times New Roman"/>
        </w:rPr>
        <w:t>Ekadharma</w:t>
      </w:r>
      <w:proofErr w:type="spellEnd"/>
      <w:r w:rsidRPr="00B40537">
        <w:rPr>
          <w:rFonts w:ascii="Century" w:hAnsi="Century" w:cs="Times New Roman"/>
        </w:rPr>
        <w:t xml:space="preserve"> International </w:t>
      </w:r>
      <w:proofErr w:type="spellStart"/>
      <w:r w:rsidRPr="00B40537">
        <w:rPr>
          <w:rFonts w:ascii="Century" w:hAnsi="Century" w:cs="Times New Roman"/>
        </w:rPr>
        <w:t>Tbk</w:t>
      </w:r>
      <w:proofErr w:type="spellEnd"/>
      <w:r w:rsidRPr="00B40537">
        <w:rPr>
          <w:rFonts w:ascii="Century" w:hAnsi="Century" w:cs="Times New Roman"/>
        </w:rPr>
        <w:t xml:space="preserve"> in 2019 and 2020. The minimum value is 0.120000 or 0.12 percent at PT Ultra Jaya Milk Industry </w:t>
      </w:r>
      <w:proofErr w:type="spellStart"/>
      <w:r w:rsidRPr="00B40537">
        <w:rPr>
          <w:rFonts w:ascii="Century" w:hAnsi="Century" w:cs="Times New Roman"/>
        </w:rPr>
        <w:t>Tbk</w:t>
      </w:r>
      <w:proofErr w:type="spellEnd"/>
      <w:r w:rsidRPr="00B40537">
        <w:rPr>
          <w:rFonts w:ascii="Century" w:hAnsi="Century" w:cs="Times New Roman"/>
        </w:rPr>
        <w:t xml:space="preserve"> in 2016. The average or mean in this sample test is 0.360133 which shows that the average leverage value of the companies used as the sample is 36.01 percent. The standard deviation value in this study is 0.155576, which reflects that there is a difference in the value of the leverage variable in the study to an average of 15.55 percent.</w:t>
      </w:r>
    </w:p>
    <w:p w14:paraId="1538DFDB"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b/>
          <w:bCs/>
        </w:rPr>
        <w:t xml:space="preserve">Capital Intensity. </w:t>
      </w:r>
      <w:r w:rsidRPr="00B40537">
        <w:rPr>
          <w:rFonts w:ascii="Century" w:hAnsi="Century" w:cs="Times New Roman"/>
        </w:rPr>
        <w:t xml:space="preserve">The value of capital intensity in the object of this study shows a maximum value of 0.720000 or 0.72 percent at PT Semen Indonesia (Persero) </w:t>
      </w:r>
      <w:proofErr w:type="spellStart"/>
      <w:r w:rsidRPr="00B40537">
        <w:rPr>
          <w:rFonts w:ascii="Century" w:hAnsi="Century" w:cs="Times New Roman"/>
        </w:rPr>
        <w:t>Tbk</w:t>
      </w:r>
      <w:proofErr w:type="spellEnd"/>
      <w:r w:rsidRPr="00B40537">
        <w:rPr>
          <w:rFonts w:ascii="Century" w:hAnsi="Century" w:cs="Times New Roman"/>
        </w:rPr>
        <w:t xml:space="preserve"> in 2020. The minimum value is 0.030000 or 0.03 percent which is at PT </w:t>
      </w:r>
      <w:proofErr w:type="spellStart"/>
      <w:r w:rsidRPr="00B40537">
        <w:rPr>
          <w:rFonts w:ascii="Century" w:hAnsi="Century" w:cs="Times New Roman"/>
        </w:rPr>
        <w:t>Selamat</w:t>
      </w:r>
      <w:proofErr w:type="spellEnd"/>
      <w:r w:rsidRPr="00B40537">
        <w:rPr>
          <w:rFonts w:ascii="Century" w:hAnsi="Century" w:cs="Times New Roman"/>
        </w:rPr>
        <w:t xml:space="preserve"> </w:t>
      </w:r>
      <w:proofErr w:type="spellStart"/>
      <w:r w:rsidRPr="00B40537">
        <w:rPr>
          <w:rFonts w:ascii="Century" w:hAnsi="Century" w:cs="Times New Roman"/>
        </w:rPr>
        <w:t>Sempurnak</w:t>
      </w:r>
      <w:proofErr w:type="spellEnd"/>
      <w:r w:rsidRPr="00B40537">
        <w:rPr>
          <w:rFonts w:ascii="Century" w:hAnsi="Century" w:cs="Times New Roman"/>
        </w:rPr>
        <w:t xml:space="preserve"> </w:t>
      </w:r>
      <w:proofErr w:type="spellStart"/>
      <w:r w:rsidRPr="00B40537">
        <w:rPr>
          <w:rFonts w:ascii="Century" w:hAnsi="Century" w:cs="Times New Roman"/>
        </w:rPr>
        <w:t>Tbk</w:t>
      </w:r>
      <w:proofErr w:type="spellEnd"/>
      <w:r w:rsidRPr="00B40537">
        <w:rPr>
          <w:rFonts w:ascii="Century" w:hAnsi="Century" w:cs="Times New Roman"/>
        </w:rPr>
        <w:t xml:space="preserve"> in 2016. The mean or average value in this test is 0.419600 which illustrates that the average value of the capital intensity represented by the sample is 41.96 percent. The standard deviation value shows the number 0.130772 which means that there is a difference in the value of the capital intensity variable in this study of 13.07 percent.</w:t>
      </w:r>
    </w:p>
    <w:p w14:paraId="41F09D04"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b/>
          <w:bCs/>
        </w:rPr>
        <w:t xml:space="preserve">Independent Commissioner. </w:t>
      </w:r>
      <w:r w:rsidRPr="00B40537">
        <w:rPr>
          <w:rFonts w:ascii="Century" w:hAnsi="Century" w:cs="Times New Roman"/>
        </w:rPr>
        <w:t xml:space="preserve">The value of the independent commissioner in this study resulted in a maximum value of 0.080000 or 0.80 percent located at PT Unilever Indonesia </w:t>
      </w:r>
      <w:proofErr w:type="spellStart"/>
      <w:r w:rsidRPr="00B40537">
        <w:rPr>
          <w:rFonts w:ascii="Century" w:hAnsi="Century" w:cs="Times New Roman"/>
        </w:rPr>
        <w:t>Tbk</w:t>
      </w:r>
      <w:proofErr w:type="spellEnd"/>
      <w:r w:rsidRPr="00B40537">
        <w:rPr>
          <w:rFonts w:ascii="Century" w:hAnsi="Century" w:cs="Times New Roman"/>
        </w:rPr>
        <w:t xml:space="preserve"> from 2016 to 2020. While the minimum value was 0.290000 or 0.29 percent located at PT Semen Indonesia (Persero) </w:t>
      </w:r>
      <w:proofErr w:type="spellStart"/>
      <w:r w:rsidRPr="00B40537">
        <w:rPr>
          <w:rFonts w:ascii="Century" w:hAnsi="Century" w:cs="Times New Roman"/>
        </w:rPr>
        <w:t>Tbk</w:t>
      </w:r>
      <w:proofErr w:type="spellEnd"/>
      <w:r w:rsidRPr="00B40537">
        <w:rPr>
          <w:rFonts w:ascii="Century" w:hAnsi="Century" w:cs="Times New Roman"/>
        </w:rPr>
        <w:t xml:space="preserve"> from 2016 to 2020 The mean or average generated in this study is 0.460000, which means that the average value of the independent commissioners represented by the sample is 46 percent. Meanwhile, the standard deviation shows the number 0.117623 which explains the difference in the value of the independent commissioner variable on tax avoidance of 11.76 percent.</w:t>
      </w:r>
    </w:p>
    <w:p w14:paraId="46C46EBB" w14:textId="77777777" w:rsidR="00B40537" w:rsidRPr="00B40537" w:rsidRDefault="00B40537" w:rsidP="00B40537">
      <w:pPr>
        <w:spacing w:after="0" w:line="276" w:lineRule="auto"/>
        <w:jc w:val="both"/>
        <w:rPr>
          <w:rFonts w:ascii="Century" w:hAnsi="Century" w:cs="Times New Roman"/>
        </w:rPr>
      </w:pPr>
      <w:proofErr w:type="gramStart"/>
      <w:r w:rsidRPr="00B40537">
        <w:rPr>
          <w:rFonts w:ascii="Century" w:hAnsi="Century" w:cs="Times New Roman"/>
          <w:b/>
          <w:bCs/>
        </w:rPr>
        <w:t>Institutional  Ownership</w:t>
      </w:r>
      <w:proofErr w:type="gramEnd"/>
      <w:r w:rsidRPr="00B40537">
        <w:rPr>
          <w:rFonts w:ascii="Century" w:hAnsi="Century" w:cs="Times New Roman"/>
          <w:b/>
          <w:bCs/>
        </w:rPr>
        <w:t xml:space="preserve">. </w:t>
      </w:r>
      <w:r w:rsidRPr="00B40537">
        <w:rPr>
          <w:rFonts w:ascii="Century" w:hAnsi="Century" w:cs="Times New Roman"/>
        </w:rPr>
        <w:t xml:space="preserve">The value of institutional ownership in this test shows that the maximum value shows the figure of 0.920000 or 0.92 percent which lies with PT Akasha </w:t>
      </w:r>
      <w:proofErr w:type="spellStart"/>
      <w:r w:rsidRPr="00B40537">
        <w:rPr>
          <w:rFonts w:ascii="Century" w:hAnsi="Century" w:cs="Times New Roman"/>
        </w:rPr>
        <w:t>Wira</w:t>
      </w:r>
      <w:proofErr w:type="spellEnd"/>
      <w:r w:rsidRPr="00B40537">
        <w:rPr>
          <w:rFonts w:ascii="Century" w:hAnsi="Century" w:cs="Times New Roman"/>
        </w:rPr>
        <w:t xml:space="preserve"> International </w:t>
      </w:r>
      <w:proofErr w:type="spellStart"/>
      <w:r w:rsidRPr="00B40537">
        <w:rPr>
          <w:rFonts w:ascii="Century" w:hAnsi="Century" w:cs="Times New Roman"/>
        </w:rPr>
        <w:t>Tbk</w:t>
      </w:r>
      <w:proofErr w:type="spellEnd"/>
      <w:r w:rsidRPr="00B40537">
        <w:rPr>
          <w:rFonts w:ascii="Century" w:hAnsi="Century" w:cs="Times New Roman"/>
        </w:rPr>
        <w:t xml:space="preserve"> from 2016 to 2020. While the minimum value is 0.060000 or 0.06 percent which lies with PT Charoen Pokphand Indonesia </w:t>
      </w:r>
      <w:proofErr w:type="spellStart"/>
      <w:r w:rsidRPr="00B40537">
        <w:rPr>
          <w:rFonts w:ascii="Century" w:hAnsi="Century" w:cs="Times New Roman"/>
        </w:rPr>
        <w:t>Tbk</w:t>
      </w:r>
      <w:proofErr w:type="spellEnd"/>
      <w:r w:rsidRPr="00B40537">
        <w:rPr>
          <w:rFonts w:ascii="Century" w:hAnsi="Century" w:cs="Times New Roman"/>
        </w:rPr>
        <w:t xml:space="preserve"> from 2016 to 2020. 2020. The resulting mean or average value is 0.596667, which means that the average value of institutional ownership represented by the sample of companies is 59.55 percent. Meanwhile, the standard deviation value shows the number 0.247885, which means that there is a difference in the value of the institutional ownership variable on tax avoidance of 24.78 percent.</w:t>
      </w:r>
    </w:p>
    <w:p w14:paraId="78D8D253" w14:textId="77777777" w:rsidR="00B40537" w:rsidRPr="00900543" w:rsidRDefault="00B40537" w:rsidP="00B40537">
      <w:pPr>
        <w:pStyle w:val="ListParagraph"/>
        <w:spacing w:after="0" w:line="276" w:lineRule="auto"/>
        <w:jc w:val="both"/>
        <w:rPr>
          <w:rFonts w:ascii="Century" w:hAnsi="Century" w:cs="Times New Roman"/>
          <w:b/>
          <w:bCs/>
        </w:rPr>
      </w:pPr>
    </w:p>
    <w:p w14:paraId="3109A48D"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Panel Data Moderation Regression Analysis</w:t>
      </w:r>
    </w:p>
    <w:p w14:paraId="59FA8C5D" w14:textId="77777777" w:rsidR="00B40537" w:rsidRPr="00900543" w:rsidRDefault="00B40537" w:rsidP="00B40537">
      <w:pPr>
        <w:pStyle w:val="ListParagraph"/>
        <w:spacing w:after="0" w:line="276" w:lineRule="auto"/>
        <w:ind w:left="2880" w:firstLine="720"/>
        <w:rPr>
          <w:rFonts w:ascii="Century" w:hAnsi="Century" w:cs="Times New Roman"/>
          <w:b/>
        </w:rPr>
      </w:pPr>
      <w:r w:rsidRPr="00900543">
        <w:rPr>
          <w:rFonts w:ascii="Century" w:hAnsi="Century" w:cs="Times New Roman"/>
          <w:b/>
          <w:bCs/>
        </w:rPr>
        <w:t xml:space="preserve">Table 3. </w:t>
      </w:r>
      <w:r w:rsidRPr="00900543">
        <w:rPr>
          <w:rFonts w:ascii="Century" w:hAnsi="Century" w:cs="Times New Roman"/>
          <w:bCs/>
        </w:rPr>
        <w:t>FEM Test Result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22"/>
        <w:gridCol w:w="1417"/>
        <w:gridCol w:w="1207"/>
        <w:gridCol w:w="1208"/>
        <w:gridCol w:w="997"/>
      </w:tblGrid>
      <w:tr w:rsidR="00B40537" w:rsidRPr="00900543" w14:paraId="54AB67BC" w14:textId="77777777" w:rsidTr="000A418C">
        <w:trPr>
          <w:trHeight w:val="225"/>
          <w:jc w:val="center"/>
        </w:trPr>
        <w:tc>
          <w:tcPr>
            <w:tcW w:w="2122" w:type="dxa"/>
            <w:tcBorders>
              <w:top w:val="single" w:sz="4" w:space="0" w:color="auto"/>
              <w:bottom w:val="single" w:sz="4" w:space="0" w:color="auto"/>
            </w:tcBorders>
          </w:tcPr>
          <w:p w14:paraId="7BE7AF23"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Variable</w:t>
            </w:r>
          </w:p>
        </w:tc>
        <w:tc>
          <w:tcPr>
            <w:tcW w:w="1417" w:type="dxa"/>
            <w:tcBorders>
              <w:top w:val="single" w:sz="4" w:space="0" w:color="auto"/>
              <w:bottom w:val="single" w:sz="4" w:space="0" w:color="auto"/>
            </w:tcBorders>
          </w:tcPr>
          <w:p w14:paraId="0236CC60"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Coefficient</w:t>
            </w:r>
          </w:p>
        </w:tc>
        <w:tc>
          <w:tcPr>
            <w:tcW w:w="1207" w:type="dxa"/>
            <w:tcBorders>
              <w:top w:val="single" w:sz="4" w:space="0" w:color="auto"/>
              <w:bottom w:val="single" w:sz="4" w:space="0" w:color="auto"/>
            </w:tcBorders>
          </w:tcPr>
          <w:p w14:paraId="0B4B3FB1"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Std. Error</w:t>
            </w:r>
          </w:p>
        </w:tc>
        <w:tc>
          <w:tcPr>
            <w:tcW w:w="1208" w:type="dxa"/>
            <w:tcBorders>
              <w:top w:val="single" w:sz="4" w:space="0" w:color="auto"/>
              <w:bottom w:val="single" w:sz="4" w:space="0" w:color="auto"/>
            </w:tcBorders>
          </w:tcPr>
          <w:p w14:paraId="60D72159"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t-Statistic</w:t>
            </w:r>
          </w:p>
        </w:tc>
        <w:tc>
          <w:tcPr>
            <w:tcW w:w="997" w:type="dxa"/>
            <w:tcBorders>
              <w:top w:val="single" w:sz="4" w:space="0" w:color="auto"/>
              <w:bottom w:val="single" w:sz="4" w:space="0" w:color="auto"/>
            </w:tcBorders>
          </w:tcPr>
          <w:p w14:paraId="38273F12"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Prob.  </w:t>
            </w:r>
          </w:p>
        </w:tc>
      </w:tr>
      <w:tr w:rsidR="00B40537" w:rsidRPr="00900543" w14:paraId="36BFDC9E" w14:textId="77777777" w:rsidTr="000A418C">
        <w:trPr>
          <w:trHeight w:val="225"/>
          <w:jc w:val="center"/>
        </w:trPr>
        <w:tc>
          <w:tcPr>
            <w:tcW w:w="2122" w:type="dxa"/>
            <w:tcBorders>
              <w:top w:val="single" w:sz="4" w:space="0" w:color="auto"/>
            </w:tcBorders>
          </w:tcPr>
          <w:p w14:paraId="4EB77B1A"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C</w:t>
            </w:r>
          </w:p>
        </w:tc>
        <w:tc>
          <w:tcPr>
            <w:tcW w:w="1417" w:type="dxa"/>
            <w:tcBorders>
              <w:top w:val="single" w:sz="4" w:space="0" w:color="auto"/>
            </w:tcBorders>
          </w:tcPr>
          <w:p w14:paraId="6FFA6C2F"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0.153237</w:t>
            </w:r>
          </w:p>
        </w:tc>
        <w:tc>
          <w:tcPr>
            <w:tcW w:w="1207" w:type="dxa"/>
            <w:tcBorders>
              <w:top w:val="single" w:sz="4" w:space="0" w:color="auto"/>
            </w:tcBorders>
          </w:tcPr>
          <w:p w14:paraId="75153BCF"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0.124925</w:t>
            </w:r>
          </w:p>
        </w:tc>
        <w:tc>
          <w:tcPr>
            <w:tcW w:w="1208" w:type="dxa"/>
            <w:tcBorders>
              <w:top w:val="single" w:sz="4" w:space="0" w:color="auto"/>
            </w:tcBorders>
          </w:tcPr>
          <w:p w14:paraId="4AA47467"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1.226631</w:t>
            </w:r>
          </w:p>
        </w:tc>
        <w:tc>
          <w:tcPr>
            <w:tcW w:w="997" w:type="dxa"/>
            <w:tcBorders>
              <w:top w:val="single" w:sz="4" w:space="0" w:color="auto"/>
            </w:tcBorders>
          </w:tcPr>
          <w:p w14:paraId="2212652B"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0.2253</w:t>
            </w:r>
          </w:p>
        </w:tc>
      </w:tr>
      <w:tr w:rsidR="00B40537" w:rsidRPr="00900543" w14:paraId="5D8D8E20" w14:textId="77777777" w:rsidTr="000A418C">
        <w:trPr>
          <w:trHeight w:val="225"/>
          <w:jc w:val="center"/>
        </w:trPr>
        <w:tc>
          <w:tcPr>
            <w:tcW w:w="2122" w:type="dxa"/>
          </w:tcPr>
          <w:p w14:paraId="797F6380"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DAR</w:t>
            </w:r>
          </w:p>
        </w:tc>
        <w:tc>
          <w:tcPr>
            <w:tcW w:w="1417" w:type="dxa"/>
          </w:tcPr>
          <w:p w14:paraId="271917FE"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-0.261704</w:t>
            </w:r>
          </w:p>
        </w:tc>
        <w:tc>
          <w:tcPr>
            <w:tcW w:w="1207" w:type="dxa"/>
          </w:tcPr>
          <w:p w14:paraId="08BA33BC"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0.495236</w:t>
            </w:r>
          </w:p>
        </w:tc>
        <w:tc>
          <w:tcPr>
            <w:tcW w:w="1208" w:type="dxa"/>
          </w:tcPr>
          <w:p w14:paraId="6A5F5935"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-0.528443</w:t>
            </w:r>
          </w:p>
        </w:tc>
        <w:tc>
          <w:tcPr>
            <w:tcW w:w="997" w:type="dxa"/>
          </w:tcPr>
          <w:p w14:paraId="66EE4302"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0.5994</w:t>
            </w:r>
          </w:p>
        </w:tc>
      </w:tr>
      <w:tr w:rsidR="00B40537" w:rsidRPr="00900543" w14:paraId="3C2F676F" w14:textId="77777777" w:rsidTr="000A418C">
        <w:trPr>
          <w:trHeight w:val="225"/>
          <w:jc w:val="center"/>
        </w:trPr>
        <w:tc>
          <w:tcPr>
            <w:tcW w:w="2122" w:type="dxa"/>
          </w:tcPr>
          <w:p w14:paraId="1A9238C5"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CAPIN</w:t>
            </w:r>
          </w:p>
        </w:tc>
        <w:tc>
          <w:tcPr>
            <w:tcW w:w="1417" w:type="dxa"/>
          </w:tcPr>
          <w:p w14:paraId="76989A8E"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0.998040</w:t>
            </w:r>
          </w:p>
        </w:tc>
        <w:tc>
          <w:tcPr>
            <w:tcW w:w="1207" w:type="dxa"/>
          </w:tcPr>
          <w:p w14:paraId="576E343E"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0.693778</w:t>
            </w:r>
          </w:p>
        </w:tc>
        <w:tc>
          <w:tcPr>
            <w:tcW w:w="1208" w:type="dxa"/>
          </w:tcPr>
          <w:p w14:paraId="39D715B3"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1.438558</w:t>
            </w:r>
          </w:p>
        </w:tc>
        <w:tc>
          <w:tcPr>
            <w:tcW w:w="997" w:type="dxa"/>
          </w:tcPr>
          <w:p w14:paraId="0B685271"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0.1560</w:t>
            </w:r>
          </w:p>
        </w:tc>
      </w:tr>
      <w:tr w:rsidR="00B40537" w:rsidRPr="00900543" w14:paraId="2FA0D9F6" w14:textId="77777777" w:rsidTr="000A418C">
        <w:trPr>
          <w:trHeight w:val="225"/>
          <w:jc w:val="center"/>
        </w:trPr>
        <w:tc>
          <w:tcPr>
            <w:tcW w:w="2122" w:type="dxa"/>
          </w:tcPr>
          <w:p w14:paraId="019FD183"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DAR*KOM.IND</w:t>
            </w:r>
          </w:p>
        </w:tc>
        <w:tc>
          <w:tcPr>
            <w:tcW w:w="1417" w:type="dxa"/>
          </w:tcPr>
          <w:p w14:paraId="6B354D4D"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1.320067</w:t>
            </w:r>
          </w:p>
        </w:tc>
        <w:tc>
          <w:tcPr>
            <w:tcW w:w="1207" w:type="dxa"/>
          </w:tcPr>
          <w:p w14:paraId="76E38472"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1.399804</w:t>
            </w:r>
          </w:p>
        </w:tc>
        <w:tc>
          <w:tcPr>
            <w:tcW w:w="1208" w:type="dxa"/>
          </w:tcPr>
          <w:p w14:paraId="115D105D"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0.943037</w:t>
            </w:r>
          </w:p>
        </w:tc>
        <w:tc>
          <w:tcPr>
            <w:tcW w:w="997" w:type="dxa"/>
          </w:tcPr>
          <w:p w14:paraId="3A497882"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0.3499</w:t>
            </w:r>
          </w:p>
        </w:tc>
      </w:tr>
      <w:tr w:rsidR="00B40537" w:rsidRPr="00900543" w14:paraId="2F519785" w14:textId="77777777" w:rsidTr="000A418C">
        <w:trPr>
          <w:trHeight w:val="225"/>
          <w:jc w:val="center"/>
        </w:trPr>
        <w:tc>
          <w:tcPr>
            <w:tcW w:w="2122" w:type="dxa"/>
          </w:tcPr>
          <w:p w14:paraId="48D677D3"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CAPIN*KOM.IND</w:t>
            </w:r>
          </w:p>
        </w:tc>
        <w:tc>
          <w:tcPr>
            <w:tcW w:w="1417" w:type="dxa"/>
          </w:tcPr>
          <w:p w14:paraId="66BFC21A"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-2.753861</w:t>
            </w:r>
          </w:p>
        </w:tc>
        <w:tc>
          <w:tcPr>
            <w:tcW w:w="1207" w:type="dxa"/>
          </w:tcPr>
          <w:p w14:paraId="6586413A"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1.265033</w:t>
            </w:r>
          </w:p>
        </w:tc>
        <w:tc>
          <w:tcPr>
            <w:tcW w:w="1208" w:type="dxa"/>
          </w:tcPr>
          <w:p w14:paraId="6A81297B"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-2.176909</w:t>
            </w:r>
          </w:p>
        </w:tc>
        <w:tc>
          <w:tcPr>
            <w:tcW w:w="997" w:type="dxa"/>
          </w:tcPr>
          <w:p w14:paraId="78214499"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0.0339</w:t>
            </w:r>
          </w:p>
        </w:tc>
      </w:tr>
      <w:tr w:rsidR="00B40537" w:rsidRPr="00900543" w14:paraId="0A5DD588" w14:textId="77777777" w:rsidTr="000A418C">
        <w:trPr>
          <w:trHeight w:val="225"/>
          <w:jc w:val="center"/>
        </w:trPr>
        <w:tc>
          <w:tcPr>
            <w:tcW w:w="2122" w:type="dxa"/>
          </w:tcPr>
          <w:p w14:paraId="682E9F8F"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DAR*KEP.INS</w:t>
            </w:r>
          </w:p>
        </w:tc>
        <w:tc>
          <w:tcPr>
            <w:tcW w:w="1417" w:type="dxa"/>
          </w:tcPr>
          <w:p w14:paraId="5FAC0D69"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-0.555828</w:t>
            </w:r>
          </w:p>
        </w:tc>
        <w:tc>
          <w:tcPr>
            <w:tcW w:w="1207" w:type="dxa"/>
          </w:tcPr>
          <w:p w14:paraId="668B5487"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0.801402</w:t>
            </w:r>
          </w:p>
        </w:tc>
        <w:tc>
          <w:tcPr>
            <w:tcW w:w="1208" w:type="dxa"/>
          </w:tcPr>
          <w:p w14:paraId="0A36A1A7"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-0.693570</w:t>
            </w:r>
          </w:p>
        </w:tc>
        <w:tc>
          <w:tcPr>
            <w:tcW w:w="997" w:type="dxa"/>
          </w:tcPr>
          <w:p w14:paraId="6CE438A4"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0.4909</w:t>
            </w:r>
          </w:p>
        </w:tc>
      </w:tr>
      <w:tr w:rsidR="00B40537" w:rsidRPr="00900543" w14:paraId="233326B8" w14:textId="77777777" w:rsidTr="000A418C">
        <w:trPr>
          <w:trHeight w:val="225"/>
          <w:jc w:val="center"/>
        </w:trPr>
        <w:tc>
          <w:tcPr>
            <w:tcW w:w="2122" w:type="dxa"/>
            <w:tcBorders>
              <w:bottom w:val="single" w:sz="4" w:space="0" w:color="auto"/>
            </w:tcBorders>
          </w:tcPr>
          <w:p w14:paraId="4CD56FE3" w14:textId="77777777" w:rsidR="00B40537" w:rsidRPr="00900543" w:rsidRDefault="00B40537" w:rsidP="000A418C">
            <w:pPr>
              <w:autoSpaceDE w:val="0"/>
              <w:autoSpaceDN w:val="0"/>
              <w:adjustRightInd w:val="0"/>
              <w:jc w:val="center"/>
              <w:rPr>
                <w:rFonts w:ascii="Century" w:hAnsi="Century" w:cs="Times New Roman"/>
              </w:rPr>
            </w:pPr>
            <w:r w:rsidRPr="00900543">
              <w:rPr>
                <w:rFonts w:ascii="Century" w:hAnsi="Century" w:cs="Times New Roman"/>
              </w:rPr>
              <w:t>CAPIN*KEP.INS</w:t>
            </w:r>
          </w:p>
        </w:tc>
        <w:tc>
          <w:tcPr>
            <w:tcW w:w="1417" w:type="dxa"/>
            <w:tcBorders>
              <w:bottom w:val="single" w:sz="4" w:space="0" w:color="auto"/>
            </w:tcBorders>
          </w:tcPr>
          <w:p w14:paraId="33323B1F"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0.868651</w:t>
            </w:r>
          </w:p>
        </w:tc>
        <w:tc>
          <w:tcPr>
            <w:tcW w:w="1207" w:type="dxa"/>
            <w:tcBorders>
              <w:bottom w:val="single" w:sz="4" w:space="0" w:color="auto"/>
            </w:tcBorders>
          </w:tcPr>
          <w:p w14:paraId="2912DE11"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0.931021</w:t>
            </w:r>
          </w:p>
        </w:tc>
        <w:tc>
          <w:tcPr>
            <w:tcW w:w="1208" w:type="dxa"/>
            <w:tcBorders>
              <w:bottom w:val="single" w:sz="4" w:space="0" w:color="auto"/>
            </w:tcBorders>
          </w:tcPr>
          <w:p w14:paraId="53DE08CB"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0.933008</w:t>
            </w:r>
          </w:p>
        </w:tc>
        <w:tc>
          <w:tcPr>
            <w:tcW w:w="997" w:type="dxa"/>
            <w:tcBorders>
              <w:bottom w:val="single" w:sz="4" w:space="0" w:color="auto"/>
            </w:tcBorders>
          </w:tcPr>
          <w:p w14:paraId="08042CB1" w14:textId="77777777" w:rsidR="00B40537" w:rsidRPr="00900543" w:rsidRDefault="00B40537" w:rsidP="000A418C">
            <w:pPr>
              <w:autoSpaceDE w:val="0"/>
              <w:autoSpaceDN w:val="0"/>
              <w:adjustRightInd w:val="0"/>
              <w:ind w:right="10"/>
              <w:jc w:val="right"/>
              <w:rPr>
                <w:rFonts w:ascii="Century" w:hAnsi="Century" w:cs="Times New Roman"/>
              </w:rPr>
            </w:pPr>
            <w:r w:rsidRPr="00900543">
              <w:rPr>
                <w:rFonts w:ascii="Century" w:hAnsi="Century" w:cs="Times New Roman"/>
              </w:rPr>
              <w:t>0.3550</w:t>
            </w:r>
          </w:p>
        </w:tc>
      </w:tr>
    </w:tbl>
    <w:p w14:paraId="7C611EF5" w14:textId="77777777" w:rsidR="00B40537" w:rsidRPr="00900543" w:rsidRDefault="00B40537" w:rsidP="00B40537">
      <w:pPr>
        <w:pStyle w:val="ListParagraph"/>
        <w:spacing w:after="0" w:line="276" w:lineRule="auto"/>
        <w:jc w:val="both"/>
        <w:rPr>
          <w:rFonts w:ascii="Century" w:hAnsi="Century" w:cs="Times New Roman"/>
        </w:rPr>
      </w:pPr>
      <w:r w:rsidRPr="00900543">
        <w:rPr>
          <w:rFonts w:ascii="Century" w:hAnsi="Century" w:cs="Times New Roman"/>
        </w:rPr>
        <w:t xml:space="preserve">Source: </w:t>
      </w:r>
      <w:proofErr w:type="spellStart"/>
      <w:r w:rsidRPr="00900543">
        <w:rPr>
          <w:rFonts w:ascii="Century" w:hAnsi="Century" w:cs="Times New Roman"/>
        </w:rPr>
        <w:t>Eviews</w:t>
      </w:r>
      <w:proofErr w:type="spellEnd"/>
      <w:r w:rsidRPr="00900543">
        <w:rPr>
          <w:rFonts w:ascii="Century" w:hAnsi="Century" w:cs="Times New Roman"/>
        </w:rPr>
        <w:t xml:space="preserve"> 9 Data Processing</w:t>
      </w:r>
    </w:p>
    <w:p w14:paraId="088FCC58" w14:textId="77777777" w:rsidR="00B40537" w:rsidRDefault="00B40537" w:rsidP="00B40537">
      <w:pPr>
        <w:spacing w:after="0" w:line="240" w:lineRule="auto"/>
        <w:jc w:val="both"/>
        <w:rPr>
          <w:rFonts w:ascii="Century" w:hAnsi="Century" w:cs="Times New Roman"/>
        </w:rPr>
      </w:pPr>
    </w:p>
    <w:p w14:paraId="34ED8D19" w14:textId="21DBCE8D" w:rsidR="00B40537" w:rsidRPr="00B40537" w:rsidRDefault="00B40537" w:rsidP="00B40537">
      <w:pPr>
        <w:spacing w:after="0" w:line="240" w:lineRule="auto"/>
        <w:jc w:val="both"/>
        <w:rPr>
          <w:rFonts w:ascii="Century" w:hAnsi="Century" w:cs="Times New Roman"/>
        </w:rPr>
      </w:pPr>
      <w:r w:rsidRPr="00B40537">
        <w:rPr>
          <w:rFonts w:ascii="Century" w:hAnsi="Century" w:cs="Times New Roman"/>
        </w:rPr>
        <w:t>Based on Table 3., the panel data moderation regression equation model can be arranged as follows:</w:t>
      </w:r>
    </w:p>
    <w:p w14:paraId="184AC7BC" w14:textId="77777777" w:rsidR="00B40537" w:rsidRPr="00B40537" w:rsidRDefault="00B40537" w:rsidP="00B40537">
      <w:pPr>
        <w:pStyle w:val="ListParagraph"/>
        <w:spacing w:after="0" w:line="240" w:lineRule="auto"/>
        <w:jc w:val="both"/>
        <w:rPr>
          <w:rFonts w:ascii="Century" w:hAnsi="Century" w:cs="Times New Roman"/>
          <w:b/>
          <w:bCs/>
        </w:rPr>
      </w:pPr>
    </w:p>
    <w:p w14:paraId="07DD2E00" w14:textId="77777777" w:rsidR="00B40537" w:rsidRPr="00B40537" w:rsidRDefault="00B40537" w:rsidP="00B40537">
      <w:pPr>
        <w:pStyle w:val="ListParagraph"/>
        <w:spacing w:after="0" w:line="240" w:lineRule="auto"/>
        <w:jc w:val="both"/>
        <w:rPr>
          <w:rFonts w:ascii="Century" w:hAnsi="Century" w:cs="Times New Roman"/>
          <w:b/>
          <w:bCs/>
        </w:rPr>
      </w:pPr>
      <w:r w:rsidRPr="00B40537">
        <w:rPr>
          <w:rFonts w:ascii="Century" w:hAnsi="Century" w:cs="Times New Roman"/>
          <w:b/>
          <w:bCs/>
        </w:rPr>
        <w:t>CETR</w:t>
      </w:r>
      <w:r w:rsidRPr="00B40537">
        <w:rPr>
          <w:rFonts w:ascii="Century" w:hAnsi="Century" w:cs="Times New Roman"/>
          <w:b/>
          <w:bCs/>
        </w:rPr>
        <w:tab/>
        <w:t>= 0.153237 – 0.261704 DAR + 0.998040 CAPIN + 1.320067 DAR*KOM.IND – 2.753861 CAPIN*KOM.IND – 0. 555828 + 0.868651 CAPIN*KEP.INS + ε</w:t>
      </w:r>
    </w:p>
    <w:p w14:paraId="4B3A5A0A" w14:textId="77777777" w:rsidR="00B40537" w:rsidRPr="00B40537" w:rsidRDefault="00B40537" w:rsidP="00B40537">
      <w:pPr>
        <w:pStyle w:val="ListParagraph"/>
        <w:spacing w:after="0" w:line="276" w:lineRule="auto"/>
        <w:jc w:val="both"/>
        <w:rPr>
          <w:rFonts w:ascii="Century" w:hAnsi="Century" w:cs="Times New Roman"/>
        </w:rPr>
      </w:pPr>
    </w:p>
    <w:p w14:paraId="189D19A3" w14:textId="77777777" w:rsidR="00B40537" w:rsidRPr="00B40537" w:rsidRDefault="00B40537" w:rsidP="00B40537">
      <w:pPr>
        <w:spacing w:after="0" w:line="276" w:lineRule="auto"/>
        <w:jc w:val="both"/>
        <w:rPr>
          <w:rFonts w:ascii="Century" w:hAnsi="Century" w:cs="Times New Roman"/>
        </w:rPr>
      </w:pPr>
      <w:r w:rsidRPr="00B40537">
        <w:rPr>
          <w:rFonts w:ascii="Century" w:hAnsi="Century" w:cs="Times New Roman"/>
        </w:rPr>
        <w:t>The results of the Hypothesis Testing will be explained as follows:</w:t>
      </w:r>
    </w:p>
    <w:p w14:paraId="5DED3A2F" w14:textId="77777777" w:rsidR="00B40537" w:rsidRPr="00B40537" w:rsidRDefault="00B40537" w:rsidP="00B40537">
      <w:pPr>
        <w:spacing w:after="0" w:line="276" w:lineRule="auto"/>
        <w:ind w:firstLine="720"/>
        <w:jc w:val="both"/>
        <w:rPr>
          <w:rFonts w:ascii="Century" w:hAnsi="Century" w:cs="Times New Roman"/>
        </w:rPr>
      </w:pPr>
      <w:r w:rsidRPr="00B40537">
        <w:rPr>
          <w:rFonts w:ascii="Century" w:hAnsi="Century" w:cs="Times New Roman"/>
        </w:rPr>
        <w:t xml:space="preserve">The leverage variable has a significance value of -0.261704 which is negative with a probability level of 0.5994 which is considered greater than 5% or (Sig &gt; 0.05). Hypothesis 1 </w:t>
      </w:r>
      <w:r w:rsidRPr="00B40537">
        <w:rPr>
          <w:rFonts w:ascii="Century" w:hAnsi="Century" w:cs="Times New Roman"/>
        </w:rPr>
        <w:lastRenderedPageBreak/>
        <w:t xml:space="preserve">which has been proposed above which states that leverage has a positive effect on tax avoidance is </w:t>
      </w:r>
      <w:r w:rsidRPr="00B40537">
        <w:rPr>
          <w:rFonts w:ascii="Century" w:hAnsi="Century" w:cs="Times New Roman"/>
          <w:b/>
        </w:rPr>
        <w:t>rejected</w:t>
      </w:r>
      <w:r w:rsidRPr="00B40537">
        <w:rPr>
          <w:rFonts w:ascii="Century" w:hAnsi="Century" w:cs="Times New Roman"/>
        </w:rPr>
        <w:t>.</w:t>
      </w:r>
    </w:p>
    <w:p w14:paraId="70DE1136"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The capital intensity variable has a significance value of 0.998040 which is positive with a probability level of 0.1560 which is considered greater than 5% or (Sig &gt; 0.05). Hypothesis 2 which has been proposed above and states that capital intensity has a negative effect on tax avoidance is </w:t>
      </w:r>
      <w:r w:rsidRPr="00B40537">
        <w:rPr>
          <w:rFonts w:ascii="Century" w:hAnsi="Century" w:cs="Times New Roman"/>
          <w:b/>
        </w:rPr>
        <w:t>rejected</w:t>
      </w:r>
      <w:r w:rsidRPr="00B40537">
        <w:rPr>
          <w:rFonts w:ascii="Century" w:hAnsi="Century" w:cs="Times New Roman"/>
        </w:rPr>
        <w:t>.</w:t>
      </w:r>
    </w:p>
    <w:p w14:paraId="1247334A"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The interaction between leverage and independent commissioners has a significance value of 1.320067 which is positive with a probability level of 0.3499 and is considered greater than 5% or (Sig &gt; 0.05). Hypothesis 3 which has been proposed above which states that independent commissioners can weaken the effect of leverage on tax avoidance is </w:t>
      </w:r>
      <w:r w:rsidRPr="00B40537">
        <w:rPr>
          <w:rFonts w:ascii="Century" w:hAnsi="Century" w:cs="Times New Roman"/>
          <w:b/>
        </w:rPr>
        <w:t>rejected</w:t>
      </w:r>
      <w:r w:rsidRPr="00B40537">
        <w:rPr>
          <w:rFonts w:ascii="Century" w:hAnsi="Century" w:cs="Times New Roman"/>
        </w:rPr>
        <w:t>.</w:t>
      </w:r>
    </w:p>
    <w:p w14:paraId="50875C4C"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The interaction between capital intensity and independent commissioners has a significance value of -2.753861 which is negative with a probability level of 0.0339 and is considered less than 5% or (Sig &lt; 0.05). Hypothesis 4 which has been proposed above states that independent commissioners can weaken the effect of capital intensity on tax avoidance is </w:t>
      </w:r>
      <w:r w:rsidRPr="00B40537">
        <w:rPr>
          <w:rFonts w:ascii="Century" w:hAnsi="Century" w:cs="Times New Roman"/>
          <w:b/>
          <w:bCs/>
        </w:rPr>
        <w:t>accepted</w:t>
      </w:r>
      <w:r w:rsidRPr="00B40537">
        <w:rPr>
          <w:rFonts w:ascii="Century" w:hAnsi="Century" w:cs="Times New Roman"/>
        </w:rPr>
        <w:t>.</w:t>
      </w:r>
    </w:p>
    <w:p w14:paraId="73ECB536" w14:textId="77777777" w:rsidR="00B40537" w:rsidRPr="00B40537" w:rsidRDefault="00B40537" w:rsidP="00B40537">
      <w:pPr>
        <w:pStyle w:val="ListParagraph"/>
        <w:spacing w:after="0" w:line="276" w:lineRule="auto"/>
        <w:ind w:left="0" w:firstLine="360"/>
        <w:jc w:val="both"/>
        <w:rPr>
          <w:rFonts w:ascii="Century" w:hAnsi="Century" w:cs="Times New Roman"/>
        </w:rPr>
      </w:pPr>
      <w:r w:rsidRPr="00B40537">
        <w:rPr>
          <w:rFonts w:ascii="Century" w:hAnsi="Century" w:cs="Times New Roman"/>
        </w:rPr>
        <w:t xml:space="preserve">The interaction between leverage and institutional ownership has a significance value of -0.555828 which is negative with a probability level of 0.4909 and is considered greater than 5% or (Sig &gt; 0.05). Hypothesis 5 which has been proposed above and states that institutional ownership can weaken the effect of leverage on tax avoidance is </w:t>
      </w:r>
      <w:r w:rsidRPr="00B40537">
        <w:rPr>
          <w:rFonts w:ascii="Century" w:hAnsi="Century" w:cs="Times New Roman"/>
          <w:b/>
        </w:rPr>
        <w:t>rejected</w:t>
      </w:r>
      <w:r w:rsidRPr="00B40537">
        <w:rPr>
          <w:rFonts w:ascii="Century" w:hAnsi="Century" w:cs="Times New Roman"/>
        </w:rPr>
        <w:t>.</w:t>
      </w:r>
    </w:p>
    <w:p w14:paraId="5AF0BE25"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The interaction between capital intensity and institutional ownership has a significance value of 0.868651 which is positive with a probability level of 0.3550 and is considered greater than 5% or (Sig &gt; 0.05). Hypothesis 6 which has been proposed above and states that institutional ownership can weaken the effect of capital intensity on tax avoidance is </w:t>
      </w:r>
      <w:r w:rsidRPr="00B40537">
        <w:rPr>
          <w:rFonts w:ascii="Century" w:hAnsi="Century" w:cs="Times New Roman"/>
          <w:b/>
        </w:rPr>
        <w:t>rejected</w:t>
      </w:r>
      <w:r w:rsidRPr="00B40537">
        <w:rPr>
          <w:rFonts w:ascii="Century" w:hAnsi="Century" w:cs="Times New Roman"/>
        </w:rPr>
        <w:t>.</w:t>
      </w:r>
    </w:p>
    <w:p w14:paraId="60BB7013" w14:textId="77777777"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b/>
          <w:bCs/>
        </w:rPr>
        <w:t>Coefficient of determination (R</w:t>
      </w:r>
      <w:r w:rsidRPr="00B40537">
        <w:rPr>
          <w:rFonts w:ascii="Century" w:hAnsi="Century" w:cs="Times New Roman"/>
          <w:b/>
          <w:bCs/>
          <w:vertAlign w:val="superscript"/>
        </w:rPr>
        <w:t>2</w:t>
      </w:r>
      <w:r w:rsidRPr="00B40537">
        <w:rPr>
          <w:rFonts w:ascii="Century" w:hAnsi="Century" w:cs="Times New Roman"/>
          <w:b/>
          <w:bCs/>
        </w:rPr>
        <w:t>).</w:t>
      </w:r>
      <w:r w:rsidRPr="00B40537">
        <w:rPr>
          <w:rFonts w:ascii="Century" w:hAnsi="Century" w:cs="Times New Roman"/>
        </w:rPr>
        <w:t xml:space="preserve"> The value of the Adjusted R-squared in Table 4.12 is 0.281221 which shows that tax avoidance can be explained by the variables of leverage, capital intensity, the interaction between leverage and independent commissioners, the interaction between capital intensity and independent commissioner, the interaction of leverage with institutional ownership and capital intensity with ownership. institutional value is 28.12%, and the remaining 71.88% is explained by factors that are not included in this research model.</w:t>
      </w:r>
    </w:p>
    <w:p w14:paraId="113811A4" w14:textId="719EF43F" w:rsidR="0092786C"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b/>
          <w:bCs/>
        </w:rPr>
        <w:t xml:space="preserve">F-Statistic Value. </w:t>
      </w:r>
      <w:r w:rsidRPr="00B40537">
        <w:rPr>
          <w:rFonts w:ascii="Century" w:hAnsi="Century" w:cs="Times New Roman"/>
        </w:rPr>
        <w:t xml:space="preserve">The probability value of the F-Statistic is 0.004751 which is smaller than 0.05 (F </w:t>
      </w:r>
      <w:proofErr w:type="gramStart"/>
      <w:r w:rsidRPr="00B40537">
        <w:rPr>
          <w:rFonts w:ascii="Century" w:hAnsi="Century" w:cs="Times New Roman"/>
        </w:rPr>
        <w:t>&lt; )</w:t>
      </w:r>
      <w:proofErr w:type="gramEnd"/>
      <w:r w:rsidRPr="00B40537">
        <w:rPr>
          <w:rFonts w:ascii="Century" w:hAnsi="Century" w:cs="Times New Roman"/>
        </w:rPr>
        <w:t>, it can be concluded that the independent variables of leverage and capital intensity as well as the moderating variables of independent commissioners and institutional ownership can explain the phenomenon of tax avoidance in manufacturing companies listed on the Stock Exchange in 2016 -2020.</w:t>
      </w:r>
    </w:p>
    <w:p w14:paraId="2F097BFF" w14:textId="77777777" w:rsidR="0092786C" w:rsidRDefault="00000000">
      <w:pPr>
        <w:numPr>
          <w:ilvl w:val="0"/>
          <w:numId w:val="1"/>
        </w:numPr>
        <w:pBdr>
          <w:top w:val="nil"/>
          <w:left w:val="nil"/>
          <w:bottom w:val="nil"/>
          <w:right w:val="nil"/>
          <w:between w:val="nil"/>
        </w:pBdr>
        <w:spacing w:before="120" w:after="120" w:line="240" w:lineRule="auto"/>
        <w:ind w:left="567" w:hanging="567"/>
        <w:jc w:val="both"/>
        <w:rPr>
          <w:b/>
          <w:color w:val="000000"/>
          <w:sz w:val="24"/>
          <w:szCs w:val="24"/>
        </w:rPr>
      </w:pPr>
      <w:r>
        <w:rPr>
          <w:b/>
          <w:color w:val="000000"/>
          <w:sz w:val="24"/>
          <w:szCs w:val="24"/>
        </w:rPr>
        <w:t>Discussion</w:t>
      </w:r>
    </w:p>
    <w:p w14:paraId="6A8355DD" w14:textId="77777777" w:rsidR="00B40537" w:rsidRPr="00B40537" w:rsidRDefault="00B40537" w:rsidP="00B40537">
      <w:pPr>
        <w:spacing w:after="0" w:line="276" w:lineRule="auto"/>
        <w:jc w:val="both"/>
        <w:rPr>
          <w:rFonts w:ascii="Century" w:hAnsi="Century" w:cs="Times New Roman"/>
          <w:b/>
          <w:bCs/>
          <w:i/>
          <w:iCs/>
        </w:rPr>
      </w:pPr>
      <w:r w:rsidRPr="00B40537">
        <w:rPr>
          <w:rFonts w:ascii="Century" w:hAnsi="Century" w:cs="Times New Roman"/>
          <w:b/>
          <w:bCs/>
        </w:rPr>
        <w:t>The Effect of Leverage on Tax Avoidance</w:t>
      </w:r>
    </w:p>
    <w:p w14:paraId="7B719CDE"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Based on the results of the first hypothesis test, shows that leverage has no effect on tax avoidance. Leverage is the level of debt used by the company to finance its operations. The use of this debt will cause interest expense for the company which will reduce the company's profit so as to reduce the tax burden. From these results, the interest expense obtained from leverage does not affect the existence of tax avoidance. The higher or lower level of debt used by the company in financing its operations will not affect tax avoidance. The high level of debt used by the company will pose a high risk, so the company will be more careful in making decisions, including in terms of tax avoidance (</w:t>
      </w:r>
      <w:proofErr w:type="spellStart"/>
      <w:r w:rsidRPr="00B40537">
        <w:rPr>
          <w:rFonts w:ascii="Century" w:hAnsi="Century" w:cs="Times New Roman"/>
        </w:rPr>
        <w:t>Arianandini</w:t>
      </w:r>
      <w:proofErr w:type="spellEnd"/>
      <w:r w:rsidRPr="00B40537">
        <w:rPr>
          <w:rFonts w:ascii="Century" w:hAnsi="Century" w:cs="Times New Roman"/>
        </w:rPr>
        <w:t xml:space="preserve"> &amp; </w:t>
      </w:r>
      <w:proofErr w:type="spellStart"/>
      <w:r w:rsidRPr="00B40537">
        <w:rPr>
          <w:rFonts w:ascii="Century" w:hAnsi="Century" w:cs="Times New Roman"/>
        </w:rPr>
        <w:t>Ramantha</w:t>
      </w:r>
      <w:proofErr w:type="spellEnd"/>
      <w:r w:rsidRPr="00B40537">
        <w:rPr>
          <w:rFonts w:ascii="Century" w:hAnsi="Century" w:cs="Times New Roman"/>
        </w:rPr>
        <w:t>, 2018). Interest expense incurred in the company will not always be used as a deduction from pre-tax profit.</w:t>
      </w:r>
    </w:p>
    <w:p w14:paraId="52FFC96E" w14:textId="022C6028"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 This research is in line with research by </w:t>
      </w:r>
      <w:proofErr w:type="spellStart"/>
      <w:r w:rsidRPr="00B40537">
        <w:rPr>
          <w:rFonts w:ascii="Century" w:hAnsi="Century" w:cs="Times New Roman"/>
        </w:rPr>
        <w:t>Susanti</w:t>
      </w:r>
      <w:proofErr w:type="spellEnd"/>
      <w:r w:rsidRPr="00B40537">
        <w:rPr>
          <w:rFonts w:ascii="Century" w:hAnsi="Century" w:cs="Times New Roman"/>
        </w:rPr>
        <w:t xml:space="preserve"> (2018) and Rifai and </w:t>
      </w:r>
      <w:proofErr w:type="spellStart"/>
      <w:r w:rsidRPr="00B40537">
        <w:rPr>
          <w:rFonts w:ascii="Century" w:hAnsi="Century" w:cs="Times New Roman"/>
        </w:rPr>
        <w:t>Atiningsih</w:t>
      </w:r>
      <w:proofErr w:type="spellEnd"/>
      <w:r w:rsidRPr="00B40537">
        <w:rPr>
          <w:rFonts w:ascii="Century" w:hAnsi="Century" w:cs="Times New Roman"/>
        </w:rPr>
        <w:t xml:space="preserve"> (2019) which states that leverage has no effect on tax avoidance. in addition, </w:t>
      </w:r>
      <w:proofErr w:type="spellStart"/>
      <w:r w:rsidRPr="00B40537">
        <w:rPr>
          <w:rFonts w:ascii="Century" w:hAnsi="Century" w:cs="Times New Roman"/>
        </w:rPr>
        <w:t>Arianandini</w:t>
      </w:r>
      <w:proofErr w:type="spellEnd"/>
      <w:r w:rsidRPr="00B40537">
        <w:rPr>
          <w:rFonts w:ascii="Century" w:hAnsi="Century" w:cs="Times New Roman"/>
        </w:rPr>
        <w:t xml:space="preserve"> and </w:t>
      </w:r>
      <w:proofErr w:type="spellStart"/>
      <w:r w:rsidRPr="00B40537">
        <w:rPr>
          <w:rFonts w:ascii="Century" w:hAnsi="Century" w:cs="Times New Roman"/>
        </w:rPr>
        <w:t>Ramantha</w:t>
      </w:r>
      <w:proofErr w:type="spellEnd"/>
      <w:r w:rsidRPr="00B40537">
        <w:rPr>
          <w:rFonts w:ascii="Century" w:hAnsi="Century" w:cs="Times New Roman"/>
        </w:rPr>
        <w:t xml:space="preserve"> (2018) and </w:t>
      </w:r>
      <w:proofErr w:type="spellStart"/>
      <w:r w:rsidRPr="00B40537">
        <w:rPr>
          <w:rFonts w:ascii="Century" w:hAnsi="Century" w:cs="Times New Roman"/>
        </w:rPr>
        <w:t>Masrurroch</w:t>
      </w:r>
      <w:proofErr w:type="spellEnd"/>
      <w:r w:rsidRPr="00B40537">
        <w:rPr>
          <w:rFonts w:ascii="Century" w:hAnsi="Century" w:cs="Times New Roman"/>
        </w:rPr>
        <w:t xml:space="preserve"> et al. (2021) states that leverage has no effect on tax avoidance. Leverage has no effect on tax avoidance is also stated by (</w:t>
      </w:r>
      <w:proofErr w:type="spellStart"/>
      <w:r w:rsidRPr="00B40537">
        <w:rPr>
          <w:rFonts w:ascii="Century" w:hAnsi="Century" w:cs="Times New Roman"/>
        </w:rPr>
        <w:t>Susandy</w:t>
      </w:r>
      <w:proofErr w:type="spellEnd"/>
      <w:r w:rsidRPr="00B40537">
        <w:rPr>
          <w:rFonts w:ascii="Century" w:hAnsi="Century" w:cs="Times New Roman"/>
        </w:rPr>
        <w:t xml:space="preserve"> &amp; </w:t>
      </w:r>
      <w:proofErr w:type="spellStart"/>
      <w:r w:rsidRPr="00B40537">
        <w:rPr>
          <w:rFonts w:ascii="Century" w:hAnsi="Century" w:cs="Times New Roman"/>
        </w:rPr>
        <w:t>Anggraeni</w:t>
      </w:r>
      <w:proofErr w:type="spellEnd"/>
      <w:r w:rsidRPr="00B40537">
        <w:rPr>
          <w:rFonts w:ascii="Century" w:hAnsi="Century" w:cs="Times New Roman"/>
        </w:rPr>
        <w:t xml:space="preserve">, 2018). A similar study was found by Zainuddin and </w:t>
      </w:r>
      <w:proofErr w:type="spellStart"/>
      <w:r w:rsidRPr="00B40537">
        <w:rPr>
          <w:rFonts w:ascii="Century" w:hAnsi="Century" w:cs="Times New Roman"/>
        </w:rPr>
        <w:t>Anfas</w:t>
      </w:r>
      <w:proofErr w:type="spellEnd"/>
      <w:r w:rsidRPr="00B40537">
        <w:rPr>
          <w:rFonts w:ascii="Century" w:hAnsi="Century" w:cs="Times New Roman"/>
        </w:rPr>
        <w:t xml:space="preserve"> (2021) who explained that leverage has no effect on tax avoidance, and the results of this study are also the same as the results of the </w:t>
      </w:r>
      <w:proofErr w:type="spellStart"/>
      <w:r w:rsidRPr="00B40537">
        <w:rPr>
          <w:rFonts w:ascii="Century" w:hAnsi="Century" w:cs="Times New Roman"/>
        </w:rPr>
        <w:t>Sweetri</w:t>
      </w:r>
      <w:proofErr w:type="spellEnd"/>
      <w:r w:rsidRPr="00B40537">
        <w:rPr>
          <w:rFonts w:ascii="Century" w:hAnsi="Century" w:cs="Times New Roman"/>
        </w:rPr>
        <w:t xml:space="preserve"> (2018) study that leverage has no effect on tax avoidance.</w:t>
      </w:r>
    </w:p>
    <w:p w14:paraId="39DF5C73"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The Effect of Capital Intensity on Tax Avoidance</w:t>
      </w:r>
    </w:p>
    <w:p w14:paraId="0D539478"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Based on the results of the second hypothesis test, shows that capital intensity has no effect on tax avoidance. Capital intensity is the amount of investment invested in the fixed assets of a company. The use of this capital intensity can lead to depreciation expense which will reduce profit before tax, which automatically reduces the company's tax burden. </w:t>
      </w:r>
      <w:r w:rsidRPr="00B40537">
        <w:rPr>
          <w:rFonts w:ascii="Century" w:hAnsi="Century" w:cs="Times New Roman"/>
        </w:rPr>
        <w:lastRenderedPageBreak/>
        <w:t>However, in this test, capital intensity has no effect, which means that the higher or lower the ratio of capital intensity, it will not have an impact on tax avoidance actions that occur in the company. Companies in Indonesia on average have fixed assets that have passed the time limit set by law (</w:t>
      </w:r>
      <w:proofErr w:type="spellStart"/>
      <w:r w:rsidRPr="00B40537">
        <w:rPr>
          <w:rFonts w:ascii="Century" w:hAnsi="Century" w:cs="Times New Roman"/>
        </w:rPr>
        <w:t>Furi</w:t>
      </w:r>
      <w:proofErr w:type="spellEnd"/>
      <w:r w:rsidRPr="00B40537">
        <w:rPr>
          <w:rFonts w:ascii="Century" w:hAnsi="Century" w:cs="Times New Roman"/>
        </w:rPr>
        <w:t>, 2018). The use of fixed assets that have passed the time limit cannot be depreciated, so they will not be deducted from profit before tax and automatically cannot be used as a deduction from the tax burden. The capital intensity in the company tends to be used for operational financing which will boost profit before tax, so it is not used for tax avoidance measures by maximizing the depreciation expense of fixed assets.</w:t>
      </w:r>
    </w:p>
    <w:p w14:paraId="663C4A6C" w14:textId="70E49C78"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This research is in line with </w:t>
      </w:r>
      <w:proofErr w:type="spellStart"/>
      <w:r w:rsidRPr="00B40537">
        <w:rPr>
          <w:rFonts w:ascii="Century" w:hAnsi="Century" w:cs="Times New Roman"/>
        </w:rPr>
        <w:t>Apsari</w:t>
      </w:r>
      <w:proofErr w:type="spellEnd"/>
      <w:r w:rsidRPr="00B40537">
        <w:rPr>
          <w:rFonts w:ascii="Century" w:hAnsi="Century" w:cs="Times New Roman"/>
        </w:rPr>
        <w:t xml:space="preserve"> and </w:t>
      </w:r>
      <w:proofErr w:type="spellStart"/>
      <w:r w:rsidRPr="00B40537">
        <w:rPr>
          <w:rFonts w:ascii="Century" w:hAnsi="Century" w:cs="Times New Roman"/>
        </w:rPr>
        <w:t>Supadmi</w:t>
      </w:r>
      <w:proofErr w:type="spellEnd"/>
      <w:r w:rsidRPr="00B40537">
        <w:rPr>
          <w:rFonts w:ascii="Century" w:hAnsi="Century" w:cs="Times New Roman"/>
        </w:rPr>
        <w:t xml:space="preserve"> (2018) and </w:t>
      </w:r>
      <w:proofErr w:type="spellStart"/>
      <w:r w:rsidRPr="00B40537">
        <w:rPr>
          <w:rFonts w:ascii="Century" w:hAnsi="Century" w:cs="Times New Roman"/>
        </w:rPr>
        <w:t>Susanti</w:t>
      </w:r>
      <w:proofErr w:type="spellEnd"/>
      <w:r w:rsidRPr="00B40537">
        <w:rPr>
          <w:rFonts w:ascii="Century" w:hAnsi="Century" w:cs="Times New Roman"/>
        </w:rPr>
        <w:t xml:space="preserve"> (2018) who state that capital intensity has no effect on tax avoidance. Research on capital intensity has no effect on tax avoidance which was also found by </w:t>
      </w:r>
      <w:proofErr w:type="spellStart"/>
      <w:r w:rsidRPr="00B40537">
        <w:rPr>
          <w:rFonts w:ascii="Century" w:hAnsi="Century" w:cs="Times New Roman"/>
        </w:rPr>
        <w:t>Pratiwi</w:t>
      </w:r>
      <w:proofErr w:type="spellEnd"/>
      <w:r w:rsidRPr="00B40537">
        <w:rPr>
          <w:rFonts w:ascii="Century" w:hAnsi="Century" w:cs="Times New Roman"/>
        </w:rPr>
        <w:t xml:space="preserve"> and Oktaviani (2021) and (</w:t>
      </w:r>
      <w:proofErr w:type="spellStart"/>
      <w:r w:rsidRPr="00B40537">
        <w:rPr>
          <w:rFonts w:ascii="Century" w:hAnsi="Century" w:cs="Times New Roman"/>
        </w:rPr>
        <w:t>Yutaro</w:t>
      </w:r>
      <w:proofErr w:type="spellEnd"/>
      <w:r w:rsidRPr="00B40537">
        <w:rPr>
          <w:rFonts w:ascii="Century" w:hAnsi="Century" w:cs="Times New Roman"/>
        </w:rPr>
        <w:t xml:space="preserve"> and </w:t>
      </w:r>
      <w:proofErr w:type="spellStart"/>
      <w:r w:rsidRPr="00B40537">
        <w:rPr>
          <w:rFonts w:ascii="Century" w:hAnsi="Century" w:cs="Times New Roman"/>
        </w:rPr>
        <w:t>Miftatah</w:t>
      </w:r>
      <w:proofErr w:type="spellEnd"/>
      <w:r w:rsidRPr="00B40537">
        <w:rPr>
          <w:rFonts w:ascii="Century" w:hAnsi="Century" w:cs="Times New Roman"/>
        </w:rPr>
        <w:t xml:space="preserve">, 2020). In addition, </w:t>
      </w:r>
      <w:proofErr w:type="spellStart"/>
      <w:r w:rsidRPr="00B40537">
        <w:rPr>
          <w:rFonts w:ascii="Century" w:hAnsi="Century" w:cs="Times New Roman"/>
        </w:rPr>
        <w:t>Sakutri</w:t>
      </w:r>
      <w:proofErr w:type="spellEnd"/>
      <w:r w:rsidRPr="00B40537">
        <w:rPr>
          <w:rFonts w:ascii="Century" w:hAnsi="Century" w:cs="Times New Roman"/>
        </w:rPr>
        <w:t xml:space="preserve"> (2018), </w:t>
      </w:r>
      <w:proofErr w:type="spellStart"/>
      <w:r w:rsidRPr="00B40537">
        <w:rPr>
          <w:rFonts w:ascii="Century" w:hAnsi="Century" w:cs="Times New Roman"/>
        </w:rPr>
        <w:t>Masrurroch</w:t>
      </w:r>
      <w:proofErr w:type="spellEnd"/>
      <w:r w:rsidRPr="00B40537">
        <w:rPr>
          <w:rFonts w:ascii="Century" w:hAnsi="Century" w:cs="Times New Roman"/>
        </w:rPr>
        <w:t xml:space="preserve"> et al. (2021), and </w:t>
      </w:r>
      <w:proofErr w:type="spellStart"/>
      <w:r w:rsidRPr="00B40537">
        <w:rPr>
          <w:rFonts w:ascii="Century" w:hAnsi="Century" w:cs="Times New Roman"/>
        </w:rPr>
        <w:t>Furi</w:t>
      </w:r>
      <w:proofErr w:type="spellEnd"/>
      <w:r w:rsidRPr="00B40537">
        <w:rPr>
          <w:rFonts w:ascii="Century" w:hAnsi="Century" w:cs="Times New Roman"/>
        </w:rPr>
        <w:t xml:space="preserve"> (2018) state that capital intensity has no effect on tax avoidance.</w:t>
      </w:r>
    </w:p>
    <w:p w14:paraId="32000E11" w14:textId="77777777" w:rsidR="00B40537" w:rsidRPr="00B40537" w:rsidRDefault="00B40537" w:rsidP="00B40537">
      <w:pPr>
        <w:spacing w:after="0" w:line="276" w:lineRule="auto"/>
        <w:jc w:val="both"/>
        <w:rPr>
          <w:rFonts w:ascii="Century" w:hAnsi="Century" w:cs="Times New Roman"/>
          <w:b/>
          <w:bCs/>
        </w:rPr>
      </w:pPr>
      <w:r w:rsidRPr="00B40537">
        <w:rPr>
          <w:rFonts w:ascii="Century" w:hAnsi="Century" w:cs="Times New Roman"/>
          <w:b/>
          <w:bCs/>
        </w:rPr>
        <w:t>Leverage Interaction with Independent Commissioners on Tax Avoidance</w:t>
      </w:r>
    </w:p>
    <w:p w14:paraId="3ECE6A7F"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Based on the results of the third hypothesis test, independent commissioners cannot moderate the effect of leverage on tax avoidance. The higher or lower proportion of independent commissioners cannot moderate the effect of leverage on tax avoidance. The regulations have been established in accordance with the Financial Services Regulation of the Republic of Indonesia Number 33/PJOK.04/2014 states that the number of independent commissioners is at least 30% of the total number of members of a company's board of commissioners. The proportion of independent commissioners in a company is considered unable to carry out monitoring of management performance optimally. So, the company can still take advantage of the use of this level of debt or leverage to avoid tax. The existence of an independent commissioner in a company only because follows the rules that have been set. </w:t>
      </w:r>
    </w:p>
    <w:p w14:paraId="74F150BB" w14:textId="59E4EFBF"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This study is in line with the results of </w:t>
      </w:r>
      <w:proofErr w:type="spellStart"/>
      <w:r w:rsidRPr="00B40537">
        <w:rPr>
          <w:rFonts w:ascii="Century" w:hAnsi="Century" w:cs="Times New Roman"/>
        </w:rPr>
        <w:t>Sinaga</w:t>
      </w:r>
      <w:proofErr w:type="spellEnd"/>
      <w:r w:rsidRPr="00B40537">
        <w:rPr>
          <w:rFonts w:ascii="Century" w:hAnsi="Century" w:cs="Times New Roman"/>
        </w:rPr>
        <w:t xml:space="preserve"> and </w:t>
      </w:r>
      <w:proofErr w:type="spellStart"/>
      <w:r w:rsidRPr="00B40537">
        <w:rPr>
          <w:rFonts w:ascii="Century" w:hAnsi="Century" w:cs="Times New Roman"/>
        </w:rPr>
        <w:t>Suardikha</w:t>
      </w:r>
      <w:proofErr w:type="spellEnd"/>
      <w:r w:rsidRPr="00B40537">
        <w:rPr>
          <w:rFonts w:ascii="Century" w:hAnsi="Century" w:cs="Times New Roman"/>
        </w:rPr>
        <w:t xml:space="preserve"> (2019) which state that independent commissioners do not moderate the effect of leverage on tax avoidance. In addition, </w:t>
      </w:r>
      <w:proofErr w:type="spellStart"/>
      <w:r w:rsidRPr="00B40537">
        <w:rPr>
          <w:rFonts w:ascii="Century" w:hAnsi="Century" w:cs="Times New Roman"/>
        </w:rPr>
        <w:t>Ayuningtyas</w:t>
      </w:r>
      <w:proofErr w:type="spellEnd"/>
      <w:r w:rsidRPr="00B40537">
        <w:rPr>
          <w:rFonts w:ascii="Century" w:hAnsi="Century" w:cs="Times New Roman"/>
        </w:rPr>
        <w:t xml:space="preserve"> and </w:t>
      </w:r>
      <w:proofErr w:type="spellStart"/>
      <w:r w:rsidRPr="00B40537">
        <w:rPr>
          <w:rFonts w:ascii="Century" w:hAnsi="Century" w:cs="Times New Roman"/>
        </w:rPr>
        <w:t>Sujana</w:t>
      </w:r>
      <w:proofErr w:type="spellEnd"/>
      <w:r w:rsidRPr="00B40537">
        <w:rPr>
          <w:rFonts w:ascii="Century" w:hAnsi="Century" w:cs="Times New Roman"/>
        </w:rPr>
        <w:t xml:space="preserve"> (2018) and </w:t>
      </w:r>
      <w:proofErr w:type="spellStart"/>
      <w:r w:rsidRPr="00B40537">
        <w:rPr>
          <w:rFonts w:ascii="Century" w:hAnsi="Century" w:cs="Times New Roman"/>
        </w:rPr>
        <w:t>Triyanti</w:t>
      </w:r>
      <w:proofErr w:type="spellEnd"/>
      <w:r w:rsidRPr="00B40537">
        <w:rPr>
          <w:rFonts w:ascii="Century" w:hAnsi="Century" w:cs="Times New Roman"/>
        </w:rPr>
        <w:t xml:space="preserve"> et al. (2020) revealed that independent commissioners have no effect on tax avoidance. This study is also supported by the results of </w:t>
      </w:r>
      <w:proofErr w:type="spellStart"/>
      <w:r w:rsidRPr="00B40537">
        <w:rPr>
          <w:rFonts w:ascii="Century" w:hAnsi="Century" w:cs="Times New Roman"/>
        </w:rPr>
        <w:t>Prasatya</w:t>
      </w:r>
      <w:proofErr w:type="spellEnd"/>
      <w:r w:rsidRPr="00B40537">
        <w:rPr>
          <w:rFonts w:ascii="Century" w:hAnsi="Century" w:cs="Times New Roman"/>
        </w:rPr>
        <w:t xml:space="preserve"> et al. (2020) and </w:t>
      </w:r>
      <w:proofErr w:type="spellStart"/>
      <w:r w:rsidRPr="00B40537">
        <w:rPr>
          <w:rFonts w:ascii="Century" w:hAnsi="Century" w:cs="Times New Roman"/>
        </w:rPr>
        <w:t>Masrullah</w:t>
      </w:r>
      <w:proofErr w:type="spellEnd"/>
      <w:r w:rsidRPr="00B40537">
        <w:rPr>
          <w:rFonts w:ascii="Century" w:hAnsi="Century" w:cs="Times New Roman"/>
        </w:rPr>
        <w:t xml:space="preserve"> et al. (2018) which state that independent commissioners have no effect on tax avoidance. Independent commissioners have no effect on tax avoidance as also revealed by </w:t>
      </w:r>
      <w:proofErr w:type="spellStart"/>
      <w:r w:rsidRPr="00B40537">
        <w:rPr>
          <w:rFonts w:ascii="Century" w:hAnsi="Century" w:cs="Times New Roman"/>
        </w:rPr>
        <w:t>Susandy</w:t>
      </w:r>
      <w:proofErr w:type="spellEnd"/>
      <w:r w:rsidRPr="00B40537">
        <w:rPr>
          <w:rFonts w:ascii="Century" w:hAnsi="Century" w:cs="Times New Roman"/>
        </w:rPr>
        <w:t xml:space="preserve"> and </w:t>
      </w:r>
      <w:proofErr w:type="spellStart"/>
      <w:r w:rsidRPr="00B40537">
        <w:rPr>
          <w:rFonts w:ascii="Century" w:hAnsi="Century" w:cs="Times New Roman"/>
        </w:rPr>
        <w:t>Anggraeni</w:t>
      </w:r>
      <w:proofErr w:type="spellEnd"/>
      <w:r w:rsidRPr="00B40537">
        <w:rPr>
          <w:rFonts w:ascii="Century" w:hAnsi="Century" w:cs="Times New Roman"/>
        </w:rPr>
        <w:t xml:space="preserve"> (2018) and (Putri et al., 2020).</w:t>
      </w:r>
    </w:p>
    <w:p w14:paraId="68B2F9A9" w14:textId="77777777" w:rsidR="00B40537" w:rsidRPr="00B40537" w:rsidRDefault="00B40537" w:rsidP="00B40537">
      <w:pPr>
        <w:spacing w:after="0" w:line="276" w:lineRule="auto"/>
        <w:jc w:val="both"/>
        <w:rPr>
          <w:rFonts w:ascii="Century" w:hAnsi="Century" w:cs="Times New Roman"/>
          <w:b/>
          <w:bCs/>
          <w:i/>
          <w:iCs/>
        </w:rPr>
      </w:pPr>
      <w:r w:rsidRPr="00B40537">
        <w:rPr>
          <w:rFonts w:ascii="Century" w:hAnsi="Century" w:cs="Times New Roman"/>
          <w:b/>
          <w:bCs/>
        </w:rPr>
        <w:t>Capital Intensity Interaction with Independent Commissioners on Tax Avoidance</w:t>
      </w:r>
    </w:p>
    <w:p w14:paraId="28F5CEDA" w14:textId="77777777" w:rsidR="00B40537" w:rsidRDefault="00B40537" w:rsidP="00B40537">
      <w:pPr>
        <w:spacing w:after="0" w:line="276" w:lineRule="auto"/>
        <w:ind w:firstLine="360"/>
        <w:jc w:val="both"/>
        <w:rPr>
          <w:rFonts w:ascii="Century" w:hAnsi="Century" w:cs="Times New Roman"/>
          <w:i/>
          <w:iCs/>
        </w:rPr>
      </w:pPr>
      <w:r w:rsidRPr="00B40537">
        <w:rPr>
          <w:rFonts w:ascii="Century" w:hAnsi="Century" w:cs="Times New Roman"/>
        </w:rPr>
        <w:t>Based on the results of the fourth hypothesis test, shows that the independent commissioner weakens the effect of capital intensity on tax avoidance. The higher proportion of independent commissioners will be following by the lower level of corporate tax avoidance. Independent commissioners will be stricter in providing oversight to decision-making regarding the capital intensity ratio of companies that have a high risk when used as an effort to avoid tax. A large proportion of independent commissioners are able to minimize opportunistic management actions, especially tax avoidance.</w:t>
      </w:r>
    </w:p>
    <w:p w14:paraId="446376C6" w14:textId="5F2BA8C1" w:rsidR="00B40537" w:rsidRPr="00B40537" w:rsidRDefault="00B40537" w:rsidP="00B40537">
      <w:pPr>
        <w:spacing w:after="0" w:line="276" w:lineRule="auto"/>
        <w:ind w:firstLine="360"/>
        <w:jc w:val="both"/>
        <w:rPr>
          <w:rFonts w:ascii="Century" w:hAnsi="Century" w:cs="Times New Roman"/>
          <w:i/>
          <w:iCs/>
        </w:rPr>
      </w:pPr>
      <w:r w:rsidRPr="00B40537">
        <w:rPr>
          <w:rFonts w:ascii="Century" w:hAnsi="Century" w:cs="Times New Roman"/>
        </w:rPr>
        <w:t xml:space="preserve">This research is in line with </w:t>
      </w:r>
      <w:proofErr w:type="spellStart"/>
      <w:r w:rsidRPr="00B40537">
        <w:rPr>
          <w:rFonts w:ascii="Century" w:hAnsi="Century" w:cs="Times New Roman"/>
        </w:rPr>
        <w:t>Yuni</w:t>
      </w:r>
      <w:proofErr w:type="spellEnd"/>
      <w:r w:rsidRPr="00B40537">
        <w:rPr>
          <w:rFonts w:ascii="Century" w:hAnsi="Century" w:cs="Times New Roman"/>
        </w:rPr>
        <w:t xml:space="preserve"> and Setiawan (2019) and </w:t>
      </w:r>
      <w:proofErr w:type="spellStart"/>
      <w:r w:rsidRPr="00B40537">
        <w:rPr>
          <w:rFonts w:ascii="Century" w:hAnsi="Century" w:cs="Times New Roman"/>
        </w:rPr>
        <w:t>Saputri</w:t>
      </w:r>
      <w:proofErr w:type="spellEnd"/>
      <w:r w:rsidRPr="00B40537">
        <w:rPr>
          <w:rFonts w:ascii="Century" w:hAnsi="Century" w:cs="Times New Roman"/>
        </w:rPr>
        <w:t xml:space="preserve"> (2018) who state that independent commissioners have a negative effect on tax avoidance. In addition, the results of research from </w:t>
      </w:r>
      <w:proofErr w:type="spellStart"/>
      <w:r w:rsidRPr="00B40537">
        <w:rPr>
          <w:rFonts w:ascii="Century" w:hAnsi="Century" w:cs="Times New Roman"/>
        </w:rPr>
        <w:t>Wijayanti</w:t>
      </w:r>
      <w:proofErr w:type="spellEnd"/>
      <w:r w:rsidRPr="00B40537">
        <w:rPr>
          <w:rFonts w:ascii="Century" w:hAnsi="Century" w:cs="Times New Roman"/>
        </w:rPr>
        <w:t xml:space="preserve"> and Lely (2017) also mention that independent commissioners have a negative effect on tax avoidance. Independent commissioners have a negative effect on tax avoidance (</w:t>
      </w:r>
      <w:proofErr w:type="spellStart"/>
      <w:r w:rsidRPr="00B40537">
        <w:rPr>
          <w:rFonts w:ascii="Century" w:hAnsi="Century" w:cs="Times New Roman"/>
        </w:rPr>
        <w:t>Ariawan</w:t>
      </w:r>
      <w:proofErr w:type="spellEnd"/>
      <w:r w:rsidRPr="00B40537">
        <w:rPr>
          <w:rFonts w:ascii="Century" w:hAnsi="Century" w:cs="Times New Roman"/>
        </w:rPr>
        <w:t xml:space="preserve"> and Setiawan, 2017).</w:t>
      </w:r>
    </w:p>
    <w:p w14:paraId="36D05F20" w14:textId="77777777" w:rsidR="00B40537" w:rsidRPr="00B40537" w:rsidRDefault="00B40537" w:rsidP="00B40537">
      <w:pPr>
        <w:spacing w:after="0" w:line="276" w:lineRule="auto"/>
        <w:jc w:val="both"/>
        <w:rPr>
          <w:rFonts w:ascii="Century" w:hAnsi="Century" w:cs="Times New Roman"/>
          <w:b/>
          <w:bCs/>
          <w:i/>
          <w:iCs/>
        </w:rPr>
      </w:pPr>
      <w:r w:rsidRPr="00B40537">
        <w:rPr>
          <w:rFonts w:ascii="Century" w:eastAsiaTheme="majorEastAsia" w:hAnsi="Century" w:cs="Times New Roman"/>
          <w:b/>
          <w:bCs/>
        </w:rPr>
        <w:t>Leverage Interaction with Institutional Ownership on Tax Avoidance</w:t>
      </w:r>
    </w:p>
    <w:p w14:paraId="0018249B"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Based on the </w:t>
      </w:r>
      <w:proofErr w:type="spellStart"/>
      <w:r w:rsidRPr="00B40537">
        <w:rPr>
          <w:rFonts w:ascii="Century" w:hAnsi="Century" w:cs="Times New Roman"/>
        </w:rPr>
        <w:t>the</w:t>
      </w:r>
      <w:proofErr w:type="spellEnd"/>
      <w:r w:rsidRPr="00B40537">
        <w:rPr>
          <w:rFonts w:ascii="Century" w:hAnsi="Century" w:cs="Times New Roman"/>
        </w:rPr>
        <w:t xml:space="preserve"> fifth hypothesis test result which shows that institutional ownership cannot moderate the effect of leverage on tax avoidance. The higher or lower institutional ownership cannot affect the use of leverage ratios or the use of debt for tax avoidance efforts carried out by the company. This institutional ownership is one of the components of corporate governance that is responsible for supervising and controlling the performance of the company's management. Institutional owners will ensure that the company's management when making decisions must think about the welfare of its shareholders (</w:t>
      </w:r>
      <w:proofErr w:type="spellStart"/>
      <w:r w:rsidRPr="00B40537">
        <w:rPr>
          <w:rFonts w:ascii="Century" w:hAnsi="Century" w:cs="Times New Roman"/>
        </w:rPr>
        <w:t>Arianandini</w:t>
      </w:r>
      <w:proofErr w:type="spellEnd"/>
      <w:r w:rsidRPr="00B40537">
        <w:rPr>
          <w:rFonts w:ascii="Century" w:hAnsi="Century" w:cs="Times New Roman"/>
        </w:rPr>
        <w:t xml:space="preserve"> &amp; </w:t>
      </w:r>
      <w:proofErr w:type="spellStart"/>
      <w:r w:rsidRPr="00B40537">
        <w:rPr>
          <w:rFonts w:ascii="Century" w:hAnsi="Century" w:cs="Times New Roman"/>
        </w:rPr>
        <w:t>Ramantha</w:t>
      </w:r>
      <w:proofErr w:type="spellEnd"/>
      <w:r w:rsidRPr="00B40537">
        <w:rPr>
          <w:rFonts w:ascii="Century" w:hAnsi="Century" w:cs="Times New Roman"/>
        </w:rPr>
        <w:t>, 2018). The large institutional ownership structure is considered unable to supervise and control management regarding tax avoidance efforts made through the leverage ratio. Institutional ownership does not carry out its authority properly so that management can still take tax avoidance actions.</w:t>
      </w:r>
    </w:p>
    <w:p w14:paraId="4D08AE54" w14:textId="6E63A75A"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The results of this study are in line with </w:t>
      </w:r>
      <w:proofErr w:type="spellStart"/>
      <w:r w:rsidRPr="00B40537">
        <w:rPr>
          <w:rFonts w:ascii="Century" w:hAnsi="Century" w:cs="Times New Roman"/>
        </w:rPr>
        <w:t>Arianandini</w:t>
      </w:r>
      <w:proofErr w:type="spellEnd"/>
      <w:r w:rsidRPr="00B40537">
        <w:rPr>
          <w:rFonts w:ascii="Century" w:hAnsi="Century" w:cs="Times New Roman"/>
        </w:rPr>
        <w:t xml:space="preserve"> and </w:t>
      </w:r>
      <w:proofErr w:type="spellStart"/>
      <w:r w:rsidRPr="00B40537">
        <w:rPr>
          <w:rFonts w:ascii="Century" w:hAnsi="Century" w:cs="Times New Roman"/>
        </w:rPr>
        <w:t>Ramantha</w:t>
      </w:r>
      <w:proofErr w:type="spellEnd"/>
      <w:r w:rsidRPr="00B40537">
        <w:rPr>
          <w:rFonts w:ascii="Century" w:hAnsi="Century" w:cs="Times New Roman"/>
        </w:rPr>
        <w:t xml:space="preserve"> (2018) who explain that institutional ownership has no effect on tax avoidance. In addition, the results of </w:t>
      </w:r>
      <w:r w:rsidRPr="00B40537">
        <w:rPr>
          <w:rFonts w:ascii="Century" w:hAnsi="Century" w:cs="Times New Roman"/>
        </w:rPr>
        <w:lastRenderedPageBreak/>
        <w:t xml:space="preserve">institutional ownership have no effect on tax avoidance as mentioned by Zainuddin and </w:t>
      </w:r>
      <w:proofErr w:type="spellStart"/>
      <w:r w:rsidRPr="00B40537">
        <w:rPr>
          <w:rFonts w:ascii="Century" w:hAnsi="Century" w:cs="Times New Roman"/>
        </w:rPr>
        <w:t>Anfas</w:t>
      </w:r>
      <w:proofErr w:type="spellEnd"/>
      <w:r w:rsidRPr="00B40537">
        <w:rPr>
          <w:rFonts w:ascii="Century" w:hAnsi="Century" w:cs="Times New Roman"/>
        </w:rPr>
        <w:t xml:space="preserve"> (2021). Research </w:t>
      </w:r>
      <w:proofErr w:type="spellStart"/>
      <w:r w:rsidRPr="00B40537">
        <w:rPr>
          <w:rFonts w:ascii="Century" w:hAnsi="Century" w:cs="Times New Roman"/>
        </w:rPr>
        <w:t>Masrullah</w:t>
      </w:r>
      <w:proofErr w:type="spellEnd"/>
      <w:r w:rsidRPr="00B40537">
        <w:rPr>
          <w:rFonts w:ascii="Century" w:hAnsi="Century" w:cs="Times New Roman"/>
        </w:rPr>
        <w:t xml:space="preserve"> et al. (2018) also mentions that institutional ownership has no effect on tax avoidance.</w:t>
      </w:r>
    </w:p>
    <w:p w14:paraId="6114A9F3" w14:textId="77777777" w:rsidR="00B40537" w:rsidRPr="00B40537" w:rsidRDefault="00B40537" w:rsidP="00B40537">
      <w:pPr>
        <w:spacing w:after="0" w:line="276" w:lineRule="auto"/>
        <w:jc w:val="both"/>
        <w:rPr>
          <w:rFonts w:ascii="Century" w:hAnsi="Century" w:cs="Times New Roman"/>
          <w:b/>
          <w:bCs/>
          <w:i/>
          <w:iCs/>
        </w:rPr>
      </w:pPr>
      <w:r w:rsidRPr="00B40537">
        <w:rPr>
          <w:rFonts w:ascii="Century" w:hAnsi="Century" w:cs="Times New Roman"/>
          <w:b/>
          <w:bCs/>
        </w:rPr>
        <w:t>Capital Intensity Interaction with Institutional Ownership on Tax Avoidance</w:t>
      </w:r>
    </w:p>
    <w:p w14:paraId="1E9FC03F" w14:textId="77777777" w:rsid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Based on the sixth hypothesis test result shows institutional ownership cannot moderate the effect of capital intensity on tax avoidance. The size of the amount of institutional ownership does not affect the actions of companies that use capital intensity as an effort to tax avoidance. Institutional ownership tends to be more prosperous for those who have invested in the company. They have entrusted all decisions to the management of the company so that the manager's opportunistic behavior cannot be identified. Institutional ownership will tend to want high returns, so they support management decisions in making decisions that are profitable for them. The use of fixed assets as a tax avoidance tool creates an interest expense so that it can reduce the tax burden and the profit earned by the company will be high. High profits will make the return on investment of institutional shareholders higher.</w:t>
      </w:r>
    </w:p>
    <w:p w14:paraId="5FF53413" w14:textId="7347A55C" w:rsidR="00B40537" w:rsidRPr="00B40537" w:rsidRDefault="00B40537" w:rsidP="00B40537">
      <w:pPr>
        <w:spacing w:after="0" w:line="276" w:lineRule="auto"/>
        <w:ind w:firstLine="360"/>
        <w:jc w:val="both"/>
        <w:rPr>
          <w:rFonts w:ascii="Century" w:hAnsi="Century" w:cs="Times New Roman"/>
        </w:rPr>
      </w:pPr>
      <w:r w:rsidRPr="00B40537">
        <w:rPr>
          <w:rFonts w:ascii="Century" w:hAnsi="Century" w:cs="Times New Roman"/>
        </w:rPr>
        <w:t xml:space="preserve">This study is in line with the results of </w:t>
      </w:r>
      <w:proofErr w:type="spellStart"/>
      <w:r w:rsidRPr="00B40537">
        <w:rPr>
          <w:rFonts w:ascii="Century" w:hAnsi="Century" w:cs="Times New Roman"/>
        </w:rPr>
        <w:t>Masrullah</w:t>
      </w:r>
      <w:proofErr w:type="spellEnd"/>
      <w:r w:rsidRPr="00B40537">
        <w:rPr>
          <w:rFonts w:ascii="Century" w:hAnsi="Century" w:cs="Times New Roman"/>
        </w:rPr>
        <w:t xml:space="preserve"> et al. (2018) which state that institutional ownership has no effect on tax avoidance. Institutional ownership has no effect on tax avoidance also explained by (Faizah and </w:t>
      </w:r>
      <w:proofErr w:type="spellStart"/>
      <w:r w:rsidRPr="00B40537">
        <w:rPr>
          <w:rFonts w:ascii="Century" w:hAnsi="Century" w:cs="Times New Roman"/>
        </w:rPr>
        <w:t>Adhivinna</w:t>
      </w:r>
      <w:proofErr w:type="spellEnd"/>
      <w:r w:rsidRPr="00B40537">
        <w:rPr>
          <w:rFonts w:ascii="Century" w:hAnsi="Century" w:cs="Times New Roman"/>
        </w:rPr>
        <w:t>, 2017).</w:t>
      </w:r>
    </w:p>
    <w:p w14:paraId="512AA55E" w14:textId="77777777" w:rsidR="0092786C" w:rsidRDefault="00000000">
      <w:pPr>
        <w:numPr>
          <w:ilvl w:val="0"/>
          <w:numId w:val="1"/>
        </w:numPr>
        <w:pBdr>
          <w:top w:val="nil"/>
          <w:left w:val="nil"/>
          <w:bottom w:val="nil"/>
          <w:right w:val="nil"/>
          <w:between w:val="nil"/>
        </w:pBdr>
        <w:spacing w:before="120" w:after="120" w:line="240" w:lineRule="auto"/>
        <w:ind w:left="567" w:hanging="567"/>
        <w:jc w:val="both"/>
        <w:rPr>
          <w:b/>
          <w:color w:val="000000"/>
          <w:sz w:val="24"/>
          <w:szCs w:val="24"/>
        </w:rPr>
      </w:pPr>
      <w:r>
        <w:rPr>
          <w:b/>
          <w:color w:val="000000"/>
          <w:sz w:val="24"/>
          <w:szCs w:val="24"/>
        </w:rPr>
        <w:t>Conclusion, Limitations, and Suggestions</w:t>
      </w:r>
    </w:p>
    <w:p w14:paraId="335EFD9E" w14:textId="77777777" w:rsidR="00F00A13" w:rsidRDefault="00000000" w:rsidP="00F00A13">
      <w:pPr>
        <w:spacing w:after="0" w:line="276" w:lineRule="auto"/>
        <w:ind w:firstLine="426"/>
        <w:jc w:val="both"/>
        <w:rPr>
          <w:rFonts w:ascii="Century" w:hAnsi="Century" w:cs="Times New Roman"/>
        </w:rPr>
      </w:pPr>
      <w:r w:rsidRPr="00F00A13">
        <w:rPr>
          <w:rFonts w:ascii="Cambria" w:eastAsia="Cambria" w:hAnsi="Cambria" w:cs="Cambria"/>
          <w:color w:val="000000"/>
          <w:sz w:val="20"/>
          <w:szCs w:val="20"/>
        </w:rPr>
        <w:t xml:space="preserve">In this section, the author presents brief conclusions from the results of the research with suggestions for </w:t>
      </w:r>
      <w:r w:rsidR="00F00A13" w:rsidRPr="00F00A13">
        <w:rPr>
          <w:rFonts w:ascii="Century" w:hAnsi="Century" w:cs="Times New Roman"/>
        </w:rPr>
        <w:t xml:space="preserve">Based on the results of the study, it can be concluded that leverage has no effect on tax avoidance. This implies that the use of leverage by the company has no impact on tax avoidance. Capital intensity has no effect on tax avoidance. This implies that the use of capital intensity by the company does not have an impact on tax avoidance. Independent commissioners are unable to moderate the effect of leverage on tax avoidance. This also implies that the independent commissioner is not doing his job properly so tax avoidance efforts by utilizing the debt ratio or leverage have an impact on tax avoidance. Independent commissioners are able to weaken the effect of capital intensity on tax avoidance. This implies that the independent commissioner is not able to oversee the opportunistic actions of management using fixed assets and have an impact on tax avoidance. Institutional ownership is not able to moderate the effect of leverage on tax avoidance. </w:t>
      </w:r>
    </w:p>
    <w:p w14:paraId="5D50D553" w14:textId="77777777" w:rsidR="00F00A13" w:rsidRDefault="00F00A13" w:rsidP="00F00A13">
      <w:pPr>
        <w:spacing w:after="0" w:line="276" w:lineRule="auto"/>
        <w:ind w:firstLine="426"/>
        <w:jc w:val="both"/>
        <w:rPr>
          <w:rFonts w:ascii="Century" w:hAnsi="Century" w:cs="Times New Roman"/>
        </w:rPr>
      </w:pPr>
      <w:r w:rsidRPr="00F00A13">
        <w:rPr>
          <w:rFonts w:ascii="Century" w:hAnsi="Century" w:cs="Times New Roman"/>
        </w:rPr>
        <w:t>The implication, in this case, is that institutional ownership is expected to be able to carry out monitoring of companies, especially on leverage ratios and taxation so as not to have an impact on tax avoidance. Institutional ownership is not able to moderate the effect of capital intensity on tax avoidance. The implication of this is that institutional ownership must carry out its duties and authorities so that management does not act opportunistically for personal interests by utilizing capital intensity which has an impact on tax avoidance.</w:t>
      </w:r>
    </w:p>
    <w:p w14:paraId="0FF558E6" w14:textId="7BEE7D74" w:rsidR="0092786C" w:rsidRPr="00F00A13" w:rsidRDefault="00F00A13" w:rsidP="00F00A13">
      <w:pPr>
        <w:spacing w:after="0" w:line="276" w:lineRule="auto"/>
        <w:ind w:firstLine="426"/>
        <w:jc w:val="both"/>
        <w:rPr>
          <w:rFonts w:ascii="Century" w:hAnsi="Century" w:cs="Times New Roman"/>
        </w:rPr>
      </w:pPr>
      <w:r w:rsidRPr="00F00A13">
        <w:rPr>
          <w:rFonts w:ascii="Century" w:hAnsi="Century" w:cs="Times New Roman"/>
        </w:rPr>
        <w:t>Suggestions that researchers can give for future researchers are to add other independent variables that are considered to have an effect on tax avoidance. Further researchers are advised to expand the sample and use different industrial sectors in companies listed on the Indonesia Stock Exchange.</w:t>
      </w:r>
    </w:p>
    <w:p w14:paraId="526029D9" w14:textId="77777777" w:rsidR="0092786C" w:rsidRDefault="00000000">
      <w:pPr>
        <w:spacing w:before="120" w:after="120" w:line="240" w:lineRule="auto"/>
        <w:jc w:val="both"/>
        <w:rPr>
          <w:b/>
          <w:sz w:val="24"/>
          <w:szCs w:val="24"/>
        </w:rPr>
      </w:pPr>
      <w:r>
        <w:rPr>
          <w:b/>
          <w:color w:val="000000"/>
          <w:sz w:val="24"/>
          <w:szCs w:val="24"/>
        </w:rPr>
        <w:t>References</w:t>
      </w:r>
    </w:p>
    <w:p w14:paraId="1E333B42" w14:textId="77777777" w:rsidR="00F00A13" w:rsidRPr="00900543" w:rsidRDefault="00000000" w:rsidP="00F00A13">
      <w:pPr>
        <w:widowControl w:val="0"/>
        <w:autoSpaceDE w:val="0"/>
        <w:autoSpaceDN w:val="0"/>
        <w:adjustRightInd w:val="0"/>
        <w:spacing w:line="240" w:lineRule="auto"/>
        <w:ind w:left="851" w:hanging="851"/>
        <w:jc w:val="both"/>
        <w:rPr>
          <w:rFonts w:ascii="Century" w:hAnsi="Century" w:cs="Times New Roman"/>
          <w:noProof/>
        </w:rPr>
      </w:pPr>
      <w:r>
        <w:rPr>
          <w:rFonts w:ascii="Cambria" w:eastAsia="Cambria" w:hAnsi="Cambria" w:cs="Cambria"/>
          <w:sz w:val="20"/>
          <w:szCs w:val="20"/>
          <w:highlight w:val="white"/>
        </w:rPr>
        <w:t xml:space="preserve">In this section, author (s) must list all the reference documents cited in the text. In writing the reference, the </w:t>
      </w:r>
      <w:r w:rsidR="00F00A13" w:rsidRPr="00900543">
        <w:rPr>
          <w:rFonts w:ascii="Century" w:hAnsi="Century" w:cs="Times New Roman"/>
          <w:b/>
          <w:bCs/>
        </w:rPr>
        <w:fldChar w:fldCharType="begin" w:fldLock="1"/>
      </w:r>
      <w:r w:rsidR="00F00A13" w:rsidRPr="00900543">
        <w:rPr>
          <w:rFonts w:ascii="Century" w:hAnsi="Century" w:cs="Times New Roman"/>
          <w:b/>
          <w:bCs/>
        </w:rPr>
        <w:instrText xml:space="preserve">ADDIN Mendeley Bibliography CSL_BIBLIOGRAPHY </w:instrText>
      </w:r>
      <w:r w:rsidR="00F00A13" w:rsidRPr="00900543">
        <w:rPr>
          <w:rFonts w:ascii="Century" w:hAnsi="Century" w:cs="Times New Roman"/>
          <w:b/>
          <w:bCs/>
        </w:rPr>
        <w:fldChar w:fldCharType="separate"/>
      </w:r>
      <w:r w:rsidR="00F00A13" w:rsidRPr="00900543">
        <w:rPr>
          <w:rFonts w:ascii="Century" w:hAnsi="Century" w:cs="Times New Roman"/>
          <w:noProof/>
        </w:rPr>
        <w:t xml:space="preserve">Antari, N. W. D., &amp; Setiawan, P. E. (2020). Pengaruh Profitabilitas, Leverage dan Komite Audit pada Tax Avoidance. </w:t>
      </w:r>
      <w:r w:rsidR="00F00A13" w:rsidRPr="00900543">
        <w:rPr>
          <w:rFonts w:ascii="Century" w:hAnsi="Century" w:cs="Times New Roman"/>
          <w:i/>
          <w:iCs/>
          <w:noProof/>
        </w:rPr>
        <w:t>E-Jurnal Akuntansi</w:t>
      </w:r>
      <w:r w:rsidR="00F00A13" w:rsidRPr="00900543">
        <w:rPr>
          <w:rFonts w:ascii="Century" w:hAnsi="Century" w:cs="Times New Roman"/>
          <w:noProof/>
        </w:rPr>
        <w:t xml:space="preserve">, </w:t>
      </w:r>
      <w:r w:rsidR="00F00A13" w:rsidRPr="00900543">
        <w:rPr>
          <w:rFonts w:ascii="Century" w:hAnsi="Century" w:cs="Times New Roman"/>
          <w:i/>
          <w:iCs/>
          <w:noProof/>
        </w:rPr>
        <w:t>30</w:t>
      </w:r>
      <w:r w:rsidR="00F00A13" w:rsidRPr="00900543">
        <w:rPr>
          <w:rFonts w:ascii="Century" w:hAnsi="Century" w:cs="Times New Roman"/>
          <w:noProof/>
        </w:rPr>
        <w:t>(10), 2591–2603. https://doi.org/10.24843/eja.2020.v30.i10.p12</w:t>
      </w:r>
    </w:p>
    <w:p w14:paraId="2E751B95"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Aprianto, M., &amp; Dwimulyani, S. (2019). Pengaruh Sales Growth dan Leverage terhadap Tax Avoidance dengan Kepimilikan Institusional Sebagai Variabel Moderasi. </w:t>
      </w:r>
      <w:r w:rsidRPr="00900543">
        <w:rPr>
          <w:rFonts w:ascii="Century" w:hAnsi="Century" w:cs="Times New Roman"/>
          <w:i/>
          <w:iCs/>
          <w:noProof/>
        </w:rPr>
        <w:t>Prosiding Seminar Nasional</w:t>
      </w:r>
      <w:r w:rsidRPr="00900543">
        <w:rPr>
          <w:rFonts w:ascii="Century" w:hAnsi="Century" w:cs="Times New Roman"/>
          <w:noProof/>
        </w:rPr>
        <w:t xml:space="preserve">, </w:t>
      </w:r>
      <w:r w:rsidRPr="00900543">
        <w:rPr>
          <w:rFonts w:ascii="Century" w:hAnsi="Century" w:cs="Times New Roman"/>
          <w:i/>
          <w:iCs/>
          <w:noProof/>
        </w:rPr>
        <w:t>November</w:t>
      </w:r>
      <w:r w:rsidRPr="00900543">
        <w:rPr>
          <w:rFonts w:ascii="Century" w:hAnsi="Century" w:cs="Times New Roman"/>
          <w:noProof/>
        </w:rPr>
        <w:t xml:space="preserve">, 1–10. </w:t>
      </w:r>
    </w:p>
    <w:p w14:paraId="5DAFFD57"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Apsari, A. A. A. N. C., &amp; Supadmi, N. L. (2018). Pengaruh Kompensasi Eksekutif, Koneksi Politik, dan Capital Intensity pada Tax Avoidance. </w:t>
      </w:r>
      <w:r w:rsidRPr="00900543">
        <w:rPr>
          <w:rFonts w:ascii="Century" w:hAnsi="Century" w:cs="Times New Roman"/>
          <w:i/>
          <w:iCs/>
          <w:noProof/>
        </w:rPr>
        <w:t>E-Jurnal Akuntansi</w:t>
      </w:r>
      <w:r w:rsidRPr="00900543">
        <w:rPr>
          <w:rFonts w:ascii="Century" w:hAnsi="Century" w:cs="Times New Roman"/>
          <w:noProof/>
        </w:rPr>
        <w:t xml:space="preserve">, </w:t>
      </w:r>
      <w:r w:rsidRPr="00900543">
        <w:rPr>
          <w:rFonts w:ascii="Century" w:hAnsi="Century" w:cs="Times New Roman"/>
          <w:i/>
          <w:iCs/>
          <w:noProof/>
        </w:rPr>
        <w:t>25</w:t>
      </w:r>
      <w:r w:rsidRPr="00900543">
        <w:rPr>
          <w:rFonts w:ascii="Century" w:hAnsi="Century" w:cs="Times New Roman"/>
          <w:noProof/>
        </w:rPr>
        <w:t>(2), 1481–1505. https://doi.org/10.24843/eja.2018.v25.i02.p25</w:t>
      </w:r>
    </w:p>
    <w:p w14:paraId="4396E71E"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Arianandini, P. W., &amp; Ramantha, I. W. (2018). Pengaruh Profitabilitas, Leverage, dan Kepemilikan Institusional pada Tax Avoidance. </w:t>
      </w:r>
      <w:r w:rsidRPr="00900543">
        <w:rPr>
          <w:rFonts w:ascii="Century" w:hAnsi="Century" w:cs="Times New Roman"/>
          <w:i/>
          <w:iCs/>
          <w:noProof/>
        </w:rPr>
        <w:t>E-Jurnal Akuntansi Universitas Udayana</w:t>
      </w:r>
      <w:r w:rsidRPr="00900543">
        <w:rPr>
          <w:rFonts w:ascii="Century" w:hAnsi="Century" w:cs="Times New Roman"/>
          <w:noProof/>
        </w:rPr>
        <w:t xml:space="preserve">, </w:t>
      </w:r>
      <w:r w:rsidRPr="00900543">
        <w:rPr>
          <w:rFonts w:ascii="Century" w:hAnsi="Century" w:cs="Times New Roman"/>
          <w:i/>
          <w:iCs/>
          <w:noProof/>
        </w:rPr>
        <w:t>22</w:t>
      </w:r>
      <w:r w:rsidRPr="00900543">
        <w:rPr>
          <w:rFonts w:ascii="Century" w:hAnsi="Century" w:cs="Times New Roman"/>
          <w:noProof/>
        </w:rPr>
        <w:t xml:space="preserve">(3), 2088–2116. </w:t>
      </w:r>
    </w:p>
    <w:p w14:paraId="0F2D550D"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Ariawan, A. R., &amp; Setiawan, P. E. (2017). Pengaruh Dewan Komisaris Independen, Kepemilikan Institusional, Profitabilitas Dan Leverge Terhadap Tax Avoidance. </w:t>
      </w:r>
      <w:r w:rsidRPr="00900543">
        <w:rPr>
          <w:rFonts w:ascii="Century" w:hAnsi="Century" w:cs="Times New Roman"/>
          <w:i/>
          <w:iCs/>
          <w:noProof/>
        </w:rPr>
        <w:t>E-</w:t>
      </w:r>
      <w:r w:rsidRPr="00900543">
        <w:rPr>
          <w:rFonts w:ascii="Century" w:hAnsi="Century" w:cs="Times New Roman"/>
          <w:i/>
          <w:iCs/>
          <w:noProof/>
        </w:rPr>
        <w:lastRenderedPageBreak/>
        <w:t>Jurnal Akuntansi</w:t>
      </w:r>
      <w:r w:rsidRPr="00900543">
        <w:rPr>
          <w:rFonts w:ascii="Century" w:hAnsi="Century" w:cs="Times New Roman"/>
          <w:noProof/>
        </w:rPr>
        <w:t xml:space="preserve">, </w:t>
      </w:r>
      <w:r w:rsidRPr="00900543">
        <w:rPr>
          <w:rFonts w:ascii="Century" w:hAnsi="Century" w:cs="Times New Roman"/>
          <w:i/>
          <w:iCs/>
          <w:noProof/>
        </w:rPr>
        <w:t>18</w:t>
      </w:r>
      <w:r w:rsidRPr="00900543">
        <w:rPr>
          <w:rFonts w:ascii="Century" w:hAnsi="Century" w:cs="Times New Roman"/>
          <w:noProof/>
        </w:rPr>
        <w:t>(3), 1831–1859.</w:t>
      </w:r>
    </w:p>
    <w:p w14:paraId="59247D75"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Ayuningtyas, N. P. W., &amp; Sujana, I. K. (2018). Pengaruh Proporsi Komisaris Independen, Leverage, Sales Growth, Dan Profitabilitas Pada Tax Avoidance. </w:t>
      </w:r>
      <w:r w:rsidRPr="00900543">
        <w:rPr>
          <w:rFonts w:ascii="Century" w:hAnsi="Century" w:cs="Times New Roman"/>
          <w:i/>
          <w:iCs/>
          <w:noProof/>
        </w:rPr>
        <w:t>E-Jurnal Akuntansi Universitas Udayana</w:t>
      </w:r>
      <w:r w:rsidRPr="00900543">
        <w:rPr>
          <w:rFonts w:ascii="Century" w:hAnsi="Century" w:cs="Times New Roman"/>
          <w:noProof/>
        </w:rPr>
        <w:t xml:space="preserve">, </w:t>
      </w:r>
      <w:r w:rsidRPr="00900543">
        <w:rPr>
          <w:rFonts w:ascii="Century" w:hAnsi="Century" w:cs="Times New Roman"/>
          <w:i/>
          <w:iCs/>
          <w:noProof/>
        </w:rPr>
        <w:t>25</w:t>
      </w:r>
      <w:r w:rsidRPr="00900543">
        <w:rPr>
          <w:rFonts w:ascii="Century" w:hAnsi="Century" w:cs="Times New Roman"/>
          <w:noProof/>
        </w:rPr>
        <w:t xml:space="preserve">(3), 1884–1912. </w:t>
      </w:r>
    </w:p>
    <w:p w14:paraId="67EDD202"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Budianti, S., &amp; Curry, K. (2018). Pengaruh Profitabilitas, likuiditas, dan Capital Intensity Terhadap Penghindaran Pajak (Tax Avoidance). </w:t>
      </w:r>
      <w:r w:rsidRPr="00900543">
        <w:rPr>
          <w:rFonts w:ascii="Century" w:hAnsi="Century" w:cs="Times New Roman"/>
          <w:i/>
          <w:iCs/>
          <w:noProof/>
        </w:rPr>
        <w:t>Prosiding Seminar Nasional Cendekiawan 4</w:t>
      </w:r>
      <w:r w:rsidRPr="00900543">
        <w:rPr>
          <w:rFonts w:ascii="Century" w:hAnsi="Century" w:cs="Times New Roman"/>
          <w:noProof/>
        </w:rPr>
        <w:t>, Jakarta.</w:t>
      </w:r>
    </w:p>
    <w:p w14:paraId="299E9522"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Chen, S., Chen, X., Cheng, Q., &amp; Shevlin, T. (2010). Are Family Firms more Tax Aggressive than Non-family Firms</w:t>
      </w:r>
      <w:r w:rsidRPr="00900543">
        <w:rPr>
          <w:rFonts w:ascii="Times New Roman" w:hAnsi="Times New Roman" w:cs="Times New Roman"/>
          <w:noProof/>
        </w:rPr>
        <w:t> </w:t>
      </w:r>
      <w:r w:rsidRPr="00900543">
        <w:rPr>
          <w:rFonts w:ascii="Century" w:hAnsi="Century" w:cs="Times New Roman"/>
          <w:noProof/>
        </w:rPr>
        <w:t xml:space="preserve">? </w:t>
      </w:r>
      <w:r w:rsidRPr="00900543">
        <w:rPr>
          <w:rFonts w:ascii="Century" w:hAnsi="Century" w:cs="Times New Roman"/>
          <w:i/>
          <w:iCs/>
          <w:noProof/>
        </w:rPr>
        <w:t>Journal of Financial Economiics</w:t>
      </w:r>
      <w:r w:rsidRPr="00900543">
        <w:rPr>
          <w:rFonts w:ascii="Century" w:hAnsi="Century" w:cs="Times New Roman"/>
          <w:noProof/>
        </w:rPr>
        <w:t xml:space="preserve">, </w:t>
      </w:r>
      <w:r w:rsidRPr="00900543">
        <w:rPr>
          <w:rFonts w:ascii="Century" w:hAnsi="Century" w:cs="Times New Roman"/>
          <w:i/>
          <w:iCs/>
          <w:noProof/>
        </w:rPr>
        <w:t>91</w:t>
      </w:r>
      <w:r w:rsidRPr="00900543">
        <w:rPr>
          <w:rFonts w:ascii="Century" w:hAnsi="Century" w:cs="Times New Roman"/>
          <w:noProof/>
        </w:rPr>
        <w:t>(1), 41–61.</w:t>
      </w:r>
    </w:p>
    <w:p w14:paraId="43CBFD3D"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Comanor, W. S., &amp; Wilson, T. A. (1967). Advertising Market Structure and Performance. </w:t>
      </w:r>
      <w:r w:rsidRPr="00900543">
        <w:rPr>
          <w:rFonts w:ascii="Century" w:hAnsi="Century" w:cs="Times New Roman"/>
          <w:i/>
          <w:iCs/>
          <w:noProof/>
        </w:rPr>
        <w:t>The Review of Economics and Statistics</w:t>
      </w:r>
      <w:r w:rsidRPr="00900543">
        <w:rPr>
          <w:rFonts w:ascii="Century" w:hAnsi="Century" w:cs="Times New Roman"/>
          <w:noProof/>
        </w:rPr>
        <w:t xml:space="preserve">, </w:t>
      </w:r>
      <w:r w:rsidRPr="00900543">
        <w:rPr>
          <w:rFonts w:ascii="Century" w:hAnsi="Century" w:cs="Times New Roman"/>
          <w:i/>
          <w:iCs/>
          <w:noProof/>
        </w:rPr>
        <w:t>49</w:t>
      </w:r>
      <w:r w:rsidRPr="00900543">
        <w:rPr>
          <w:rFonts w:ascii="Century" w:hAnsi="Century" w:cs="Times New Roman"/>
          <w:noProof/>
        </w:rPr>
        <w:t>(4), 423–440. http://www.jstor.org/stable/1928327</w:t>
      </w:r>
    </w:p>
    <w:p w14:paraId="03BED65E"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Dwiyanti, I. A. I., &amp; Jati, I. ketut. (2019). Pengaruh Profitabilitas, Capital Intensity, dan Inventory Intensity pada Penghindaran Pajak. </w:t>
      </w:r>
      <w:r w:rsidRPr="00900543">
        <w:rPr>
          <w:rFonts w:ascii="Century" w:hAnsi="Century" w:cs="Times New Roman"/>
          <w:i/>
          <w:iCs/>
          <w:noProof/>
        </w:rPr>
        <w:t>E-Jurnal Akuntansi Universitas Udayana</w:t>
      </w:r>
      <w:r w:rsidRPr="00900543">
        <w:rPr>
          <w:rFonts w:ascii="Century" w:hAnsi="Century" w:cs="Times New Roman"/>
          <w:noProof/>
        </w:rPr>
        <w:t xml:space="preserve">, </w:t>
      </w:r>
      <w:r w:rsidRPr="00900543">
        <w:rPr>
          <w:rFonts w:ascii="Century" w:hAnsi="Century" w:cs="Times New Roman"/>
          <w:i/>
          <w:iCs/>
          <w:noProof/>
        </w:rPr>
        <w:t>27</w:t>
      </w:r>
      <w:r w:rsidRPr="00900543">
        <w:rPr>
          <w:rFonts w:ascii="Century" w:hAnsi="Century" w:cs="Times New Roman"/>
          <w:noProof/>
        </w:rPr>
        <w:t xml:space="preserve">(3), 2292–2321. </w:t>
      </w:r>
    </w:p>
    <w:p w14:paraId="4B329962"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Faizah, S. N., &amp; Adhivinna, V. V. (2017). Pengaruh Roa, Leverage, Kepemilikan Institusional Dan Ukuran Perusahaan Terhadap Tax Avoidance. </w:t>
      </w:r>
      <w:r w:rsidRPr="00900543">
        <w:rPr>
          <w:rFonts w:ascii="Century" w:hAnsi="Century" w:cs="Times New Roman"/>
          <w:i/>
          <w:iCs/>
          <w:noProof/>
        </w:rPr>
        <w:t>Jurnal Akuntansi</w:t>
      </w:r>
      <w:r w:rsidRPr="00900543">
        <w:rPr>
          <w:rFonts w:ascii="Century" w:hAnsi="Century" w:cs="Times New Roman"/>
          <w:noProof/>
        </w:rPr>
        <w:t xml:space="preserve">, </w:t>
      </w:r>
      <w:r w:rsidRPr="00900543">
        <w:rPr>
          <w:rFonts w:ascii="Century" w:hAnsi="Century" w:cs="Times New Roman"/>
          <w:i/>
          <w:iCs/>
          <w:noProof/>
        </w:rPr>
        <w:t>5</w:t>
      </w:r>
      <w:r w:rsidRPr="00900543">
        <w:rPr>
          <w:rFonts w:ascii="Century" w:hAnsi="Century" w:cs="Times New Roman"/>
          <w:noProof/>
        </w:rPr>
        <w:t>(2), 136–145.</w:t>
      </w:r>
    </w:p>
    <w:p w14:paraId="6F331825"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Furi, G. D. (2018). Pengaruh Leverage, Ukuran Perusahaan, Inventory Intensity, Capital Intensity Ratio, Sales Growth, dan Komisaris Independen Terhadap Tax Avoidance (Studi Empiris Pada Perusahaan Manufaktur yang Terdaftar di Bursa Efek Indonesia Tahun 2014-2016). </w:t>
      </w:r>
      <w:r w:rsidRPr="00900543">
        <w:rPr>
          <w:rFonts w:ascii="Century" w:hAnsi="Century" w:cs="Times New Roman"/>
          <w:i/>
          <w:iCs/>
          <w:noProof/>
        </w:rPr>
        <w:t>Jom Feb</w:t>
      </w:r>
      <w:r w:rsidRPr="00900543">
        <w:rPr>
          <w:rFonts w:ascii="Century" w:hAnsi="Century" w:cs="Times New Roman"/>
          <w:noProof/>
        </w:rPr>
        <w:t xml:space="preserve">, </w:t>
      </w:r>
      <w:r w:rsidRPr="00900543">
        <w:rPr>
          <w:rFonts w:ascii="Century" w:hAnsi="Century" w:cs="Times New Roman"/>
          <w:i/>
          <w:iCs/>
          <w:noProof/>
        </w:rPr>
        <w:t>1</w:t>
      </w:r>
      <w:r w:rsidRPr="00900543">
        <w:rPr>
          <w:rFonts w:ascii="Century" w:hAnsi="Century" w:cs="Times New Roman"/>
          <w:noProof/>
        </w:rPr>
        <w:t>(1), 1–15.</w:t>
      </w:r>
    </w:p>
    <w:p w14:paraId="16323197"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Handayani, Y. D., &amp; Ibrani, E. Y. (2019). Corporate Governance , Share Ownership Structure And Tax Avoidance. </w:t>
      </w:r>
      <w:r w:rsidRPr="00900543">
        <w:rPr>
          <w:rFonts w:ascii="Century" w:hAnsi="Century" w:cs="Times New Roman"/>
          <w:i/>
          <w:iCs/>
          <w:noProof/>
        </w:rPr>
        <w:t>International Journal of Commerce and Finance</w:t>
      </w:r>
      <w:r w:rsidRPr="00900543">
        <w:rPr>
          <w:rFonts w:ascii="Century" w:hAnsi="Century" w:cs="Times New Roman"/>
          <w:noProof/>
        </w:rPr>
        <w:t xml:space="preserve">, </w:t>
      </w:r>
      <w:r w:rsidRPr="00900543">
        <w:rPr>
          <w:rFonts w:ascii="Century" w:hAnsi="Century" w:cs="Times New Roman"/>
          <w:i/>
          <w:iCs/>
          <w:noProof/>
        </w:rPr>
        <w:t>5</w:t>
      </w:r>
      <w:r w:rsidRPr="00900543">
        <w:rPr>
          <w:rFonts w:ascii="Century" w:hAnsi="Century" w:cs="Times New Roman"/>
          <w:noProof/>
        </w:rPr>
        <w:t>(2), 120–127.</w:t>
      </w:r>
    </w:p>
    <w:p w14:paraId="1EA521EF"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Jensen, M. C., &amp; Meckling, W. H. (1976). Theory Of The Firm: Managerial Behavior, Agency Cost and Ownership Structure. </w:t>
      </w:r>
      <w:r w:rsidRPr="00900543">
        <w:rPr>
          <w:rFonts w:ascii="Century" w:hAnsi="Century" w:cs="Times New Roman"/>
          <w:i/>
          <w:iCs/>
          <w:noProof/>
        </w:rPr>
        <w:t>Journal of Financial Economiics 3</w:t>
      </w:r>
      <w:r w:rsidRPr="00900543">
        <w:rPr>
          <w:rFonts w:ascii="Century" w:hAnsi="Century" w:cs="Times New Roman"/>
          <w:noProof/>
        </w:rPr>
        <w:t xml:space="preserve">, </w:t>
      </w:r>
      <w:r w:rsidRPr="00900543">
        <w:rPr>
          <w:rFonts w:ascii="Century" w:hAnsi="Century" w:cs="Times New Roman"/>
          <w:i/>
          <w:iCs/>
          <w:noProof/>
        </w:rPr>
        <w:t>3</w:t>
      </w:r>
      <w:r w:rsidRPr="00900543">
        <w:rPr>
          <w:rFonts w:ascii="Century" w:hAnsi="Century" w:cs="Times New Roman"/>
          <w:noProof/>
        </w:rPr>
        <w:t>(4), 305–360.</w:t>
      </w:r>
    </w:p>
    <w:p w14:paraId="40138A84"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Kalbuana, N., Solihin, Saptono, Yohana, &amp; Yanti, D. R. (2020). The Influence Of Capital Intensity , Firm Size , And Leverage On Tax Avoidance On Companies Registered In Jakarta Islamic Index ( Jii ) Period 2015-2019. </w:t>
      </w:r>
      <w:r w:rsidRPr="00900543">
        <w:rPr>
          <w:rFonts w:ascii="Century" w:hAnsi="Century" w:cs="Times New Roman"/>
          <w:i/>
          <w:iCs/>
          <w:noProof/>
        </w:rPr>
        <w:t>International Journal of Economics, Business and Accounting Research (IJEBAR)</w:t>
      </w:r>
      <w:r w:rsidRPr="00900543">
        <w:rPr>
          <w:rFonts w:ascii="Century" w:hAnsi="Century" w:cs="Times New Roman"/>
          <w:noProof/>
        </w:rPr>
        <w:t xml:space="preserve">, </w:t>
      </w:r>
      <w:r w:rsidRPr="00900543">
        <w:rPr>
          <w:rFonts w:ascii="Century" w:hAnsi="Century" w:cs="Times New Roman"/>
          <w:i/>
          <w:iCs/>
          <w:noProof/>
        </w:rPr>
        <w:t>4</w:t>
      </w:r>
      <w:r w:rsidRPr="00900543">
        <w:rPr>
          <w:rFonts w:ascii="Century" w:hAnsi="Century" w:cs="Times New Roman"/>
          <w:noProof/>
        </w:rPr>
        <w:t>(3), 272–278.</w:t>
      </w:r>
    </w:p>
    <w:p w14:paraId="48B5C8BD"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Khurana, I. K., &amp; Moser, W. J. (2009). </w:t>
      </w:r>
      <w:r w:rsidRPr="00900543">
        <w:rPr>
          <w:rFonts w:ascii="Century" w:hAnsi="Century" w:cs="Times New Roman"/>
          <w:i/>
          <w:iCs/>
          <w:noProof/>
        </w:rPr>
        <w:t>Institusional Ownership and Tax Aggressiveness</w:t>
      </w:r>
      <w:r w:rsidRPr="00900543">
        <w:rPr>
          <w:rFonts w:ascii="Century" w:hAnsi="Century" w:cs="Times New Roman"/>
          <w:noProof/>
        </w:rPr>
        <w:t>. https://doi.org/10.1055/s-0029-1204225</w:t>
      </w:r>
    </w:p>
    <w:p w14:paraId="00E2CBE3"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KNKG. (2006). </w:t>
      </w:r>
      <w:r w:rsidRPr="00900543">
        <w:rPr>
          <w:rFonts w:ascii="Century" w:hAnsi="Century" w:cs="Times New Roman"/>
          <w:i/>
          <w:iCs/>
          <w:noProof/>
        </w:rPr>
        <w:t>Pedoman Umum Good Corporate Covernance Indonesia</w:t>
      </w:r>
      <w:r w:rsidRPr="00900543">
        <w:rPr>
          <w:rFonts w:ascii="Century" w:hAnsi="Century" w:cs="Times New Roman"/>
          <w:noProof/>
        </w:rPr>
        <w:t>.</w:t>
      </w:r>
    </w:p>
    <w:p w14:paraId="17B4730C"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Masrullah, Mursalim, &amp; Su’un, M. (2018). Pengaruh Kepemilikan Institusional, Komisaris Independen, Leverage Dan Sales Growth Terhadap Tax Avoidance Pada Perusahaan Manufaktur Di Bursa Efek Indonesia. </w:t>
      </w:r>
      <w:r w:rsidRPr="00900543">
        <w:rPr>
          <w:rFonts w:ascii="Century" w:hAnsi="Century" w:cs="Times New Roman"/>
          <w:i/>
          <w:iCs/>
          <w:noProof/>
        </w:rPr>
        <w:t>Simak</w:t>
      </w:r>
      <w:r w:rsidRPr="00900543">
        <w:rPr>
          <w:rFonts w:ascii="Century" w:hAnsi="Century" w:cs="Times New Roman"/>
          <w:noProof/>
        </w:rPr>
        <w:t xml:space="preserve">, </w:t>
      </w:r>
      <w:r w:rsidRPr="00900543">
        <w:rPr>
          <w:rFonts w:ascii="Century" w:hAnsi="Century" w:cs="Times New Roman"/>
          <w:i/>
          <w:iCs/>
          <w:noProof/>
        </w:rPr>
        <w:t>16</w:t>
      </w:r>
      <w:r w:rsidRPr="00900543">
        <w:rPr>
          <w:rFonts w:ascii="Century" w:hAnsi="Century" w:cs="Times New Roman"/>
          <w:noProof/>
        </w:rPr>
        <w:t>(2), 142–165.</w:t>
      </w:r>
    </w:p>
    <w:p w14:paraId="00AE53F4"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Masrurroch, L. R., Nurlaela, S., &amp; Fajri, R. N. (2021). Pengaruh profitabilitas, komsaris independen, leverage, ukuran perusahaan dan intensitas modal terhadap tax avoidance. </w:t>
      </w:r>
      <w:r w:rsidRPr="00900543">
        <w:rPr>
          <w:rFonts w:ascii="Century" w:hAnsi="Century" w:cs="Times New Roman"/>
          <w:i/>
          <w:iCs/>
          <w:noProof/>
        </w:rPr>
        <w:t>I N O V a S I</w:t>
      </w:r>
      <w:r w:rsidRPr="00900543">
        <w:rPr>
          <w:rFonts w:ascii="Century" w:hAnsi="Century" w:cs="Times New Roman"/>
          <w:noProof/>
        </w:rPr>
        <w:t xml:space="preserve">, </w:t>
      </w:r>
      <w:r w:rsidRPr="00900543">
        <w:rPr>
          <w:rFonts w:ascii="Century" w:hAnsi="Century" w:cs="Times New Roman"/>
          <w:i/>
          <w:iCs/>
          <w:noProof/>
        </w:rPr>
        <w:t>17</w:t>
      </w:r>
      <w:r w:rsidRPr="00900543">
        <w:rPr>
          <w:rFonts w:ascii="Century" w:hAnsi="Century" w:cs="Times New Roman"/>
          <w:noProof/>
        </w:rPr>
        <w:t>(1), 82–93.</w:t>
      </w:r>
    </w:p>
    <w:p w14:paraId="3AD76649"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Oktaviani, R. M., Pratiwi, Y. E., Sunarto, S., &amp; Jannah, A. (2021). Apakah Leverage Dan Manajemen Laba Mempengaruhi Agresivitas Pajak</w:t>
      </w:r>
      <w:r w:rsidRPr="00900543">
        <w:rPr>
          <w:rFonts w:ascii="Times New Roman" w:hAnsi="Times New Roman" w:cs="Times New Roman"/>
          <w:noProof/>
        </w:rPr>
        <w:t> </w:t>
      </w:r>
      <w:r w:rsidRPr="00900543">
        <w:rPr>
          <w:rFonts w:ascii="Century" w:hAnsi="Century" w:cs="Times New Roman"/>
          <w:noProof/>
        </w:rPr>
        <w:t xml:space="preserve">? </w:t>
      </w:r>
      <w:r w:rsidRPr="00900543">
        <w:rPr>
          <w:rFonts w:ascii="Century" w:hAnsi="Century" w:cs="Times New Roman"/>
          <w:i/>
          <w:iCs/>
          <w:noProof/>
        </w:rPr>
        <w:t>Proceeding Sendiu 2021</w:t>
      </w:r>
      <w:r w:rsidRPr="00900543">
        <w:rPr>
          <w:rFonts w:ascii="Century" w:hAnsi="Century" w:cs="Times New Roman"/>
          <w:noProof/>
        </w:rPr>
        <w:t>, 349–355.</w:t>
      </w:r>
    </w:p>
    <w:p w14:paraId="747BC7E9"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Praditasari, A., &amp; Setiawan, P. E. (2017). Pengaruh Good Corporate Governance, Ukuran Perusahaan, Leverage Dan Profitabilitas Pada Tax Avoidance. </w:t>
      </w:r>
      <w:r w:rsidRPr="00900543">
        <w:rPr>
          <w:rFonts w:ascii="Century" w:hAnsi="Century" w:cs="Times New Roman"/>
          <w:i/>
          <w:iCs/>
          <w:noProof/>
        </w:rPr>
        <w:t>E-Jurnal Akuntansi</w:t>
      </w:r>
      <w:r w:rsidRPr="00900543">
        <w:rPr>
          <w:rFonts w:ascii="Century" w:hAnsi="Century" w:cs="Times New Roman"/>
          <w:noProof/>
        </w:rPr>
        <w:t xml:space="preserve">, </w:t>
      </w:r>
      <w:r w:rsidRPr="00900543">
        <w:rPr>
          <w:rFonts w:ascii="Century" w:hAnsi="Century" w:cs="Times New Roman"/>
          <w:i/>
          <w:iCs/>
          <w:noProof/>
        </w:rPr>
        <w:t>19</w:t>
      </w:r>
      <w:r w:rsidRPr="00900543">
        <w:rPr>
          <w:rFonts w:ascii="Century" w:hAnsi="Century" w:cs="Times New Roman"/>
          <w:noProof/>
        </w:rPr>
        <w:t>(2), 1229–1258.</w:t>
      </w:r>
    </w:p>
    <w:p w14:paraId="4BB12AFB"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Prasatya, R. E., Mulyadi, J., &amp; Suyanto, S. (2020). Karakter Eksekutif, Profitabilitas, Leverage, dan Komisaris Independen Terhadap Tax Avoidance Dengan Kepemilikan Institusional Sebagai Variabel Moderasi. </w:t>
      </w:r>
      <w:r w:rsidRPr="00900543">
        <w:rPr>
          <w:rFonts w:ascii="Century" w:hAnsi="Century" w:cs="Times New Roman"/>
          <w:i/>
          <w:iCs/>
          <w:noProof/>
        </w:rPr>
        <w:t>Jurnal Riset Akuntansi &amp; Perpajakan (JRAP)</w:t>
      </w:r>
      <w:r w:rsidRPr="00900543">
        <w:rPr>
          <w:rFonts w:ascii="Century" w:hAnsi="Century" w:cs="Times New Roman"/>
          <w:noProof/>
        </w:rPr>
        <w:t xml:space="preserve">, </w:t>
      </w:r>
      <w:r w:rsidRPr="00900543">
        <w:rPr>
          <w:rFonts w:ascii="Century" w:hAnsi="Century" w:cs="Times New Roman"/>
          <w:i/>
          <w:iCs/>
          <w:noProof/>
        </w:rPr>
        <w:t>7</w:t>
      </w:r>
      <w:r w:rsidRPr="00900543">
        <w:rPr>
          <w:rFonts w:ascii="Century" w:hAnsi="Century" w:cs="Times New Roman"/>
          <w:noProof/>
        </w:rPr>
        <w:t>(02), 153–162. https://doi.org/10.35838/jrap.v7i02.1535</w:t>
      </w:r>
    </w:p>
    <w:p w14:paraId="66CACA67"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Pratiwi, Y. E., &amp; Oktaviani, R. M. (2021). Perspektif Leverage, Capital Intensity, dan Manajemen Laba Terhadap Tax Agreesiveness. </w:t>
      </w:r>
      <w:r w:rsidRPr="00900543">
        <w:rPr>
          <w:rFonts w:ascii="Century" w:hAnsi="Century" w:cs="Times New Roman"/>
          <w:i/>
          <w:iCs/>
          <w:noProof/>
        </w:rPr>
        <w:t>Jurnal Akuntansi Dan Pajak</w:t>
      </w:r>
      <w:r w:rsidRPr="00900543">
        <w:rPr>
          <w:rFonts w:ascii="Century" w:hAnsi="Century" w:cs="Times New Roman"/>
          <w:noProof/>
        </w:rPr>
        <w:t xml:space="preserve">, </w:t>
      </w:r>
      <w:r w:rsidRPr="00900543">
        <w:rPr>
          <w:rFonts w:ascii="Century" w:hAnsi="Century" w:cs="Times New Roman"/>
          <w:i/>
          <w:iCs/>
          <w:noProof/>
        </w:rPr>
        <w:t>22</w:t>
      </w:r>
      <w:r w:rsidRPr="00900543">
        <w:rPr>
          <w:rFonts w:ascii="Century" w:hAnsi="Century" w:cs="Times New Roman"/>
          <w:noProof/>
        </w:rPr>
        <w:t>(1). https://doi.org/10.29040/jap.v22i1.2475</w:t>
      </w:r>
    </w:p>
    <w:p w14:paraId="0CC3CEDA"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Putri, D. L., Rahmat, A., &amp; Aznuriyandi. (2020). Pengaruh Risiko Perusahaan, Proporsi Dewan Komisaris Independen, Komite Audit dan Konservatisme Akuntansi Terhadap Tax Avoidance Pada Perusahaan Manufaktur Yang Terdaftar Pada Bursa Efek Indonesia Tahun 2015-2017. </w:t>
      </w:r>
      <w:r w:rsidRPr="00900543">
        <w:rPr>
          <w:rFonts w:ascii="Century" w:hAnsi="Century" w:cs="Times New Roman"/>
          <w:i/>
          <w:iCs/>
          <w:noProof/>
        </w:rPr>
        <w:t>Jurnal Akuntansi Kompetif</w:t>
      </w:r>
      <w:r w:rsidRPr="00900543">
        <w:rPr>
          <w:rFonts w:ascii="Century" w:hAnsi="Century" w:cs="Times New Roman"/>
          <w:noProof/>
        </w:rPr>
        <w:t xml:space="preserve">, </w:t>
      </w:r>
      <w:r w:rsidRPr="00900543">
        <w:rPr>
          <w:rFonts w:ascii="Century" w:hAnsi="Century" w:cs="Times New Roman"/>
          <w:i/>
          <w:iCs/>
          <w:noProof/>
        </w:rPr>
        <w:t>3</w:t>
      </w:r>
      <w:r w:rsidRPr="00900543">
        <w:rPr>
          <w:rFonts w:ascii="Century" w:hAnsi="Century" w:cs="Times New Roman"/>
          <w:noProof/>
        </w:rPr>
        <w:t xml:space="preserve">(1), 1–17. </w:t>
      </w:r>
    </w:p>
    <w:p w14:paraId="4EE33738"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lastRenderedPageBreak/>
        <w:t xml:space="preserve">Rifai, A., &amp; Atiningsih, S. (2019). Pengaruh Leverage, Profitabilitas, Capital Intensity, Manajemen Laba Terhadap Penghindaran Pajak. </w:t>
      </w:r>
      <w:r w:rsidRPr="00900543">
        <w:rPr>
          <w:rFonts w:ascii="Century" w:hAnsi="Century" w:cs="Times New Roman"/>
          <w:i/>
          <w:iCs/>
          <w:noProof/>
        </w:rPr>
        <w:t>ECONBANK: Journal of Economics and Banking</w:t>
      </w:r>
      <w:r w:rsidRPr="00900543">
        <w:rPr>
          <w:rFonts w:ascii="Century" w:hAnsi="Century" w:cs="Times New Roman"/>
          <w:noProof/>
        </w:rPr>
        <w:t xml:space="preserve">, </w:t>
      </w:r>
      <w:r w:rsidRPr="00900543">
        <w:rPr>
          <w:rFonts w:ascii="Century" w:hAnsi="Century" w:cs="Times New Roman"/>
          <w:i/>
          <w:iCs/>
          <w:noProof/>
        </w:rPr>
        <w:t>1</w:t>
      </w:r>
      <w:r w:rsidRPr="00900543">
        <w:rPr>
          <w:rFonts w:ascii="Century" w:hAnsi="Century" w:cs="Times New Roman"/>
          <w:noProof/>
        </w:rPr>
        <w:t>(2), 135–142. https://doi.org/10.35829/econbank.v1i2.48</w:t>
      </w:r>
    </w:p>
    <w:p w14:paraId="7DCA37C1"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saputri, F. A. (2018). Pengaruh Profitabilitas, Leverage, Intensitas Modal Dan Proporsi Dewan Komisaris Independen Terhadap Tax Avoidance. </w:t>
      </w:r>
      <w:r w:rsidRPr="00900543">
        <w:rPr>
          <w:rFonts w:ascii="Century" w:hAnsi="Century" w:cs="Times New Roman"/>
          <w:i/>
          <w:iCs/>
          <w:noProof/>
        </w:rPr>
        <w:t>Jurnal Ekobis Dewantara</w:t>
      </w:r>
      <w:r w:rsidRPr="00900543">
        <w:rPr>
          <w:rFonts w:ascii="Century" w:hAnsi="Century" w:cs="Times New Roman"/>
          <w:noProof/>
        </w:rPr>
        <w:t xml:space="preserve">, </w:t>
      </w:r>
      <w:r w:rsidRPr="00900543">
        <w:rPr>
          <w:rFonts w:ascii="Century" w:hAnsi="Century" w:cs="Times New Roman"/>
          <w:i/>
          <w:iCs/>
          <w:noProof/>
        </w:rPr>
        <w:t>1</w:t>
      </w:r>
      <w:r w:rsidRPr="00900543">
        <w:rPr>
          <w:rFonts w:ascii="Century" w:hAnsi="Century" w:cs="Times New Roman"/>
          <w:noProof/>
        </w:rPr>
        <w:t xml:space="preserve">(6), 171–180. </w:t>
      </w:r>
    </w:p>
    <w:p w14:paraId="51C9F434"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Sinaga, C. H., &amp; Suardikha, I. M. S. (2019). Pengaruh Leverage dan Capital Intensity pada Tax Avoidance dengan Proporsi Komisaris Independen sebagai Variabel Pemoderasi. </w:t>
      </w:r>
      <w:r w:rsidRPr="00900543">
        <w:rPr>
          <w:rFonts w:ascii="Century" w:hAnsi="Century" w:cs="Times New Roman"/>
          <w:i/>
          <w:iCs/>
          <w:noProof/>
        </w:rPr>
        <w:t>E-Jurnal Akuntansi Universitas Udayana</w:t>
      </w:r>
      <w:r w:rsidRPr="00900543">
        <w:rPr>
          <w:rFonts w:ascii="Century" w:hAnsi="Century" w:cs="Times New Roman"/>
          <w:noProof/>
        </w:rPr>
        <w:t xml:space="preserve">, </w:t>
      </w:r>
      <w:r w:rsidRPr="00900543">
        <w:rPr>
          <w:rFonts w:ascii="Century" w:hAnsi="Century" w:cs="Times New Roman"/>
          <w:i/>
          <w:iCs/>
          <w:noProof/>
        </w:rPr>
        <w:t>27</w:t>
      </w:r>
      <w:r w:rsidRPr="00900543">
        <w:rPr>
          <w:rFonts w:ascii="Century" w:hAnsi="Century" w:cs="Times New Roman"/>
          <w:noProof/>
        </w:rPr>
        <w:t xml:space="preserve">(1), 1–32. </w:t>
      </w:r>
    </w:p>
    <w:p w14:paraId="4BAA49EE"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Susandy, C., &amp; Anggraeni, R. D. (2018). Pengaruh Komisaris Independen, Leverage, Dan Profitabilitas Terhadap Tax Avoidance (Studi Empiris pada Perusahaan Makanan dan Minuman yang Terdaftar di Bursa Efek Indonesia Tahun 2013-2017). </w:t>
      </w:r>
      <w:r w:rsidRPr="00900543">
        <w:rPr>
          <w:rFonts w:ascii="Century" w:hAnsi="Century" w:cs="Times New Roman"/>
          <w:i/>
          <w:iCs/>
          <w:noProof/>
        </w:rPr>
        <w:t>AKUNTOTEKNOLOGI</w:t>
      </w:r>
      <w:r w:rsidRPr="00900543">
        <w:rPr>
          <w:rFonts w:ascii="Times New Roman" w:hAnsi="Times New Roman" w:cs="Times New Roman"/>
          <w:i/>
          <w:iCs/>
          <w:noProof/>
        </w:rPr>
        <w:t> </w:t>
      </w:r>
      <w:r w:rsidRPr="00900543">
        <w:rPr>
          <w:rFonts w:ascii="Century" w:hAnsi="Century" w:cs="Times New Roman"/>
          <w:i/>
          <w:iCs/>
          <w:noProof/>
        </w:rPr>
        <w:t>: Jurnal Ilmiah Akuntansi Dan Teknologi</w:t>
      </w:r>
      <w:r w:rsidRPr="00900543">
        <w:rPr>
          <w:rFonts w:ascii="Century" w:hAnsi="Century" w:cs="Times New Roman"/>
          <w:noProof/>
        </w:rPr>
        <w:t xml:space="preserve">, </w:t>
      </w:r>
      <w:r w:rsidRPr="00900543">
        <w:rPr>
          <w:rFonts w:ascii="Century" w:hAnsi="Century" w:cs="Times New Roman"/>
          <w:i/>
          <w:iCs/>
          <w:noProof/>
        </w:rPr>
        <w:t>10</w:t>
      </w:r>
      <w:r w:rsidRPr="00900543">
        <w:rPr>
          <w:rFonts w:ascii="Century" w:hAnsi="Century" w:cs="Times New Roman"/>
          <w:noProof/>
        </w:rPr>
        <w:t>(1), 1–16.</w:t>
      </w:r>
    </w:p>
    <w:p w14:paraId="5EE2FD89"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Susanti, C. M. (2018). Pengaruh Konservatisme, Leverage, Profitabilitas, Ukuran Perusahaan Terhadap Tax Avoidance. </w:t>
      </w:r>
      <w:r w:rsidRPr="00900543">
        <w:rPr>
          <w:rFonts w:ascii="Century" w:hAnsi="Century" w:cs="Times New Roman"/>
          <w:i/>
          <w:iCs/>
          <w:noProof/>
        </w:rPr>
        <w:t>Jurnal Informasi, Perpajakan, Akuntansi, Dan Keuangan Publik</w:t>
      </w:r>
      <w:r w:rsidRPr="00900543">
        <w:rPr>
          <w:rFonts w:ascii="Century" w:hAnsi="Century" w:cs="Times New Roman"/>
          <w:noProof/>
        </w:rPr>
        <w:t xml:space="preserve">, </w:t>
      </w:r>
      <w:r w:rsidRPr="00900543">
        <w:rPr>
          <w:rFonts w:ascii="Century" w:hAnsi="Century" w:cs="Times New Roman"/>
          <w:i/>
          <w:iCs/>
          <w:noProof/>
        </w:rPr>
        <w:t>13</w:t>
      </w:r>
      <w:r w:rsidRPr="00900543">
        <w:rPr>
          <w:rFonts w:ascii="Century" w:hAnsi="Century" w:cs="Times New Roman"/>
          <w:noProof/>
        </w:rPr>
        <w:t>(2), 181–198. https://doi.org/10.25105/jipak.v13i2.5021</w:t>
      </w:r>
    </w:p>
    <w:p w14:paraId="452554F3"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Triyanti, N. W., Titisari, K. H., &amp; Dewi, R. R. (2020). Pengaruh Profitabilitas, Size, Leverage, Komite Audit, Komisaris Independen dan Umur Perusahaan terhadap Tax Avoidance. </w:t>
      </w:r>
      <w:r w:rsidRPr="00900543">
        <w:rPr>
          <w:rFonts w:ascii="Century" w:hAnsi="Century" w:cs="Times New Roman"/>
          <w:i/>
          <w:iCs/>
          <w:noProof/>
        </w:rPr>
        <w:t>Jurnal Ilmiah Universitas Batanghari Jambi</w:t>
      </w:r>
      <w:r w:rsidRPr="00900543">
        <w:rPr>
          <w:rFonts w:ascii="Century" w:hAnsi="Century" w:cs="Times New Roman"/>
          <w:noProof/>
        </w:rPr>
        <w:t xml:space="preserve">, </w:t>
      </w:r>
      <w:r w:rsidRPr="00900543">
        <w:rPr>
          <w:rFonts w:ascii="Century" w:hAnsi="Century" w:cs="Times New Roman"/>
          <w:i/>
          <w:iCs/>
          <w:noProof/>
        </w:rPr>
        <w:t>20</w:t>
      </w:r>
      <w:r w:rsidRPr="00900543">
        <w:rPr>
          <w:rFonts w:ascii="Century" w:hAnsi="Century" w:cs="Times New Roman"/>
          <w:noProof/>
        </w:rPr>
        <w:t>(1), 113–120. https://doi.org/10.33087/jiubj.v20i1.850</w:t>
      </w:r>
    </w:p>
    <w:p w14:paraId="4438C27F"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Widodo,  sasongko wahyu, &amp; Wulandari, S. (2021). Pengaruh Profitabilitas, Leverage, Capital Intensity, Sales Growth dan Ukuran Perusahaan Terhadap Penghindaran Pajak. </w:t>
      </w:r>
      <w:r w:rsidRPr="00900543">
        <w:rPr>
          <w:rFonts w:ascii="Century" w:hAnsi="Century" w:cs="Times New Roman"/>
          <w:i/>
          <w:iCs/>
          <w:noProof/>
        </w:rPr>
        <w:t>SIMAK</w:t>
      </w:r>
      <w:r w:rsidRPr="00900543">
        <w:rPr>
          <w:rFonts w:ascii="Century" w:hAnsi="Century" w:cs="Times New Roman"/>
          <w:noProof/>
        </w:rPr>
        <w:t xml:space="preserve">, </w:t>
      </w:r>
      <w:r w:rsidRPr="00900543">
        <w:rPr>
          <w:rFonts w:ascii="Century" w:hAnsi="Century" w:cs="Times New Roman"/>
          <w:i/>
          <w:iCs/>
          <w:noProof/>
        </w:rPr>
        <w:t>19</w:t>
      </w:r>
      <w:r w:rsidRPr="00900543">
        <w:rPr>
          <w:rFonts w:ascii="Century" w:hAnsi="Century" w:cs="Times New Roman"/>
          <w:noProof/>
        </w:rPr>
        <w:t>(1), 152–173.</w:t>
      </w:r>
    </w:p>
    <w:p w14:paraId="508A6245"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Wijayanti, Y. C., &amp; Lely, N. K. (2017). Pengaruh Proporsi Komisaris Independen, Kepemilikan Institusional, Leverage, Dan Ukuran Perusahaan Pada Penghindaran Pajak. </w:t>
      </w:r>
      <w:r w:rsidRPr="00900543">
        <w:rPr>
          <w:rFonts w:ascii="Century" w:hAnsi="Century" w:cs="Times New Roman"/>
          <w:i/>
          <w:iCs/>
          <w:noProof/>
        </w:rPr>
        <w:t>E-Jurnal Akuntansi Universitas Udayana</w:t>
      </w:r>
      <w:r w:rsidRPr="00900543">
        <w:rPr>
          <w:rFonts w:ascii="Century" w:hAnsi="Century" w:cs="Times New Roman"/>
          <w:noProof/>
        </w:rPr>
        <w:t xml:space="preserve">, </w:t>
      </w:r>
      <w:r w:rsidRPr="00900543">
        <w:rPr>
          <w:rFonts w:ascii="Century" w:hAnsi="Century" w:cs="Times New Roman"/>
          <w:i/>
          <w:iCs/>
          <w:noProof/>
        </w:rPr>
        <w:t>20</w:t>
      </w:r>
      <w:r w:rsidRPr="00900543">
        <w:rPr>
          <w:rFonts w:ascii="Century" w:hAnsi="Century" w:cs="Times New Roman"/>
          <w:noProof/>
        </w:rPr>
        <w:t>(1), 699–728.</w:t>
      </w:r>
    </w:p>
    <w:p w14:paraId="67E8CCA0"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Yuni, N. P. A. I., &amp; Setiawan, P. E. (2019). Pengaruh Corporate Governance dan Profitabilitas terhadap Penghindaran Pajak dengan Ukuran Perusahaan Sebagai Variabel Pemoderasi. </w:t>
      </w:r>
      <w:r w:rsidRPr="00900543">
        <w:rPr>
          <w:rFonts w:ascii="Century" w:hAnsi="Century" w:cs="Times New Roman"/>
          <w:i/>
          <w:iCs/>
          <w:noProof/>
        </w:rPr>
        <w:t>E-Jurnal Akuntansi</w:t>
      </w:r>
      <w:r w:rsidRPr="00900543">
        <w:rPr>
          <w:rFonts w:ascii="Century" w:hAnsi="Century" w:cs="Times New Roman"/>
          <w:noProof/>
        </w:rPr>
        <w:t xml:space="preserve">, </w:t>
      </w:r>
      <w:r w:rsidRPr="00900543">
        <w:rPr>
          <w:rFonts w:ascii="Century" w:hAnsi="Century" w:cs="Times New Roman"/>
          <w:i/>
          <w:iCs/>
          <w:noProof/>
        </w:rPr>
        <w:t>29</w:t>
      </w:r>
      <w:r w:rsidRPr="00900543">
        <w:rPr>
          <w:rFonts w:ascii="Century" w:hAnsi="Century" w:cs="Times New Roman"/>
          <w:noProof/>
        </w:rPr>
        <w:t>(1), 128–144.</w:t>
      </w:r>
    </w:p>
    <w:p w14:paraId="68FF14FA"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Yutaro, M. K. Z., &amp; Miftatah, D. (2020). Pengaruh corporate social responsibility, capital intensity dan kualitas audit terhadap penghindaran pajak. </w:t>
      </w:r>
      <w:r w:rsidRPr="00900543">
        <w:rPr>
          <w:rFonts w:ascii="Century" w:hAnsi="Century" w:cs="Times New Roman"/>
          <w:i/>
          <w:iCs/>
          <w:noProof/>
        </w:rPr>
        <w:t>Jurnal Magister Akuntansi Trisakti</w:t>
      </w:r>
      <w:r w:rsidRPr="00900543">
        <w:rPr>
          <w:rFonts w:ascii="Century" w:hAnsi="Century" w:cs="Times New Roman"/>
          <w:noProof/>
        </w:rPr>
        <w:t xml:space="preserve">, </w:t>
      </w:r>
      <w:r w:rsidRPr="00900543">
        <w:rPr>
          <w:rFonts w:ascii="Century" w:hAnsi="Century" w:cs="Times New Roman"/>
          <w:i/>
          <w:iCs/>
          <w:noProof/>
        </w:rPr>
        <w:t>7</w:t>
      </w:r>
      <w:r w:rsidRPr="00900543">
        <w:rPr>
          <w:rFonts w:ascii="Century" w:hAnsi="Century" w:cs="Times New Roman"/>
          <w:noProof/>
        </w:rPr>
        <w:t>(1), 25–40.</w:t>
      </w:r>
    </w:p>
    <w:p w14:paraId="1CD4A885" w14:textId="77777777" w:rsidR="00F00A13" w:rsidRPr="00900543" w:rsidRDefault="00F00A13" w:rsidP="00F00A13">
      <w:pPr>
        <w:widowControl w:val="0"/>
        <w:autoSpaceDE w:val="0"/>
        <w:autoSpaceDN w:val="0"/>
        <w:adjustRightInd w:val="0"/>
        <w:spacing w:line="240" w:lineRule="auto"/>
        <w:ind w:left="851" w:hanging="851"/>
        <w:jc w:val="both"/>
        <w:rPr>
          <w:rFonts w:ascii="Century" w:hAnsi="Century" w:cs="Times New Roman"/>
          <w:noProof/>
        </w:rPr>
      </w:pPr>
      <w:r w:rsidRPr="00900543">
        <w:rPr>
          <w:rFonts w:ascii="Century" w:hAnsi="Century" w:cs="Times New Roman"/>
          <w:noProof/>
        </w:rPr>
        <w:t xml:space="preserve">Zainuddin, &amp; Anfas. (2021). Pengaruh Profitabilitas , Leverage , Kepemilikan Institusional Dan Capital Intensity Terhadap Penghindaran Pajak di Bursa Efek Indonesia. </w:t>
      </w:r>
      <w:r w:rsidRPr="00900543">
        <w:rPr>
          <w:rFonts w:ascii="Century" w:hAnsi="Century" w:cs="Times New Roman"/>
          <w:i/>
          <w:iCs/>
          <w:noProof/>
        </w:rPr>
        <w:t>Journal of Economic, Public, and Accounting (JEPA)</w:t>
      </w:r>
      <w:r w:rsidRPr="00900543">
        <w:rPr>
          <w:rFonts w:ascii="Century" w:hAnsi="Century" w:cs="Times New Roman"/>
          <w:noProof/>
        </w:rPr>
        <w:t xml:space="preserve">, </w:t>
      </w:r>
      <w:r w:rsidRPr="00900543">
        <w:rPr>
          <w:rFonts w:ascii="Century" w:hAnsi="Century" w:cs="Times New Roman"/>
          <w:i/>
          <w:iCs/>
          <w:noProof/>
        </w:rPr>
        <w:t>3</w:t>
      </w:r>
      <w:r w:rsidRPr="00900543">
        <w:rPr>
          <w:rFonts w:ascii="Century" w:hAnsi="Century" w:cs="Times New Roman"/>
          <w:noProof/>
        </w:rPr>
        <w:t>(2), 85–102.</w:t>
      </w:r>
    </w:p>
    <w:p w14:paraId="2551A6CC" w14:textId="77777777" w:rsidR="00F00A13" w:rsidRPr="00900543" w:rsidRDefault="00F00A13" w:rsidP="00F00A13">
      <w:pPr>
        <w:pStyle w:val="ListParagraph"/>
        <w:spacing w:line="240" w:lineRule="auto"/>
        <w:ind w:left="851" w:hanging="851"/>
        <w:jc w:val="both"/>
        <w:rPr>
          <w:rFonts w:ascii="Century" w:hAnsi="Century" w:cs="Times New Roman"/>
          <w:b/>
          <w:bCs/>
        </w:rPr>
      </w:pPr>
      <w:r w:rsidRPr="00900543">
        <w:rPr>
          <w:rFonts w:ascii="Century" w:hAnsi="Century" w:cs="Times New Roman"/>
          <w:b/>
          <w:bCs/>
        </w:rPr>
        <w:fldChar w:fldCharType="end"/>
      </w:r>
    </w:p>
    <w:p w14:paraId="4878A797" w14:textId="77777777" w:rsidR="00F00A13" w:rsidRPr="00900543" w:rsidRDefault="00F00A13" w:rsidP="00F00A13">
      <w:pPr>
        <w:pStyle w:val="ListParagraph"/>
        <w:spacing w:after="0" w:line="240" w:lineRule="auto"/>
        <w:ind w:left="851" w:hanging="425"/>
        <w:jc w:val="both"/>
        <w:rPr>
          <w:rFonts w:ascii="Century" w:hAnsi="Century" w:cs="Times New Roman"/>
          <w:b/>
          <w:bCs/>
        </w:rPr>
      </w:pPr>
    </w:p>
    <w:p w14:paraId="5E443E0A" w14:textId="57C230A2" w:rsidR="0092786C" w:rsidRDefault="0092786C" w:rsidP="00F00A13">
      <w:pPr>
        <w:spacing w:line="240" w:lineRule="auto"/>
        <w:ind w:firstLine="567"/>
        <w:jc w:val="both"/>
      </w:pPr>
    </w:p>
    <w:sectPr w:rsidR="0092786C">
      <w:pgSz w:w="12240" w:h="20160"/>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60B0"/>
    <w:multiLevelType w:val="multilevel"/>
    <w:tmpl w:val="F93E88DC"/>
    <w:lvl w:ilvl="0">
      <w:start w:val="1"/>
      <w:numFmt w:val="decimal"/>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003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6C"/>
    <w:rsid w:val="002146CE"/>
    <w:rsid w:val="0092786C"/>
    <w:rsid w:val="00B40537"/>
    <w:rsid w:val="00CC0DAD"/>
    <w:rsid w:val="00F00A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5D07"/>
  <w15:docId w15:val="{25C5C30B-F61F-4845-A615-5508EA68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PlainTable21">
    <w:name w:val="Plain Table 21"/>
    <w:basedOn w:val="TableNormal"/>
    <w:uiPriority w:val="42"/>
    <w:rsid w:val="00CC0DAD"/>
    <w:pPr>
      <w:spacing w:after="0" w:line="240" w:lineRule="auto"/>
    </w:pPr>
    <w:rPr>
      <w:rFonts w:asciiTheme="minorHAnsi" w:eastAsiaTheme="minorEastAsia" w:hAnsiTheme="minorHAnsi" w:cstheme="minorBidi"/>
      <w:lang w:val="en-ID"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40537"/>
    <w:pPr>
      <w:spacing w:after="0" w:line="240" w:lineRule="auto"/>
    </w:pPr>
    <w:rPr>
      <w:rFonts w:asciiTheme="minorHAnsi" w:eastAsiaTheme="minorEastAsia" w:hAnsiTheme="minorHAnsi" w:cstheme="minorBidi"/>
      <w:lang w:val="en-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itarachma@edu.unisbank.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W/bJ1uOE4IFeqCoCsm6nunV1w==">AMUW2mVsGOLw11MPz4ninVATdaxVxSZhhyL0PBsxoYKsn+YyXEVCa/Om1WH/jVLVqRPvu8D1zCA9bWXn/M6fkoyZ9CSpAo0IX/XeyhR9+R9OLfOhlQqjqm0=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7142</Words>
  <Characters>40712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Rachmawati Meita Oktaviani</cp:lastModifiedBy>
  <cp:revision>2</cp:revision>
  <dcterms:created xsi:type="dcterms:W3CDTF">2022-11-24T00:02:00Z</dcterms:created>
  <dcterms:modified xsi:type="dcterms:W3CDTF">2022-11-24T00:02:00Z</dcterms:modified>
</cp:coreProperties>
</file>