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2102D" w14:textId="77777777" w:rsidR="00F869B9" w:rsidRDefault="00F869B9">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F869B9" w14:paraId="568C9223" w14:textId="77777777">
        <w:tc>
          <w:tcPr>
            <w:tcW w:w="3970" w:type="dxa"/>
          </w:tcPr>
          <w:p w14:paraId="02D35E26" w14:textId="77777777" w:rsidR="00F869B9" w:rsidRDefault="00B17DFE">
            <w:pPr>
              <w:rPr>
                <w:rFonts w:ascii="Arial" w:eastAsia="Arial" w:hAnsi="Arial" w:cs="Arial"/>
                <w:sz w:val="24"/>
                <w:szCs w:val="24"/>
              </w:rPr>
            </w:pPr>
            <w:r>
              <w:rPr>
                <w:noProof/>
              </w:rPr>
              <w:drawing>
                <wp:anchor distT="0" distB="0" distL="114300" distR="114300" simplePos="0" relativeHeight="251658240" behindDoc="0" locked="0" layoutInCell="1" hidden="0" allowOverlap="1" wp14:anchorId="02183848" wp14:editId="7633E537">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14450" cy="514350"/>
                          </a:xfrm>
                          <a:prstGeom prst="rect">
                            <a:avLst/>
                          </a:prstGeom>
                          <a:ln/>
                        </pic:spPr>
                      </pic:pic>
                    </a:graphicData>
                  </a:graphic>
                </wp:anchor>
              </w:drawing>
            </w:r>
          </w:p>
          <w:p w14:paraId="01CF9C71" w14:textId="77777777" w:rsidR="00F869B9" w:rsidRDefault="00F869B9">
            <w:pPr>
              <w:jc w:val="center"/>
              <w:rPr>
                <w:rFonts w:ascii="Arial" w:eastAsia="Arial" w:hAnsi="Arial" w:cs="Arial"/>
                <w:sz w:val="24"/>
                <w:szCs w:val="24"/>
              </w:rPr>
            </w:pPr>
          </w:p>
          <w:p w14:paraId="14B15D38" w14:textId="77777777" w:rsidR="00F869B9" w:rsidRDefault="00F869B9">
            <w:pPr>
              <w:jc w:val="center"/>
              <w:rPr>
                <w:rFonts w:ascii="Arial" w:eastAsia="Arial" w:hAnsi="Arial" w:cs="Arial"/>
                <w:sz w:val="24"/>
                <w:szCs w:val="24"/>
              </w:rPr>
            </w:pPr>
          </w:p>
          <w:p w14:paraId="7351E05D" w14:textId="77777777" w:rsidR="00F869B9" w:rsidRDefault="00F869B9">
            <w:pPr>
              <w:jc w:val="center"/>
              <w:rPr>
                <w:rFonts w:ascii="Arial" w:eastAsia="Arial" w:hAnsi="Arial" w:cs="Arial"/>
                <w:sz w:val="4"/>
                <w:szCs w:val="4"/>
              </w:rPr>
            </w:pPr>
          </w:p>
          <w:p w14:paraId="27193CC0" w14:textId="77777777" w:rsidR="00F869B9" w:rsidRDefault="00B17DFE">
            <w:pPr>
              <w:jc w:val="center"/>
              <w:rPr>
                <w:rFonts w:ascii="Arial" w:eastAsia="Arial" w:hAnsi="Arial" w:cs="Arial"/>
                <w:sz w:val="20"/>
                <w:szCs w:val="20"/>
              </w:rPr>
            </w:pPr>
            <w:r>
              <w:rPr>
                <w:rFonts w:ascii="Arial" w:eastAsia="Arial" w:hAnsi="Arial" w:cs="Arial"/>
                <w:sz w:val="20"/>
                <w:szCs w:val="20"/>
              </w:rPr>
              <w:t>PUBLISIA: Jurnal Ilmu Administrasi Publik</w:t>
            </w:r>
          </w:p>
          <w:p w14:paraId="0E3C67D9" w14:textId="77777777" w:rsidR="00F869B9" w:rsidRDefault="00B17DFE">
            <w:pPr>
              <w:jc w:val="center"/>
              <w:rPr>
                <w:rFonts w:ascii="Arial" w:eastAsia="Arial" w:hAnsi="Arial" w:cs="Arial"/>
                <w:sz w:val="20"/>
                <w:szCs w:val="20"/>
              </w:rPr>
            </w:pPr>
            <w:hyperlink r:id="rId10">
              <w:r>
                <w:rPr>
                  <w:rFonts w:ascii="Arial" w:eastAsia="Arial" w:hAnsi="Arial" w:cs="Arial"/>
                  <w:sz w:val="20"/>
                  <w:szCs w:val="20"/>
                </w:rPr>
                <w:t>http://jurnal.unmer.ac.id/index.php/jkpp</w:t>
              </w:r>
            </w:hyperlink>
          </w:p>
        </w:tc>
        <w:tc>
          <w:tcPr>
            <w:tcW w:w="5811" w:type="dxa"/>
            <w:vAlign w:val="bottom"/>
          </w:tcPr>
          <w:p w14:paraId="3E6897FE" w14:textId="77777777" w:rsidR="00F869B9" w:rsidRDefault="00B17DFE">
            <w:pPr>
              <w:jc w:val="right"/>
              <w:rPr>
                <w:rFonts w:ascii="Arial" w:eastAsia="Arial" w:hAnsi="Arial" w:cs="Arial"/>
                <w:sz w:val="20"/>
                <w:szCs w:val="20"/>
              </w:rPr>
            </w:pPr>
            <w:r>
              <w:rPr>
                <w:rFonts w:ascii="Arial" w:eastAsia="Arial" w:hAnsi="Arial" w:cs="Arial"/>
                <w:sz w:val="20"/>
                <w:szCs w:val="20"/>
              </w:rPr>
              <w:t xml:space="preserve">ISSN: </w:t>
            </w:r>
          </w:p>
          <w:p w14:paraId="4D9BD2E6" w14:textId="77777777" w:rsidR="00F869B9" w:rsidRDefault="00B17DFE">
            <w:pPr>
              <w:jc w:val="right"/>
              <w:rPr>
                <w:rFonts w:ascii="Arial" w:eastAsia="Arial" w:hAnsi="Arial" w:cs="Arial"/>
                <w:sz w:val="20"/>
                <w:szCs w:val="20"/>
              </w:rPr>
            </w:pPr>
            <w:r>
              <w:rPr>
                <w:rFonts w:ascii="Arial" w:eastAsia="Arial" w:hAnsi="Arial" w:cs="Arial"/>
                <w:sz w:val="20"/>
                <w:szCs w:val="20"/>
              </w:rPr>
              <w:t xml:space="preserve">2541-2515(p), 2541-2035(e) </w:t>
            </w:r>
          </w:p>
          <w:p w14:paraId="6DF6A369" w14:textId="77777777" w:rsidR="00F869B9" w:rsidRDefault="00B17DFE">
            <w:pPr>
              <w:jc w:val="right"/>
              <w:rPr>
                <w:rFonts w:ascii="Arial" w:eastAsia="Arial" w:hAnsi="Arial" w:cs="Arial"/>
                <w:sz w:val="20"/>
                <w:szCs w:val="20"/>
              </w:rPr>
            </w:pPr>
            <w:r>
              <w:rPr>
                <w:rFonts w:ascii="Arial" w:eastAsia="Arial" w:hAnsi="Arial" w:cs="Arial"/>
                <w:sz w:val="20"/>
                <w:szCs w:val="20"/>
              </w:rPr>
              <w:t xml:space="preserve">Volume: xx (xx) xxxx: </w:t>
            </w:r>
          </w:p>
          <w:p w14:paraId="29E7D587" w14:textId="77777777" w:rsidR="00F869B9" w:rsidRDefault="00B17DFE">
            <w:pPr>
              <w:jc w:val="right"/>
              <w:rPr>
                <w:rFonts w:ascii="Arial" w:eastAsia="Arial" w:hAnsi="Arial" w:cs="Arial"/>
                <w:sz w:val="20"/>
                <w:szCs w:val="20"/>
              </w:rPr>
            </w:pPr>
            <w:r>
              <w:rPr>
                <w:rFonts w:ascii="Arial" w:eastAsia="Arial" w:hAnsi="Arial" w:cs="Arial"/>
                <w:sz w:val="20"/>
                <w:szCs w:val="20"/>
              </w:rPr>
              <w:t>p. …. - …..</w:t>
            </w:r>
          </w:p>
          <w:p w14:paraId="3DF7628D" w14:textId="77777777" w:rsidR="00F869B9" w:rsidRDefault="00B17DFE">
            <w:pPr>
              <w:jc w:val="right"/>
              <w:rPr>
                <w:rFonts w:ascii="Arial" w:eastAsia="Arial" w:hAnsi="Arial" w:cs="Arial"/>
                <w:sz w:val="20"/>
                <w:szCs w:val="20"/>
              </w:rPr>
            </w:pPr>
            <w:r>
              <w:rPr>
                <w:rFonts w:ascii="Arial" w:eastAsia="Arial" w:hAnsi="Arial" w:cs="Arial"/>
                <w:sz w:val="20"/>
                <w:szCs w:val="20"/>
              </w:rPr>
              <w:t xml:space="preserve">DOI: Prefix </w:t>
            </w:r>
            <w:r>
              <w:rPr>
                <w:rFonts w:ascii="Arial" w:eastAsia="Arial" w:hAnsi="Arial" w:cs="Arial"/>
                <w:sz w:val="20"/>
                <w:szCs w:val="20"/>
              </w:rPr>
              <w:t>10.26905</w:t>
            </w:r>
          </w:p>
        </w:tc>
      </w:tr>
    </w:tbl>
    <w:p w14:paraId="69CF3D87" w14:textId="77777777" w:rsidR="00F869B9" w:rsidRDefault="00F869B9">
      <w:pPr>
        <w:spacing w:after="0" w:line="240" w:lineRule="auto"/>
        <w:jc w:val="center"/>
        <w:rPr>
          <w:rFonts w:ascii="Book Antiqua" w:eastAsia="Book Antiqua" w:hAnsi="Book Antiqua" w:cs="Book Antiqua"/>
          <w:b/>
        </w:rPr>
      </w:pPr>
    </w:p>
    <w:p w14:paraId="76F06D00" w14:textId="2FB896E9" w:rsidR="00F869B9" w:rsidRDefault="00575694">
      <w:pPr>
        <w:spacing w:after="0" w:line="240" w:lineRule="auto"/>
        <w:jc w:val="center"/>
        <w:rPr>
          <w:rFonts w:ascii="Book Antiqua" w:eastAsia="Book Antiqua" w:hAnsi="Book Antiqua" w:cs="Book Antiqua"/>
          <w:b/>
          <w:sz w:val="28"/>
          <w:szCs w:val="28"/>
        </w:rPr>
      </w:pPr>
      <w:r w:rsidRPr="00575694">
        <w:rPr>
          <w:rFonts w:ascii="Book Antiqua" w:eastAsia="Book Antiqua" w:hAnsi="Book Antiqua" w:cs="Book Antiqua"/>
          <w:b/>
          <w:sz w:val="28"/>
          <w:szCs w:val="28"/>
        </w:rPr>
        <w:t xml:space="preserve">Analysis of Post-Pandemic Border Opening Policy on Immigration Services: Case Study of Immigration Office Class I </w:t>
      </w:r>
      <w:r w:rsidR="007E4886" w:rsidRPr="00575694">
        <w:rPr>
          <w:rFonts w:ascii="Book Antiqua" w:eastAsia="Book Antiqua" w:hAnsi="Book Antiqua" w:cs="Book Antiqua"/>
          <w:b/>
          <w:sz w:val="28"/>
          <w:szCs w:val="28"/>
        </w:rPr>
        <w:t>Non-Checkpoint</w:t>
      </w:r>
      <w:r w:rsidRPr="00575694">
        <w:rPr>
          <w:rFonts w:ascii="Book Antiqua" w:eastAsia="Book Antiqua" w:hAnsi="Book Antiqua" w:cs="Book Antiqua"/>
          <w:b/>
          <w:sz w:val="28"/>
          <w:szCs w:val="28"/>
        </w:rPr>
        <w:t xml:space="preserve"> Pati</w:t>
      </w:r>
    </w:p>
    <w:p w14:paraId="6CEC0694" w14:textId="34688515" w:rsidR="007E4886" w:rsidRDefault="007E4886">
      <w:pPr>
        <w:spacing w:after="0" w:line="240" w:lineRule="auto"/>
        <w:jc w:val="center"/>
        <w:rPr>
          <w:rFonts w:ascii="Book Antiqua" w:eastAsia="Book Antiqua" w:hAnsi="Book Antiqua" w:cs="Book Antiqua"/>
          <w:b/>
          <w:sz w:val="24"/>
          <w:szCs w:val="24"/>
        </w:rPr>
      </w:pPr>
    </w:p>
    <w:p w14:paraId="28C654AA" w14:textId="7FE7DBCC" w:rsidR="003F3A48" w:rsidRDefault="003F3A48">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w:t>
      </w:r>
    </w:p>
    <w:p w14:paraId="7CE826A1" w14:textId="145A6CA9" w:rsidR="003F3A48" w:rsidRDefault="003F3A48">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w:t>
      </w:r>
    </w:p>
    <w:p w14:paraId="49D150C9" w14:textId="73E1F9C4" w:rsidR="00F869B9" w:rsidRDefault="00B17DFE">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 xml:space="preserve">Email: </w:t>
      </w:r>
      <w:r>
        <w:rPr>
          <w:rFonts w:ascii="Book Antiqua" w:eastAsia="Book Antiqua" w:hAnsi="Book Antiqua" w:cs="Book Antiqua"/>
          <w:sz w:val="24"/>
          <w:szCs w:val="24"/>
          <w:vertAlign w:val="superscript"/>
        </w:rPr>
        <w:t xml:space="preserve"> </w:t>
      </w:r>
      <w:r w:rsidR="003F3A48">
        <w:t>……..</w:t>
      </w:r>
    </w:p>
    <w:p w14:paraId="5E533C96" w14:textId="77777777" w:rsidR="007E4886" w:rsidRDefault="007E4886">
      <w:pPr>
        <w:spacing w:after="0" w:line="240" w:lineRule="auto"/>
        <w:jc w:val="center"/>
        <w:rPr>
          <w:rFonts w:ascii="Book Antiqua" w:eastAsia="Book Antiqua" w:hAnsi="Book Antiqua" w:cs="Book Antiqua"/>
          <w:sz w:val="24"/>
          <w:szCs w:val="24"/>
        </w:rPr>
      </w:pPr>
    </w:p>
    <w:p w14:paraId="7E150B37" w14:textId="77777777" w:rsidR="00F869B9" w:rsidRDefault="00F869B9">
      <w:pPr>
        <w:spacing w:after="0" w:line="240" w:lineRule="auto"/>
        <w:jc w:val="center"/>
        <w:rPr>
          <w:rFonts w:ascii="Book Antiqua" w:eastAsia="Book Antiqua" w:hAnsi="Book Antiqua" w:cs="Book Antiqua"/>
          <w:sz w:val="2"/>
          <w:szCs w:val="2"/>
        </w:rPr>
      </w:pPr>
    </w:p>
    <w:p w14:paraId="085C3D90" w14:textId="77777777" w:rsidR="00F869B9" w:rsidRDefault="00F869B9">
      <w:pPr>
        <w:spacing w:after="0" w:line="240" w:lineRule="auto"/>
        <w:jc w:val="center"/>
        <w:rPr>
          <w:rFonts w:ascii="Book Antiqua" w:eastAsia="Book Antiqua" w:hAnsi="Book Antiqua" w:cs="Book Antiqua"/>
          <w:sz w:val="2"/>
          <w:szCs w:val="2"/>
        </w:rPr>
      </w:pPr>
    </w:p>
    <w:p w14:paraId="55B26519" w14:textId="77777777" w:rsidR="00F869B9" w:rsidRDefault="00F869B9">
      <w:pPr>
        <w:spacing w:after="0" w:line="240" w:lineRule="auto"/>
        <w:jc w:val="center"/>
        <w:rPr>
          <w:rFonts w:ascii="Book Antiqua" w:eastAsia="Book Antiqua" w:hAnsi="Book Antiqua" w:cs="Book Antiqua"/>
          <w:sz w:val="2"/>
          <w:szCs w:val="2"/>
        </w:rPr>
      </w:pPr>
    </w:p>
    <w:p w14:paraId="37DD5B3B" w14:textId="77777777" w:rsidR="00F869B9" w:rsidRDefault="00F869B9">
      <w:pPr>
        <w:spacing w:after="0" w:line="240" w:lineRule="auto"/>
        <w:jc w:val="center"/>
        <w:rPr>
          <w:rFonts w:ascii="Book Antiqua" w:eastAsia="Book Antiqua" w:hAnsi="Book Antiqua" w:cs="Book Antiqua"/>
          <w:sz w:val="2"/>
          <w:szCs w:val="2"/>
        </w:rPr>
      </w:pPr>
    </w:p>
    <w:p w14:paraId="4201B688" w14:textId="77777777" w:rsidR="00F869B9" w:rsidRDefault="00F869B9">
      <w:pPr>
        <w:spacing w:after="0" w:line="240" w:lineRule="auto"/>
        <w:jc w:val="center"/>
        <w:rPr>
          <w:rFonts w:ascii="Book Antiqua" w:eastAsia="Book Antiqua" w:hAnsi="Book Antiqua" w:cs="Book Antiqua"/>
          <w:sz w:val="2"/>
          <w:szCs w:val="2"/>
        </w:rPr>
      </w:pPr>
    </w:p>
    <w:p w14:paraId="56C45FEA" w14:textId="77777777" w:rsidR="00F869B9" w:rsidRDefault="00F869B9">
      <w:pPr>
        <w:spacing w:after="0" w:line="240" w:lineRule="auto"/>
        <w:jc w:val="center"/>
        <w:rPr>
          <w:rFonts w:ascii="Book Antiqua" w:eastAsia="Book Antiqua" w:hAnsi="Book Antiqua" w:cs="Book Antiqua"/>
          <w:sz w:val="2"/>
          <w:szCs w:val="2"/>
        </w:rPr>
      </w:pPr>
    </w:p>
    <w:p w14:paraId="46A06C0C" w14:textId="77777777" w:rsidR="00F869B9" w:rsidRDefault="00F869B9">
      <w:pPr>
        <w:spacing w:after="0" w:line="240" w:lineRule="auto"/>
        <w:jc w:val="center"/>
        <w:rPr>
          <w:rFonts w:ascii="Book Antiqua" w:eastAsia="Book Antiqua" w:hAnsi="Book Antiqua" w:cs="Book Antiqua"/>
          <w:sz w:val="2"/>
          <w:szCs w:val="2"/>
        </w:rPr>
      </w:pPr>
    </w:p>
    <w:p w14:paraId="135DF29C" w14:textId="77777777" w:rsidR="00F869B9" w:rsidRDefault="00F869B9">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F869B9" w14:paraId="360C1B01" w14:textId="77777777">
        <w:tc>
          <w:tcPr>
            <w:tcW w:w="2126" w:type="dxa"/>
          </w:tcPr>
          <w:p w14:paraId="163113E1" w14:textId="77777777" w:rsidR="00F869B9" w:rsidRDefault="00F869B9">
            <w:pPr>
              <w:jc w:val="center"/>
              <w:rPr>
                <w:rFonts w:ascii="Book Antiqua" w:eastAsia="Book Antiqua" w:hAnsi="Book Antiqua" w:cs="Book Antiqua"/>
                <w:b/>
              </w:rPr>
            </w:pPr>
          </w:p>
        </w:tc>
        <w:tc>
          <w:tcPr>
            <w:tcW w:w="7229" w:type="dxa"/>
          </w:tcPr>
          <w:p w14:paraId="73D463F8" w14:textId="77777777" w:rsidR="00F869B9" w:rsidRDefault="00B17DFE">
            <w:pPr>
              <w:jc w:val="center"/>
              <w:rPr>
                <w:rFonts w:ascii="Book Antiqua" w:eastAsia="Book Antiqua" w:hAnsi="Book Antiqua" w:cs="Book Antiqua"/>
                <w:b/>
              </w:rPr>
            </w:pPr>
            <w:r>
              <w:rPr>
                <w:rFonts w:ascii="Book Antiqua" w:eastAsia="Book Antiqua" w:hAnsi="Book Antiqua" w:cs="Book Antiqua"/>
                <w:b/>
                <w:sz w:val="24"/>
                <w:szCs w:val="24"/>
              </w:rPr>
              <w:t>Abstract</w:t>
            </w:r>
          </w:p>
        </w:tc>
      </w:tr>
      <w:tr w:rsidR="00F869B9" w14:paraId="70C3FCF1" w14:textId="77777777">
        <w:tc>
          <w:tcPr>
            <w:tcW w:w="2126" w:type="dxa"/>
            <w:vAlign w:val="bottom"/>
          </w:tcPr>
          <w:p w14:paraId="0974BD39" w14:textId="77777777" w:rsidR="00F869B9" w:rsidRDefault="00B17DFE">
            <w:pPr>
              <w:ind w:right="33"/>
              <w:rPr>
                <w:rFonts w:ascii="Book Antiqua" w:eastAsia="Book Antiqua" w:hAnsi="Book Antiqua" w:cs="Book Antiqua"/>
                <w:sz w:val="20"/>
                <w:szCs w:val="20"/>
              </w:rPr>
            </w:pPr>
            <w:r>
              <w:rPr>
                <w:rFonts w:ascii="Book Antiqua" w:eastAsia="Book Antiqua" w:hAnsi="Book Antiqua" w:cs="Book Antiqua"/>
                <w:sz w:val="20"/>
                <w:szCs w:val="20"/>
              </w:rPr>
              <w:t>Article Histori:</w:t>
            </w:r>
          </w:p>
          <w:p w14:paraId="5E8BEE99" w14:textId="77777777" w:rsidR="00F869B9" w:rsidRDefault="00B17DFE">
            <w:pPr>
              <w:ind w:right="33"/>
              <w:rPr>
                <w:rFonts w:ascii="Book Antiqua" w:eastAsia="Book Antiqua" w:hAnsi="Book Antiqua" w:cs="Book Antiqua"/>
                <w:sz w:val="20"/>
                <w:szCs w:val="20"/>
              </w:rPr>
            </w:pPr>
            <w:r>
              <w:rPr>
                <w:rFonts w:ascii="Book Antiqua" w:eastAsia="Book Antiqua" w:hAnsi="Book Antiqua" w:cs="Book Antiqua"/>
                <w:sz w:val="20"/>
                <w:szCs w:val="20"/>
              </w:rPr>
              <w:t>Submited: ……….</w:t>
            </w:r>
          </w:p>
          <w:p w14:paraId="394D5AF2" w14:textId="77777777" w:rsidR="00F869B9" w:rsidRDefault="00B17DFE">
            <w:pPr>
              <w:ind w:right="33"/>
              <w:rPr>
                <w:rFonts w:ascii="Book Antiqua" w:eastAsia="Book Antiqua" w:hAnsi="Book Antiqua" w:cs="Book Antiqua"/>
                <w:sz w:val="20"/>
                <w:szCs w:val="20"/>
              </w:rPr>
            </w:pPr>
            <w:r>
              <w:rPr>
                <w:rFonts w:ascii="Book Antiqua" w:eastAsia="Book Antiqua" w:hAnsi="Book Antiqua" w:cs="Book Antiqua"/>
                <w:sz w:val="20"/>
                <w:szCs w:val="20"/>
              </w:rPr>
              <w:t>Review: ……….</w:t>
            </w:r>
          </w:p>
          <w:p w14:paraId="67A6B6F3" w14:textId="77777777" w:rsidR="00F869B9" w:rsidRDefault="00B17DFE">
            <w:pPr>
              <w:ind w:right="33"/>
              <w:rPr>
                <w:rFonts w:ascii="Book Antiqua" w:eastAsia="Book Antiqua" w:hAnsi="Book Antiqua" w:cs="Book Antiqua"/>
                <w:sz w:val="20"/>
                <w:szCs w:val="20"/>
              </w:rPr>
            </w:pPr>
            <w:r>
              <w:rPr>
                <w:rFonts w:ascii="Book Antiqua" w:eastAsia="Book Antiqua" w:hAnsi="Book Antiqua" w:cs="Book Antiqua"/>
                <w:sz w:val="20"/>
                <w:szCs w:val="20"/>
              </w:rPr>
              <w:t>Editing: ……….</w:t>
            </w:r>
          </w:p>
          <w:p w14:paraId="01C57B99" w14:textId="77777777" w:rsidR="00F869B9" w:rsidRDefault="00B17DFE">
            <w:pPr>
              <w:ind w:right="33"/>
              <w:rPr>
                <w:rFonts w:ascii="Book Antiqua" w:eastAsia="Book Antiqua" w:hAnsi="Book Antiqua" w:cs="Book Antiqua"/>
                <w:sz w:val="20"/>
                <w:szCs w:val="20"/>
              </w:rPr>
            </w:pPr>
            <w:r>
              <w:rPr>
                <w:rFonts w:ascii="Book Antiqua" w:eastAsia="Book Antiqua" w:hAnsi="Book Antiqua" w:cs="Book Antiqua"/>
                <w:sz w:val="20"/>
                <w:szCs w:val="20"/>
              </w:rPr>
              <w:t>Publish: ……….</w:t>
            </w:r>
          </w:p>
          <w:p w14:paraId="10233E9A" w14:textId="77777777" w:rsidR="00F869B9" w:rsidRDefault="00F869B9">
            <w:pPr>
              <w:ind w:right="33"/>
              <w:rPr>
                <w:rFonts w:ascii="Book Antiqua" w:eastAsia="Book Antiqua" w:hAnsi="Book Antiqua" w:cs="Book Antiqua"/>
                <w:color w:val="FF0000"/>
                <w:sz w:val="20"/>
                <w:szCs w:val="20"/>
              </w:rPr>
            </w:pPr>
          </w:p>
        </w:tc>
        <w:tc>
          <w:tcPr>
            <w:tcW w:w="7229" w:type="dxa"/>
          </w:tcPr>
          <w:p w14:paraId="3BC43221" w14:textId="0074FEBB" w:rsidR="00F869B9" w:rsidRDefault="007E4886">
            <w:pPr>
              <w:ind w:left="175"/>
              <w:jc w:val="both"/>
              <w:rPr>
                <w:rFonts w:ascii="Book Antiqua" w:eastAsia="Book Antiqua" w:hAnsi="Book Antiqua" w:cs="Book Antiqua"/>
                <w:b/>
              </w:rPr>
            </w:pPr>
            <w:r w:rsidRPr="007E4886">
              <w:rPr>
                <w:rFonts w:ascii="Book Antiqua" w:eastAsia="Book Antiqua" w:hAnsi="Book Antiqua" w:cs="Book Antiqua"/>
                <w:i/>
                <w:sz w:val="24"/>
                <w:szCs w:val="24"/>
              </w:rPr>
              <w:t xml:space="preserve">Immigration services are one of the services for people affected by the COVID-19 pandemic. However, as the handling got better, the vaccination program became more widespread and the spread became lower, the Government began to provide some leeway including the opening of borders. People who want to travel between countries begin to prepare themselves by applying for a passport. Immigration Office Class I </w:t>
            </w:r>
            <w:r>
              <w:rPr>
                <w:rFonts w:ascii="Book Antiqua" w:eastAsia="Book Antiqua" w:hAnsi="Book Antiqua" w:cs="Book Antiqua"/>
                <w:i/>
                <w:sz w:val="24"/>
                <w:szCs w:val="24"/>
              </w:rPr>
              <w:t>Non-Checkpoint</w:t>
            </w:r>
            <w:r w:rsidRPr="007E4886">
              <w:rPr>
                <w:rFonts w:ascii="Book Antiqua" w:eastAsia="Book Antiqua" w:hAnsi="Book Antiqua" w:cs="Book Antiqua"/>
                <w:i/>
                <w:sz w:val="24"/>
                <w:szCs w:val="24"/>
              </w:rPr>
              <w:t xml:space="preserve"> Pati as an Immigration Technical Implementation Unit faces fluctuations in applications for passport issuance during this pandemic. Issues and information as well as announcements from the government influence people to apply for passports. Improving passport services must also consider service quality. Internal surveys and also Google Review analysis as a form of external service evaluation is important to do to determine the quality of services provided. Immigration Office Class I </w:t>
            </w:r>
            <w:r>
              <w:rPr>
                <w:rFonts w:ascii="Book Antiqua" w:eastAsia="Book Antiqua" w:hAnsi="Book Antiqua" w:cs="Book Antiqua"/>
                <w:i/>
                <w:sz w:val="24"/>
                <w:szCs w:val="24"/>
              </w:rPr>
              <w:t>Non-Checkpoint</w:t>
            </w:r>
            <w:r w:rsidRPr="007E4886">
              <w:rPr>
                <w:rFonts w:ascii="Book Antiqua" w:eastAsia="Book Antiqua" w:hAnsi="Book Antiqua" w:cs="Book Antiqua"/>
                <w:i/>
                <w:sz w:val="24"/>
                <w:szCs w:val="24"/>
              </w:rPr>
              <w:t xml:space="preserve"> Pati in the period December 2021 to May 2022 obtained a positive service quality assessment from the immigration service user community.</w:t>
            </w:r>
          </w:p>
        </w:tc>
      </w:tr>
      <w:tr w:rsidR="00F869B9" w14:paraId="691F4BDF" w14:textId="77777777">
        <w:tc>
          <w:tcPr>
            <w:tcW w:w="2126" w:type="dxa"/>
            <w:vAlign w:val="bottom"/>
          </w:tcPr>
          <w:p w14:paraId="29CBAB67" w14:textId="77777777" w:rsidR="00F869B9" w:rsidRDefault="00F869B9">
            <w:pPr>
              <w:ind w:right="33"/>
              <w:rPr>
                <w:rFonts w:ascii="Book Antiqua" w:eastAsia="Book Antiqua" w:hAnsi="Book Antiqua" w:cs="Book Antiqua"/>
                <w:sz w:val="20"/>
                <w:szCs w:val="20"/>
              </w:rPr>
            </w:pPr>
          </w:p>
        </w:tc>
        <w:tc>
          <w:tcPr>
            <w:tcW w:w="7229" w:type="dxa"/>
          </w:tcPr>
          <w:p w14:paraId="057B6005" w14:textId="77777777" w:rsidR="00F869B9" w:rsidRDefault="00F869B9">
            <w:pPr>
              <w:ind w:left="175"/>
              <w:jc w:val="both"/>
              <w:rPr>
                <w:rFonts w:ascii="Book Antiqua" w:eastAsia="Book Antiqua" w:hAnsi="Book Antiqua" w:cs="Book Antiqua"/>
                <w:i/>
              </w:rPr>
            </w:pPr>
          </w:p>
        </w:tc>
      </w:tr>
      <w:tr w:rsidR="00F869B9" w14:paraId="76A55E95" w14:textId="77777777">
        <w:tc>
          <w:tcPr>
            <w:tcW w:w="9355" w:type="dxa"/>
            <w:gridSpan w:val="2"/>
          </w:tcPr>
          <w:p w14:paraId="70AEA2B8" w14:textId="372C76AB" w:rsidR="00F869B9" w:rsidRDefault="00B17DFE">
            <w:pPr>
              <w:jc w:val="both"/>
              <w:rPr>
                <w:rFonts w:ascii="Book Antiqua" w:eastAsia="Book Antiqua" w:hAnsi="Book Antiqua" w:cs="Book Antiqua"/>
                <w:i/>
              </w:rPr>
            </w:pPr>
            <w:r>
              <w:rPr>
                <w:rFonts w:ascii="Book Antiqua" w:eastAsia="Book Antiqua" w:hAnsi="Book Antiqua" w:cs="Book Antiqua"/>
                <w:b/>
              </w:rPr>
              <w:t>Keyword</w:t>
            </w:r>
            <w:r>
              <w:rPr>
                <w:rFonts w:ascii="Book Antiqua" w:eastAsia="Book Antiqua" w:hAnsi="Book Antiqua" w:cs="Book Antiqua"/>
                <w:i/>
              </w:rPr>
              <w:t xml:space="preserve">: </w:t>
            </w:r>
            <w:r w:rsidR="007E4886" w:rsidRPr="007E4886">
              <w:rPr>
                <w:rFonts w:ascii="Book Antiqua" w:eastAsia="Book Antiqua" w:hAnsi="Book Antiqua" w:cs="Book Antiqua"/>
                <w:i/>
              </w:rPr>
              <w:t>Pandemic, Immigration, Passport, Service Quality</w:t>
            </w:r>
            <w:r>
              <w:rPr>
                <w:rFonts w:ascii="Book Antiqua" w:eastAsia="Book Antiqua" w:hAnsi="Book Antiqua" w:cs="Book Antiqua"/>
                <w:i/>
              </w:rPr>
              <w:t>.</w:t>
            </w:r>
          </w:p>
        </w:tc>
      </w:tr>
    </w:tbl>
    <w:p w14:paraId="412A7024" w14:textId="77777777" w:rsidR="00F869B9" w:rsidRDefault="00F869B9">
      <w:pPr>
        <w:spacing w:after="0" w:line="240" w:lineRule="auto"/>
        <w:jc w:val="center"/>
        <w:rPr>
          <w:rFonts w:ascii="Book Antiqua" w:eastAsia="Book Antiqua" w:hAnsi="Book Antiqua" w:cs="Book Antiqua"/>
          <w:b/>
          <w:sz w:val="24"/>
          <w:szCs w:val="24"/>
        </w:rPr>
      </w:pPr>
    </w:p>
    <w:p w14:paraId="141CF238" w14:textId="77777777" w:rsidR="00F869B9" w:rsidRDefault="00F869B9">
      <w:pPr>
        <w:spacing w:after="0" w:line="240" w:lineRule="auto"/>
        <w:jc w:val="both"/>
        <w:rPr>
          <w:rFonts w:ascii="Book Antiqua" w:eastAsia="Book Antiqua" w:hAnsi="Book Antiqua" w:cs="Book Antiqua"/>
          <w:i/>
          <w:sz w:val="24"/>
          <w:szCs w:val="24"/>
        </w:rPr>
        <w:sectPr w:rsidR="00F869B9">
          <w:footerReference w:type="even" r:id="rId11"/>
          <w:footerReference w:type="default" r:id="rId12"/>
          <w:pgSz w:w="12240" w:h="15840"/>
          <w:pgMar w:top="426" w:right="1041" w:bottom="992" w:left="1418" w:header="1151" w:footer="851" w:gutter="0"/>
          <w:pgNumType w:start="1"/>
          <w:cols w:space="720" w:equalWidth="0">
            <w:col w:w="9360"/>
          </w:cols>
        </w:sectPr>
      </w:pPr>
    </w:p>
    <w:p w14:paraId="79CEE6EA" w14:textId="3A27850A" w:rsidR="009F3049" w:rsidRPr="009F3049" w:rsidRDefault="009F3049" w:rsidP="009F3049">
      <w:pPr>
        <w:pStyle w:val="ListParagraph"/>
        <w:numPr>
          <w:ilvl w:val="0"/>
          <w:numId w:val="2"/>
        </w:numPr>
        <w:spacing w:after="0" w:line="240" w:lineRule="auto"/>
        <w:ind w:left="426"/>
        <w:jc w:val="both"/>
        <w:rPr>
          <w:rFonts w:ascii="Book Antiqua" w:eastAsia="Book Antiqua" w:hAnsi="Book Antiqua" w:cs="Book Antiqua"/>
          <w:b/>
          <w:color w:val="000000"/>
          <w:sz w:val="24"/>
          <w:szCs w:val="24"/>
        </w:rPr>
      </w:pPr>
      <w:r w:rsidRPr="009F3049">
        <w:rPr>
          <w:rFonts w:ascii="Book Antiqua" w:eastAsia="Book Antiqua" w:hAnsi="Book Antiqua" w:cs="Book Antiqua"/>
          <w:b/>
          <w:color w:val="000000"/>
          <w:sz w:val="24"/>
          <w:szCs w:val="24"/>
        </w:rPr>
        <w:t>INTRODUCTION</w:t>
      </w:r>
    </w:p>
    <w:p w14:paraId="2463C198" w14:textId="77777777" w:rsidR="007E4886" w:rsidRDefault="003255C6" w:rsidP="007E4886">
      <w:pPr>
        <w:spacing w:after="0" w:line="240" w:lineRule="auto"/>
        <w:ind w:firstLine="426"/>
        <w:jc w:val="both"/>
        <w:rPr>
          <w:rFonts w:ascii="Book Antiqua" w:eastAsia="Book Antiqua" w:hAnsi="Book Antiqua" w:cs="Book Antiqua"/>
          <w:sz w:val="24"/>
          <w:szCs w:val="24"/>
        </w:rPr>
      </w:pPr>
      <w:r w:rsidRPr="003255C6">
        <w:rPr>
          <w:rFonts w:ascii="Book Antiqua" w:eastAsia="Book Antiqua" w:hAnsi="Book Antiqua" w:cs="Book Antiqua"/>
          <w:sz w:val="24"/>
          <w:szCs w:val="24"/>
        </w:rPr>
        <w:t>The COVID-19 pandemic has affected many sectors of Indonesian society over the past few years. Since it was declared a national disaster on Monday, April 13, 2020 through Presidential Decree Number 12 of 2020 concerning the</w:t>
      </w:r>
      <w:r w:rsidR="009F3049">
        <w:rPr>
          <w:rFonts w:ascii="Book Antiqua" w:eastAsia="Book Antiqua" w:hAnsi="Book Antiqua" w:cs="Book Antiqua"/>
          <w:sz w:val="24"/>
          <w:szCs w:val="24"/>
        </w:rPr>
        <w:t xml:space="preserve"> </w:t>
      </w:r>
      <w:r w:rsidRPr="003255C6">
        <w:rPr>
          <w:rFonts w:ascii="Book Antiqua" w:eastAsia="Book Antiqua" w:hAnsi="Book Antiqua" w:cs="Book Antiqua"/>
          <w:sz w:val="24"/>
          <w:szCs w:val="24"/>
        </w:rPr>
        <w:t xml:space="preserve">Determination of the 2019 Coronavirus Disease (COVID-19) Non-Natural Disaster, the government has been very careful in determining a policy that has a broad impact on society. Various provisions and regulations are made in order to reduce the impact of the spread of </w:t>
      </w:r>
      <w:r w:rsidRPr="003255C6">
        <w:rPr>
          <w:rFonts w:ascii="Book Antiqua" w:eastAsia="Book Antiqua" w:hAnsi="Book Antiqua" w:cs="Book Antiqua"/>
          <w:sz w:val="24"/>
          <w:szCs w:val="24"/>
        </w:rPr>
        <w:t>COVID-19 including large-scale restrictions carried out both at the national level and at the provincial or district / city level. The aim is to suppress the spread and reduce the number of victims infected with this deadly virus.</w:t>
      </w:r>
    </w:p>
    <w:p w14:paraId="6C9A3599" w14:textId="77777777" w:rsidR="007E4886" w:rsidRDefault="003255C6" w:rsidP="007E4886">
      <w:pPr>
        <w:spacing w:after="0" w:line="240" w:lineRule="auto"/>
        <w:ind w:firstLine="426"/>
        <w:jc w:val="both"/>
        <w:rPr>
          <w:rFonts w:ascii="Book Antiqua" w:eastAsia="Book Antiqua" w:hAnsi="Book Antiqua" w:cs="Book Antiqua"/>
          <w:sz w:val="24"/>
          <w:szCs w:val="24"/>
        </w:rPr>
      </w:pPr>
      <w:r w:rsidRPr="003255C6">
        <w:rPr>
          <w:rFonts w:ascii="Book Antiqua" w:eastAsia="Book Antiqua" w:hAnsi="Book Antiqua" w:cs="Book Antiqua"/>
          <w:sz w:val="24"/>
          <w:szCs w:val="24"/>
        </w:rPr>
        <w:t xml:space="preserve">The COVID-19 pandemic has caused a decrease in mobility by citizens. This decrease has not only occurred within the country but also cross-border travel has also experienced the same thing. The closure of border gates by certain countries as part of preventive efforts to prevent the spread is </w:t>
      </w:r>
      <w:r w:rsidRPr="003255C6">
        <w:rPr>
          <w:rFonts w:ascii="Book Antiqua" w:eastAsia="Book Antiqua" w:hAnsi="Book Antiqua" w:cs="Book Antiqua"/>
          <w:sz w:val="24"/>
          <w:szCs w:val="24"/>
        </w:rPr>
        <w:lastRenderedPageBreak/>
        <w:t>one of the reasons. This decline will certainly affect many other sectors of life such as transportation and accommodation services. In the end, it will broadly affect both regional and national economic movements as people tend to be cautious in traveling across and between countries.</w:t>
      </w:r>
    </w:p>
    <w:p w14:paraId="6E94D821" w14:textId="77777777" w:rsidR="007E4886" w:rsidRDefault="003255C6" w:rsidP="007E4886">
      <w:pPr>
        <w:spacing w:after="0" w:line="240" w:lineRule="auto"/>
        <w:ind w:firstLine="426"/>
        <w:jc w:val="both"/>
        <w:rPr>
          <w:rFonts w:ascii="Book Antiqua" w:eastAsia="Book Antiqua" w:hAnsi="Book Antiqua" w:cs="Book Antiqua"/>
          <w:sz w:val="24"/>
          <w:szCs w:val="24"/>
        </w:rPr>
      </w:pPr>
      <w:r w:rsidRPr="003255C6">
        <w:rPr>
          <w:rFonts w:ascii="Book Antiqua" w:eastAsia="Book Antiqua" w:hAnsi="Book Antiqua" w:cs="Book Antiqua"/>
          <w:sz w:val="24"/>
          <w:szCs w:val="24"/>
        </w:rPr>
        <w:t>After more than 2 (two) years of grappling with the conditions of the COVID-19 pandemic, at the beginning of 2022 there was a very significant change with the lower level of spread and the wider national vaccination program launched by the government. This happened not only in Indonesia, but in general the conditions for handling the COVID-19 pandemic in various countries showed encouraging results. Economic movement has started to run, many countries have opened borders even with strict health protocols, various travel destinations with diverse purposes such as business and tourism have begun to develop. National and international events that allow crowds to occur have obtained approval for implementation but still with strict health protocols. This condition encourages the mobility of citizens to travel increasingly. Not only domestic travel but also travel between countries.</w:t>
      </w:r>
    </w:p>
    <w:p w14:paraId="08161DFB" w14:textId="0D9A7F3E" w:rsidR="007E4886" w:rsidRDefault="003255C6" w:rsidP="007E4886">
      <w:pPr>
        <w:spacing w:after="0" w:line="240" w:lineRule="auto"/>
        <w:ind w:firstLine="426"/>
        <w:jc w:val="both"/>
        <w:rPr>
          <w:rFonts w:ascii="Book Antiqua" w:eastAsia="Book Antiqua" w:hAnsi="Book Antiqua" w:cs="Book Antiqua"/>
          <w:sz w:val="24"/>
          <w:szCs w:val="24"/>
        </w:rPr>
      </w:pPr>
      <w:r w:rsidRPr="003255C6">
        <w:rPr>
          <w:rFonts w:ascii="Book Antiqua" w:eastAsia="Book Antiqua" w:hAnsi="Book Antiqua" w:cs="Book Antiqua"/>
          <w:sz w:val="24"/>
          <w:szCs w:val="24"/>
        </w:rPr>
        <w:t>The development of the mobility of people traveling between countries is closely related to the country's policy towards traveling in and out of its territory. Malaysia and Singapore only opened their borders and allowed foreigners to enter</w:t>
      </w:r>
      <w:r>
        <w:rPr>
          <w:rFonts w:ascii="Book Antiqua" w:eastAsia="Book Antiqua" w:hAnsi="Book Antiqua" w:cs="Book Antiqua"/>
          <w:sz w:val="24"/>
          <w:szCs w:val="24"/>
        </w:rPr>
        <w:t xml:space="preserve"> </w:t>
      </w:r>
      <w:r w:rsidRPr="003255C6">
        <w:rPr>
          <w:rFonts w:ascii="Book Antiqua" w:eastAsia="Book Antiqua" w:hAnsi="Book Antiqua" w:cs="Book Antiqua"/>
          <w:sz w:val="24"/>
          <w:szCs w:val="24"/>
        </w:rPr>
        <w:t xml:space="preserve">the country on April 1, 2022 </w:t>
      </w:r>
      <w:r w:rsidR="007E4886">
        <w:rPr>
          <w:rFonts w:ascii="Book Antiqua" w:eastAsia="Book Antiqua" w:hAnsi="Book Antiqua" w:cs="Book Antiqua"/>
          <w:sz w:val="24"/>
          <w:szCs w:val="24"/>
        </w:rPr>
        <w:fldChar w:fldCharType="begin" w:fldLock="1"/>
      </w:r>
      <w:r w:rsidR="007E4886">
        <w:rPr>
          <w:rFonts w:ascii="Book Antiqua" w:eastAsia="Book Antiqua" w:hAnsi="Book Antiqua" w:cs="Book Antiqua"/>
          <w:sz w:val="24"/>
          <w:szCs w:val="24"/>
        </w:rPr>
        <w:instrText>ADDIN CSL_CITATION {"citationItems":[{"id":"ITEM-1","itemData":{"URL":"https://www.tribunnews.com/internasional/2022/03/25/singapura-dan-malaysia-buka-perbatasan-darat-1-april-2022-wisatawan-tak-perlu-tes-covid-karantina","accessed":{"date-parts":[["2022","6","17"]]},"author":[{"dropping-particle":"","family":"Maliana","given":"Inza","non-dropping-particle":"","parse-names":false,"suffix":""}],"container-title":"Tribunnews.com","id":"ITEM-1","issued":{"date-parts":[["2022"]]},"title":"Singapura dan Malaysia Buka Perbatasan Darat 1 April 2022, Wisatawan Tidak Perlu Tes COVID dan Karantina","type":"webpage"},"uris":["http://www.mendeley.com/documents/?uuid=034a4bc4-8605-450a-b5c3-3996582ad6bd"]}],"mendeley":{"formattedCitation":"(Maliana, 2022)","plainTextFormattedCitation":"(Maliana, 2022)","previouslyFormattedCitation":"(Maliana, 2022)"},"properties":{"noteIndex":0},"schema":"https://github.com/citation-style-language/schema/raw/master/csl-citation.json"}</w:instrText>
      </w:r>
      <w:r w:rsidR="007E4886">
        <w:rPr>
          <w:rFonts w:ascii="Book Antiqua" w:eastAsia="Book Antiqua" w:hAnsi="Book Antiqua" w:cs="Book Antiqua"/>
          <w:sz w:val="24"/>
          <w:szCs w:val="24"/>
        </w:rPr>
        <w:fldChar w:fldCharType="separate"/>
      </w:r>
      <w:r w:rsidR="007E4886" w:rsidRPr="007E4886">
        <w:rPr>
          <w:rFonts w:ascii="Book Antiqua" w:eastAsia="Book Antiqua" w:hAnsi="Book Antiqua" w:cs="Book Antiqua"/>
          <w:noProof/>
          <w:sz w:val="24"/>
          <w:szCs w:val="24"/>
        </w:rPr>
        <w:t>(Maliana, 2022)</w:t>
      </w:r>
      <w:r w:rsidR="007E4886">
        <w:rPr>
          <w:rFonts w:ascii="Book Antiqua" w:eastAsia="Book Antiqua" w:hAnsi="Book Antiqua" w:cs="Book Antiqua"/>
          <w:sz w:val="24"/>
          <w:szCs w:val="24"/>
        </w:rPr>
        <w:fldChar w:fldCharType="end"/>
      </w:r>
      <w:r w:rsidRPr="003255C6">
        <w:rPr>
          <w:rFonts w:ascii="Book Antiqua" w:eastAsia="Book Antiqua" w:hAnsi="Book Antiqua" w:cs="Book Antiqua"/>
          <w:sz w:val="24"/>
          <w:szCs w:val="24"/>
        </w:rPr>
        <w:t>. Both countries previously only allowed their own citizens to enter their territory and restricted and tended to refuse foreign nationals to enter, especially citizens from countries with high transmission rates and conditions for the spread of COVID-19. Australia first opened its borders by reopening international flights to and from all states in Australia</w:t>
      </w:r>
      <w:r w:rsidR="007E4886">
        <w:rPr>
          <w:rFonts w:ascii="Book Antiqua" w:eastAsia="Book Antiqua" w:hAnsi="Book Antiqua" w:cs="Book Antiqua"/>
          <w:sz w:val="24"/>
          <w:szCs w:val="24"/>
        </w:rPr>
        <w:t xml:space="preserve"> </w:t>
      </w:r>
      <w:r w:rsidR="007E4886">
        <w:rPr>
          <w:rFonts w:ascii="Book Antiqua" w:eastAsia="Book Antiqua" w:hAnsi="Book Antiqua" w:cs="Book Antiqua"/>
          <w:sz w:val="24"/>
          <w:szCs w:val="24"/>
        </w:rPr>
        <w:fldChar w:fldCharType="begin" w:fldLock="1"/>
      </w:r>
      <w:r w:rsidR="0055739C">
        <w:rPr>
          <w:rFonts w:ascii="Book Antiqua" w:eastAsia="Book Antiqua" w:hAnsi="Book Antiqua" w:cs="Book Antiqua"/>
          <w:sz w:val="24"/>
          <w:szCs w:val="24"/>
        </w:rPr>
        <w:instrText>ADDIN CSL_CITATION {"citationItems":[{"id":"ITEM-1","itemData":{"URL":"https://www.republika.co.id/berita/r7nipw330/australia-sudah-buka-kembali-penerbangan-internasional#:~:text=REPUBLIKA.CO.ID%2C SYDNEY,internasional untuk mencegah virus corona.","accessed":{"date-parts":[["2022","6","17"]]},"author":[{"dropping-particle":"","family":"Hafizhah","given":"Haura","non-dropping-particle":"","parse-names":false,"suffix":""}],"container-title":"Republika.co.id","id":"ITEM-1","issued":{"date-parts":[["2022"]]},"title":"Australia Sudah Membuka Kembali Penerbangan Internasional","type":"webpage"},"uris":["http://www.mendeley.com/documents/?uuid=0d4e44bb-4e79-45be-b843-59ddcab2dc43"]}],"mendeley":{"formattedCitation":"(Hafizhah, 2022)","plainTextFormattedCitation":"(Hafizhah, 2022)","previouslyFormattedCitation":"(Hafizhah, 2022)"},"properties":{"noteIndex":0},"schema":"https://github.com/citation-style-language/schema/raw/master/csl-citation.json"}</w:instrText>
      </w:r>
      <w:r w:rsidR="007E4886">
        <w:rPr>
          <w:rFonts w:ascii="Book Antiqua" w:eastAsia="Book Antiqua" w:hAnsi="Book Antiqua" w:cs="Book Antiqua"/>
          <w:sz w:val="24"/>
          <w:szCs w:val="24"/>
        </w:rPr>
        <w:fldChar w:fldCharType="separate"/>
      </w:r>
      <w:r w:rsidR="007E4886" w:rsidRPr="007E4886">
        <w:rPr>
          <w:rFonts w:ascii="Book Antiqua" w:eastAsia="Book Antiqua" w:hAnsi="Book Antiqua" w:cs="Book Antiqua"/>
          <w:noProof/>
          <w:sz w:val="24"/>
          <w:szCs w:val="24"/>
        </w:rPr>
        <w:t>(Hafizhah, 2022)</w:t>
      </w:r>
      <w:r w:rsidR="007E4886">
        <w:rPr>
          <w:rFonts w:ascii="Book Antiqua" w:eastAsia="Book Antiqua" w:hAnsi="Book Antiqua" w:cs="Book Antiqua"/>
          <w:sz w:val="24"/>
          <w:szCs w:val="24"/>
        </w:rPr>
        <w:fldChar w:fldCharType="end"/>
      </w:r>
      <w:r w:rsidRPr="003255C6">
        <w:rPr>
          <w:rFonts w:ascii="Book Antiqua" w:eastAsia="Book Antiqua" w:hAnsi="Book Antiqua" w:cs="Book Antiqua"/>
          <w:sz w:val="24"/>
          <w:szCs w:val="24"/>
        </w:rPr>
        <w:t xml:space="preserve">. This was done </w:t>
      </w:r>
      <w:r w:rsidRPr="003255C6">
        <w:rPr>
          <w:rFonts w:ascii="Book Antiqua" w:eastAsia="Book Antiqua" w:hAnsi="Book Antiqua" w:cs="Book Antiqua"/>
          <w:sz w:val="24"/>
          <w:szCs w:val="24"/>
        </w:rPr>
        <w:t>after 2 (two) years of Australia establishing a very strict policy in order to prevent the spread of COVID-19 in the country.</w:t>
      </w:r>
    </w:p>
    <w:p w14:paraId="5B99ED72" w14:textId="5E9CB81A" w:rsidR="0055739C" w:rsidRDefault="003255C6" w:rsidP="0055739C">
      <w:pPr>
        <w:spacing w:after="0" w:line="240" w:lineRule="auto"/>
        <w:ind w:firstLine="426"/>
        <w:jc w:val="both"/>
        <w:rPr>
          <w:rFonts w:ascii="Book Antiqua" w:eastAsia="Book Antiqua" w:hAnsi="Book Antiqua" w:cs="Book Antiqua"/>
          <w:sz w:val="24"/>
          <w:szCs w:val="24"/>
        </w:rPr>
      </w:pPr>
      <w:r w:rsidRPr="003255C6">
        <w:rPr>
          <w:rFonts w:ascii="Book Antiqua" w:eastAsia="Book Antiqua" w:hAnsi="Book Antiqua" w:cs="Book Antiqua"/>
          <w:sz w:val="24"/>
          <w:szCs w:val="24"/>
        </w:rPr>
        <w:t>People who want to travel between countries need travel documents. Travel documents are official documents issued by authorized officials of a country, the United Nations, or other international organizations to carry out travel between countries that contain the identity of the owner</w:t>
      </w:r>
      <w:r w:rsidR="0055739C">
        <w:rPr>
          <w:rFonts w:ascii="Book Antiqua" w:eastAsia="Book Antiqua" w:hAnsi="Book Antiqua" w:cs="Book Antiqua"/>
          <w:sz w:val="24"/>
          <w:szCs w:val="24"/>
        </w:rPr>
        <w:t xml:space="preserve"> </w:t>
      </w:r>
      <w:r w:rsidR="0055739C">
        <w:rPr>
          <w:rFonts w:ascii="Book Antiqua" w:eastAsia="Book Antiqua" w:hAnsi="Book Antiqua" w:cs="Book Antiqua"/>
          <w:sz w:val="24"/>
          <w:szCs w:val="24"/>
        </w:rPr>
        <w:fldChar w:fldCharType="begin" w:fldLock="1"/>
      </w:r>
      <w:r w:rsidR="0055739C">
        <w:rPr>
          <w:rFonts w:ascii="Book Antiqua" w:eastAsia="Book Antiqua" w:hAnsi="Book Antiqua" w:cs="Book Antiqua"/>
          <w:sz w:val="24"/>
          <w:szCs w:val="24"/>
        </w:rPr>
        <w:instrText>ADDIN CSL_CITATION {"citationItems":[{"id":"ITEM-1","itemData":{"author":[{"dropping-particle":"","family":"Menteri Hukum dan Hak Asasi Manusia","given":"","non-dropping-particle":"","parse-names":false,"suffix":""}],"id":"ITEM-1","issued":{"date-parts":[["2011"]]},"title":"Undang-undang nomor 6 tahun 2011 tentang Keimigrasian","type":"bill"},"uris":["http://www.mendeley.com/documents/?uuid=2709095a-ae10-3fb9-b63c-0efa5109f649"]}],"mendeley":{"formattedCitation":"(&lt;i&gt;Undang-Undang Nomor 6 Tahun 2011 Tentang Keimigrasian&lt;/i&gt;, 2011b)","plainTextFormattedCitation":"(Undang-Undang Nomor 6 Tahun 2011 Tentang Keimigrasian, 2011b)","previouslyFormattedCitation":"(&lt;i&gt;Undang-Undang Nomor 6 Tahun 2011 Tentang Keimigrasian&lt;/i&gt;, 2011b)"},"properties":{"noteIndex":0},"schema":"https://github.com/citation-style-language/schema/raw/master/csl-citation.json"}</w:instrText>
      </w:r>
      <w:r w:rsidR="0055739C">
        <w:rPr>
          <w:rFonts w:ascii="Book Antiqua" w:eastAsia="Book Antiqua" w:hAnsi="Book Antiqua" w:cs="Book Antiqua"/>
          <w:sz w:val="24"/>
          <w:szCs w:val="24"/>
        </w:rPr>
        <w:fldChar w:fldCharType="separate"/>
      </w:r>
      <w:r w:rsidR="0055739C" w:rsidRPr="0055739C">
        <w:rPr>
          <w:rFonts w:ascii="Book Antiqua" w:eastAsia="Book Antiqua" w:hAnsi="Book Antiqua" w:cs="Book Antiqua"/>
          <w:noProof/>
          <w:sz w:val="24"/>
          <w:szCs w:val="24"/>
        </w:rPr>
        <w:t>(</w:t>
      </w:r>
      <w:r w:rsidR="0055739C" w:rsidRPr="0055739C">
        <w:rPr>
          <w:rFonts w:ascii="Book Antiqua" w:eastAsia="Book Antiqua" w:hAnsi="Book Antiqua" w:cs="Book Antiqua"/>
          <w:i/>
          <w:noProof/>
          <w:sz w:val="24"/>
          <w:szCs w:val="24"/>
        </w:rPr>
        <w:t>Undang-Undang Nomor 6 Tahun 2011 Tentang Keimigrasian</w:t>
      </w:r>
      <w:r w:rsidR="0055739C" w:rsidRPr="0055739C">
        <w:rPr>
          <w:rFonts w:ascii="Book Antiqua" w:eastAsia="Book Antiqua" w:hAnsi="Book Antiqua" w:cs="Book Antiqua"/>
          <w:noProof/>
          <w:sz w:val="24"/>
          <w:szCs w:val="24"/>
        </w:rPr>
        <w:t>, 2011b)</w:t>
      </w:r>
      <w:r w:rsidR="0055739C">
        <w:rPr>
          <w:rFonts w:ascii="Book Antiqua" w:eastAsia="Book Antiqua" w:hAnsi="Book Antiqua" w:cs="Book Antiqua"/>
          <w:sz w:val="24"/>
          <w:szCs w:val="24"/>
        </w:rPr>
        <w:fldChar w:fldCharType="end"/>
      </w:r>
      <w:r w:rsidRPr="003255C6">
        <w:rPr>
          <w:rFonts w:ascii="Book Antiqua" w:eastAsia="Book Antiqua" w:hAnsi="Book Antiqua" w:cs="Book Antiqua"/>
          <w:sz w:val="24"/>
          <w:szCs w:val="24"/>
        </w:rPr>
        <w:t>. In Indonesia, this travel document is better known as the Passport of the Republic of Indonesia or commonly referred to as a passport. Passports consist of Ordinary Passports issued by the Directorate General of Immigration as well as Diplomatic Passports and Service Passports issued by the Ministry of Foreign Affairs</w:t>
      </w:r>
      <w:r w:rsidR="0055739C">
        <w:rPr>
          <w:rFonts w:ascii="Book Antiqua" w:eastAsia="Book Antiqua" w:hAnsi="Book Antiqua" w:cs="Book Antiqua"/>
          <w:sz w:val="24"/>
          <w:szCs w:val="24"/>
        </w:rPr>
        <w:t xml:space="preserve"> </w:t>
      </w:r>
      <w:r w:rsidR="0055739C">
        <w:rPr>
          <w:rFonts w:ascii="Book Antiqua" w:eastAsia="Book Antiqua" w:hAnsi="Book Antiqua" w:cs="Book Antiqua"/>
          <w:sz w:val="24"/>
          <w:szCs w:val="24"/>
        </w:rPr>
        <w:fldChar w:fldCharType="begin" w:fldLock="1"/>
      </w:r>
      <w:r w:rsidR="0055739C">
        <w:rPr>
          <w:rFonts w:ascii="Book Antiqua" w:eastAsia="Book Antiqua" w:hAnsi="Book Antiqua" w:cs="Book Antiqua"/>
          <w:sz w:val="24"/>
          <w:szCs w:val="24"/>
        </w:rPr>
        <w:instrText>ADDIN CSL_CITATION {"citationItems":[{"id":"ITEM-1","itemData":{"author":[{"dropping-particle":"","family":"Kementerian Hukum dan Hak Asasi Manusia Republik Indonesia","given":"","non-dropping-particle":"","parse-names":false,"suffix":""}],"id":"ITEM-1","issued":{"date-parts":[["2011"]]},"title":"Undang-Undang Nomor 6 tahun 2011 tentang Keimigrasian","type":"bill"},"uris":["http://www.mendeley.com/documents/?uuid=b9dd4c7a-d0a9-3b67-973a-668e8180f685"]}],"mendeley":{"formattedCitation":"(&lt;i&gt;Undang-Undang Nomor 6 Tahun 2011 Tentang Keimigrasian&lt;/i&gt;, 2011a)","plainTextFormattedCitation":"(Undang-Undang Nomor 6 Tahun 2011 Tentang Keimigrasian, 2011a)","previouslyFormattedCitation":"(&lt;i&gt;Undang-Undang Nomor 6 Tahun 2011 Tentang Keimigrasian&lt;/i&gt;, 2011a)"},"properties":{"noteIndex":0},"schema":"https://github.com/citation-style-language/schema/raw/master/csl-citation.json"}</w:instrText>
      </w:r>
      <w:r w:rsidR="0055739C">
        <w:rPr>
          <w:rFonts w:ascii="Book Antiqua" w:eastAsia="Book Antiqua" w:hAnsi="Book Antiqua" w:cs="Book Antiqua"/>
          <w:sz w:val="24"/>
          <w:szCs w:val="24"/>
        </w:rPr>
        <w:fldChar w:fldCharType="separate"/>
      </w:r>
      <w:r w:rsidR="0055739C" w:rsidRPr="0055739C">
        <w:rPr>
          <w:rFonts w:ascii="Book Antiqua" w:eastAsia="Book Antiqua" w:hAnsi="Book Antiqua" w:cs="Book Antiqua"/>
          <w:noProof/>
          <w:sz w:val="24"/>
          <w:szCs w:val="24"/>
        </w:rPr>
        <w:t>(</w:t>
      </w:r>
      <w:r w:rsidR="0055739C" w:rsidRPr="0055739C">
        <w:rPr>
          <w:rFonts w:ascii="Book Antiqua" w:eastAsia="Book Antiqua" w:hAnsi="Book Antiqua" w:cs="Book Antiqua"/>
          <w:i/>
          <w:noProof/>
          <w:sz w:val="24"/>
          <w:szCs w:val="24"/>
        </w:rPr>
        <w:t>Undang-Undang Nomor 6 Tahun 2011 Tentang Keimigrasian</w:t>
      </w:r>
      <w:r w:rsidR="0055739C" w:rsidRPr="0055739C">
        <w:rPr>
          <w:rFonts w:ascii="Book Antiqua" w:eastAsia="Book Antiqua" w:hAnsi="Book Antiqua" w:cs="Book Antiqua"/>
          <w:noProof/>
          <w:sz w:val="24"/>
          <w:szCs w:val="24"/>
        </w:rPr>
        <w:t>, 2011a)</w:t>
      </w:r>
      <w:r w:rsidR="0055739C">
        <w:rPr>
          <w:rFonts w:ascii="Book Antiqua" w:eastAsia="Book Antiqua" w:hAnsi="Book Antiqua" w:cs="Book Antiqua"/>
          <w:sz w:val="24"/>
          <w:szCs w:val="24"/>
        </w:rPr>
        <w:fldChar w:fldCharType="end"/>
      </w:r>
      <w:r w:rsidRPr="003255C6">
        <w:rPr>
          <w:rFonts w:ascii="Book Antiqua" w:eastAsia="Book Antiqua" w:hAnsi="Book Antiqua" w:cs="Book Antiqua"/>
          <w:sz w:val="24"/>
          <w:szCs w:val="24"/>
        </w:rPr>
        <w:t>.</w:t>
      </w:r>
    </w:p>
    <w:p w14:paraId="1DCC866D" w14:textId="545FA143" w:rsidR="0055739C" w:rsidRDefault="003255C6" w:rsidP="0055739C">
      <w:pPr>
        <w:spacing w:after="0" w:line="240" w:lineRule="auto"/>
        <w:ind w:firstLine="426"/>
        <w:jc w:val="both"/>
        <w:rPr>
          <w:rFonts w:ascii="Book Antiqua" w:eastAsia="Book Antiqua" w:hAnsi="Book Antiqua" w:cs="Book Antiqua"/>
          <w:sz w:val="24"/>
          <w:szCs w:val="24"/>
        </w:rPr>
      </w:pPr>
      <w:r w:rsidRPr="003255C6">
        <w:rPr>
          <w:rFonts w:ascii="Book Antiqua" w:eastAsia="Book Antiqua" w:hAnsi="Book Antiqua" w:cs="Book Antiqua"/>
          <w:sz w:val="24"/>
          <w:szCs w:val="24"/>
        </w:rPr>
        <w:t>Ordinary passports are the type of travel document most widely used by the public to travel between countries. Ordinary passports are obtained from applications both manually and electronically through the Immigration Office or representatives of the Republic of Indonesia abroad</w:t>
      </w:r>
      <w:r w:rsidR="0055739C">
        <w:rPr>
          <w:rFonts w:ascii="Book Antiqua" w:eastAsia="Book Antiqua" w:hAnsi="Book Antiqua" w:cs="Book Antiqua"/>
          <w:sz w:val="24"/>
          <w:szCs w:val="24"/>
        </w:rPr>
        <w:t xml:space="preserve"> </w:t>
      </w:r>
      <w:r w:rsidR="0055739C">
        <w:rPr>
          <w:rFonts w:ascii="Book Antiqua" w:eastAsia="Book Antiqua" w:hAnsi="Book Antiqua" w:cs="Book Antiqua"/>
          <w:sz w:val="24"/>
          <w:szCs w:val="24"/>
        </w:rPr>
        <w:fldChar w:fldCharType="begin" w:fldLock="1"/>
      </w:r>
      <w:r w:rsidR="0055739C">
        <w:rPr>
          <w:rFonts w:ascii="Book Antiqua" w:eastAsia="Book Antiqua" w:hAnsi="Book Antiqua" w:cs="Book Antiqua"/>
          <w:sz w:val="24"/>
          <w:szCs w:val="24"/>
        </w:rPr>
        <w:instrText>ADDIN CSL_CITATION {"citationItems":[{"id":"ITEM-1","itemData":{"author":[{"dropping-particle":"","family":"Menteri Hukum dan Hak Asasi Manusia republik Indonesia","given":"","non-dropping-particle":"","parse-names":false,"suffix":""}],"id":"ITEM-1","issued":{"date-parts":[["2014"]]},"publisher":"Peraturan Menteri Hukum dan Hak Asasi Manusia Republik Indonesia","title":"Peraturan Menteri Hukum dan Hak Asasi Manusia Nomor 8 Tahun 2014 tentang Paspor Biasa dan Surat Perjalanan Laksana Paspor","type":"bill"},"uris":["http://www.mendeley.com/documents/?uuid=553b195f-dd31-4485-83e0-dd46311ee230"]}],"mendeley":{"formattedCitation":"(&lt;i&gt;Peraturan Menteri Hukum Dan Hak Asasi Manusia Nomor 8 Tahun 2014 Tentang Paspor Biasa Dan Surat Perjalanan Laksana Paspor&lt;/i&gt;, 2014)","plainTextFormattedCitation":"(Peraturan Menteri Hukum Dan Hak Asasi Manusia Nomor 8 Tahun 2014 Tentang Paspor Biasa Dan Surat Perjalanan Laksana Paspor, 2014)","previouslyFormattedCitation":"(&lt;i&gt;Peraturan Menteri Hukum Dan Hak Asasi Manusia Nomor 8 Tahun 2014 Tentang Paspor Biasa Dan Surat Perjalanan Laksana Paspor&lt;/i&gt;, 2014)"},"properties":{"noteIndex":0},"schema":"https://github.com/citation-style-language/schema/raw/master/csl-citation.json"}</w:instrText>
      </w:r>
      <w:r w:rsidR="0055739C">
        <w:rPr>
          <w:rFonts w:ascii="Book Antiqua" w:eastAsia="Book Antiqua" w:hAnsi="Book Antiqua" w:cs="Book Antiqua"/>
          <w:sz w:val="24"/>
          <w:szCs w:val="24"/>
        </w:rPr>
        <w:fldChar w:fldCharType="separate"/>
      </w:r>
      <w:r w:rsidR="0055739C" w:rsidRPr="0055739C">
        <w:rPr>
          <w:rFonts w:ascii="Book Antiqua" w:eastAsia="Book Antiqua" w:hAnsi="Book Antiqua" w:cs="Book Antiqua"/>
          <w:noProof/>
          <w:sz w:val="24"/>
          <w:szCs w:val="24"/>
        </w:rPr>
        <w:t>(</w:t>
      </w:r>
      <w:r w:rsidR="0055739C" w:rsidRPr="0055739C">
        <w:rPr>
          <w:rFonts w:ascii="Book Antiqua" w:eastAsia="Book Antiqua" w:hAnsi="Book Antiqua" w:cs="Book Antiqua"/>
          <w:i/>
          <w:noProof/>
          <w:sz w:val="24"/>
          <w:szCs w:val="24"/>
        </w:rPr>
        <w:t>Peraturan Menteri Hukum Dan Hak Asasi Manusia Nomor 8 Tahun 2014 Tentang Paspor Biasa Dan Surat Perjalanan Laksana Paspor</w:t>
      </w:r>
      <w:r w:rsidR="0055739C" w:rsidRPr="0055739C">
        <w:rPr>
          <w:rFonts w:ascii="Book Antiqua" w:eastAsia="Book Antiqua" w:hAnsi="Book Antiqua" w:cs="Book Antiqua"/>
          <w:noProof/>
          <w:sz w:val="24"/>
          <w:szCs w:val="24"/>
        </w:rPr>
        <w:t>, 2014)</w:t>
      </w:r>
      <w:r w:rsidR="0055739C">
        <w:rPr>
          <w:rFonts w:ascii="Book Antiqua" w:eastAsia="Book Antiqua" w:hAnsi="Book Antiqua" w:cs="Book Antiqua"/>
          <w:sz w:val="24"/>
          <w:szCs w:val="24"/>
        </w:rPr>
        <w:fldChar w:fldCharType="end"/>
      </w:r>
      <w:r w:rsidRPr="003255C6">
        <w:rPr>
          <w:rFonts w:ascii="Book Antiqua" w:eastAsia="Book Antiqua" w:hAnsi="Book Antiqua" w:cs="Book Antiqua"/>
          <w:sz w:val="24"/>
          <w:szCs w:val="24"/>
        </w:rPr>
        <w:t>. Requirements for passport applications generally consist of e-KTP, Family Card, Birth Certificate / Marriage Certificate / Diploma / baptism letter, and other requirements in accordance with statutory provisions. Passports issued by the Directorate General of Immigration have a validity period of 5 (five) years and can be submitted for replacement at least 6 (six) months before the validity period expires. Submitting a passport application currently uses an application called M-Passport which is a development of the Online Passport Queue Application (APAPO).</w:t>
      </w:r>
    </w:p>
    <w:p w14:paraId="324A109C" w14:textId="77777777" w:rsidR="0055739C" w:rsidRDefault="003255C6" w:rsidP="0055739C">
      <w:pPr>
        <w:spacing w:after="0" w:line="240" w:lineRule="auto"/>
        <w:ind w:firstLine="426"/>
        <w:jc w:val="both"/>
        <w:rPr>
          <w:rFonts w:ascii="Book Antiqua" w:eastAsia="Book Antiqua" w:hAnsi="Book Antiqua" w:cs="Book Antiqua"/>
          <w:sz w:val="24"/>
          <w:szCs w:val="24"/>
        </w:rPr>
      </w:pPr>
      <w:r w:rsidRPr="003255C6">
        <w:rPr>
          <w:rFonts w:ascii="Book Antiqua" w:eastAsia="Book Antiqua" w:hAnsi="Book Antiqua" w:cs="Book Antiqua"/>
          <w:sz w:val="24"/>
          <w:szCs w:val="24"/>
        </w:rPr>
        <w:lastRenderedPageBreak/>
        <w:t xml:space="preserve">Immigration Office Class I </w:t>
      </w:r>
      <w:r w:rsidR="007E4886">
        <w:rPr>
          <w:rFonts w:ascii="Book Antiqua" w:eastAsia="Book Antiqua" w:hAnsi="Book Antiqua" w:cs="Book Antiqua"/>
          <w:sz w:val="24"/>
          <w:szCs w:val="24"/>
        </w:rPr>
        <w:t>Non-Checkpoint</w:t>
      </w:r>
      <w:r w:rsidRPr="003255C6">
        <w:rPr>
          <w:rFonts w:ascii="Book Antiqua" w:eastAsia="Book Antiqua" w:hAnsi="Book Antiqua" w:cs="Book Antiqua"/>
          <w:sz w:val="24"/>
          <w:szCs w:val="24"/>
        </w:rPr>
        <w:t xml:space="preserve"> Pati is one of the Immigration Technical Implementation Units in Central Java Province. Immigration Office Class I </w:t>
      </w:r>
      <w:r w:rsidR="007E4886">
        <w:rPr>
          <w:rFonts w:ascii="Book Antiqua" w:eastAsia="Book Antiqua" w:hAnsi="Book Antiqua" w:cs="Book Antiqua"/>
          <w:sz w:val="24"/>
          <w:szCs w:val="24"/>
        </w:rPr>
        <w:t>Non-Checkpoint</w:t>
      </w:r>
      <w:r w:rsidRPr="003255C6">
        <w:rPr>
          <w:rFonts w:ascii="Book Antiqua" w:eastAsia="Book Antiqua" w:hAnsi="Book Antiqua" w:cs="Book Antiqua"/>
          <w:sz w:val="24"/>
          <w:szCs w:val="24"/>
        </w:rPr>
        <w:t xml:space="preserve"> Pati oversees 4 (four) working areas namely Pati Regency, Rembang Regency, Blora Regency and Jepara Regency. In relation to passport applications for Indonesian citizens, applicants can come from any region and the application process is not based on domicile. Fulfillment of the application requirements is the main thing as well as suitability for the purpose and purpose of the passport application made. Because it is located in a very religious area but developing socio-economic conditions, the purpose of applying for a passport at the Immigration Office Class I </w:t>
      </w:r>
      <w:r w:rsidR="007E4886">
        <w:rPr>
          <w:rFonts w:ascii="Book Antiqua" w:eastAsia="Book Antiqua" w:hAnsi="Book Antiqua" w:cs="Book Antiqua"/>
          <w:sz w:val="24"/>
          <w:szCs w:val="24"/>
        </w:rPr>
        <w:t>Non-Checkpoint</w:t>
      </w:r>
      <w:r w:rsidRPr="003255C6">
        <w:rPr>
          <w:rFonts w:ascii="Book Antiqua" w:eastAsia="Book Antiqua" w:hAnsi="Book Antiqua" w:cs="Book Antiqua"/>
          <w:sz w:val="24"/>
          <w:szCs w:val="24"/>
        </w:rPr>
        <w:t xml:space="preserve"> Pati varies, among others, in order to carry out Umrah or Hajj worship, work, study, travel or even medical treatment abroad.</w:t>
      </w:r>
    </w:p>
    <w:p w14:paraId="2E98EDCA" w14:textId="6C74E969" w:rsidR="00F869B9" w:rsidRDefault="003255C6" w:rsidP="0055739C">
      <w:pPr>
        <w:spacing w:after="0" w:line="240" w:lineRule="auto"/>
        <w:ind w:firstLine="426"/>
        <w:jc w:val="both"/>
        <w:rPr>
          <w:rFonts w:ascii="Book Antiqua" w:eastAsia="Book Antiqua" w:hAnsi="Book Antiqua" w:cs="Book Antiqua"/>
          <w:sz w:val="24"/>
          <w:szCs w:val="24"/>
        </w:rPr>
      </w:pPr>
      <w:r w:rsidRPr="003255C6">
        <w:rPr>
          <w:rFonts w:ascii="Book Antiqua" w:eastAsia="Book Antiqua" w:hAnsi="Book Antiqua" w:cs="Book Antiqua"/>
          <w:sz w:val="24"/>
          <w:szCs w:val="24"/>
        </w:rPr>
        <w:t>The COVID-19 pandemic has made the government in general provide restrictions on public services, including passport application services. This is reasonable because the services provided require direct interaction between passport applicants and Immigration officers. On several occasions, passport applications are only served for applicants with urgent and unforeseeable purposes. Of course, such restrictions lead to different perceptions of urgency for each passport applicant. These restrictions led to a decline in applications for passport services. Therefore, it is interesting to discuss when the government began to relax domestic and foreign travel, what effect was obtained by the Immigration Office as the institution responsible for issuing passports. The passport not only functions as a travel document abroad but also attaches state responsibility in the context of protecting its citizens abroad so that supervision by the government is a very possible thing to do</w:t>
      </w:r>
      <w:r w:rsidR="0055739C">
        <w:rPr>
          <w:rFonts w:ascii="Book Antiqua" w:eastAsia="Book Antiqua" w:hAnsi="Book Antiqua" w:cs="Book Antiqua"/>
          <w:sz w:val="24"/>
          <w:szCs w:val="24"/>
        </w:rPr>
        <w:t xml:space="preserve"> </w:t>
      </w:r>
      <w:r w:rsidR="0055739C">
        <w:rPr>
          <w:rFonts w:ascii="Book Antiqua" w:eastAsia="Book Antiqua" w:hAnsi="Book Antiqua" w:cs="Book Antiqua"/>
          <w:sz w:val="24"/>
          <w:szCs w:val="24"/>
        </w:rPr>
        <w:fldChar w:fldCharType="begin" w:fldLock="1"/>
      </w:r>
      <w:r w:rsidR="0055739C">
        <w:rPr>
          <w:rFonts w:ascii="Book Antiqua" w:eastAsia="Book Antiqua" w:hAnsi="Book Antiqua" w:cs="Book Antiqua"/>
          <w:sz w:val="24"/>
          <w:szCs w:val="24"/>
        </w:rPr>
        <w:instrText>ADDIN CSL_CITATION {"citationItems":[{"id":"ITEM-1","itemData":{"DOI":"10.30641/kebijakan.2019.v13.51-68","ISSN":"1978-2292","abstract":"Pelayanan paspor merupakan salah satu inti pelayanan Direktorat Jenderal Imigrasi yang diamanatkan oleh Undang-Undang Keimigrasian. Perkembangan dan dinamika pelayanan paspor, menuntut adanya perubahan secara parsial terhadap dasar hukum peraturan teknis mengenai paspor. Pelatihan mengenai paspor menumbuhkan pertanyaan yang menunjukkan urgensi pembaharuan peraturan teknis tersebut. Tujuan penelitian adalah untuk mengetahui bagaimana berbagai perkembangan tersebut belum ditunjang oleh dasar hukum pelaksanaannya sehingga perlu dilakukan pembaharuan hukum peraturan teknisnya secara parsial dengan melakukan inovasi pembentukan hukum. Dengan menggunakan metode preskriptif secara kualitatif, konstruksi hermeneutik dilakukan menggunakan interpretasi teks peraturan teknis mengenai paspor dan implementasinya secara nyata. Tulisan ini memaparkan hasil dialektika yang kaya mengenai inovasi, isu aktual yang berkembang dan mekanisme pelaksanaan pelayanan paspor berdasarkan pengalaman dan interaksi antar peserta pelatihan. Sehingga pembaharuan peraturan teknis tidak hanya menjadi suatu urgensi melainkan juga mengakomodir kebutuhan pelayanan paspor yang sangat dinamis. Maka saran yang diberikan adalah sinkronisasi antara pelaksanaan secara kesisteman dengan aturan tertulis melalui revisi peraturan teknis secara inovatif dengan mengikutsertakan ide-ide unggul dari berbagai wilayah kantor imigrasi dalam proses pembaharuan peraturan teknis mengenai paspor. ","author":[{"dropping-particle":"","family":"Abdullah","given":"Reza Riansyah","non-dropping-particle":"","parse-names":false,"suffix":""}],"container-title":"Jurnal Ilmiah Kebijakan Hukum","id":"ITEM-1","issue":"1","issued":{"date-parts":[["2019"]]},"page":"51","title":"Urgensi dan Inovasi dalam Pembaharuan Peraturan Teknis mengenai Paspor Biasa","type":"article-journal","volume":"13"},"uris":["http://www.mendeley.com/documents/?uuid=be6c8f83-7c2a-4b4b-8be5-434a41a29716"]}],"mendeley":{"formattedCitation":"(Abdullah, 2019)","plainTextFormattedCitation":"(Abdullah, 2019)","previouslyFormattedCitation":"(Abdullah, 2019)"},"properties":{"noteIndex":0},"schema":"https://github.com/citation-style-language/schema/raw/master/csl-citation.json"}</w:instrText>
      </w:r>
      <w:r w:rsidR="0055739C">
        <w:rPr>
          <w:rFonts w:ascii="Book Antiqua" w:eastAsia="Book Antiqua" w:hAnsi="Book Antiqua" w:cs="Book Antiqua"/>
          <w:sz w:val="24"/>
          <w:szCs w:val="24"/>
        </w:rPr>
        <w:fldChar w:fldCharType="separate"/>
      </w:r>
      <w:r w:rsidR="0055739C" w:rsidRPr="0055739C">
        <w:rPr>
          <w:rFonts w:ascii="Book Antiqua" w:eastAsia="Book Antiqua" w:hAnsi="Book Antiqua" w:cs="Book Antiqua"/>
          <w:noProof/>
          <w:sz w:val="24"/>
          <w:szCs w:val="24"/>
        </w:rPr>
        <w:t>(Abdullah, 2019)</w:t>
      </w:r>
      <w:r w:rsidR="0055739C">
        <w:rPr>
          <w:rFonts w:ascii="Book Antiqua" w:eastAsia="Book Antiqua" w:hAnsi="Book Antiqua" w:cs="Book Antiqua"/>
          <w:sz w:val="24"/>
          <w:szCs w:val="24"/>
        </w:rPr>
        <w:fldChar w:fldCharType="end"/>
      </w:r>
      <w:r w:rsidRPr="003255C6">
        <w:rPr>
          <w:rFonts w:ascii="Book Antiqua" w:eastAsia="Book Antiqua" w:hAnsi="Book Antiqua" w:cs="Book Antiqua"/>
          <w:sz w:val="24"/>
          <w:szCs w:val="24"/>
        </w:rPr>
        <w:t>.</w:t>
      </w:r>
    </w:p>
    <w:p w14:paraId="3BE73872" w14:textId="4CDF8595" w:rsidR="00F869B9" w:rsidRDefault="00B17DFE" w:rsidP="009F3049">
      <w:pPr>
        <w:pStyle w:val="ListParagraph"/>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sidRPr="009F3049">
        <w:rPr>
          <w:rFonts w:ascii="Book Antiqua" w:eastAsia="Book Antiqua" w:hAnsi="Book Antiqua" w:cs="Book Antiqua"/>
          <w:b/>
          <w:color w:val="000000"/>
          <w:sz w:val="24"/>
          <w:szCs w:val="24"/>
        </w:rPr>
        <w:t>LITERATUR</w:t>
      </w:r>
      <w:r w:rsidR="009F3049" w:rsidRPr="009F3049">
        <w:rPr>
          <w:rFonts w:ascii="Book Antiqua" w:eastAsia="Book Antiqua" w:hAnsi="Book Antiqua" w:cs="Book Antiqua"/>
          <w:b/>
          <w:color w:val="000000"/>
          <w:sz w:val="24"/>
          <w:szCs w:val="24"/>
        </w:rPr>
        <w:t>E REVIEW</w:t>
      </w:r>
    </w:p>
    <w:p w14:paraId="3D5A6B7C" w14:textId="1A550B7F" w:rsidR="0055739C" w:rsidRDefault="009F3049" w:rsidP="0055739C">
      <w:pPr>
        <w:pBdr>
          <w:top w:val="nil"/>
          <w:left w:val="nil"/>
          <w:bottom w:val="nil"/>
          <w:right w:val="nil"/>
          <w:between w:val="nil"/>
        </w:pBdr>
        <w:spacing w:after="0" w:line="240" w:lineRule="auto"/>
        <w:ind w:left="66" w:firstLine="360"/>
        <w:jc w:val="both"/>
        <w:rPr>
          <w:rFonts w:ascii="Book Antiqua" w:eastAsia="Book Antiqua" w:hAnsi="Book Antiqua" w:cs="Book Antiqua"/>
          <w:bCs/>
          <w:color w:val="000000"/>
          <w:sz w:val="24"/>
          <w:szCs w:val="24"/>
        </w:rPr>
      </w:pPr>
      <w:r w:rsidRPr="007E4886">
        <w:rPr>
          <w:rFonts w:ascii="Book Antiqua" w:eastAsia="Book Antiqua" w:hAnsi="Book Antiqua" w:cs="Book Antiqua"/>
          <w:bCs/>
          <w:color w:val="000000"/>
          <w:sz w:val="24"/>
          <w:szCs w:val="24"/>
        </w:rPr>
        <w:t>The restrictions imposed by the Government of the Republic of Indonesia for Indonesian citizens and foreigners to travel in and out of Indonesia affect many sectors of life. The government must consider the long-term socio-political effects obtained in the context of managing its borders, especially with regard to handling during the COVID-19 pandemic</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{"citationItems":[{"id":"ITEM-1","itemData":{"DOI":"10.1016/j.socscimed.2021.114111","ISSN":"18735347","PMID":"34147919","abstract":"Rationale: International border controls were among the earliest and most effective of measures to constrain transmission of COVID-19. However, such measures are complex when established borders are open yet politically contested, as for the border that divides the Republic of Ireland (ROI) from Northern Ireland (NI). Understanding how this border affected the everyday lives of both populations during the pandemic is important for informing the continued development of effective responses to COVID-19 and future health crises. Objective: This multi-methods study aimed to explore public perspectives on how the ROI-NI border affected experiences of and responses to the ‘first wave’ of the pandemic. Method: The study collated data from focus groups (n = 8), news articles (n = 967), and Twitter posts (n = 356) on the island of Ireland, which mentioned the ROI-NI border in relation to COVID-19. Thematic analysis was used to explore the range of perspectives on the role played by the border during the early months of the pandemic. Results: Analysis identified three themes: Cross-Border Interdependencies illustrated the complexity and challenges of living near the border; Interpretations of Cross-Border Policy Disparities showed that lay publics perceived NI and ROI policy approaches as discordant and politicised; and Responses to Cross-Border Policy Disparities revealed alternating calls to either strengthen border controls, or pursue a unified all-island approach. Conclusions: Results reveal clear public appetite for greater synchronisation of cross-border pandemic responses, emphasise the specific vulnerability of communities living near the border, and highlight the risk of long-term socio-political repercussions of border management decisions taken during the pandemic. Findings will inform implementation of pandemic responses and public health policies in jurisdictions that share a porous land border.","author":[{"dropping-particle":"","family":"O'Connor","given":"Cliodhna","non-dropping-particle":"","parse-names":false,"suffix":""},{"dropping-particle":"","family":"O'Connell","given":"Nicola","non-dropping-particle":"","parse-names":false,"suffix":""},{"dropping-particle":"","family":"Burke","given":"Emma","non-dropping-particle":"","parse-names":false,"suffix":""},{"dropping-particle":"","family":"Dempster","given":"Martin","non-dropping-particle":"","parse-names":false,"suffix":""},{"dropping-particle":"","family":"Graham","given":"Christopher D.","non-dropping-particle":"","parse-names":false,"suffix":""},{"dropping-particle":"","family":"Scally","given":"Gabriel","non-dropping-particle":"","parse-names":false,"suffix":""},{"dropping-particle":"","family":"Zgaga","given":"Lina","non-dropping-particle":"","parse-names":false,"suffix":""},{"dropping-particle":"","family":"Nolan","given":"Ann","non-dropping-particle":"","parse-names":false,"suffix":""},{"dropping-particle":"","family":"Nicolson","given":"Gail","non-dropping-particle":"","parse-names":false,"suffix":""},{"dropping-particle":"","family":"Mather","given":"Luke","non-dropping-particle":"","parse-names":false,"suffix":""},{"dropping-particle":"","family":"Barry","given":"Joseph","non-dropping-particle":"","parse-names":false,"suffix":""},{"dropping-particle":"","family":"Crowley","given":"Philip","non-dropping-particle":"","parse-names":false,"suffix":""},{"dropping-particle":"","family":"Darker","given":"Catherine D.","non-dropping-particle":"","parse-names":false,"suffix":""}],"container-title":"Social Science and Medicine","id":"ITEM-1","issue":"June","issued":{"date-parts":[["2021"]]},"page":"114111","publisher":"Elsevier Ltd","title":"Bordering on crisis: A qualitative analysis of focus group, social media, and news media perspectives on the Republic of Ireland-Northern Ireland border during the ‘first wave’ of the COVID-19 pandemic","type":"article-journal","volume":"282"},"uris":["http://www.mendeley.com/documents/?uuid=b6ea3518-ea6b-4445-beee-76ca5821b2a4"]}],"mendeley":{"formattedCitation":"(O’Connor et al., 2021)","plainTextFormattedCitation":"(O’Connor et al., 2021)","previouslyFormattedCitation":"(O’Connor et al., 2021)"},"properties":{"noteIndex":0},"schema":"https://github.com/citation-style-language/schema/raw/master/csl-citation.json"}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(O’Connor et al., 2021)</w:t>
      </w:r>
      <w:r w:rsidR="0055739C">
        <w:rPr>
          <w:rFonts w:ascii="Book Antiqua" w:eastAsia="Book Antiqua" w:hAnsi="Book Antiqua" w:cs="Book Antiqua"/>
          <w:bCs/>
          <w:color w:val="000000"/>
          <w:sz w:val="24"/>
          <w:szCs w:val="24"/>
        </w:rPr>
        <w:fldChar w:fldCharType="end"/>
      </w:r>
      <w:r w:rsidRPr="007E4886">
        <w:rPr>
          <w:rFonts w:ascii="Book Antiqua" w:eastAsia="Book Antiqua" w:hAnsi="Book Antiqua" w:cs="Book Antiqua"/>
          <w:bCs/>
          <w:color w:val="000000"/>
          <w:sz w:val="24"/>
          <w:szCs w:val="24"/>
        </w:rPr>
        <w:t>. This of course also affects the targets and achievements of several state institutions that have been set previously. The government through the Ministry of Investment / BKPM targets an increase in state revenue from the tourism sector of 30 billion dollars and an increase in tourist travelers to 400 million tourists by 2024</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{"citationItems":[{"id":"ITEM-1","itemData":{"author":[{"dropping-particle":"","family":"Lahadalia","given":"H.E. Bahlil","non-dropping-particle":"","parse-names":false,"suffix":""}],"edition":"I","id":"ITEM-1","issued":{"date-parts":[["2021"]]},"number-of-pages":"11","publisher":"Kementerian Investtasi/ BKPM","publisher-place":"Jakarta, Indonesia","title":"Indonesia Investment","type":"book"},"uris":["http://www.mendeley.com/documents/?uuid=e21e2d95-a938-422d-be33-134df9119c22"]}],"mendeley":{"formattedCitation":"(Lahadalia, 2021)","plainTextFormattedCitation":"(Lahadalia, 2021)","previouslyFormattedCitation":"(Lahadalia, 2021)"},"properties":{"noteIndex":0},"schema":"https://github.com/citation-style-language/schema/raw/master/csl-citation.json"}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(Lahadalia, 2021)</w:t>
      </w:r>
      <w:r w:rsidR="0055739C">
        <w:rPr>
          <w:rFonts w:ascii="Book Antiqua" w:eastAsia="Book Antiqua" w:hAnsi="Book Antiqua" w:cs="Book Antiqua"/>
          <w:bCs/>
          <w:color w:val="000000"/>
          <w:sz w:val="24"/>
          <w:szCs w:val="24"/>
        </w:rPr>
        <w:fldChar w:fldCharType="end"/>
      </w:r>
      <w:r w:rsidRPr="007E4886">
        <w:rPr>
          <w:rFonts w:ascii="Book Antiqua" w:eastAsia="Book Antiqua" w:hAnsi="Book Antiqua" w:cs="Book Antiqua"/>
          <w:bCs/>
          <w:color w:val="000000"/>
          <w:sz w:val="24"/>
          <w:szCs w:val="24"/>
        </w:rPr>
        <w:t>. In addition, pandemic conditions affect economic movements globally because many countries are affected economically and financially.</w:t>
      </w:r>
    </w:p>
    <w:p w14:paraId="11C8CC33" w14:textId="0F3DBF7F" w:rsidR="0055739C" w:rsidRDefault="009F3049" w:rsidP="0055739C">
      <w:pPr>
        <w:pBdr>
          <w:top w:val="nil"/>
          <w:left w:val="nil"/>
          <w:bottom w:val="nil"/>
          <w:right w:val="nil"/>
          <w:between w:val="nil"/>
        </w:pBdr>
        <w:spacing w:after="0" w:line="240" w:lineRule="auto"/>
        <w:ind w:left="66" w:firstLine="360"/>
        <w:jc w:val="both"/>
        <w:rPr>
          <w:rFonts w:ascii="Book Antiqua" w:eastAsia="Book Antiqua" w:hAnsi="Book Antiqua" w:cs="Book Antiqua"/>
          <w:bCs/>
          <w:color w:val="000000"/>
          <w:sz w:val="24"/>
          <w:szCs w:val="24"/>
        </w:rPr>
      </w:pPr>
      <w:r w:rsidRPr="009F3049">
        <w:rPr>
          <w:rFonts w:ascii="Book Antiqua" w:eastAsia="Book Antiqua" w:hAnsi="Book Antiqua" w:cs="Book Antiqua"/>
          <w:bCs/>
          <w:color w:val="000000"/>
          <w:sz w:val="24"/>
          <w:szCs w:val="24"/>
        </w:rPr>
        <w:t xml:space="preserve">The International Monetary Fund (IMF) in its report on the impact of the COVID-19 pandemic on the tourism sector emphasizes 4 (four) preventive measures, including (1) strengthening education through an understanding of tourism management during the pandemic, (2) improving telecommunications facilities to support information dissemination, (3) reducing short-term policies that put the image of tourism in the spotlight, and (4) dynamizing the role of tourism workers in responding to the pandemic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ISBN":"9781513561905","author":[{"dropping-particle":"","family":"Goretti","given":"M.","non-dropping-particle":"","parse-names":false,"suffix":""},{"dropping-particle":"","family":"Leigh","given":"L.","non-dropping-particle":"","parse-names":false,"suffix":""},{"dropping-particle":"","family":"Babii","given":"Aleksandra.","non-dropping-particle":"","parse-names":false,"suffix":""},{"dropping-particle":"","family":"Cevik","given":"Serhan.","non-dropping-particle":"","parse-names":false,"suffix":""},{"dropping-particle":"","family":"Kaendera","given":"Stella.","non-dropping-particle":"","parse-names":false,"suffix":""},{"dropping-particle":"","family":"Muir","given":"Irk.","non-dropping-particle":"","parse-names":false,"suffix":""},{"dropping-particle":"","family":"Nadeem","given":"Sanaa.","non-dropping-particle":"","parse-names":false,"suffix":""},{"dropping-particle":"","family":"Salinas","given":"Gonzalo.","non-dropping-particle":"","parse-names":false,"suffix":""}],"id":"ITEM-1","issue":"21","issued":{"date-parts":[["2021"]]},"number-of-pages":"1-115","title":"Tourism in the Post-Pandemic World","type":"book"},"uris":["http://www.mendeley.com/documents/?uuid=70d0592c-0498-4cf9-bd19-ce49afd4d1c3"]}],"mendeley":{"formattedCitation":"(Goretti et al., 2021)","plainTextFormattedCitation":"(Goretti et al., 2021)","previouslyFormattedCitation":"(Goretti et al., 2021)"},"properties":{"noteIndex":0},"schema":"https://github.com/citation-style-language/schema/raw/master/csl-citation.json"}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(Goretti et al., 2021)</w:t>
      </w:r>
      <w:r w:rsidR="0055739C">
        <w:rPr>
          <w:rFonts w:ascii="Book Antiqua" w:eastAsia="Book Antiqua" w:hAnsi="Book Antiqua" w:cs="Book Antiqua"/>
          <w:bCs/>
          <w:color w:val="000000"/>
          <w:sz w:val="24"/>
          <w:szCs w:val="24"/>
        </w:rPr>
        <w:fldChar w:fldCharType="end"/>
      </w:r>
      <w:r w:rsidRPr="009F3049">
        <w:rPr>
          <w:rFonts w:ascii="Book Antiqua" w:eastAsia="Book Antiqua" w:hAnsi="Book Antiqua" w:cs="Book Antiqua"/>
          <w:bCs/>
          <w:color w:val="000000"/>
          <w:sz w:val="24"/>
          <w:szCs w:val="24"/>
        </w:rPr>
        <w:t>. However, it should be considered that border opening policies are not always related to increasing tourism competitiveness and economic movement alone</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{"citationItems":[{"id":"ITEM-1","itemData":{"DOI":"10.26593/jihi.v17i2.3609.153-171","ISSN":"2614-2562","abstract":"Sejak penerapan kebijakan bebas visa wisata di Indonesia pada tahun 1983 sampai dengan tahun 2017 terlihat dominasi sektor kepariwisataan (tourism) di dalam proses pengambilan keputusan kebijakan bebas visa. Rasional utama desakan adanya kebijakan ini belakangan terlihat adanya unsur pengaruh the Travel and Tourism Competitive Index (TTCI) yang dikeluarkan oleh lembaga dunia the World Economic Forum (WEF) dan the United Nations World Tourism Organisation (UNWTO) untuk mendongkrak rangking Indonesia di mata dunia Indonesia dalam hal sektor kepariwisataan. Dan salah satu komponen dari alat ukur persaingan kompetisi internasional tersebut adalah international openness, dengan penilaian bahwa semakin banyak suatu negara menghilangkan restriksi untuk memasuki suatu negara maka semakin tinggi komponen penilaian TTCI. Tulisan ini secara kritis menilai bahwa perluasan kebijakan bebas visa, sudah bergeser dari titik keseimbangan kebijakan selektif keimigrasian Indonesia. Meskipun diakui bahwa ada kontribusi dari kebijakan bebas ini, namun secara makro menggiring ke dalam “perangkap” instrumen internasional yang akan merugikan kepentingan Indonesia. Bahkan analisis di dalam tulisan ini ditemukan bahwa tidak ada korelasi yang signifikan antara komponen international openness dengan peningkatan daya saing pariwisata secara agregat. Oleh karena itu, dengan menggunakan beberapa pendekatan teori ekonomi politik internasional, dan teori pembangunan internasional, tulisan ini melakukan studi kritis terhadap eksistensi pengaruh internasional terhadap kebijakan selektif keimigrasian di Indonesia, serta langkah-langkah konkret yang perlu dilakukan segera oleh Pemerintah Indonesia agar dapat terhindar dari jebakan angka dan statistik dalam berkompetisi di era neoliberal saat ini.","author":[{"dropping-particle":"","family":"Indrady","given":"Andry","non-dropping-particle":"","parse-names":false,"suffix":""}],"container-title":"Jurnal Ilmiah Hubungan Internasional","id":"ITEM-1","issue":"2","issued":{"date-parts":[["2021"]]},"page":"153-171","title":"Neoliberaslime Versus Kebijakan Selektif Keimigrasian: Korelasi Komponen “International Openness” Dengan Rezim Bebas Visa Di Indonesia","type":"article-journal","volume":"17"},"uris":["http://www.mendeley.com/documents/?uuid=f5699022-0653-403c-9b7c-8178e905b182"]}],"mendeley":{"formattedCitation":"(Indrady, 2021)","plainTextFormattedCitation":"(Indrady, 2021)","previouslyFormattedCitation":"(Indrady, 2021)"},"properties":{"noteIndex":0},"schema":"https://github.com/citation-style-language/schema/raw/master/csl-citation.json"}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(Indrady, 2021)</w:t>
      </w:r>
      <w:r w:rsidR="0055739C">
        <w:rPr>
          <w:rFonts w:ascii="Book Antiqua" w:eastAsia="Book Antiqua" w:hAnsi="Book Antiqua" w:cs="Book Antiqua"/>
          <w:bCs/>
          <w:color w:val="000000"/>
          <w:sz w:val="24"/>
          <w:szCs w:val="24"/>
        </w:rPr>
        <w:fldChar w:fldCharType="end"/>
      </w:r>
      <w:r w:rsidRPr="009F3049">
        <w:rPr>
          <w:rFonts w:ascii="Book Antiqua" w:eastAsia="Book Antiqua" w:hAnsi="Book Antiqua" w:cs="Book Antiqua"/>
          <w:bCs/>
          <w:color w:val="000000"/>
          <w:sz w:val="24"/>
          <w:szCs w:val="24"/>
        </w:rPr>
        <w:t>. Humanitarian and health aspects as one of the considerations for opening borders also need serious consideration.</w:t>
      </w:r>
    </w:p>
    <w:p w14:paraId="6ED24652" w14:textId="77777777" w:rsidR="0055739C" w:rsidRDefault="009F3049" w:rsidP="0055739C">
      <w:pPr>
        <w:pBdr>
          <w:top w:val="nil"/>
          <w:left w:val="nil"/>
          <w:bottom w:val="nil"/>
          <w:right w:val="nil"/>
          <w:between w:val="nil"/>
        </w:pBdr>
        <w:spacing w:after="0" w:line="240" w:lineRule="auto"/>
        <w:ind w:left="66" w:firstLine="360"/>
        <w:jc w:val="both"/>
        <w:rPr>
          <w:rFonts w:ascii="Book Antiqua" w:eastAsia="Book Antiqua" w:hAnsi="Book Antiqua" w:cs="Book Antiqua"/>
          <w:bCs/>
          <w:color w:val="000000"/>
          <w:sz w:val="24"/>
          <w:szCs w:val="24"/>
        </w:rPr>
      </w:pPr>
      <w:r w:rsidRPr="009F3049">
        <w:rPr>
          <w:rFonts w:ascii="Book Antiqua" w:eastAsia="Book Antiqua" w:hAnsi="Book Antiqua" w:cs="Book Antiqua"/>
          <w:bCs/>
          <w:color w:val="000000"/>
          <w:sz w:val="24"/>
          <w:szCs w:val="24"/>
        </w:rPr>
        <w:t xml:space="preserve">On the economic aspect, the policy of restricting international and domestic </w:t>
      </w:r>
      <w:r w:rsidRPr="009F3049">
        <w:rPr>
          <w:rFonts w:ascii="Book Antiqua" w:eastAsia="Book Antiqua" w:hAnsi="Book Antiqua" w:cs="Book Antiqua"/>
          <w:bCs/>
          <w:color w:val="000000"/>
          <w:sz w:val="24"/>
          <w:szCs w:val="24"/>
        </w:rPr>
        <w:lastRenderedPageBreak/>
        <w:t>mobility has a direct impact on slowing and stopping economic activities</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{"citationItems":[{"id":"ITEM-1","itemData":{"ISBN":"9786236103357","author":[{"dropping-particle":"","family":"Budisusila","given":"Antonius","non-dropping-particle":"","parse-names":false,"suffix":""},{"dropping-particle":"","family":"Dharma","given":"Universitas Sanata","non-dropping-particle":"","parse-names":false,"suffix":""}],"id":"ITEM-1","issue":"December 2021","issued":{"date-parts":[["2022"]]},"title":"TRANSFORMASI EKONOMI INDONESIA PASCA PANDEMI : PENDEKATAN","type":"book"},"uris":["http://www.mendeley.com/documents/?uuid=f720d6f0-deb4-4f70-9c72-26cd6e39923f"]}],"mendeley":{"formattedCitation":"(Budisusila &amp; Dharma, 2022)","plainTextFormattedCitation":"(Budisusila &amp; Dharma, 2022)","previouslyFormattedCitation":"(Budisusila &amp; Dharma, 2022)"},"properties":{"noteIndex":0},"schema":"https://github.com/citation-style-language/schema/raw/master/csl-citation.json"}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(Budisusila &amp; Dharma, 2022)</w:t>
      </w:r>
      <w:r w:rsidR="0055739C">
        <w:rPr>
          <w:rFonts w:ascii="Book Antiqua" w:eastAsia="Book Antiqua" w:hAnsi="Book Antiqua" w:cs="Book Antiqua"/>
          <w:bCs/>
          <w:color w:val="000000"/>
          <w:sz w:val="24"/>
          <w:szCs w:val="24"/>
        </w:rPr>
        <w:fldChar w:fldCharType="end"/>
      </w:r>
      <w:r w:rsidRPr="009F3049">
        <w:rPr>
          <w:rFonts w:ascii="Book Antiqua" w:eastAsia="Book Antiqua" w:hAnsi="Book Antiqua" w:cs="Book Antiqua"/>
          <w:bCs/>
          <w:color w:val="000000"/>
          <w:sz w:val="24"/>
          <w:szCs w:val="24"/>
        </w:rPr>
        <w:t>. The Asian Development Bank (ADB) noted that industrial and economic sectors directly related to human interaction such as transportation, hotels, restaurants, and small and medium enterprises have been impacted by the pandemic to a great extent</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{"citationItems":[{"id":"ITEM-1","itemData":{"DOI":"10.1088/2058-7058/33/8/16","ISBN":"9789292694050","ISSN":"20587058","author":[{"dropping-particle":"","family":"Xin","given":"Ling","non-dropping-particle":"","parse-names":false,"suffix":""}],"container-title":"Physics World","id":"ITEM-1","issue":"8","issued":{"date-parts":[["2020"]]},"number-of-pages":"12-13","title":"Rising from the pandemic","type":"book","volume":"33"},"uris":["http://www.mendeley.com/documents/?uuid=a9eb3afc-6855-4ba9-b617-2c79599fad5f"]}],"mendeley":{"formattedCitation":"(Xin, 2020)","plainTextFormattedCitation":"(Xin, 2020)","previouslyFormattedCitation":"(Xin, 2020)"},"properties":{"noteIndex":0},"schema":"https://github.com/citation-style-language/schema/raw/master/csl-citation.json"}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(Xin, 2020)</w:t>
      </w:r>
      <w:r w:rsidR="0055739C">
        <w:rPr>
          <w:rFonts w:ascii="Book Antiqua" w:eastAsia="Book Antiqua" w:hAnsi="Book Antiqua" w:cs="Book Antiqua"/>
          <w:bCs/>
          <w:color w:val="000000"/>
          <w:sz w:val="24"/>
          <w:szCs w:val="24"/>
        </w:rPr>
        <w:fldChar w:fldCharType="end"/>
      </w:r>
      <w:r w:rsidRPr="009F3049">
        <w:rPr>
          <w:rFonts w:ascii="Book Antiqua" w:eastAsia="Book Antiqua" w:hAnsi="Book Antiqua" w:cs="Book Antiqua"/>
          <w:bCs/>
          <w:color w:val="000000"/>
          <w:sz w:val="24"/>
          <w:szCs w:val="24"/>
        </w:rPr>
        <w:t>.</w:t>
      </w:r>
    </w:p>
    <w:p w14:paraId="55B857CB" w14:textId="4E9AEAEC" w:rsidR="009F3049" w:rsidRPr="0055739C" w:rsidRDefault="009F3049" w:rsidP="0055739C">
      <w:pPr>
        <w:pBdr>
          <w:top w:val="nil"/>
          <w:left w:val="nil"/>
          <w:bottom w:val="nil"/>
          <w:right w:val="nil"/>
          <w:between w:val="nil"/>
        </w:pBdr>
        <w:spacing w:after="0" w:line="240" w:lineRule="auto"/>
        <w:ind w:left="66" w:firstLine="360"/>
        <w:jc w:val="both"/>
        <w:rPr>
          <w:rFonts w:ascii="Book Antiqua" w:eastAsia="Book Antiqua" w:hAnsi="Book Antiqua" w:cs="Book Antiqua"/>
          <w:bCs/>
          <w:color w:val="000000"/>
          <w:sz w:val="24"/>
          <w:szCs w:val="24"/>
        </w:rPr>
      </w:pPr>
      <w:r w:rsidRPr="0055739C">
        <w:rPr>
          <w:rFonts w:ascii="Book Antiqua" w:eastAsia="Book Antiqua" w:hAnsi="Book Antiqua" w:cs="Book Antiqua"/>
          <w:bCs/>
          <w:color w:val="000000"/>
          <w:sz w:val="24"/>
          <w:szCs w:val="24"/>
        </w:rPr>
        <w:t xml:space="preserve">In conducting a policy impact evaluation, Arifin Tahir </w:t>
      </w:r>
      <w:r w:rsidR="0055739C" w:rsidRP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{"citationItems":[{"id":"ITEM-1","itemData":{"abstract":"Perkembangan Administrasi Publik begitu pesat seiring dengan perkembangan ilmu pengetahuan dan teknologi. Buku ni dibuat untuk melengkapi khasanah tentang Admnistrasi public khususnya menyangkut Kebijkan Publik dan perkembangannya dari Good Governancy menuju Sound Government","author":[{"dropping-particle":"","family":"Tahir","given":"Arifin","non-dropping-particle":"","parse-names":false,"suffix":""}],"id":"ITEM-1","issued":{"date-parts":[["2018"]]},"page":"1-174","title":"Kebijakan publik dan good governancy","type":"article-journal"},"uris":["http://www.mendeley.com/documents/?uuid=ef69fecf-40a2-4602-8b3c-02554bf6d0d4"]}],"mendeley":{"formattedCitation":"(Tahir, 2018)","plainTextFormattedCitation":"(Tahir, 2018)","previouslyFormattedCitation":"(Tahir, 2018)"},"properties":{"noteIndex":0},"schema":"https://github.com/citation-style-language/schema/raw/master/csl-citation.json"}</w:instrText>
      </w:r>
      <w:r w:rsidR="0055739C" w:rsidRP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(Tahir, 2018)</w:t>
      </w:r>
      <w:r w:rsidR="0055739C" w:rsidRPr="0055739C">
        <w:rPr>
          <w:rFonts w:ascii="Book Antiqua" w:eastAsia="Book Antiqua" w:hAnsi="Book Antiqua" w:cs="Book Antiqua"/>
          <w:bCs/>
          <w:color w:val="000000"/>
          <w:sz w:val="24"/>
          <w:szCs w:val="24"/>
        </w:rPr>
        <w:fldChar w:fldCharType="end"/>
      </w:r>
      <w:r w:rsidRPr="0055739C">
        <w:rPr>
          <w:rFonts w:ascii="Book Antiqua" w:eastAsia="Book Antiqua" w:hAnsi="Book Antiqua" w:cs="Book Antiqua"/>
          <w:bCs/>
          <w:color w:val="000000"/>
          <w:sz w:val="24"/>
          <w:szCs w:val="24"/>
        </w:rPr>
        <w:t>emphasizes 3 (three) things that need attention, namely:</w:t>
      </w:r>
    </w:p>
    <w:p w14:paraId="1C0CF38B" w14:textId="7806BD10" w:rsidR="009F3049" w:rsidRPr="009F3049" w:rsidRDefault="009F3049" w:rsidP="0055739C">
      <w:pPr>
        <w:pStyle w:val="ListParagraph"/>
        <w:numPr>
          <w:ilvl w:val="0"/>
          <w:numId w:val="3"/>
        </w:numPr>
        <w:pBdr>
          <w:top w:val="nil"/>
          <w:left w:val="nil"/>
          <w:bottom w:val="nil"/>
          <w:right w:val="nil"/>
          <w:between w:val="nil"/>
        </w:pBdr>
        <w:spacing w:after="0" w:line="240" w:lineRule="auto"/>
        <w:ind w:left="426"/>
        <w:jc w:val="both"/>
        <w:rPr>
          <w:rFonts w:ascii="Book Antiqua" w:eastAsia="Book Antiqua" w:hAnsi="Book Antiqua" w:cs="Book Antiqua"/>
          <w:bCs/>
          <w:color w:val="000000"/>
          <w:sz w:val="24"/>
          <w:szCs w:val="24"/>
        </w:rPr>
      </w:pPr>
      <w:r w:rsidRPr="009F3049">
        <w:rPr>
          <w:rFonts w:ascii="Book Antiqua" w:eastAsia="Book Antiqua" w:hAnsi="Book Antiqua" w:cs="Book Antiqua"/>
          <w:bCs/>
          <w:color w:val="000000"/>
          <w:sz w:val="24"/>
          <w:szCs w:val="24"/>
        </w:rPr>
        <w:t>Policy evaluation aims to provide valid data and information on policy performance;</w:t>
      </w:r>
    </w:p>
    <w:p w14:paraId="37E7EB72" w14:textId="11783229" w:rsidR="009F3049" w:rsidRPr="009F3049" w:rsidRDefault="009F3049" w:rsidP="0055739C">
      <w:pPr>
        <w:pStyle w:val="ListParagraph"/>
        <w:pBdr>
          <w:top w:val="nil"/>
          <w:left w:val="nil"/>
          <w:bottom w:val="nil"/>
          <w:right w:val="nil"/>
          <w:between w:val="nil"/>
        </w:pBdr>
        <w:spacing w:after="0" w:line="240" w:lineRule="auto"/>
        <w:ind w:left="426" w:firstLine="60"/>
        <w:jc w:val="both"/>
        <w:rPr>
          <w:rFonts w:ascii="Book Antiqua" w:eastAsia="Book Antiqua" w:hAnsi="Book Antiqua" w:cs="Book Antiqua"/>
          <w:bCs/>
          <w:color w:val="000000"/>
          <w:sz w:val="24"/>
          <w:szCs w:val="24"/>
        </w:rPr>
      </w:pPr>
    </w:p>
    <w:p w14:paraId="574046FC" w14:textId="4B290AC3" w:rsidR="009F3049" w:rsidRPr="009F3049" w:rsidRDefault="009F3049" w:rsidP="0055739C">
      <w:pPr>
        <w:pStyle w:val="ListParagraph"/>
        <w:numPr>
          <w:ilvl w:val="0"/>
          <w:numId w:val="3"/>
        </w:numPr>
        <w:pBdr>
          <w:top w:val="nil"/>
          <w:left w:val="nil"/>
          <w:bottom w:val="nil"/>
          <w:right w:val="nil"/>
          <w:between w:val="nil"/>
        </w:pBdr>
        <w:spacing w:after="0" w:line="240" w:lineRule="auto"/>
        <w:ind w:left="426"/>
        <w:jc w:val="both"/>
        <w:rPr>
          <w:rFonts w:ascii="Book Antiqua" w:eastAsia="Book Antiqua" w:hAnsi="Book Antiqua" w:cs="Book Antiqua"/>
          <w:bCs/>
          <w:color w:val="000000"/>
          <w:sz w:val="24"/>
          <w:szCs w:val="24"/>
        </w:rPr>
      </w:pPr>
      <w:r w:rsidRPr="009F3049">
        <w:rPr>
          <w:rFonts w:ascii="Book Antiqua" w:eastAsia="Book Antiqua" w:hAnsi="Book Antiqua" w:cs="Book Antiqua"/>
          <w:bCs/>
          <w:color w:val="000000"/>
          <w:sz w:val="24"/>
          <w:szCs w:val="24"/>
        </w:rPr>
        <w:t>Policy evaluation is an effort to assess the certainty of goals and objectives and targets with the problems faced; and</w:t>
      </w:r>
    </w:p>
    <w:p w14:paraId="0ED212D0" w14:textId="77777777" w:rsidR="0055739C" w:rsidRDefault="009F3049" w:rsidP="009F3049">
      <w:pPr>
        <w:pStyle w:val="ListParagraph"/>
        <w:numPr>
          <w:ilvl w:val="0"/>
          <w:numId w:val="3"/>
        </w:numPr>
        <w:pBdr>
          <w:top w:val="nil"/>
          <w:left w:val="nil"/>
          <w:bottom w:val="nil"/>
          <w:right w:val="nil"/>
          <w:between w:val="nil"/>
        </w:pBdr>
        <w:spacing w:after="0" w:line="240" w:lineRule="auto"/>
        <w:ind w:left="426"/>
        <w:jc w:val="both"/>
        <w:rPr>
          <w:rFonts w:ascii="Book Antiqua" w:eastAsia="Book Antiqua" w:hAnsi="Book Antiqua" w:cs="Book Antiqua"/>
          <w:bCs/>
          <w:color w:val="000000"/>
          <w:sz w:val="24"/>
          <w:szCs w:val="24"/>
        </w:rPr>
      </w:pPr>
      <w:r w:rsidRPr="0055739C">
        <w:rPr>
          <w:rFonts w:ascii="Book Antiqua" w:eastAsia="Book Antiqua" w:hAnsi="Book Antiqua" w:cs="Book Antiqua"/>
          <w:bCs/>
          <w:color w:val="000000"/>
          <w:sz w:val="24"/>
          <w:szCs w:val="24"/>
        </w:rPr>
        <w:t>Policy evaluation is a methodological tool because it is concerned with recommendations for judgment.</w:t>
      </w:r>
    </w:p>
    <w:p w14:paraId="2F922107" w14:textId="19068E93" w:rsidR="009F3049" w:rsidRDefault="009F3049" w:rsidP="0055739C">
      <w:pPr>
        <w:pBdr>
          <w:top w:val="nil"/>
          <w:left w:val="nil"/>
          <w:bottom w:val="nil"/>
          <w:right w:val="nil"/>
          <w:between w:val="nil"/>
        </w:pBdr>
        <w:spacing w:after="0" w:line="240" w:lineRule="auto"/>
        <w:ind w:left="66" w:firstLine="360"/>
        <w:jc w:val="both"/>
        <w:rPr>
          <w:rFonts w:ascii="Book Antiqua" w:eastAsia="Book Antiqua" w:hAnsi="Book Antiqua" w:cs="Book Antiqua"/>
          <w:bCs/>
          <w:color w:val="000000"/>
          <w:sz w:val="24"/>
          <w:szCs w:val="24"/>
        </w:rPr>
      </w:pPr>
      <w:r w:rsidRPr="0055739C">
        <w:rPr>
          <w:rFonts w:ascii="Book Antiqua" w:eastAsia="Book Antiqua" w:hAnsi="Book Antiqua" w:cs="Book Antiqua"/>
          <w:bCs/>
          <w:color w:val="000000"/>
          <w:sz w:val="24"/>
          <w:szCs w:val="24"/>
        </w:rPr>
        <w:t>The problem that has become a public spotlight related to passport issuance services is the passport queue registration process</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{"citationItems":[{"id":"ITEM-1","itemData":{"ISBN":"9786237481355","author":[{"dropping-particle":"","family":"Poltekim","given":"Peranim Dan","non-dropping-particle":"","parse-names":false,"suffix":""}],"id":"ITEM-1","issue":"August 2020","issued":{"date-parts":[["2020"]]},"number-of-pages":"7","title":"Pelayanan Paspor RI Di Era Birokrasi Digital","type":"book"},"uris":["http://www.mendeley.com/documents/?uuid=5143331e-1a1f-4203-9bbf-79331af0e33a"]}],"mendeley":{"formattedCitation":"(Poltekim, 2020)","plainTextFormattedCitation":"(Poltekim, 2020)","previouslyFormattedCitation":"(Poltekim, 2020)"},"properties":{"noteIndex":0},"schema":"https://github.com/citation-style-language/schema/raw/master/csl-citation.json"}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(Poltekim, 2020)</w:t>
      </w:r>
      <w:r w:rsidR="0055739C">
        <w:rPr>
          <w:rFonts w:ascii="Book Antiqua" w:eastAsia="Book Antiqua" w:hAnsi="Book Antiqua" w:cs="Book Antiqua"/>
          <w:bCs/>
          <w:color w:val="000000"/>
          <w:sz w:val="24"/>
          <w:szCs w:val="24"/>
        </w:rPr>
        <w:fldChar w:fldCharType="end"/>
      </w:r>
      <w:r w:rsidRPr="0055739C">
        <w:rPr>
          <w:rFonts w:ascii="Book Antiqua" w:eastAsia="Book Antiqua" w:hAnsi="Book Antiqua" w:cs="Book Antiqua"/>
          <w:bCs/>
          <w:color w:val="000000"/>
          <w:sz w:val="24"/>
          <w:szCs w:val="24"/>
        </w:rPr>
        <w:t>. The development and development of public policies in immigration services will always be related to the development of Information Technology, therefore improving the quality and ability to keep up with the development and dynamism of information technology is something that must be done</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{"citationItems":[{"id":"ITEM-1","itemData":{"DOI":"10.30641/kebijakan.2018.v12.163-178","ISSN":"1978-2292","abstract":"Peningkatan mutu dari teknologi sangatlah penting dimana setiap negara berusaha untuk berinovasi di bidang teknologi untuk meningkatkan citra bangsanya. Indonesia sebagai negara dengan lalu lintas manusia yang sangat besar selalu berusaha menciptakan inovasi baru di segala aspek di bidang terkait, khususnya dalam aspek teknologi informasi bidang Keimigrasian. Perkembangan di bidang Keimigrasian tidak akan lepas dari pengaruh teknologi informasi sehingga tuntutan untuk meningkatkan mutu dan mengikuti setiap perkembangan teknologi informasi adalah suatu hal yang tidak dapat kita kesampingkan. Teknologi informasi bidang Keimigrasian di era yang serba canggih ini menjadi suatu kajian yang menarik, khususnya terhadap fungsinya dalam pelayanan publik, salah satunya adalah pelayanan paspor. Penggunaan teknologi informasi dalam pelayanan paspor sangat membantu meningkatkan efektifitas maupun efisiensi pekerjaan, selain itu penggunaan teknologi informasi juga mampu meningkatkan keamanan terhadap suatu keabsahan dokumen, sehingga peranan teknologi informasi disini menjadi hal utama dalam era yang serba digital ini untuk dikaji.","author":[{"dropping-particle":"","family":"Wilonotomo","given":"Wilonotomo","non-dropping-particle":"","parse-names":false,"suffix":""},{"dropping-particle":"","family":"Aji","given":"Koesmoyo Ponco","non-dropping-particle":"","parse-names":false,"suffix":""}],"container-title":"Jurnal Ilmiah Kebijakan Hukum","id":"ITEM-1","issue":"2","issued":{"date-parts":[["2018"]]},"page":"163","title":"Pelayanan Pembuatan Paspor dalam Kajiannya Terhadap Teori Manfaat Teknologi Informasi","type":"article-journal","volume":"12"},"uris":["http://www.mendeley.com/documents/?uuid=311420ba-37ce-4c56-b234-86007d23f82c"]}],"mendeley":{"formattedCitation":"(Wilonotomo &amp; Aji, 2018)","plainTextFormattedCitation":"(Wilonotomo &amp; Aji, 2018)","previouslyFormattedCitation":"(Wilonotomo &amp; Aji, 2018)"},"properties":{"noteIndex":0},"schema":"https://github.com/citation-style-language/schema/raw/master/csl-citation.json"}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(Wilonotomo &amp; Aji, 2018)</w:t>
      </w:r>
      <w:r w:rsidR="0055739C">
        <w:rPr>
          <w:rFonts w:ascii="Book Antiqua" w:eastAsia="Book Antiqua" w:hAnsi="Book Antiqua" w:cs="Book Antiqua"/>
          <w:bCs/>
          <w:color w:val="000000"/>
          <w:sz w:val="24"/>
          <w:szCs w:val="24"/>
        </w:rPr>
        <w:fldChar w:fldCharType="end"/>
      </w:r>
      <w:r w:rsidRPr="0055739C">
        <w:rPr>
          <w:rFonts w:ascii="Book Antiqua" w:eastAsia="Book Antiqua" w:hAnsi="Book Antiqua" w:cs="Book Antiqua"/>
          <w:bCs/>
          <w:color w:val="000000"/>
          <w:sz w:val="24"/>
          <w:szCs w:val="24"/>
        </w:rPr>
        <w:t>. Discussions about the procedures for applying for passport queues, problems with applications, complexity in the process and uninformative stages have become negative sentiments for the Directorate General of Immigration</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{"citationItems":[{"id":"ITEM-1","itemData":{"DOI":"10.5281/zenodo.3600656","abstract":"… Kebijakan APAPO tidak didasarkan atas sistem manajemen Sistem Pemerintahan Berbasis Elektronik; n. Pembangunan dan pengembangan APAPO tidak melibatkan Kementerian Ko…","author":[{"dropping-particle":"","family":"Syahrin","given":"M A","non-dropping-particle":"","parse-names":false,"suffix":""}],"container-title":"Lex Librum: Jurnal Ilmu Hukum","id":"ITEM-1","issue":"December 2019","issued":{"date-parts":[["2019"]]},"title":"Audit Hukum Regulasi Aplikasi Pendaftaran Antrian Permohonan Paspor Secara Online (Apapo) Dalam Pelayanan Paspor Ri Berbasis E-Government: Studi …","type":"article-journal"},"uris":["http://www.mendeley.com/documents/?uuid=881f0e7b-e9dd-4ae3-8e32-9556c0bdd3f8"]}],"mendeley":{"formattedCitation":"(Syahrin, 2019)","plainTextFormattedCitation":"(Syahrin, 2019)","previouslyFormattedCitation":"(Syahrin, 2019)"},"properties":{"noteIndex":0},"schema":"https://github.com/citation-style-language/schema/raw/master/csl-citation.json"}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(Syahrin, 2019)</w:t>
      </w:r>
      <w:r w:rsidR="0055739C">
        <w:rPr>
          <w:rFonts w:ascii="Book Antiqua" w:eastAsia="Book Antiqua" w:hAnsi="Book Antiqua" w:cs="Book Antiqua"/>
          <w:bCs/>
          <w:color w:val="000000"/>
          <w:sz w:val="24"/>
          <w:szCs w:val="24"/>
        </w:rPr>
        <w:fldChar w:fldCharType="end"/>
      </w:r>
      <w:r w:rsidRPr="0055739C">
        <w:rPr>
          <w:rFonts w:ascii="Book Antiqua" w:eastAsia="Book Antiqua" w:hAnsi="Book Antiqua" w:cs="Book Antiqua"/>
          <w:bCs/>
          <w:color w:val="000000"/>
          <w:sz w:val="24"/>
          <w:szCs w:val="24"/>
        </w:rPr>
        <w:t>. The online queuing application is expected to encourage effectiveness and efficiency in the passport application process</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{"citationItems":[{"id":"ITEM-1","itemData":{"DOI":"10.31258/jkp.11.2.p.83-88","ISSN":"2655-5204","author":[{"dropping-particle":"","family":"Chaharani","given":"Nurrizha Ayu","non-dropping-particle":"","parse-names":false,"suffix":""},{"dropping-particle":"","family":"Adi","given":"Tri Putra","non-dropping-particle":"","parse-names":false,"suffix":""},{"dropping-particle":"","family":"Hasmi","given":"Diba Latifa","non-dropping-particle":"","parse-names":false,"suffix":""}],"container-title":"Jurnal Kebijakan Publik","id":"ITEM-1","issue":"2","issued":{"date-parts":[["2020","10","2"]]},"page":"83","title":"PENERAPAN APLIKASI PENDAFTARAN ANTRIAN PASPOR ONLINE (APAPO) DALAM PERSPEKTIF E-GOVERNMENT","type":"article-journal","volume":"11"},"uris":["http://www.mendeley.com/documents/?uuid=b936ec71-c773-3c28-9d04-18b297ed8784"]}],"mendeley":{"formattedCitation":"(Chaharani et al., 2020)","plainTextFormattedCitation":"(Chaharani et al., 2020)","previouslyFormattedCitation":"(Chaharani et al., 2020)"},"properties":{"noteIndex":0},"schema":"https://github.com/citation-style-language/schema/raw/master/csl-citation.json"}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(Chaharani et al., 2020)</w:t>
      </w:r>
      <w:r w:rsidR="0055739C">
        <w:rPr>
          <w:rFonts w:ascii="Book Antiqua" w:eastAsia="Book Antiqua" w:hAnsi="Book Antiqua" w:cs="Book Antiqua"/>
          <w:bCs/>
          <w:color w:val="000000"/>
          <w:sz w:val="24"/>
          <w:szCs w:val="24"/>
        </w:rPr>
        <w:fldChar w:fldCharType="end"/>
      </w:r>
      <w:r w:rsidRPr="0055739C">
        <w:rPr>
          <w:rFonts w:ascii="Book Antiqua" w:eastAsia="Book Antiqua" w:hAnsi="Book Antiqua" w:cs="Book Antiqua"/>
          <w:bCs/>
          <w:color w:val="000000"/>
          <w:sz w:val="24"/>
          <w:szCs w:val="24"/>
        </w:rPr>
        <w:t xml:space="preserve">. The complexity of running an </w:t>
      </w:r>
      <w:r w:rsidRPr="0055739C">
        <w:rPr>
          <w:rFonts w:ascii="Book Antiqua" w:eastAsia="Book Antiqua" w:hAnsi="Book Antiqua" w:cs="Book Antiqua"/>
          <w:bCs/>
          <w:color w:val="000000"/>
          <w:sz w:val="24"/>
          <w:szCs w:val="24"/>
        </w:rPr>
        <w:t>online queue application to obtain immigration services, limiting the number of queue quotas that can be accessed through the application and requirements that are considered incomplete so that the applicant cannot continue the passport application stage are some of the problems often faced by passport applicants</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55739C">
        <w:rPr>
          <w:rFonts w:ascii="Book Antiqua" w:eastAsia="Book Antiqua" w:hAnsi="Book Antiqua" w:cs="Book Antiqua"/>
          <w:bCs/>
          <w:color w:val="000000"/>
          <w:sz w:val="24"/>
          <w:szCs w:val="24"/>
        </w:rPr>
        <w:instrText>ADDIN CSL_CITATION {"citationItems":[{"id":"ITEM-1","itemData":{"DOI":"10.31289/perspektif.v11i2.5876","ISSN":"2085-0328","abstract":"This study aims to determine and understand the application of the Online Passport Queue Registration Application (APAPO) in an effort to improve public services in Bengkulu City at the Class I Immigration Office at Bengkulu Immigration Checkpoints. The study used a qualitative descriptive method, with 10 research informants, consisting of 4 Immigration Office informants and 6 community informants. Data analysis used qualitative analysis. The results of the study show that: (1) The implementation of e-government at the Immigration Office Class I TPI Bengkulu has been going quite well because there are still obstacles, namely complicated and limited service quotas; (2) Passport services at the Immigration Office Class I TPI Bengkulu through the use of online passport services are of Sufficient Quality; and (3) The supporting factors in the application of electronic government in improving the quality of online passport making services are the existence of clear regulations, clear service needs and an adequate number of personnel. While the inhibiting factors in implementing e-government in improving the quality of online passport making services are the complexity of the APAPO application, the limited number of queue quotas and sometimes incomplete requirements, so that services cannot be implemented.","author":[{"dropping-particle":"","family":"Triyanto","given":"Deni","non-dropping-particle":"","parse-names":false,"suffix":""},{"dropping-particle":"","family":"Kismartini","given":"Kismartini","non-dropping-particle":"","parse-names":false,"suffix":""},{"dropping-particle":"","family":"Aprianty","given":"Henny","non-dropping-particle":"","parse-names":false,"suffix":""},{"dropping-particle":"","family":"Novelia","given":"Puteri","non-dropping-particle":"","parse-names":false,"suffix":""}],"container-title":"Perspektif","id":"ITEM-1","issue":"2","issued":{"date-parts":[["2022"]]},"page":"527-532","title":"Penerapan Aplikasi Pendaftaran Antrean Paspor Online dalam Upaya Meningkatkan Pelayanan Publik di Bengkulu","type":"article-journal","volume":"11"},"uris":["http://www.mendeley.com/documents/?uuid=64f76479-c359-4ce3-965f-9642c2c9a844"]}],"mendeley":{"formattedCitation":"(Triyanto et al., 2022)","plainTextFormattedCitation":"(Triyanto et al., 2022)","previouslyFormattedCitation":"(Triyanto et al., 2022)"},"properties":{"noteIndex":0},"schema":"https://github.com/citation-style-language/schema/raw/master/csl-citation.json"}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(Triyanto et al., 2022)</w:t>
      </w:r>
      <w:r w:rsidR="0055739C">
        <w:rPr>
          <w:rFonts w:ascii="Book Antiqua" w:eastAsia="Book Antiqua" w:hAnsi="Book Antiqua" w:cs="Book Antiqua"/>
          <w:bCs/>
          <w:color w:val="000000"/>
          <w:sz w:val="24"/>
          <w:szCs w:val="24"/>
        </w:rPr>
        <w:fldChar w:fldCharType="end"/>
      </w:r>
      <w:r w:rsidRPr="0055739C">
        <w:rPr>
          <w:rFonts w:ascii="Book Antiqua" w:eastAsia="Book Antiqua" w:hAnsi="Book Antiqua" w:cs="Book Antiqua"/>
          <w:bCs/>
          <w:color w:val="000000"/>
          <w:sz w:val="24"/>
          <w:szCs w:val="24"/>
        </w:rPr>
        <w:t>. Furthermore, Tutik Rachmawati</w:t>
      </w:r>
      <w:r w:rsidR="0055739C">
        <w:rPr>
          <w:rFonts w:ascii="Book Antiqua" w:eastAsia="Book Antiqua" w:hAnsi="Book Antiqua" w:cs="Book Antiqua"/>
          <w:bCs/>
          <w:color w:val="000000"/>
          <w:sz w:val="24"/>
          <w:szCs w:val="24"/>
        </w:rPr>
        <w:t xml:space="preserve"> </w:t>
      </w:r>
      <w:r w:rsidR="0055739C">
        <w:rPr>
          <w:rFonts w:ascii="Book Antiqua" w:eastAsia="Book Antiqua" w:hAnsi="Book Antiqua" w:cs="Book Antiqua"/>
          <w:bCs/>
          <w:color w:val="000000"/>
          <w:sz w:val="24"/>
          <w:szCs w:val="24"/>
        </w:rPr>
        <w:fldChar w:fldCharType="begin" w:fldLock="1"/>
      </w:r>
      <w:r w:rsidR="00EA72FA">
        <w:rPr>
          <w:rFonts w:ascii="Book Antiqua" w:eastAsia="Book Antiqua" w:hAnsi="Book Antiqua" w:cs="Book Antiqua"/>
          <w:bCs/>
          <w:color w:val="000000"/>
          <w:sz w:val="24"/>
          <w:szCs w:val="24"/>
        </w:rPr>
        <w:instrText>ADDIN CSL_CITATION {"citationItems":[{"id":"ITEM-1","itemData":{"DOI":"10.22146/jkap.8166","ISSN":"0852-9213","abstract":"Tulisan ini merupakan pembahasan dari sebagian hasil penelitian tentang penerapan nilai-nilai demokratis dalam pelayanan publik. Nilai-nilai demokratis terdiri dari nilai inklusivitas(pelibatan), nilai transparansi, nilai akuntabilitas, dan nilai integritas. Pembahasan dilakukan dengan membuat analisa penerapan salah satu nilai demokrasi yaitu integritas dalam pelayanan publik di Kantor Imigrasi Bandung. Penelitian ini merupakan penelitian dengan menggunakan metode campuran kuantitatif dan kualitatif (mix method). Dengan desain penelitian menggunakan studi kasus, analisa yang diterapkan dalam penelitian ini analisis eksploratori sekuensial (sequential exploratory). Studi kasus dalam penelitian ini adalah Kantor Imigrasi Bandung yang merupakan salah satu contoh best practice dalam kinerja pelayanan publiknya. Penelitian ini bertujuan untuk membuktikan apakah organisasi publik yang memiliki kinerja yang baik dalam pemberian pelayanan publiknya juga menerapkan nilai demokrasi yaitu integritas. Hasil temuan dari penelitian ini adalah bahwa Kantor Imigrasi Bandung belum sepenuhnya mene­rapkan nilai nilai integritas dalam pelayanan publik.","author":[{"dropping-particle":"","family":"Rachmawati","given":"Tutik","non-dropping-particle":"","parse-names":false,"suffix":""},{"dropping-particle":"","family":"Nasution","given":"Sonia Juliani","non-dropping-particle":"","parse-names":false,"suffix":""}],"container-title":"JKAP (Jurnal Kebijakan dan Administrasi Publik)","id":"ITEM-1","issue":"2","issued":{"date-parts":[["2015"]]},"page":"133","title":"Nilai Demokrasi dalam Pelayanan Publik: Studi Kasus Kantor Imigrasi Bandung","type":"article-journal","volume":"19"},"uris":["http://www.mendeley.com/documents/?uuid=23710d7e-cef9-468c-9efe-a9b8cf42edd2"]}],"mendeley":{"formattedCitation":"(Rachmawati &amp; Nasution, 2015)","plainTextFormattedCitation":"(Rachmawati &amp; Nasution, 2015)","previouslyFormattedCitation":"(Rachmawati &amp; Nasution, 2015)"},"properties":{"noteIndex":0},"schema":"https://github.com/citation-style-language/schema/raw/master/csl-citation.json"}</w:instrText>
      </w:r>
      <w:r w:rsidR="0055739C">
        <w:rPr>
          <w:rFonts w:ascii="Book Antiqua" w:eastAsia="Book Antiqua" w:hAnsi="Book Antiqua" w:cs="Book Antiqua"/>
          <w:bCs/>
          <w:color w:val="000000"/>
          <w:sz w:val="24"/>
          <w:szCs w:val="24"/>
        </w:rPr>
        <w:fldChar w:fldCharType="separate"/>
      </w:r>
      <w:r w:rsidR="0055739C" w:rsidRPr="0055739C">
        <w:rPr>
          <w:rFonts w:ascii="Book Antiqua" w:eastAsia="Book Antiqua" w:hAnsi="Book Antiqua" w:cs="Book Antiqua"/>
          <w:bCs/>
          <w:noProof/>
          <w:color w:val="000000"/>
          <w:sz w:val="24"/>
          <w:szCs w:val="24"/>
        </w:rPr>
        <w:t>(Rachmawati &amp; Nasution, 2015)</w:t>
      </w:r>
      <w:r w:rsidR="0055739C">
        <w:rPr>
          <w:rFonts w:ascii="Book Antiqua" w:eastAsia="Book Antiqua" w:hAnsi="Book Antiqua" w:cs="Book Antiqua"/>
          <w:bCs/>
          <w:color w:val="000000"/>
          <w:sz w:val="24"/>
          <w:szCs w:val="24"/>
        </w:rPr>
        <w:fldChar w:fldCharType="end"/>
      </w:r>
      <w:r w:rsidRPr="0055739C">
        <w:rPr>
          <w:rFonts w:ascii="Book Antiqua" w:eastAsia="Book Antiqua" w:hAnsi="Book Antiqua" w:cs="Book Antiqua"/>
          <w:bCs/>
          <w:color w:val="000000"/>
          <w:sz w:val="24"/>
          <w:szCs w:val="24"/>
        </w:rPr>
        <w:t>emphasizes 3 (three) important aspects in measuring immigration public services, including (1) friendly, respectful, polite and selfless services related to Service Officers, (2) service timeframes related to service facilities, and (3) service transparency and accountability.</w:t>
      </w:r>
    </w:p>
    <w:p w14:paraId="3C5E53FC" w14:textId="77777777" w:rsidR="0055739C" w:rsidRPr="0055739C" w:rsidRDefault="0055739C" w:rsidP="0055739C">
      <w:pPr>
        <w:pBdr>
          <w:top w:val="nil"/>
          <w:left w:val="nil"/>
          <w:bottom w:val="nil"/>
          <w:right w:val="nil"/>
          <w:between w:val="nil"/>
        </w:pBdr>
        <w:spacing w:after="0" w:line="240" w:lineRule="auto"/>
        <w:ind w:left="66" w:firstLine="360"/>
        <w:jc w:val="both"/>
        <w:rPr>
          <w:rFonts w:ascii="Book Antiqua" w:eastAsia="Book Antiqua" w:hAnsi="Book Antiqua" w:cs="Book Antiqua"/>
          <w:bCs/>
          <w:color w:val="000000"/>
          <w:sz w:val="24"/>
          <w:szCs w:val="24"/>
        </w:rPr>
      </w:pPr>
    </w:p>
    <w:p w14:paraId="4DCA9458" w14:textId="4324ECBF" w:rsidR="009F3049" w:rsidRDefault="009F3049" w:rsidP="009F3049">
      <w:pPr>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METHOD</w:t>
      </w:r>
    </w:p>
    <w:p w14:paraId="6D3C044C" w14:textId="73C456EC" w:rsidR="00F869B9" w:rsidRDefault="009F3049" w:rsidP="0055739C">
      <w:pPr>
        <w:spacing w:after="0" w:line="240" w:lineRule="auto"/>
        <w:ind w:left="66" w:firstLine="360"/>
        <w:jc w:val="both"/>
        <w:rPr>
          <w:rFonts w:ascii="Book Antiqua" w:eastAsia="Book Antiqua" w:hAnsi="Book Antiqua" w:cs="Book Antiqua"/>
          <w:sz w:val="24"/>
          <w:szCs w:val="24"/>
        </w:rPr>
      </w:pPr>
      <w:r w:rsidRPr="009F3049">
        <w:rPr>
          <w:rFonts w:ascii="Book Antiqua" w:eastAsia="Book Antiqua" w:hAnsi="Book Antiqua" w:cs="Book Antiqua"/>
          <w:sz w:val="24"/>
          <w:szCs w:val="24"/>
        </w:rPr>
        <w:t xml:space="preserve">This paper uses a qualitative descriptive approach to explain the effect of the opening of the country's borders on Immigration services, especially those that occur at the Pati Class I </w:t>
      </w:r>
      <w:r w:rsidR="007E4886">
        <w:rPr>
          <w:rFonts w:ascii="Book Antiqua" w:eastAsia="Book Antiqua" w:hAnsi="Book Antiqua" w:cs="Book Antiqua"/>
          <w:sz w:val="24"/>
          <w:szCs w:val="24"/>
        </w:rPr>
        <w:t>Non-Checkpoint</w:t>
      </w:r>
      <w:r w:rsidRPr="009F3049">
        <w:rPr>
          <w:rFonts w:ascii="Book Antiqua" w:eastAsia="Book Antiqua" w:hAnsi="Book Antiqua" w:cs="Book Antiqua"/>
          <w:sz w:val="24"/>
          <w:szCs w:val="24"/>
        </w:rPr>
        <w:t xml:space="preserve"> Immigration Office. The discussion will be more specifically related to services for the issuance of passports for Indonesian citizens who apply at the Immigration Office. The data used is data obtained from reports</w:t>
      </w:r>
      <w:r>
        <w:rPr>
          <w:rFonts w:ascii="Book Antiqua" w:eastAsia="Book Antiqua" w:hAnsi="Book Antiqua" w:cs="Book Antiqua"/>
          <w:sz w:val="24"/>
          <w:szCs w:val="24"/>
        </w:rPr>
        <w:t xml:space="preserve"> </w:t>
      </w:r>
      <w:r w:rsidRPr="009F3049">
        <w:rPr>
          <w:rFonts w:ascii="Book Antiqua" w:eastAsia="Book Antiqua" w:hAnsi="Book Antiqua" w:cs="Book Antiqua"/>
          <w:sz w:val="24"/>
          <w:szCs w:val="24"/>
        </w:rPr>
        <w:t xml:space="preserve">submitted on social media </w:t>
      </w:r>
      <w:r w:rsidR="0055739C" w:rsidRPr="009F3049">
        <w:rPr>
          <w:rFonts w:ascii="Book Antiqua" w:eastAsia="Book Antiqua" w:hAnsi="Book Antiqua" w:cs="Book Antiqua"/>
          <w:sz w:val="24"/>
          <w:szCs w:val="24"/>
        </w:rPr>
        <w:t>Instagram</w:t>
      </w:r>
      <w:r w:rsidRPr="009F3049">
        <w:rPr>
          <w:rFonts w:ascii="Book Antiqua" w:eastAsia="Book Antiqua" w:hAnsi="Book Antiqua" w:cs="Book Antiqua"/>
          <w:sz w:val="24"/>
          <w:szCs w:val="24"/>
        </w:rPr>
        <w:t xml:space="preserve"> and also Google Review of Immigration Office Class I </w:t>
      </w:r>
      <w:r w:rsidR="007E4886">
        <w:rPr>
          <w:rFonts w:ascii="Book Antiqua" w:eastAsia="Book Antiqua" w:hAnsi="Book Antiqua" w:cs="Book Antiqua"/>
          <w:sz w:val="24"/>
          <w:szCs w:val="24"/>
        </w:rPr>
        <w:t>Non-Checkpoint</w:t>
      </w:r>
      <w:r w:rsidRPr="009F3049">
        <w:rPr>
          <w:rFonts w:ascii="Book Antiqua" w:eastAsia="Book Antiqua" w:hAnsi="Book Antiqua" w:cs="Book Antiqua"/>
          <w:sz w:val="24"/>
          <w:szCs w:val="24"/>
        </w:rPr>
        <w:t xml:space="preserve"> Pati. The data is the main data analyzed with the help of secondary data from journals, news and literature related to the topic discussed. The data analysis technique uses Discourse Analysis, which tries to find and explain the relationship between the data obtained and the topic of discussion that is the center of analysis.</w:t>
      </w:r>
    </w:p>
    <w:p w14:paraId="2A394EE7" w14:textId="77777777" w:rsidR="0055739C" w:rsidRDefault="0055739C" w:rsidP="0055739C">
      <w:pPr>
        <w:spacing w:after="0" w:line="240" w:lineRule="auto"/>
        <w:ind w:left="66" w:firstLine="360"/>
        <w:jc w:val="both"/>
        <w:rPr>
          <w:rFonts w:ascii="Book Antiqua" w:eastAsia="Book Antiqua" w:hAnsi="Book Antiqua" w:cs="Book Antiqua"/>
          <w:sz w:val="24"/>
          <w:szCs w:val="24"/>
        </w:rPr>
      </w:pPr>
    </w:p>
    <w:p w14:paraId="384708A1" w14:textId="77777777" w:rsidR="006C699D" w:rsidRPr="006C699D" w:rsidRDefault="006C699D" w:rsidP="009F3049">
      <w:pPr>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RESULT AND DISCUSSION</w:t>
      </w:r>
    </w:p>
    <w:p w14:paraId="3FEBE5CE" w14:textId="77777777" w:rsidR="0055739C" w:rsidRDefault="006C699D"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6C699D">
        <w:rPr>
          <w:rFonts w:ascii="Book Antiqua" w:eastAsia="Book Antiqua" w:hAnsi="Book Antiqua" w:cs="Book Antiqua"/>
          <w:bCs/>
          <w:color w:val="000000"/>
          <w:sz w:val="24"/>
          <w:szCs w:val="24"/>
        </w:rPr>
        <w:t xml:space="preserve">The number of passport issuances at the Pati </w:t>
      </w:r>
      <w:r w:rsidR="007E4886">
        <w:rPr>
          <w:rFonts w:ascii="Book Antiqua" w:eastAsia="Book Antiqua" w:hAnsi="Book Antiqua" w:cs="Book Antiqua"/>
          <w:bCs/>
          <w:color w:val="000000"/>
          <w:sz w:val="24"/>
          <w:szCs w:val="24"/>
        </w:rPr>
        <w:t>Non-Checkpoint</w:t>
      </w:r>
      <w:r w:rsidRPr="006C699D">
        <w:rPr>
          <w:rFonts w:ascii="Book Antiqua" w:eastAsia="Book Antiqua" w:hAnsi="Book Antiqua" w:cs="Book Antiqua"/>
          <w:bCs/>
          <w:color w:val="000000"/>
          <w:sz w:val="24"/>
          <w:szCs w:val="24"/>
        </w:rPr>
        <w:t xml:space="preserve"> Class I Immigration Office has experienced a very significant </w:t>
      </w:r>
      <w:r w:rsidRPr="006C699D">
        <w:rPr>
          <w:rFonts w:ascii="Book Antiqua" w:eastAsia="Book Antiqua" w:hAnsi="Book Antiqua" w:cs="Book Antiqua"/>
          <w:bCs/>
          <w:color w:val="000000"/>
          <w:sz w:val="24"/>
          <w:szCs w:val="24"/>
        </w:rPr>
        <w:lastRenderedPageBreak/>
        <w:t xml:space="preserve">development. The development in the number of applicants is certainly related to information about the progress of handling the spread of the COVID-19 pandemic which is getting better. In addition, various information about the opening of the borders of several countries that are the destinations for the Umrah and Hajj pilgrimages such as Saudi Arabia, Indonesian Migrant Worker placement countries such as Singapore, Malaysia, </w:t>
      </w:r>
      <w:r w:rsidRPr="006C699D">
        <w:rPr>
          <w:rFonts w:ascii="Book Antiqua" w:eastAsia="Book Antiqua" w:hAnsi="Book Antiqua" w:cs="Book Antiqua"/>
          <w:bCs/>
          <w:color w:val="000000"/>
          <w:sz w:val="24"/>
          <w:szCs w:val="24"/>
        </w:rPr>
        <w:t>Japan, Korea, Taiwan, Hong Kong and several European countries, as well as access to several large countries such as America and Australia which provide opportunities for Indonesian citizens to visit, are factors driving the increase in the number of passport applications.</w:t>
      </w:r>
    </w:p>
    <w:p w14:paraId="28A8865E" w14:textId="2B00272E" w:rsidR="00F869B9" w:rsidRDefault="006C699D"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6C699D">
        <w:rPr>
          <w:rFonts w:ascii="Book Antiqua" w:eastAsia="Book Antiqua" w:hAnsi="Book Antiqua" w:cs="Book Antiqua"/>
          <w:bCs/>
          <w:color w:val="000000"/>
          <w:sz w:val="24"/>
          <w:szCs w:val="24"/>
        </w:rPr>
        <w:t xml:space="preserve">The development of passport issuance at the Pati </w:t>
      </w:r>
      <w:r w:rsidR="007E4886">
        <w:rPr>
          <w:rFonts w:ascii="Book Antiqua" w:eastAsia="Book Antiqua" w:hAnsi="Book Antiqua" w:cs="Book Antiqua"/>
          <w:bCs/>
          <w:color w:val="000000"/>
          <w:sz w:val="24"/>
          <w:szCs w:val="24"/>
        </w:rPr>
        <w:t>Non-Checkpoint</w:t>
      </w:r>
      <w:r w:rsidRPr="006C699D">
        <w:rPr>
          <w:rFonts w:ascii="Book Antiqua" w:eastAsia="Book Antiqua" w:hAnsi="Book Antiqua" w:cs="Book Antiqua"/>
          <w:bCs/>
          <w:color w:val="000000"/>
          <w:sz w:val="24"/>
          <w:szCs w:val="24"/>
        </w:rPr>
        <w:t xml:space="preserve"> Class I Immigration Office in the period December 2021 to May 2022 is shown in the table</w:t>
      </w:r>
      <w:r>
        <w:rPr>
          <w:rFonts w:ascii="Book Antiqua" w:eastAsia="Book Antiqua" w:hAnsi="Book Antiqua" w:cs="Book Antiqua"/>
          <w:bCs/>
          <w:color w:val="000000"/>
          <w:sz w:val="24"/>
          <w:szCs w:val="24"/>
        </w:rPr>
        <w:t xml:space="preserve"> 1.</w:t>
      </w:r>
    </w:p>
    <w:p w14:paraId="165599DD" w14:textId="77777777" w:rsidR="008F4F57" w:rsidRDefault="008F4F57" w:rsidP="00386E08">
      <w:pPr>
        <w:pStyle w:val="TableParagraph"/>
        <w:spacing w:line="275" w:lineRule="exact"/>
        <w:ind w:left="115"/>
        <w:jc w:val="left"/>
        <w:rPr>
          <w:b/>
          <w:i/>
          <w:sz w:val="24"/>
        </w:rPr>
        <w:sectPr w:rsidR="008F4F57">
          <w:type w:val="continuous"/>
          <w:pgSz w:w="12240" w:h="15840"/>
          <w:pgMar w:top="993" w:right="1041" w:bottom="993" w:left="1418" w:header="1152" w:footer="426" w:gutter="0"/>
          <w:cols w:num="2" w:space="720" w:equalWidth="0">
            <w:col w:w="4678" w:space="425"/>
            <w:col w:w="4678" w:space="0"/>
          </w:cols>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2261"/>
        <w:gridCol w:w="1288"/>
        <w:gridCol w:w="1076"/>
        <w:gridCol w:w="1209"/>
        <w:gridCol w:w="1021"/>
        <w:gridCol w:w="1125"/>
        <w:gridCol w:w="1010"/>
      </w:tblGrid>
      <w:tr w:rsidR="008F4F57" w:rsidRPr="00810533" w14:paraId="6D68FCE5" w14:textId="77777777" w:rsidTr="00810533">
        <w:trPr>
          <w:trHeight w:val="414"/>
        </w:trPr>
        <w:tc>
          <w:tcPr>
            <w:tcW w:w="9578" w:type="dxa"/>
            <w:gridSpan w:val="8"/>
            <w:tcBorders>
              <w:top w:val="nil"/>
              <w:left w:val="nil"/>
              <w:bottom w:val="single" w:sz="4" w:space="0" w:color="auto"/>
              <w:right w:val="nil"/>
            </w:tcBorders>
          </w:tcPr>
          <w:p w14:paraId="7BCC731C" w14:textId="66BC7B12" w:rsidR="008F4F57" w:rsidRPr="00810533" w:rsidRDefault="008F4F57" w:rsidP="008F4F57">
            <w:pPr>
              <w:pStyle w:val="TableParagraph"/>
              <w:spacing w:line="275" w:lineRule="exact"/>
              <w:ind w:left="92" w:right="129"/>
              <w:rPr>
                <w:rFonts w:ascii="Book Antiqua" w:hAnsi="Book Antiqua"/>
                <w:b/>
                <w:i/>
                <w:sz w:val="24"/>
              </w:rPr>
            </w:pPr>
            <w:r w:rsidRPr="00810533">
              <w:rPr>
                <w:rFonts w:ascii="Book Antiqua" w:hAnsi="Book Antiqua"/>
                <w:b/>
                <w:i/>
                <w:szCs w:val="20"/>
              </w:rPr>
              <w:t>Table 1. Passport Issuance Data of Immigration Office Class I Non</w:t>
            </w:r>
            <w:r w:rsidR="00810533" w:rsidRPr="00810533">
              <w:rPr>
                <w:rFonts w:ascii="Book Antiqua" w:hAnsi="Book Antiqua"/>
                <w:b/>
                <w:i/>
                <w:szCs w:val="20"/>
              </w:rPr>
              <w:t>-Checkpoint</w:t>
            </w:r>
            <w:r w:rsidRPr="00810533">
              <w:rPr>
                <w:rFonts w:ascii="Book Antiqua" w:hAnsi="Book Antiqua"/>
                <w:b/>
                <w:i/>
                <w:szCs w:val="20"/>
              </w:rPr>
              <w:t xml:space="preserve"> Pati Period December 2021 to May 2022</w:t>
            </w:r>
          </w:p>
        </w:tc>
      </w:tr>
      <w:tr w:rsidR="008F4F57" w:rsidRPr="00810533" w14:paraId="21C9CFAB" w14:textId="77777777" w:rsidTr="00810533">
        <w:trPr>
          <w:trHeight w:val="414"/>
        </w:trPr>
        <w:tc>
          <w:tcPr>
            <w:tcW w:w="588" w:type="dxa"/>
            <w:vMerge w:val="restart"/>
            <w:tcBorders>
              <w:top w:val="single" w:sz="4" w:space="0" w:color="auto"/>
              <w:left w:val="nil"/>
              <w:bottom w:val="single" w:sz="4" w:space="0" w:color="auto"/>
              <w:right w:val="nil"/>
            </w:tcBorders>
          </w:tcPr>
          <w:p w14:paraId="2AE6280C" w14:textId="77777777" w:rsidR="008F4F57" w:rsidRPr="00810533" w:rsidRDefault="008F4F57" w:rsidP="00386E08">
            <w:pPr>
              <w:pStyle w:val="TableParagraph"/>
              <w:spacing w:line="275" w:lineRule="exact"/>
              <w:ind w:left="115"/>
              <w:jc w:val="left"/>
              <w:rPr>
                <w:rFonts w:ascii="Book Antiqua" w:hAnsi="Book Antiqua"/>
                <w:b/>
                <w:i/>
                <w:sz w:val="24"/>
              </w:rPr>
            </w:pPr>
            <w:r w:rsidRPr="00810533">
              <w:rPr>
                <w:rFonts w:ascii="Book Antiqua" w:hAnsi="Book Antiqua"/>
                <w:b/>
                <w:i/>
                <w:sz w:val="24"/>
              </w:rPr>
              <w:t>No.</w:t>
            </w:r>
          </w:p>
        </w:tc>
        <w:tc>
          <w:tcPr>
            <w:tcW w:w="2261" w:type="dxa"/>
            <w:vMerge w:val="restart"/>
            <w:tcBorders>
              <w:top w:val="single" w:sz="4" w:space="0" w:color="auto"/>
              <w:left w:val="nil"/>
              <w:bottom w:val="single" w:sz="4" w:space="0" w:color="auto"/>
              <w:right w:val="nil"/>
            </w:tcBorders>
          </w:tcPr>
          <w:p w14:paraId="5A9B3012" w14:textId="77777777" w:rsidR="008F4F57" w:rsidRPr="00810533" w:rsidRDefault="008F4F57" w:rsidP="00386E08">
            <w:pPr>
              <w:pStyle w:val="TableParagraph"/>
              <w:spacing w:line="275" w:lineRule="exact"/>
              <w:ind w:left="431"/>
              <w:jc w:val="left"/>
              <w:rPr>
                <w:rFonts w:ascii="Book Antiqua" w:hAnsi="Book Antiqua"/>
                <w:b/>
                <w:i/>
                <w:sz w:val="24"/>
              </w:rPr>
            </w:pPr>
            <w:r w:rsidRPr="00810533">
              <w:rPr>
                <w:rFonts w:ascii="Book Antiqua" w:hAnsi="Book Antiqua"/>
                <w:b/>
                <w:i/>
                <w:sz w:val="24"/>
              </w:rPr>
              <w:t>Passport</w:t>
            </w:r>
            <w:r w:rsidRPr="00810533">
              <w:rPr>
                <w:rFonts w:ascii="Book Antiqua" w:hAnsi="Book Antiqua"/>
                <w:b/>
                <w:i/>
                <w:spacing w:val="-2"/>
                <w:sz w:val="24"/>
              </w:rPr>
              <w:t xml:space="preserve"> </w:t>
            </w:r>
            <w:r w:rsidRPr="00810533">
              <w:rPr>
                <w:rFonts w:ascii="Book Antiqua" w:hAnsi="Book Antiqua"/>
                <w:b/>
                <w:i/>
                <w:sz w:val="24"/>
              </w:rPr>
              <w:t>Type</w:t>
            </w:r>
          </w:p>
        </w:tc>
        <w:tc>
          <w:tcPr>
            <w:tcW w:w="1288" w:type="dxa"/>
            <w:tcBorders>
              <w:top w:val="single" w:sz="4" w:space="0" w:color="auto"/>
              <w:left w:val="nil"/>
              <w:bottom w:val="nil"/>
              <w:right w:val="nil"/>
            </w:tcBorders>
          </w:tcPr>
          <w:p w14:paraId="0E9008F8" w14:textId="77777777" w:rsidR="008F4F57" w:rsidRPr="00810533" w:rsidRDefault="008F4F57" w:rsidP="00386E08">
            <w:pPr>
              <w:pStyle w:val="TableParagraph"/>
              <w:spacing w:line="275" w:lineRule="exact"/>
              <w:ind w:left="121" w:right="113"/>
              <w:rPr>
                <w:rFonts w:ascii="Book Antiqua" w:hAnsi="Book Antiqua"/>
                <w:b/>
                <w:i/>
                <w:sz w:val="24"/>
              </w:rPr>
            </w:pPr>
            <w:r w:rsidRPr="00810533">
              <w:rPr>
                <w:rFonts w:ascii="Book Antiqua" w:hAnsi="Book Antiqua"/>
                <w:b/>
                <w:i/>
                <w:sz w:val="24"/>
              </w:rPr>
              <w:t>2021</w:t>
            </w:r>
          </w:p>
        </w:tc>
        <w:tc>
          <w:tcPr>
            <w:tcW w:w="5441" w:type="dxa"/>
            <w:gridSpan w:val="5"/>
            <w:tcBorders>
              <w:top w:val="single" w:sz="4" w:space="0" w:color="auto"/>
              <w:left w:val="nil"/>
              <w:bottom w:val="nil"/>
              <w:right w:val="nil"/>
            </w:tcBorders>
          </w:tcPr>
          <w:p w14:paraId="46B4D12F" w14:textId="77777777" w:rsidR="008F4F57" w:rsidRPr="00810533" w:rsidRDefault="008F4F57" w:rsidP="00386E08">
            <w:pPr>
              <w:pStyle w:val="TableParagraph"/>
              <w:spacing w:line="275" w:lineRule="exact"/>
              <w:ind w:left="2455" w:right="2455"/>
              <w:rPr>
                <w:rFonts w:ascii="Book Antiqua" w:hAnsi="Book Antiqua"/>
                <w:b/>
                <w:i/>
                <w:sz w:val="24"/>
              </w:rPr>
            </w:pPr>
            <w:r w:rsidRPr="00810533">
              <w:rPr>
                <w:rFonts w:ascii="Book Antiqua" w:hAnsi="Book Antiqua"/>
                <w:b/>
                <w:i/>
                <w:sz w:val="24"/>
              </w:rPr>
              <w:t>2022</w:t>
            </w:r>
          </w:p>
        </w:tc>
      </w:tr>
      <w:tr w:rsidR="008F4F57" w:rsidRPr="00810533" w14:paraId="4B5F3790" w14:textId="77777777" w:rsidTr="00810533">
        <w:trPr>
          <w:trHeight w:val="413"/>
        </w:trPr>
        <w:tc>
          <w:tcPr>
            <w:tcW w:w="588" w:type="dxa"/>
            <w:vMerge/>
            <w:tcBorders>
              <w:top w:val="nil"/>
              <w:left w:val="nil"/>
              <w:bottom w:val="single" w:sz="4" w:space="0" w:color="auto"/>
              <w:right w:val="nil"/>
            </w:tcBorders>
          </w:tcPr>
          <w:p w14:paraId="5630938F" w14:textId="77777777" w:rsidR="008F4F57" w:rsidRPr="00810533" w:rsidRDefault="008F4F57" w:rsidP="00386E08">
            <w:pPr>
              <w:rPr>
                <w:rFonts w:ascii="Book Antiqua" w:hAnsi="Book Antiqua"/>
                <w:sz w:val="2"/>
                <w:szCs w:val="2"/>
              </w:rPr>
            </w:pPr>
          </w:p>
        </w:tc>
        <w:tc>
          <w:tcPr>
            <w:tcW w:w="2261" w:type="dxa"/>
            <w:vMerge/>
            <w:tcBorders>
              <w:top w:val="nil"/>
              <w:left w:val="nil"/>
              <w:bottom w:val="single" w:sz="4" w:space="0" w:color="auto"/>
              <w:right w:val="nil"/>
            </w:tcBorders>
          </w:tcPr>
          <w:p w14:paraId="2099B6E2" w14:textId="77777777" w:rsidR="008F4F57" w:rsidRPr="00810533" w:rsidRDefault="008F4F57" w:rsidP="00386E08">
            <w:pPr>
              <w:rPr>
                <w:rFonts w:ascii="Book Antiqua" w:hAnsi="Book Antiqua"/>
                <w:sz w:val="2"/>
                <w:szCs w:val="2"/>
              </w:rPr>
            </w:pPr>
          </w:p>
        </w:tc>
        <w:tc>
          <w:tcPr>
            <w:tcW w:w="1288" w:type="dxa"/>
            <w:tcBorders>
              <w:top w:val="nil"/>
              <w:left w:val="nil"/>
              <w:bottom w:val="single" w:sz="4" w:space="0" w:color="auto"/>
              <w:right w:val="nil"/>
            </w:tcBorders>
          </w:tcPr>
          <w:p w14:paraId="4409BF16" w14:textId="77777777" w:rsidR="008F4F57" w:rsidRPr="00810533" w:rsidRDefault="008F4F57" w:rsidP="00386E08">
            <w:pPr>
              <w:pStyle w:val="TableParagraph"/>
              <w:spacing w:line="275" w:lineRule="exact"/>
              <w:ind w:left="121" w:right="117"/>
              <w:rPr>
                <w:rFonts w:ascii="Book Antiqua" w:hAnsi="Book Antiqua"/>
                <w:b/>
                <w:i/>
                <w:sz w:val="24"/>
              </w:rPr>
            </w:pPr>
            <w:r w:rsidRPr="00810533">
              <w:rPr>
                <w:rFonts w:ascii="Book Antiqua" w:hAnsi="Book Antiqua"/>
                <w:b/>
                <w:i/>
                <w:sz w:val="24"/>
              </w:rPr>
              <w:t>December</w:t>
            </w:r>
          </w:p>
        </w:tc>
        <w:tc>
          <w:tcPr>
            <w:tcW w:w="1076" w:type="dxa"/>
            <w:tcBorders>
              <w:top w:val="nil"/>
              <w:left w:val="nil"/>
              <w:bottom w:val="single" w:sz="4" w:space="0" w:color="auto"/>
              <w:right w:val="nil"/>
            </w:tcBorders>
          </w:tcPr>
          <w:p w14:paraId="44F497AB" w14:textId="77777777" w:rsidR="008F4F57" w:rsidRPr="00810533" w:rsidRDefault="008F4F57" w:rsidP="00386E08">
            <w:pPr>
              <w:pStyle w:val="TableParagraph"/>
              <w:spacing w:line="275" w:lineRule="exact"/>
              <w:ind w:left="101" w:right="98"/>
              <w:rPr>
                <w:rFonts w:ascii="Book Antiqua" w:hAnsi="Book Antiqua"/>
                <w:b/>
                <w:i/>
                <w:sz w:val="24"/>
              </w:rPr>
            </w:pPr>
            <w:r w:rsidRPr="00810533">
              <w:rPr>
                <w:rFonts w:ascii="Book Antiqua" w:hAnsi="Book Antiqua"/>
                <w:b/>
                <w:i/>
                <w:sz w:val="24"/>
              </w:rPr>
              <w:t>January</w:t>
            </w:r>
          </w:p>
        </w:tc>
        <w:tc>
          <w:tcPr>
            <w:tcW w:w="1209" w:type="dxa"/>
            <w:tcBorders>
              <w:top w:val="nil"/>
              <w:left w:val="nil"/>
              <w:bottom w:val="single" w:sz="4" w:space="0" w:color="auto"/>
              <w:right w:val="nil"/>
            </w:tcBorders>
          </w:tcPr>
          <w:p w14:paraId="766B4B71" w14:textId="77777777" w:rsidR="008F4F57" w:rsidRPr="00810533" w:rsidRDefault="008F4F57" w:rsidP="00386E08">
            <w:pPr>
              <w:pStyle w:val="TableParagraph"/>
              <w:spacing w:line="275" w:lineRule="exact"/>
              <w:ind w:left="113" w:right="111"/>
              <w:rPr>
                <w:rFonts w:ascii="Book Antiqua" w:hAnsi="Book Antiqua"/>
                <w:b/>
                <w:i/>
                <w:sz w:val="24"/>
              </w:rPr>
            </w:pPr>
            <w:r w:rsidRPr="00810533">
              <w:rPr>
                <w:rFonts w:ascii="Book Antiqua" w:hAnsi="Book Antiqua"/>
                <w:b/>
                <w:i/>
                <w:sz w:val="24"/>
              </w:rPr>
              <w:t>February</w:t>
            </w:r>
          </w:p>
        </w:tc>
        <w:tc>
          <w:tcPr>
            <w:tcW w:w="1021" w:type="dxa"/>
            <w:tcBorders>
              <w:top w:val="nil"/>
              <w:left w:val="nil"/>
              <w:bottom w:val="single" w:sz="4" w:space="0" w:color="auto"/>
              <w:right w:val="nil"/>
            </w:tcBorders>
          </w:tcPr>
          <w:p w14:paraId="0D3A2378" w14:textId="77777777" w:rsidR="008F4F57" w:rsidRPr="00810533" w:rsidRDefault="008F4F57" w:rsidP="00386E08">
            <w:pPr>
              <w:pStyle w:val="TableParagraph"/>
              <w:spacing w:line="275" w:lineRule="exact"/>
              <w:ind w:left="0" w:right="173"/>
              <w:jc w:val="right"/>
              <w:rPr>
                <w:rFonts w:ascii="Book Antiqua" w:hAnsi="Book Antiqua"/>
                <w:b/>
                <w:i/>
                <w:sz w:val="24"/>
              </w:rPr>
            </w:pPr>
            <w:r w:rsidRPr="00810533">
              <w:rPr>
                <w:rFonts w:ascii="Book Antiqua" w:hAnsi="Book Antiqua"/>
                <w:b/>
                <w:i/>
                <w:sz w:val="24"/>
              </w:rPr>
              <w:t>March</w:t>
            </w:r>
          </w:p>
        </w:tc>
        <w:tc>
          <w:tcPr>
            <w:tcW w:w="1125" w:type="dxa"/>
            <w:tcBorders>
              <w:top w:val="nil"/>
              <w:left w:val="nil"/>
              <w:bottom w:val="single" w:sz="4" w:space="0" w:color="auto"/>
              <w:right w:val="nil"/>
            </w:tcBorders>
          </w:tcPr>
          <w:p w14:paraId="0A6F57FD" w14:textId="77777777" w:rsidR="008F4F57" w:rsidRPr="00810533" w:rsidRDefault="008F4F57" w:rsidP="00386E08">
            <w:pPr>
              <w:pStyle w:val="TableParagraph"/>
              <w:spacing w:line="275" w:lineRule="exact"/>
              <w:ind w:left="268" w:right="264"/>
              <w:rPr>
                <w:rFonts w:ascii="Book Antiqua" w:hAnsi="Book Antiqua"/>
                <w:b/>
                <w:i/>
                <w:sz w:val="24"/>
              </w:rPr>
            </w:pPr>
            <w:r w:rsidRPr="00810533">
              <w:rPr>
                <w:rFonts w:ascii="Book Antiqua" w:hAnsi="Book Antiqua"/>
                <w:b/>
                <w:i/>
                <w:sz w:val="24"/>
              </w:rPr>
              <w:t>April</w:t>
            </w:r>
          </w:p>
        </w:tc>
        <w:tc>
          <w:tcPr>
            <w:tcW w:w="1010" w:type="dxa"/>
            <w:tcBorders>
              <w:top w:val="nil"/>
              <w:left w:val="nil"/>
              <w:bottom w:val="single" w:sz="4" w:space="0" w:color="auto"/>
              <w:right w:val="nil"/>
            </w:tcBorders>
          </w:tcPr>
          <w:p w14:paraId="6C8F2A86" w14:textId="77777777" w:rsidR="008F4F57" w:rsidRPr="00810533" w:rsidRDefault="008F4F57" w:rsidP="00386E08">
            <w:pPr>
              <w:pStyle w:val="TableParagraph"/>
              <w:spacing w:line="275" w:lineRule="exact"/>
              <w:ind w:left="210" w:right="209"/>
              <w:rPr>
                <w:rFonts w:ascii="Book Antiqua" w:hAnsi="Book Antiqua"/>
                <w:b/>
                <w:i/>
                <w:sz w:val="24"/>
              </w:rPr>
            </w:pPr>
            <w:r w:rsidRPr="00810533">
              <w:rPr>
                <w:rFonts w:ascii="Book Antiqua" w:hAnsi="Book Antiqua"/>
                <w:b/>
                <w:i/>
                <w:sz w:val="24"/>
              </w:rPr>
              <w:t>May</w:t>
            </w:r>
          </w:p>
        </w:tc>
      </w:tr>
      <w:tr w:rsidR="008F4F57" w:rsidRPr="00810533" w14:paraId="59F0F81B" w14:textId="77777777" w:rsidTr="00810533">
        <w:trPr>
          <w:trHeight w:val="413"/>
        </w:trPr>
        <w:tc>
          <w:tcPr>
            <w:tcW w:w="588" w:type="dxa"/>
            <w:tcBorders>
              <w:top w:val="single" w:sz="4" w:space="0" w:color="auto"/>
              <w:left w:val="nil"/>
              <w:bottom w:val="nil"/>
              <w:right w:val="nil"/>
            </w:tcBorders>
          </w:tcPr>
          <w:p w14:paraId="1EE363E9" w14:textId="77777777" w:rsidR="008F4F57" w:rsidRPr="00810533" w:rsidRDefault="008F4F57" w:rsidP="00386E08">
            <w:pPr>
              <w:pStyle w:val="TableParagraph"/>
              <w:spacing w:line="275" w:lineRule="exact"/>
              <w:ind w:left="202"/>
              <w:jc w:val="left"/>
              <w:rPr>
                <w:rFonts w:ascii="Book Antiqua" w:hAnsi="Book Antiqua"/>
                <w:sz w:val="24"/>
              </w:rPr>
            </w:pPr>
            <w:r w:rsidRPr="00810533">
              <w:rPr>
                <w:rFonts w:ascii="Book Antiqua" w:hAnsi="Book Antiqua"/>
                <w:sz w:val="24"/>
              </w:rPr>
              <w:t>1.</w:t>
            </w:r>
          </w:p>
        </w:tc>
        <w:tc>
          <w:tcPr>
            <w:tcW w:w="2261" w:type="dxa"/>
            <w:tcBorders>
              <w:top w:val="single" w:sz="4" w:space="0" w:color="auto"/>
              <w:left w:val="nil"/>
              <w:bottom w:val="nil"/>
              <w:right w:val="nil"/>
            </w:tcBorders>
          </w:tcPr>
          <w:p w14:paraId="147C97E5" w14:textId="77777777" w:rsidR="008F4F57" w:rsidRPr="00810533" w:rsidRDefault="008F4F57" w:rsidP="00386E08">
            <w:pPr>
              <w:pStyle w:val="TableParagraph"/>
              <w:spacing w:line="275" w:lineRule="exact"/>
              <w:ind w:left="106"/>
              <w:jc w:val="left"/>
              <w:rPr>
                <w:rFonts w:ascii="Book Antiqua" w:hAnsi="Book Antiqua"/>
                <w:sz w:val="24"/>
              </w:rPr>
            </w:pPr>
            <w:r w:rsidRPr="00810533">
              <w:rPr>
                <w:rFonts w:ascii="Book Antiqua" w:hAnsi="Book Antiqua"/>
                <w:sz w:val="24"/>
              </w:rPr>
              <w:t>48-Page</w:t>
            </w:r>
            <w:r w:rsidRPr="00810533">
              <w:rPr>
                <w:rFonts w:ascii="Book Antiqua" w:hAnsi="Book Antiqua"/>
                <w:spacing w:val="-2"/>
                <w:sz w:val="24"/>
              </w:rPr>
              <w:t xml:space="preserve"> </w:t>
            </w:r>
            <w:r w:rsidRPr="00810533">
              <w:rPr>
                <w:rFonts w:ascii="Book Antiqua" w:hAnsi="Book Antiqua"/>
                <w:sz w:val="24"/>
              </w:rPr>
              <w:t>Passport</w:t>
            </w:r>
          </w:p>
        </w:tc>
        <w:tc>
          <w:tcPr>
            <w:tcW w:w="1288" w:type="dxa"/>
            <w:tcBorders>
              <w:top w:val="single" w:sz="4" w:space="0" w:color="auto"/>
              <w:left w:val="nil"/>
              <w:bottom w:val="nil"/>
              <w:right w:val="nil"/>
            </w:tcBorders>
          </w:tcPr>
          <w:p w14:paraId="0ADBF327" w14:textId="77777777" w:rsidR="008F4F57" w:rsidRPr="00810533" w:rsidRDefault="008F4F57" w:rsidP="00386E08">
            <w:pPr>
              <w:pStyle w:val="TableParagraph"/>
              <w:spacing w:line="275" w:lineRule="exact"/>
              <w:ind w:left="121" w:right="113"/>
              <w:rPr>
                <w:rFonts w:ascii="Book Antiqua" w:hAnsi="Book Antiqua"/>
                <w:sz w:val="24"/>
              </w:rPr>
            </w:pPr>
            <w:r w:rsidRPr="00810533">
              <w:rPr>
                <w:rFonts w:ascii="Book Antiqua" w:hAnsi="Book Antiqua"/>
                <w:sz w:val="24"/>
              </w:rPr>
              <w:t>725</w:t>
            </w:r>
          </w:p>
        </w:tc>
        <w:tc>
          <w:tcPr>
            <w:tcW w:w="1076" w:type="dxa"/>
            <w:tcBorders>
              <w:top w:val="single" w:sz="4" w:space="0" w:color="auto"/>
              <w:left w:val="nil"/>
              <w:bottom w:val="nil"/>
              <w:right w:val="nil"/>
            </w:tcBorders>
          </w:tcPr>
          <w:p w14:paraId="330BD32B" w14:textId="77777777" w:rsidR="008F4F57" w:rsidRPr="00810533" w:rsidRDefault="008F4F57" w:rsidP="00386E08">
            <w:pPr>
              <w:pStyle w:val="TableParagraph"/>
              <w:spacing w:line="275" w:lineRule="exact"/>
              <w:ind w:left="101" w:right="96"/>
              <w:rPr>
                <w:rFonts w:ascii="Book Antiqua" w:hAnsi="Book Antiqua"/>
                <w:sz w:val="24"/>
              </w:rPr>
            </w:pPr>
            <w:r w:rsidRPr="00810533">
              <w:rPr>
                <w:rFonts w:ascii="Book Antiqua" w:hAnsi="Book Antiqua"/>
                <w:sz w:val="24"/>
              </w:rPr>
              <w:t>763</w:t>
            </w:r>
          </w:p>
        </w:tc>
        <w:tc>
          <w:tcPr>
            <w:tcW w:w="1209" w:type="dxa"/>
            <w:tcBorders>
              <w:top w:val="single" w:sz="4" w:space="0" w:color="auto"/>
              <w:left w:val="nil"/>
              <w:bottom w:val="nil"/>
              <w:right w:val="nil"/>
            </w:tcBorders>
          </w:tcPr>
          <w:p w14:paraId="67B0F4B5" w14:textId="77777777" w:rsidR="008F4F57" w:rsidRPr="00810533" w:rsidRDefault="008F4F57" w:rsidP="00386E08">
            <w:pPr>
              <w:pStyle w:val="TableParagraph"/>
              <w:spacing w:line="275" w:lineRule="exact"/>
              <w:ind w:left="113" w:right="109"/>
              <w:rPr>
                <w:rFonts w:ascii="Book Antiqua" w:hAnsi="Book Antiqua"/>
                <w:sz w:val="24"/>
              </w:rPr>
            </w:pPr>
            <w:r w:rsidRPr="00810533">
              <w:rPr>
                <w:rFonts w:ascii="Book Antiqua" w:hAnsi="Book Antiqua"/>
                <w:sz w:val="24"/>
              </w:rPr>
              <w:t>1.416</w:t>
            </w:r>
          </w:p>
        </w:tc>
        <w:tc>
          <w:tcPr>
            <w:tcW w:w="1021" w:type="dxa"/>
            <w:tcBorders>
              <w:top w:val="single" w:sz="4" w:space="0" w:color="auto"/>
              <w:left w:val="nil"/>
              <w:bottom w:val="nil"/>
              <w:right w:val="nil"/>
            </w:tcBorders>
          </w:tcPr>
          <w:p w14:paraId="0AA8A6AA" w14:textId="77777777" w:rsidR="008F4F57" w:rsidRPr="00810533" w:rsidRDefault="008F4F57" w:rsidP="00386E08">
            <w:pPr>
              <w:pStyle w:val="TableParagraph"/>
              <w:spacing w:line="275" w:lineRule="exact"/>
              <w:ind w:left="0" w:right="233"/>
              <w:jc w:val="right"/>
              <w:rPr>
                <w:rFonts w:ascii="Book Antiqua" w:hAnsi="Book Antiqua"/>
                <w:sz w:val="24"/>
              </w:rPr>
            </w:pPr>
            <w:r w:rsidRPr="00810533">
              <w:rPr>
                <w:rFonts w:ascii="Book Antiqua" w:hAnsi="Book Antiqua"/>
                <w:sz w:val="24"/>
              </w:rPr>
              <w:t>2.109</w:t>
            </w:r>
          </w:p>
        </w:tc>
        <w:tc>
          <w:tcPr>
            <w:tcW w:w="1125" w:type="dxa"/>
            <w:tcBorders>
              <w:top w:val="single" w:sz="4" w:space="0" w:color="auto"/>
              <w:left w:val="nil"/>
              <w:bottom w:val="nil"/>
              <w:right w:val="nil"/>
            </w:tcBorders>
          </w:tcPr>
          <w:p w14:paraId="030E723F" w14:textId="77777777" w:rsidR="008F4F57" w:rsidRPr="00810533" w:rsidRDefault="008F4F57" w:rsidP="00386E08">
            <w:pPr>
              <w:pStyle w:val="TableParagraph"/>
              <w:spacing w:line="275" w:lineRule="exact"/>
              <w:ind w:left="270" w:right="264"/>
              <w:rPr>
                <w:rFonts w:ascii="Book Antiqua" w:hAnsi="Book Antiqua"/>
                <w:sz w:val="24"/>
              </w:rPr>
            </w:pPr>
            <w:r w:rsidRPr="00810533">
              <w:rPr>
                <w:rFonts w:ascii="Book Antiqua" w:hAnsi="Book Antiqua"/>
                <w:sz w:val="24"/>
              </w:rPr>
              <w:t>2.419</w:t>
            </w:r>
          </w:p>
        </w:tc>
        <w:tc>
          <w:tcPr>
            <w:tcW w:w="1010" w:type="dxa"/>
            <w:tcBorders>
              <w:top w:val="single" w:sz="4" w:space="0" w:color="auto"/>
              <w:left w:val="nil"/>
              <w:bottom w:val="nil"/>
              <w:right w:val="nil"/>
            </w:tcBorders>
          </w:tcPr>
          <w:p w14:paraId="5C418DFD" w14:textId="77777777" w:rsidR="008F4F57" w:rsidRPr="00810533" w:rsidRDefault="008F4F57" w:rsidP="00386E08">
            <w:pPr>
              <w:pStyle w:val="TableParagraph"/>
              <w:spacing w:line="275" w:lineRule="exact"/>
              <w:ind w:left="210" w:right="210"/>
              <w:rPr>
                <w:rFonts w:ascii="Book Antiqua" w:hAnsi="Book Antiqua"/>
                <w:sz w:val="24"/>
              </w:rPr>
            </w:pPr>
            <w:r w:rsidRPr="00810533">
              <w:rPr>
                <w:rFonts w:ascii="Book Antiqua" w:hAnsi="Book Antiqua"/>
                <w:sz w:val="24"/>
              </w:rPr>
              <w:t>1.904</w:t>
            </w:r>
          </w:p>
        </w:tc>
      </w:tr>
      <w:tr w:rsidR="008F4F57" w:rsidRPr="00810533" w14:paraId="5BE953BB" w14:textId="77777777" w:rsidTr="00810533">
        <w:trPr>
          <w:trHeight w:val="414"/>
        </w:trPr>
        <w:tc>
          <w:tcPr>
            <w:tcW w:w="588" w:type="dxa"/>
            <w:tcBorders>
              <w:top w:val="nil"/>
              <w:left w:val="nil"/>
              <w:bottom w:val="nil"/>
              <w:right w:val="nil"/>
            </w:tcBorders>
          </w:tcPr>
          <w:p w14:paraId="0C6B0272" w14:textId="77777777" w:rsidR="008F4F57" w:rsidRPr="00810533" w:rsidRDefault="008F4F57" w:rsidP="00386E08">
            <w:pPr>
              <w:pStyle w:val="TableParagraph"/>
              <w:spacing w:line="275" w:lineRule="exact"/>
              <w:ind w:left="202"/>
              <w:jc w:val="left"/>
              <w:rPr>
                <w:rFonts w:ascii="Book Antiqua" w:hAnsi="Book Antiqua"/>
                <w:sz w:val="24"/>
              </w:rPr>
            </w:pPr>
            <w:r w:rsidRPr="00810533">
              <w:rPr>
                <w:rFonts w:ascii="Book Antiqua" w:hAnsi="Book Antiqua"/>
                <w:sz w:val="24"/>
              </w:rPr>
              <w:t>2.</w:t>
            </w:r>
          </w:p>
        </w:tc>
        <w:tc>
          <w:tcPr>
            <w:tcW w:w="2261" w:type="dxa"/>
            <w:tcBorders>
              <w:top w:val="nil"/>
              <w:left w:val="nil"/>
              <w:bottom w:val="nil"/>
              <w:right w:val="nil"/>
            </w:tcBorders>
          </w:tcPr>
          <w:p w14:paraId="004992B4" w14:textId="77777777" w:rsidR="008F4F57" w:rsidRPr="00810533" w:rsidRDefault="008F4F57" w:rsidP="00386E08">
            <w:pPr>
              <w:pStyle w:val="TableParagraph"/>
              <w:spacing w:line="275" w:lineRule="exact"/>
              <w:ind w:left="106"/>
              <w:jc w:val="left"/>
              <w:rPr>
                <w:rFonts w:ascii="Book Antiqua" w:hAnsi="Book Antiqua"/>
                <w:sz w:val="24"/>
              </w:rPr>
            </w:pPr>
            <w:r w:rsidRPr="00810533">
              <w:rPr>
                <w:rFonts w:ascii="Book Antiqua" w:hAnsi="Book Antiqua"/>
                <w:sz w:val="24"/>
              </w:rPr>
              <w:t>24-Page</w:t>
            </w:r>
            <w:r w:rsidRPr="00810533">
              <w:rPr>
                <w:rFonts w:ascii="Book Antiqua" w:hAnsi="Book Antiqua"/>
                <w:spacing w:val="-2"/>
                <w:sz w:val="24"/>
              </w:rPr>
              <w:t xml:space="preserve"> </w:t>
            </w:r>
            <w:r w:rsidRPr="00810533">
              <w:rPr>
                <w:rFonts w:ascii="Book Antiqua" w:hAnsi="Book Antiqua"/>
                <w:sz w:val="24"/>
              </w:rPr>
              <w:t>Passport</w:t>
            </w:r>
          </w:p>
        </w:tc>
        <w:tc>
          <w:tcPr>
            <w:tcW w:w="1288" w:type="dxa"/>
            <w:tcBorders>
              <w:top w:val="nil"/>
              <w:left w:val="nil"/>
              <w:bottom w:val="nil"/>
              <w:right w:val="nil"/>
            </w:tcBorders>
          </w:tcPr>
          <w:p w14:paraId="218DBB37" w14:textId="77777777" w:rsidR="008F4F57" w:rsidRPr="00810533" w:rsidRDefault="008F4F57" w:rsidP="00386E08">
            <w:pPr>
              <w:pStyle w:val="TableParagraph"/>
              <w:spacing w:line="275" w:lineRule="exact"/>
              <w:ind w:left="121" w:right="113"/>
              <w:rPr>
                <w:rFonts w:ascii="Book Antiqua" w:hAnsi="Book Antiqua"/>
                <w:sz w:val="24"/>
              </w:rPr>
            </w:pPr>
            <w:r w:rsidRPr="00810533">
              <w:rPr>
                <w:rFonts w:ascii="Book Antiqua" w:hAnsi="Book Antiqua"/>
                <w:sz w:val="24"/>
              </w:rPr>
              <w:t>61</w:t>
            </w:r>
          </w:p>
        </w:tc>
        <w:tc>
          <w:tcPr>
            <w:tcW w:w="1076" w:type="dxa"/>
            <w:tcBorders>
              <w:top w:val="nil"/>
              <w:left w:val="nil"/>
              <w:bottom w:val="nil"/>
              <w:right w:val="nil"/>
            </w:tcBorders>
          </w:tcPr>
          <w:p w14:paraId="5553ECD2" w14:textId="77777777" w:rsidR="008F4F57" w:rsidRPr="00810533" w:rsidRDefault="008F4F57" w:rsidP="00386E08">
            <w:pPr>
              <w:pStyle w:val="TableParagraph"/>
              <w:spacing w:line="275" w:lineRule="exact"/>
              <w:ind w:left="101" w:right="96"/>
              <w:rPr>
                <w:rFonts w:ascii="Book Antiqua" w:hAnsi="Book Antiqua"/>
                <w:sz w:val="24"/>
              </w:rPr>
            </w:pPr>
            <w:r w:rsidRPr="00810533">
              <w:rPr>
                <w:rFonts w:ascii="Book Antiqua" w:hAnsi="Book Antiqua"/>
                <w:sz w:val="24"/>
              </w:rPr>
              <w:t>70</w:t>
            </w:r>
          </w:p>
        </w:tc>
        <w:tc>
          <w:tcPr>
            <w:tcW w:w="1209" w:type="dxa"/>
            <w:tcBorders>
              <w:top w:val="nil"/>
              <w:left w:val="nil"/>
              <w:bottom w:val="nil"/>
              <w:right w:val="nil"/>
            </w:tcBorders>
          </w:tcPr>
          <w:p w14:paraId="0FB1133A" w14:textId="77777777" w:rsidR="008F4F57" w:rsidRPr="00810533" w:rsidRDefault="008F4F57" w:rsidP="00386E08">
            <w:pPr>
              <w:pStyle w:val="TableParagraph"/>
              <w:spacing w:line="275" w:lineRule="exact"/>
              <w:ind w:left="113" w:right="104"/>
              <w:rPr>
                <w:rFonts w:ascii="Book Antiqua" w:hAnsi="Book Antiqua"/>
                <w:sz w:val="24"/>
              </w:rPr>
            </w:pPr>
            <w:r w:rsidRPr="00810533">
              <w:rPr>
                <w:rFonts w:ascii="Book Antiqua" w:hAnsi="Book Antiqua"/>
                <w:sz w:val="24"/>
              </w:rPr>
              <w:t>74</w:t>
            </w:r>
          </w:p>
        </w:tc>
        <w:tc>
          <w:tcPr>
            <w:tcW w:w="1021" w:type="dxa"/>
            <w:tcBorders>
              <w:top w:val="nil"/>
              <w:left w:val="nil"/>
              <w:bottom w:val="nil"/>
              <w:right w:val="nil"/>
            </w:tcBorders>
          </w:tcPr>
          <w:p w14:paraId="173B50DE" w14:textId="77777777" w:rsidR="008F4F57" w:rsidRPr="00810533" w:rsidRDefault="008F4F57" w:rsidP="00386E08">
            <w:pPr>
              <w:pStyle w:val="TableParagraph"/>
              <w:spacing w:line="275" w:lineRule="exact"/>
              <w:ind w:left="364" w:right="366"/>
              <w:rPr>
                <w:rFonts w:ascii="Book Antiqua" w:hAnsi="Book Antiqua"/>
                <w:sz w:val="24"/>
              </w:rPr>
            </w:pPr>
            <w:r w:rsidRPr="00810533">
              <w:rPr>
                <w:rFonts w:ascii="Book Antiqua" w:hAnsi="Book Antiqua"/>
                <w:sz w:val="24"/>
              </w:rPr>
              <w:t>88</w:t>
            </w:r>
          </w:p>
        </w:tc>
        <w:tc>
          <w:tcPr>
            <w:tcW w:w="1125" w:type="dxa"/>
            <w:tcBorders>
              <w:top w:val="nil"/>
              <w:left w:val="nil"/>
              <w:bottom w:val="nil"/>
              <w:right w:val="nil"/>
            </w:tcBorders>
          </w:tcPr>
          <w:p w14:paraId="599A2259" w14:textId="77777777" w:rsidR="008F4F57" w:rsidRPr="00810533" w:rsidRDefault="008F4F57" w:rsidP="00386E08">
            <w:pPr>
              <w:pStyle w:val="TableParagraph"/>
              <w:spacing w:line="275" w:lineRule="exact"/>
              <w:ind w:left="270" w:right="260"/>
              <w:rPr>
                <w:rFonts w:ascii="Book Antiqua" w:hAnsi="Book Antiqua"/>
                <w:sz w:val="24"/>
              </w:rPr>
            </w:pPr>
            <w:r w:rsidRPr="00810533">
              <w:rPr>
                <w:rFonts w:ascii="Book Antiqua" w:hAnsi="Book Antiqua"/>
                <w:sz w:val="24"/>
              </w:rPr>
              <w:t>78</w:t>
            </w:r>
          </w:p>
        </w:tc>
        <w:tc>
          <w:tcPr>
            <w:tcW w:w="1010" w:type="dxa"/>
            <w:tcBorders>
              <w:top w:val="nil"/>
              <w:left w:val="nil"/>
              <w:bottom w:val="nil"/>
              <w:right w:val="nil"/>
            </w:tcBorders>
          </w:tcPr>
          <w:p w14:paraId="09249809" w14:textId="77777777" w:rsidR="008F4F57" w:rsidRPr="00810533" w:rsidRDefault="008F4F57" w:rsidP="00386E08">
            <w:pPr>
              <w:pStyle w:val="TableParagraph"/>
              <w:spacing w:line="275" w:lineRule="exact"/>
              <w:ind w:left="210" w:right="207"/>
              <w:rPr>
                <w:rFonts w:ascii="Book Antiqua" w:hAnsi="Book Antiqua"/>
                <w:sz w:val="24"/>
              </w:rPr>
            </w:pPr>
            <w:r w:rsidRPr="00810533">
              <w:rPr>
                <w:rFonts w:ascii="Book Antiqua" w:hAnsi="Book Antiqua"/>
                <w:sz w:val="24"/>
              </w:rPr>
              <w:t>90</w:t>
            </w:r>
          </w:p>
        </w:tc>
      </w:tr>
      <w:tr w:rsidR="008F4F57" w:rsidRPr="00810533" w14:paraId="761A3346" w14:textId="77777777" w:rsidTr="00810533">
        <w:trPr>
          <w:trHeight w:val="825"/>
        </w:trPr>
        <w:tc>
          <w:tcPr>
            <w:tcW w:w="588" w:type="dxa"/>
            <w:tcBorders>
              <w:top w:val="nil"/>
              <w:left w:val="nil"/>
              <w:bottom w:val="single" w:sz="4" w:space="0" w:color="auto"/>
              <w:right w:val="nil"/>
            </w:tcBorders>
          </w:tcPr>
          <w:p w14:paraId="213E0B32" w14:textId="77777777" w:rsidR="008F4F57" w:rsidRPr="00810533" w:rsidRDefault="008F4F57" w:rsidP="00386E08">
            <w:pPr>
              <w:pStyle w:val="TableParagraph"/>
              <w:spacing w:line="275" w:lineRule="exact"/>
              <w:ind w:left="202"/>
              <w:jc w:val="left"/>
              <w:rPr>
                <w:rFonts w:ascii="Book Antiqua" w:hAnsi="Book Antiqua"/>
                <w:sz w:val="24"/>
              </w:rPr>
            </w:pPr>
            <w:r w:rsidRPr="00810533">
              <w:rPr>
                <w:rFonts w:ascii="Book Antiqua" w:hAnsi="Book Antiqua"/>
                <w:sz w:val="24"/>
              </w:rPr>
              <w:t>3.</w:t>
            </w:r>
          </w:p>
        </w:tc>
        <w:tc>
          <w:tcPr>
            <w:tcW w:w="2261" w:type="dxa"/>
            <w:tcBorders>
              <w:top w:val="nil"/>
              <w:left w:val="nil"/>
              <w:bottom w:val="single" w:sz="4" w:space="0" w:color="auto"/>
              <w:right w:val="nil"/>
            </w:tcBorders>
          </w:tcPr>
          <w:p w14:paraId="644043F8" w14:textId="77777777" w:rsidR="008F4F57" w:rsidRPr="00810533" w:rsidRDefault="008F4F57" w:rsidP="00386E08">
            <w:pPr>
              <w:pStyle w:val="TableParagraph"/>
              <w:spacing w:line="275" w:lineRule="exact"/>
              <w:ind w:left="106"/>
              <w:jc w:val="left"/>
              <w:rPr>
                <w:rFonts w:ascii="Book Antiqua" w:hAnsi="Book Antiqua"/>
                <w:sz w:val="24"/>
              </w:rPr>
            </w:pPr>
            <w:r w:rsidRPr="00810533">
              <w:rPr>
                <w:rFonts w:ascii="Book Antiqua" w:hAnsi="Book Antiqua"/>
                <w:sz w:val="24"/>
              </w:rPr>
              <w:t>Damaged</w:t>
            </w:r>
            <w:r w:rsidRPr="00810533">
              <w:rPr>
                <w:rFonts w:ascii="Book Antiqua" w:hAnsi="Book Antiqua"/>
                <w:spacing w:val="-1"/>
                <w:sz w:val="24"/>
              </w:rPr>
              <w:t xml:space="preserve"> </w:t>
            </w:r>
            <w:r w:rsidRPr="00810533">
              <w:rPr>
                <w:rFonts w:ascii="Book Antiqua" w:hAnsi="Book Antiqua"/>
                <w:sz w:val="24"/>
              </w:rPr>
              <w:t>/</w:t>
            </w:r>
            <w:r w:rsidRPr="00810533">
              <w:rPr>
                <w:rFonts w:ascii="Book Antiqua" w:hAnsi="Book Antiqua"/>
                <w:spacing w:val="-4"/>
                <w:sz w:val="24"/>
              </w:rPr>
              <w:t xml:space="preserve"> </w:t>
            </w:r>
            <w:r w:rsidRPr="00810533">
              <w:rPr>
                <w:rFonts w:ascii="Book Antiqua" w:hAnsi="Book Antiqua"/>
                <w:sz w:val="24"/>
              </w:rPr>
              <w:t>Lost</w:t>
            </w:r>
          </w:p>
          <w:p w14:paraId="107C73E3" w14:textId="77777777" w:rsidR="008F4F57" w:rsidRPr="00810533" w:rsidRDefault="008F4F57" w:rsidP="00386E08">
            <w:pPr>
              <w:pStyle w:val="TableParagraph"/>
              <w:spacing w:before="140"/>
              <w:ind w:left="106"/>
              <w:jc w:val="left"/>
              <w:rPr>
                <w:rFonts w:ascii="Book Antiqua" w:hAnsi="Book Antiqua"/>
                <w:sz w:val="24"/>
              </w:rPr>
            </w:pPr>
            <w:r w:rsidRPr="00810533">
              <w:rPr>
                <w:rFonts w:ascii="Book Antiqua" w:hAnsi="Book Antiqua"/>
                <w:sz w:val="24"/>
              </w:rPr>
              <w:t>Passport</w:t>
            </w:r>
          </w:p>
        </w:tc>
        <w:tc>
          <w:tcPr>
            <w:tcW w:w="1288" w:type="dxa"/>
            <w:tcBorders>
              <w:top w:val="nil"/>
              <w:left w:val="nil"/>
              <w:bottom w:val="single" w:sz="4" w:space="0" w:color="auto"/>
              <w:right w:val="nil"/>
            </w:tcBorders>
          </w:tcPr>
          <w:p w14:paraId="1176896F" w14:textId="77777777" w:rsidR="008F4F57" w:rsidRPr="00810533" w:rsidRDefault="008F4F57" w:rsidP="00386E08">
            <w:pPr>
              <w:pStyle w:val="TableParagraph"/>
              <w:spacing w:line="275" w:lineRule="exact"/>
              <w:ind w:left="121" w:right="113"/>
              <w:rPr>
                <w:rFonts w:ascii="Book Antiqua" w:hAnsi="Book Antiqua"/>
                <w:sz w:val="24"/>
              </w:rPr>
            </w:pPr>
            <w:r w:rsidRPr="00810533">
              <w:rPr>
                <w:rFonts w:ascii="Book Antiqua" w:hAnsi="Book Antiqua"/>
                <w:sz w:val="24"/>
              </w:rPr>
              <w:t>20</w:t>
            </w:r>
          </w:p>
        </w:tc>
        <w:tc>
          <w:tcPr>
            <w:tcW w:w="1076" w:type="dxa"/>
            <w:tcBorders>
              <w:top w:val="nil"/>
              <w:left w:val="nil"/>
              <w:bottom w:val="single" w:sz="4" w:space="0" w:color="auto"/>
              <w:right w:val="nil"/>
            </w:tcBorders>
          </w:tcPr>
          <w:p w14:paraId="0B83231F" w14:textId="77777777" w:rsidR="008F4F57" w:rsidRPr="00810533" w:rsidRDefault="008F4F57" w:rsidP="00386E08">
            <w:pPr>
              <w:pStyle w:val="TableParagraph"/>
              <w:spacing w:line="275" w:lineRule="exact"/>
              <w:ind w:left="101" w:right="96"/>
              <w:rPr>
                <w:rFonts w:ascii="Book Antiqua" w:hAnsi="Book Antiqua"/>
                <w:sz w:val="24"/>
              </w:rPr>
            </w:pPr>
            <w:r w:rsidRPr="00810533">
              <w:rPr>
                <w:rFonts w:ascii="Book Antiqua" w:hAnsi="Book Antiqua"/>
                <w:sz w:val="24"/>
              </w:rPr>
              <w:t>46</w:t>
            </w:r>
          </w:p>
        </w:tc>
        <w:tc>
          <w:tcPr>
            <w:tcW w:w="1209" w:type="dxa"/>
            <w:tcBorders>
              <w:top w:val="nil"/>
              <w:left w:val="nil"/>
              <w:bottom w:val="single" w:sz="4" w:space="0" w:color="auto"/>
              <w:right w:val="nil"/>
            </w:tcBorders>
          </w:tcPr>
          <w:p w14:paraId="40E70DCA" w14:textId="77777777" w:rsidR="008F4F57" w:rsidRPr="00810533" w:rsidRDefault="008F4F57" w:rsidP="00386E08">
            <w:pPr>
              <w:pStyle w:val="TableParagraph"/>
              <w:spacing w:line="275" w:lineRule="exact"/>
              <w:ind w:left="113" w:right="104"/>
              <w:rPr>
                <w:rFonts w:ascii="Book Antiqua" w:hAnsi="Book Antiqua"/>
                <w:sz w:val="24"/>
              </w:rPr>
            </w:pPr>
            <w:r w:rsidRPr="00810533">
              <w:rPr>
                <w:rFonts w:ascii="Book Antiqua" w:hAnsi="Book Antiqua"/>
                <w:sz w:val="24"/>
              </w:rPr>
              <w:t>39</w:t>
            </w:r>
          </w:p>
        </w:tc>
        <w:tc>
          <w:tcPr>
            <w:tcW w:w="1021" w:type="dxa"/>
            <w:tcBorders>
              <w:top w:val="nil"/>
              <w:left w:val="nil"/>
              <w:bottom w:val="single" w:sz="4" w:space="0" w:color="auto"/>
              <w:right w:val="nil"/>
            </w:tcBorders>
          </w:tcPr>
          <w:p w14:paraId="7B08DAB1" w14:textId="77777777" w:rsidR="008F4F57" w:rsidRPr="00810533" w:rsidRDefault="008F4F57" w:rsidP="00386E08">
            <w:pPr>
              <w:pStyle w:val="TableParagraph"/>
              <w:spacing w:line="275" w:lineRule="exact"/>
              <w:ind w:left="364" w:right="366"/>
              <w:rPr>
                <w:rFonts w:ascii="Book Antiqua" w:hAnsi="Book Antiqua"/>
                <w:sz w:val="24"/>
              </w:rPr>
            </w:pPr>
            <w:r w:rsidRPr="00810533">
              <w:rPr>
                <w:rFonts w:ascii="Book Antiqua" w:hAnsi="Book Antiqua"/>
                <w:sz w:val="24"/>
              </w:rPr>
              <w:t>71</w:t>
            </w:r>
          </w:p>
        </w:tc>
        <w:tc>
          <w:tcPr>
            <w:tcW w:w="1125" w:type="dxa"/>
            <w:tcBorders>
              <w:top w:val="nil"/>
              <w:left w:val="nil"/>
              <w:bottom w:val="single" w:sz="4" w:space="0" w:color="auto"/>
              <w:right w:val="nil"/>
            </w:tcBorders>
          </w:tcPr>
          <w:p w14:paraId="1DBAB01D" w14:textId="77777777" w:rsidR="008F4F57" w:rsidRPr="00810533" w:rsidRDefault="008F4F57" w:rsidP="00386E08">
            <w:pPr>
              <w:pStyle w:val="TableParagraph"/>
              <w:spacing w:line="275" w:lineRule="exact"/>
              <w:ind w:left="270" w:right="260"/>
              <w:rPr>
                <w:rFonts w:ascii="Book Antiqua" w:hAnsi="Book Antiqua"/>
                <w:sz w:val="24"/>
              </w:rPr>
            </w:pPr>
            <w:r w:rsidRPr="00810533">
              <w:rPr>
                <w:rFonts w:ascii="Book Antiqua" w:hAnsi="Book Antiqua"/>
                <w:sz w:val="24"/>
              </w:rPr>
              <w:t>60</w:t>
            </w:r>
          </w:p>
        </w:tc>
        <w:tc>
          <w:tcPr>
            <w:tcW w:w="1010" w:type="dxa"/>
            <w:tcBorders>
              <w:top w:val="nil"/>
              <w:left w:val="nil"/>
              <w:bottom w:val="single" w:sz="4" w:space="0" w:color="auto"/>
              <w:right w:val="nil"/>
            </w:tcBorders>
          </w:tcPr>
          <w:p w14:paraId="1E030D19" w14:textId="77777777" w:rsidR="008F4F57" w:rsidRPr="00810533" w:rsidRDefault="008F4F57" w:rsidP="00386E08">
            <w:pPr>
              <w:pStyle w:val="TableParagraph"/>
              <w:spacing w:line="275" w:lineRule="exact"/>
              <w:ind w:left="210" w:right="207"/>
              <w:rPr>
                <w:rFonts w:ascii="Book Antiqua" w:hAnsi="Book Antiqua"/>
                <w:sz w:val="24"/>
              </w:rPr>
            </w:pPr>
            <w:r w:rsidRPr="00810533">
              <w:rPr>
                <w:rFonts w:ascii="Book Antiqua" w:hAnsi="Book Antiqua"/>
                <w:sz w:val="24"/>
              </w:rPr>
              <w:t>83</w:t>
            </w:r>
          </w:p>
        </w:tc>
      </w:tr>
      <w:tr w:rsidR="00810533" w:rsidRPr="00810533" w14:paraId="43F05F48" w14:textId="77777777" w:rsidTr="00810533">
        <w:trPr>
          <w:trHeight w:val="825"/>
        </w:trPr>
        <w:tc>
          <w:tcPr>
            <w:tcW w:w="9578" w:type="dxa"/>
            <w:gridSpan w:val="8"/>
            <w:tcBorders>
              <w:top w:val="single" w:sz="4" w:space="0" w:color="auto"/>
              <w:left w:val="nil"/>
              <w:bottom w:val="nil"/>
              <w:right w:val="nil"/>
            </w:tcBorders>
          </w:tcPr>
          <w:p w14:paraId="4034C82E" w14:textId="77E4BA23" w:rsidR="00810533" w:rsidRPr="00810533" w:rsidRDefault="00810533" w:rsidP="00810533">
            <w:pPr>
              <w:pStyle w:val="TableParagraph"/>
              <w:spacing w:line="275" w:lineRule="exact"/>
              <w:ind w:left="210" w:right="207"/>
              <w:jc w:val="left"/>
              <w:rPr>
                <w:rFonts w:ascii="Book Antiqua" w:hAnsi="Book Antiqua"/>
                <w:i/>
                <w:iCs/>
                <w:sz w:val="24"/>
              </w:rPr>
            </w:pPr>
            <w:r w:rsidRPr="00810533">
              <w:rPr>
                <w:rFonts w:ascii="Book Antiqua" w:hAnsi="Book Antiqua"/>
                <w:i/>
                <w:iCs/>
                <w:szCs w:val="20"/>
              </w:rPr>
              <w:t>Source: processed from data on Immigration Service and Law Enforcement Reports on Instagram Immigration Office Class I Non</w:t>
            </w:r>
            <w:r>
              <w:rPr>
                <w:rFonts w:ascii="Book Antiqua" w:hAnsi="Book Antiqua"/>
                <w:i/>
                <w:iCs/>
                <w:szCs w:val="20"/>
              </w:rPr>
              <w:t xml:space="preserve">-Checkpoint </w:t>
            </w:r>
            <w:r w:rsidRPr="00810533">
              <w:rPr>
                <w:rFonts w:ascii="Book Antiqua" w:hAnsi="Book Antiqua"/>
                <w:i/>
                <w:iCs/>
                <w:szCs w:val="20"/>
              </w:rPr>
              <w:t>Pati</w:t>
            </w:r>
          </w:p>
        </w:tc>
      </w:tr>
    </w:tbl>
    <w:p w14:paraId="6CFC712C" w14:textId="77777777" w:rsidR="008F4F57" w:rsidRDefault="008F4F57"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sectPr w:rsidR="008F4F57" w:rsidSect="008F4F57">
          <w:type w:val="continuous"/>
          <w:pgSz w:w="12240" w:h="15840"/>
          <w:pgMar w:top="993" w:right="1041" w:bottom="993" w:left="1418" w:header="1152" w:footer="426" w:gutter="0"/>
          <w:cols w:space="720"/>
        </w:sectPr>
      </w:pPr>
    </w:p>
    <w:p w14:paraId="725D57AD" w14:textId="77777777" w:rsidR="00575694" w:rsidRPr="0055739C" w:rsidRDefault="00575694" w:rsidP="0057569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sidRPr="0055739C">
        <w:rPr>
          <w:rFonts w:ascii="Book Antiqua" w:eastAsia="Book Antiqua" w:hAnsi="Book Antiqua" w:cs="Book Antiqua"/>
          <w:b/>
          <w:color w:val="000000"/>
          <w:sz w:val="24"/>
          <w:szCs w:val="24"/>
        </w:rPr>
        <w:t>Condition in January 2022</w:t>
      </w:r>
    </w:p>
    <w:p w14:paraId="7C99AFED" w14:textId="77777777" w:rsidR="0055739C"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Comparison of the number of applications for 48 Page passports in December 2021 with applications in January 2022 is relatively sloping. This is due to the fact that there is no valid information regarding the opening of state borders and the process of entering and exiting Indonesian territory must show negative PCR results and upon returning from an overseas trip, must follow COVID-19 prevention procedures by quarantining. For information, a 48-page passport is a passport used by Indonesian citizens for various purposes abroad. Unlike the 24- page passport which is intended for prospective Indonesian migrant workers who have just applied for a passport, the 48-page passport is in larger numbers.</w:t>
      </w:r>
    </w:p>
    <w:p w14:paraId="33B48383" w14:textId="77777777" w:rsidR="0055739C"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data in table 1 shows that the application for a 24-page passport submitted </w:t>
      </w:r>
      <w:r w:rsidRPr="00575694">
        <w:rPr>
          <w:rFonts w:ascii="Book Antiqua" w:eastAsia="Book Antiqua" w:hAnsi="Book Antiqua" w:cs="Book Antiqua"/>
          <w:bCs/>
          <w:color w:val="000000"/>
          <w:sz w:val="24"/>
          <w:szCs w:val="24"/>
        </w:rPr>
        <w:t>by prospective Indonesian Migrant Workers (CPMI) has increased in quantity although it is not very significant. This can be understood because the 24- page passport is only intended for CPMI who have just applied for a passport while for Indonesian Migrant Workers who have been abroad and want to apply for a passport replacement, then the person concerned is given a 48-page passport as a replacement passport.</w:t>
      </w:r>
    </w:p>
    <w:p w14:paraId="3EC9F12C" w14:textId="26660AAE" w:rsidR="00575694"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Replacement of passports due to damage or loss has increased very significantly. From the previous 20 (twenty) applications in December 2021, it almost doubled to 46 applications in the January 2022 period. This can be understood that there has been a lot of information obtained by the public that the development of the spread of COVID-19 has begun to be well resolved, the national vaccination process </w:t>
      </w:r>
      <w:r w:rsidRPr="00575694">
        <w:rPr>
          <w:rFonts w:ascii="Book Antiqua" w:eastAsia="Book Antiqua" w:hAnsi="Book Antiqua" w:cs="Book Antiqua"/>
          <w:bCs/>
          <w:color w:val="000000"/>
          <w:sz w:val="24"/>
          <w:szCs w:val="24"/>
        </w:rPr>
        <w:lastRenderedPageBreak/>
        <w:t>has been running according to the specified target, several countries in Asia and Europe have opened their borders for travelers between countries. The information received by the public has caused the urge to apply for a passport due to loss or damage to be high.</w:t>
      </w:r>
    </w:p>
    <w:p w14:paraId="618CC3EB" w14:textId="77777777" w:rsidR="0055739C" w:rsidRPr="00575694" w:rsidRDefault="0055739C"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6435FAA0" w14:textId="77777777" w:rsidR="00575694" w:rsidRPr="0055739C" w:rsidRDefault="00575694" w:rsidP="0057569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sidRPr="0055739C">
        <w:rPr>
          <w:rFonts w:ascii="Book Antiqua" w:eastAsia="Book Antiqua" w:hAnsi="Book Antiqua" w:cs="Book Antiqua"/>
          <w:b/>
          <w:color w:val="000000"/>
          <w:sz w:val="24"/>
          <w:szCs w:val="24"/>
        </w:rPr>
        <w:t>Condition in February 2022</w:t>
      </w:r>
    </w:p>
    <w:p w14:paraId="4EE3B086" w14:textId="77777777" w:rsidR="0055739C"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The data in Table 1 shows a very significant increase as indicated by the number of applications for 48-page passports in February 2022 doubling from the previous month. From 763 applications in January, it increased dramatically to 1,416 applications in February. This increase in the number of applications, in addition to information about the better handling of COVID-19 prevention, is also specifically information about the opening of the Saudi Arabian border. The opening of the border in the context of the Umrah pilgrimage and preparation for the Hajj pilgrimage in 2022 is a breath of fresh air that is highly anticipated by the Indonesian people.</w:t>
      </w:r>
    </w:p>
    <w:p w14:paraId="2D87825E" w14:textId="1FA9C47D" w:rsidR="00575694"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Improved conduciveness also encourages many Indonesians to be able to travel abroad. People tend to prepare themselves by preparing the administrative needs of traveling abroad, one of which is by applying for a passport. During this period, applications for 24-page passports and passport replacements due to damage or loss did not experience a significant increase. The number of applications tends to be sloping and there is no significant spike.</w:t>
      </w:r>
    </w:p>
    <w:p w14:paraId="753AC6EF" w14:textId="77777777" w:rsidR="0055739C" w:rsidRPr="00575694" w:rsidRDefault="0055739C"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3A873DF8" w14:textId="0FF7D89A" w:rsidR="00575694" w:rsidRPr="0055739C" w:rsidRDefault="00575694" w:rsidP="0057569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sidRPr="0055739C">
        <w:rPr>
          <w:rFonts w:ascii="Book Antiqua" w:eastAsia="Book Antiqua" w:hAnsi="Book Antiqua" w:cs="Book Antiqua"/>
          <w:b/>
          <w:color w:val="000000"/>
          <w:sz w:val="24"/>
          <w:szCs w:val="24"/>
        </w:rPr>
        <w:t>Condition in March 2022</w:t>
      </w:r>
    </w:p>
    <w:p w14:paraId="7161395E" w14:textId="77777777" w:rsidR="00575694"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In this period, there was a very significant increase compared to the previous 2 (two) months. Almost all application indicators have increased. The number of applications for 48-page passports experienced a very significant increase from 1,416 in February to 2,109 </w:t>
      </w:r>
      <w:r w:rsidRPr="00575694">
        <w:rPr>
          <w:rFonts w:ascii="Book Antiqua" w:eastAsia="Book Antiqua" w:hAnsi="Book Antiqua" w:cs="Book Antiqua"/>
          <w:bCs/>
          <w:color w:val="000000"/>
          <w:sz w:val="24"/>
          <w:szCs w:val="24"/>
        </w:rPr>
        <w:t>applications in March. The increase in the number of applications also occurred in 24-page passport applications. Although the number is not very significant, it shows that information related to the opening of borders of countries that are the destination of migrant workers has a very big influence. A very large increase was also shown in the number of passport applications due to loss or damage. There were only 39 applications in February and then a sharp increase in March with 71 applications.</w:t>
      </w:r>
    </w:p>
    <w:p w14:paraId="6331D7E0" w14:textId="77777777" w:rsidR="0055739C" w:rsidRPr="00575694" w:rsidRDefault="0055739C"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39E2C907" w14:textId="77777777" w:rsidR="00575694" w:rsidRPr="0055739C" w:rsidRDefault="00575694" w:rsidP="0057569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sidRPr="0055739C">
        <w:rPr>
          <w:rFonts w:ascii="Book Antiqua" w:eastAsia="Book Antiqua" w:hAnsi="Book Antiqua" w:cs="Book Antiqua"/>
          <w:b/>
          <w:color w:val="000000"/>
          <w:sz w:val="24"/>
          <w:szCs w:val="24"/>
        </w:rPr>
        <w:t>Condition in April 2022</w:t>
      </w:r>
    </w:p>
    <w:p w14:paraId="114CC079" w14:textId="77777777" w:rsidR="0055739C"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During this period, the 48-page passport application still experienced a significant increase. In April, there were 2,419 passport issuances for immigration</w:t>
      </w:r>
      <w:r w:rsidR="0055739C">
        <w:rPr>
          <w:rFonts w:ascii="Book Antiqua" w:eastAsia="Book Antiqua" w:hAnsi="Book Antiqua" w:cs="Book Antiqua"/>
          <w:bCs/>
          <w:color w:val="000000"/>
          <w:sz w:val="24"/>
          <w:szCs w:val="24"/>
        </w:rPr>
        <w:t xml:space="preserve"> </w:t>
      </w:r>
      <w:r w:rsidRPr="00575694">
        <w:rPr>
          <w:rFonts w:ascii="Book Antiqua" w:eastAsia="Book Antiqua" w:hAnsi="Book Antiqua" w:cs="Book Antiqua"/>
          <w:bCs/>
          <w:color w:val="000000"/>
          <w:sz w:val="24"/>
          <w:szCs w:val="24"/>
        </w:rPr>
        <w:t>service applicants. The large number of applications this month can be understood because several countries in the Southeast Asian region such as Malaysia and Singapore have begun to open their borders. In addition, information about the implementation of the Hajj pilgrimage, which has been delayed for 2 (two) years, is one of the factors in increasing the number of applicants for 48-page passports. The number of passport issuances during this period was the largest compared to the previous period because it could be the culmination of the 48-page passport application. The public has begun to believe that post-COVID-19 pandemic conditions are getting better, many countries in the Southeast Asian region have opened their borders, the implementation of Umrah and Hajj pilgrimages has returned to normal even though it remains with strict health supervision and procedures, as well as the facilities provided by the state to no longer require PCR and quarantine as a mandatory part of travelers between countries.</w:t>
      </w:r>
    </w:p>
    <w:p w14:paraId="4E72353A" w14:textId="5243E248" w:rsidR="00575694"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During this period, applications for 24-page passports and passport replacement due to damage or loss decreased compared </w:t>
      </w:r>
      <w:r w:rsidRPr="00575694">
        <w:rPr>
          <w:rFonts w:ascii="Book Antiqua" w:eastAsia="Book Antiqua" w:hAnsi="Book Antiqua" w:cs="Book Antiqua"/>
          <w:bCs/>
          <w:color w:val="000000"/>
          <w:sz w:val="24"/>
          <w:szCs w:val="24"/>
        </w:rPr>
        <w:lastRenderedPageBreak/>
        <w:t>to the previous period. The decline is not too significant and can still be said to be normal because it tends to be stable compared to the January-February period which experienced a significant spike. The number of 24-page passport applications and passport replacements due to loss or damage is also an indicator that conditions have returned to normal after the COVID-19 pandemic attack.</w:t>
      </w:r>
    </w:p>
    <w:p w14:paraId="06AFA37C" w14:textId="77777777" w:rsidR="0055739C" w:rsidRPr="0055739C" w:rsidRDefault="0055739C" w:rsidP="0055739C">
      <w:pPr>
        <w:pBdr>
          <w:top w:val="nil"/>
          <w:left w:val="nil"/>
          <w:bottom w:val="nil"/>
          <w:right w:val="nil"/>
          <w:between w:val="nil"/>
        </w:pBdr>
        <w:spacing w:after="0" w:line="240" w:lineRule="auto"/>
        <w:ind w:firstLine="426"/>
        <w:jc w:val="both"/>
        <w:rPr>
          <w:rFonts w:ascii="Book Antiqua" w:eastAsia="Book Antiqua" w:hAnsi="Book Antiqua" w:cs="Book Antiqua"/>
          <w:b/>
          <w:color w:val="000000"/>
          <w:sz w:val="24"/>
          <w:szCs w:val="24"/>
        </w:rPr>
      </w:pPr>
    </w:p>
    <w:p w14:paraId="0E70BF40" w14:textId="77777777" w:rsidR="00575694" w:rsidRPr="0055739C" w:rsidRDefault="00575694" w:rsidP="0057569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sidRPr="0055739C">
        <w:rPr>
          <w:rFonts w:ascii="Book Antiqua" w:eastAsia="Book Antiqua" w:hAnsi="Book Antiqua" w:cs="Book Antiqua"/>
          <w:b/>
          <w:color w:val="000000"/>
          <w:sz w:val="24"/>
          <w:szCs w:val="24"/>
        </w:rPr>
        <w:t>Condition in May 2022</w:t>
      </w:r>
    </w:p>
    <w:p w14:paraId="34F6E0B9" w14:textId="19B3DAD4" w:rsidR="00575694" w:rsidRDefault="00575694"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In mid-May 2022, the world community was again confronted with information about the development of mutated COVID-19 with virus codes ba4 and ba5. This virus mutation causes sufferers to experience worse respiratory problems than several other types of COVID-19 mutations. Despite this, people tend to still think that the condition has returned to normal. Although there was a decrease in the number of </w:t>
      </w:r>
      <w:r w:rsidRPr="00575694">
        <w:rPr>
          <w:rFonts w:ascii="Book Antiqua" w:eastAsia="Book Antiqua" w:hAnsi="Book Antiqua" w:cs="Book Antiqua"/>
          <w:bCs/>
          <w:color w:val="000000"/>
          <w:sz w:val="24"/>
          <w:szCs w:val="24"/>
        </w:rPr>
        <w:t>applicants for 48-page passports in May compared to the previous month, the number of applicants for 24-page passports and replacements for damaged or lost passports increased. But in general, conditions have begun to</w:t>
      </w:r>
      <w:r w:rsidR="0055739C">
        <w:rPr>
          <w:rFonts w:ascii="Book Antiqua" w:eastAsia="Book Antiqua" w:hAnsi="Book Antiqua" w:cs="Book Antiqua"/>
          <w:bCs/>
          <w:color w:val="000000"/>
          <w:sz w:val="24"/>
          <w:szCs w:val="24"/>
        </w:rPr>
        <w:t xml:space="preserve"> </w:t>
      </w:r>
      <w:r w:rsidRPr="00575694">
        <w:rPr>
          <w:rFonts w:ascii="Book Antiqua" w:eastAsia="Book Antiqua" w:hAnsi="Book Antiqua" w:cs="Book Antiqua"/>
          <w:bCs/>
          <w:color w:val="000000"/>
          <w:sz w:val="24"/>
          <w:szCs w:val="24"/>
        </w:rPr>
        <w:t>stabilize in terms of the number of applicants applying for passport issuance services.</w:t>
      </w:r>
    </w:p>
    <w:p w14:paraId="181B92C7" w14:textId="77777777" w:rsidR="00DE153F" w:rsidRDefault="00DE153F" w:rsidP="0055739C">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61B9B90A" w14:textId="77777777"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sidRPr="00DE153F">
        <w:rPr>
          <w:rFonts w:ascii="Book Antiqua" w:eastAsia="Book Antiqua" w:hAnsi="Book Antiqua" w:cs="Book Antiqua"/>
          <w:b/>
          <w:color w:val="000000"/>
          <w:sz w:val="24"/>
          <w:szCs w:val="24"/>
        </w:rPr>
        <w:t>Quality of Service based on IKM and GPA scores</w:t>
      </w:r>
    </w:p>
    <w:p w14:paraId="28FEE295" w14:textId="77777777" w:rsidR="00DE153F"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quality of service at the Immigration Office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can be seen from the Community Satisfaction Index (IKM) and Corruption Perception Index (IPK) reports which are regularly reported through social media. This service quality measurement is a form of evaluation of the Immigration service process that has been implemented. From the report submitted, </w:t>
      </w:r>
      <w:r>
        <w:rPr>
          <w:rFonts w:ascii="Book Antiqua" w:eastAsia="Book Antiqua" w:hAnsi="Book Antiqua" w:cs="Book Antiqua"/>
          <w:bCs/>
          <w:color w:val="000000"/>
          <w:sz w:val="24"/>
          <w:szCs w:val="24"/>
        </w:rPr>
        <w:t xml:space="preserve">data showed at Table 2. </w:t>
      </w:r>
    </w:p>
    <w:p w14:paraId="5DABD971" w14:textId="77777777" w:rsidR="00FD52A8" w:rsidRDefault="00FD52A8" w:rsidP="00386E08">
      <w:pPr>
        <w:pStyle w:val="TableParagraph"/>
        <w:spacing w:before="3"/>
        <w:ind w:left="106"/>
        <w:jc w:val="left"/>
        <w:rPr>
          <w:sz w:val="24"/>
        </w:rPr>
        <w:sectPr w:rsidR="00FD52A8">
          <w:type w:val="continuous"/>
          <w:pgSz w:w="12240" w:h="15840"/>
          <w:pgMar w:top="993" w:right="1041" w:bottom="993" w:left="1418" w:header="1152" w:footer="426" w:gutter="0"/>
          <w:cols w:num="2" w:space="720" w:equalWidth="0">
            <w:col w:w="4678" w:space="425"/>
            <w:col w:w="4678" w:space="0"/>
          </w:cols>
        </w:sectPr>
      </w:pPr>
    </w:p>
    <w:tbl>
      <w:tblPr>
        <w:tblW w:w="9781" w:type="dxa"/>
        <w:tblInd w:w="-5" w:type="dxa"/>
        <w:tblLayout w:type="fixed"/>
        <w:tblCellMar>
          <w:left w:w="0" w:type="dxa"/>
          <w:right w:w="0" w:type="dxa"/>
        </w:tblCellMar>
        <w:tblLook w:val="01E0" w:firstRow="1" w:lastRow="1" w:firstColumn="1" w:lastColumn="1" w:noHBand="0" w:noVBand="0"/>
      </w:tblPr>
      <w:tblGrid>
        <w:gridCol w:w="567"/>
        <w:gridCol w:w="1701"/>
        <w:gridCol w:w="2694"/>
        <w:gridCol w:w="2693"/>
        <w:gridCol w:w="2126"/>
      </w:tblGrid>
      <w:tr w:rsidR="00FD52A8" w:rsidRPr="00FD52A8" w14:paraId="272E9714" w14:textId="77777777" w:rsidTr="00FD52A8">
        <w:trPr>
          <w:trHeight w:val="830"/>
        </w:trPr>
        <w:tc>
          <w:tcPr>
            <w:tcW w:w="9781" w:type="dxa"/>
            <w:gridSpan w:val="5"/>
            <w:tcBorders>
              <w:bottom w:val="single" w:sz="4" w:space="0" w:color="auto"/>
            </w:tcBorders>
            <w:vAlign w:val="center"/>
          </w:tcPr>
          <w:p w14:paraId="76E76C31" w14:textId="780AB5A8" w:rsidR="00FD52A8" w:rsidRPr="00FD52A8" w:rsidRDefault="00FD52A8" w:rsidP="00FD52A8">
            <w:pPr>
              <w:pStyle w:val="TableParagraph"/>
              <w:spacing w:before="136"/>
              <w:ind w:left="105"/>
              <w:rPr>
                <w:rFonts w:ascii="Book Antiqua" w:hAnsi="Book Antiqua"/>
                <w:b/>
                <w:bCs/>
                <w:szCs w:val="20"/>
              </w:rPr>
            </w:pPr>
            <w:r w:rsidRPr="00FD52A8">
              <w:rPr>
                <w:rFonts w:ascii="Book Antiqua" w:hAnsi="Book Antiqua"/>
                <w:b/>
                <w:bCs/>
                <w:szCs w:val="20"/>
              </w:rPr>
              <w:t>Table 2. Data on Community Satisfaction Index (IKM) and Corruption Perception Index (IPK) at Immigration Office Class I Non</w:t>
            </w:r>
            <w:r w:rsidR="004E167C">
              <w:rPr>
                <w:rFonts w:ascii="Book Antiqua" w:hAnsi="Book Antiqua"/>
                <w:b/>
                <w:bCs/>
                <w:szCs w:val="20"/>
              </w:rPr>
              <w:t>-Checkpoint</w:t>
            </w:r>
            <w:r w:rsidRPr="00FD52A8">
              <w:rPr>
                <w:rFonts w:ascii="Book Antiqua" w:hAnsi="Book Antiqua"/>
                <w:b/>
                <w:bCs/>
                <w:szCs w:val="20"/>
              </w:rPr>
              <w:t xml:space="preserve"> Pati period December 2021 to May 2022</w:t>
            </w:r>
          </w:p>
        </w:tc>
      </w:tr>
      <w:tr w:rsidR="00FD52A8" w:rsidRPr="00FD52A8" w14:paraId="4E413F8F" w14:textId="77777777" w:rsidTr="00FD52A8">
        <w:trPr>
          <w:trHeight w:val="830"/>
        </w:trPr>
        <w:tc>
          <w:tcPr>
            <w:tcW w:w="567" w:type="dxa"/>
            <w:tcBorders>
              <w:top w:val="single" w:sz="4" w:space="0" w:color="auto"/>
              <w:bottom w:val="single" w:sz="4" w:space="0" w:color="auto"/>
            </w:tcBorders>
            <w:vAlign w:val="center"/>
          </w:tcPr>
          <w:p w14:paraId="3F8B8EEC" w14:textId="3594AE23" w:rsidR="00FD52A8" w:rsidRPr="00FD52A8" w:rsidRDefault="00FD52A8" w:rsidP="00FD52A8">
            <w:pPr>
              <w:pStyle w:val="TableParagraph"/>
              <w:spacing w:before="3" w:line="276" w:lineRule="auto"/>
              <w:ind w:left="106"/>
              <w:rPr>
                <w:rFonts w:ascii="Book Antiqua" w:hAnsi="Book Antiqua"/>
                <w:szCs w:val="20"/>
              </w:rPr>
            </w:pPr>
            <w:r w:rsidRPr="00FD52A8">
              <w:rPr>
                <w:rFonts w:ascii="Book Antiqua" w:hAnsi="Book Antiqua"/>
                <w:szCs w:val="20"/>
              </w:rPr>
              <w:t>No.</w:t>
            </w:r>
          </w:p>
        </w:tc>
        <w:tc>
          <w:tcPr>
            <w:tcW w:w="1701" w:type="dxa"/>
            <w:tcBorders>
              <w:top w:val="single" w:sz="4" w:space="0" w:color="auto"/>
              <w:bottom w:val="single" w:sz="4" w:space="0" w:color="auto"/>
            </w:tcBorders>
            <w:vAlign w:val="center"/>
          </w:tcPr>
          <w:p w14:paraId="67F6D79D" w14:textId="77777777" w:rsidR="00FD52A8" w:rsidRPr="00FD52A8" w:rsidRDefault="00FD52A8" w:rsidP="00FD52A8">
            <w:pPr>
              <w:pStyle w:val="TableParagraph"/>
              <w:spacing w:before="3" w:line="276" w:lineRule="auto"/>
              <w:ind w:left="107"/>
              <w:rPr>
                <w:rFonts w:ascii="Book Antiqua" w:hAnsi="Book Antiqua"/>
                <w:szCs w:val="20"/>
              </w:rPr>
            </w:pPr>
            <w:r w:rsidRPr="00FD52A8">
              <w:rPr>
                <w:rFonts w:ascii="Book Antiqua" w:hAnsi="Book Antiqua"/>
                <w:szCs w:val="20"/>
              </w:rPr>
              <w:t>Month</w:t>
            </w:r>
          </w:p>
        </w:tc>
        <w:tc>
          <w:tcPr>
            <w:tcW w:w="2694" w:type="dxa"/>
            <w:tcBorders>
              <w:top w:val="single" w:sz="4" w:space="0" w:color="auto"/>
              <w:bottom w:val="single" w:sz="4" w:space="0" w:color="auto"/>
            </w:tcBorders>
            <w:vAlign w:val="center"/>
          </w:tcPr>
          <w:p w14:paraId="03BA80C0" w14:textId="77777777" w:rsidR="00FD52A8" w:rsidRPr="00FD52A8" w:rsidRDefault="00FD52A8" w:rsidP="00FD52A8">
            <w:pPr>
              <w:pStyle w:val="TableParagraph"/>
              <w:spacing w:before="3" w:line="276" w:lineRule="auto"/>
              <w:ind w:left="103"/>
              <w:rPr>
                <w:rFonts w:ascii="Book Antiqua" w:hAnsi="Book Antiqua"/>
                <w:szCs w:val="20"/>
              </w:rPr>
            </w:pPr>
            <w:r w:rsidRPr="00FD52A8">
              <w:rPr>
                <w:rFonts w:ascii="Book Antiqua" w:hAnsi="Book Antiqua"/>
                <w:szCs w:val="20"/>
              </w:rPr>
              <w:t>IKM</w:t>
            </w:r>
            <w:r w:rsidRPr="00FD52A8">
              <w:rPr>
                <w:rFonts w:ascii="Book Antiqua" w:hAnsi="Book Antiqua"/>
                <w:spacing w:val="-4"/>
                <w:szCs w:val="20"/>
              </w:rPr>
              <w:t xml:space="preserve"> </w:t>
            </w:r>
            <w:r w:rsidRPr="00FD52A8">
              <w:rPr>
                <w:rFonts w:ascii="Book Antiqua" w:hAnsi="Book Antiqua"/>
                <w:szCs w:val="20"/>
              </w:rPr>
              <w:t>Score/Status</w:t>
            </w:r>
          </w:p>
        </w:tc>
        <w:tc>
          <w:tcPr>
            <w:tcW w:w="2693" w:type="dxa"/>
            <w:tcBorders>
              <w:top w:val="single" w:sz="4" w:space="0" w:color="auto"/>
              <w:bottom w:val="single" w:sz="4" w:space="0" w:color="auto"/>
            </w:tcBorders>
            <w:vAlign w:val="center"/>
          </w:tcPr>
          <w:p w14:paraId="24E9E9A5" w14:textId="77777777" w:rsidR="00FD52A8" w:rsidRPr="00FD52A8" w:rsidRDefault="00FD52A8" w:rsidP="00FD52A8">
            <w:pPr>
              <w:pStyle w:val="TableParagraph"/>
              <w:spacing w:before="3" w:line="276" w:lineRule="auto"/>
              <w:ind w:left="108"/>
              <w:rPr>
                <w:rFonts w:ascii="Book Antiqua" w:hAnsi="Book Antiqua"/>
                <w:szCs w:val="20"/>
              </w:rPr>
            </w:pPr>
            <w:r w:rsidRPr="00FD52A8">
              <w:rPr>
                <w:rFonts w:ascii="Book Antiqua" w:hAnsi="Book Antiqua"/>
                <w:szCs w:val="20"/>
              </w:rPr>
              <w:t>GPA/Status</w:t>
            </w:r>
          </w:p>
        </w:tc>
        <w:tc>
          <w:tcPr>
            <w:tcW w:w="2126" w:type="dxa"/>
            <w:tcBorders>
              <w:top w:val="single" w:sz="4" w:space="0" w:color="auto"/>
              <w:bottom w:val="single" w:sz="4" w:space="0" w:color="auto"/>
            </w:tcBorders>
            <w:vAlign w:val="center"/>
          </w:tcPr>
          <w:p w14:paraId="09990429" w14:textId="77777777" w:rsidR="00FD52A8" w:rsidRPr="00FD52A8" w:rsidRDefault="00FD52A8" w:rsidP="00FD52A8">
            <w:pPr>
              <w:pStyle w:val="TableParagraph"/>
              <w:spacing w:before="136" w:line="276" w:lineRule="auto"/>
              <w:ind w:left="105"/>
              <w:rPr>
                <w:rFonts w:ascii="Book Antiqua" w:hAnsi="Book Antiqua"/>
                <w:szCs w:val="20"/>
              </w:rPr>
            </w:pPr>
            <w:r w:rsidRPr="00FD52A8">
              <w:rPr>
                <w:rFonts w:ascii="Book Antiqua" w:hAnsi="Book Antiqua"/>
                <w:szCs w:val="20"/>
              </w:rPr>
              <w:t>Respondents</w:t>
            </w:r>
          </w:p>
        </w:tc>
      </w:tr>
      <w:tr w:rsidR="00FD52A8" w:rsidRPr="00FD52A8" w14:paraId="73CEBE80" w14:textId="77777777" w:rsidTr="00FD52A8">
        <w:trPr>
          <w:trHeight w:val="432"/>
        </w:trPr>
        <w:tc>
          <w:tcPr>
            <w:tcW w:w="567" w:type="dxa"/>
            <w:tcBorders>
              <w:top w:val="single" w:sz="4" w:space="0" w:color="auto"/>
            </w:tcBorders>
          </w:tcPr>
          <w:p w14:paraId="3830204D" w14:textId="77777777" w:rsidR="00FD52A8" w:rsidRPr="00FD52A8" w:rsidRDefault="00FD52A8" w:rsidP="00FD52A8">
            <w:pPr>
              <w:pStyle w:val="TableParagraph"/>
              <w:spacing w:before="207" w:line="276" w:lineRule="auto"/>
              <w:ind w:left="0" w:right="180"/>
              <w:jc w:val="right"/>
              <w:rPr>
                <w:rFonts w:ascii="Book Antiqua" w:hAnsi="Book Antiqua"/>
                <w:szCs w:val="20"/>
              </w:rPr>
            </w:pPr>
            <w:r w:rsidRPr="00FD52A8">
              <w:rPr>
                <w:rFonts w:ascii="Book Antiqua" w:hAnsi="Book Antiqua"/>
                <w:szCs w:val="20"/>
              </w:rPr>
              <w:t>1.</w:t>
            </w:r>
          </w:p>
        </w:tc>
        <w:tc>
          <w:tcPr>
            <w:tcW w:w="1701" w:type="dxa"/>
            <w:tcBorders>
              <w:top w:val="single" w:sz="4" w:space="0" w:color="auto"/>
            </w:tcBorders>
          </w:tcPr>
          <w:p w14:paraId="2953EB29" w14:textId="77777777" w:rsidR="00FD52A8" w:rsidRPr="00FD52A8" w:rsidRDefault="00FD52A8" w:rsidP="00FD52A8">
            <w:pPr>
              <w:pStyle w:val="TableParagraph"/>
              <w:spacing w:before="207" w:line="276" w:lineRule="auto"/>
              <w:ind w:left="155"/>
              <w:jc w:val="left"/>
              <w:rPr>
                <w:rFonts w:ascii="Book Antiqua" w:hAnsi="Book Antiqua"/>
                <w:szCs w:val="20"/>
              </w:rPr>
            </w:pPr>
            <w:r w:rsidRPr="00FD52A8">
              <w:rPr>
                <w:rFonts w:ascii="Book Antiqua" w:hAnsi="Book Antiqua"/>
                <w:szCs w:val="20"/>
              </w:rPr>
              <w:t>December 2021</w:t>
            </w:r>
          </w:p>
        </w:tc>
        <w:tc>
          <w:tcPr>
            <w:tcW w:w="2694" w:type="dxa"/>
            <w:tcBorders>
              <w:top w:val="single" w:sz="4" w:space="0" w:color="auto"/>
            </w:tcBorders>
          </w:tcPr>
          <w:p w14:paraId="7F4E0528" w14:textId="57366A29" w:rsidR="00FD52A8" w:rsidRPr="00FD52A8" w:rsidRDefault="00FD52A8" w:rsidP="00FD52A8">
            <w:pPr>
              <w:pStyle w:val="TableParagraph"/>
              <w:spacing w:line="276" w:lineRule="auto"/>
              <w:ind w:left="233" w:right="234"/>
              <w:rPr>
                <w:rFonts w:ascii="Book Antiqua" w:hAnsi="Book Antiqua"/>
                <w:szCs w:val="20"/>
              </w:rPr>
            </w:pPr>
            <w:r w:rsidRPr="00FD52A8">
              <w:rPr>
                <w:rFonts w:ascii="Book Antiqua" w:hAnsi="Book Antiqua"/>
                <w:szCs w:val="20"/>
              </w:rPr>
              <w:t>19.74 /A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693" w:type="dxa"/>
            <w:tcBorders>
              <w:top w:val="single" w:sz="4" w:space="0" w:color="auto"/>
            </w:tcBorders>
          </w:tcPr>
          <w:p w14:paraId="08BF5330" w14:textId="074C19AA" w:rsidR="00FD52A8" w:rsidRPr="00FD52A8" w:rsidRDefault="00FD52A8" w:rsidP="00FD52A8">
            <w:pPr>
              <w:pStyle w:val="TableParagraph"/>
              <w:spacing w:line="276" w:lineRule="auto"/>
              <w:ind w:right="212"/>
              <w:rPr>
                <w:rFonts w:ascii="Book Antiqua" w:hAnsi="Book Antiqua"/>
                <w:szCs w:val="20"/>
              </w:rPr>
            </w:pPr>
            <w:r w:rsidRPr="00FD52A8">
              <w:rPr>
                <w:rFonts w:ascii="Book Antiqua" w:hAnsi="Book Antiqua"/>
                <w:szCs w:val="20"/>
              </w:rPr>
              <w:t>14.85/A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126" w:type="dxa"/>
            <w:tcBorders>
              <w:top w:val="single" w:sz="4" w:space="0" w:color="auto"/>
            </w:tcBorders>
          </w:tcPr>
          <w:p w14:paraId="2EE7204C" w14:textId="77777777" w:rsidR="00FD52A8" w:rsidRPr="00FD52A8" w:rsidRDefault="00FD52A8" w:rsidP="00FD52A8">
            <w:pPr>
              <w:pStyle w:val="TableParagraph"/>
              <w:spacing w:before="207" w:line="276" w:lineRule="auto"/>
              <w:ind w:left="937" w:right="929"/>
              <w:rPr>
                <w:rFonts w:ascii="Book Antiqua" w:hAnsi="Book Antiqua"/>
                <w:szCs w:val="20"/>
              </w:rPr>
            </w:pPr>
            <w:r w:rsidRPr="00FD52A8">
              <w:rPr>
                <w:rFonts w:ascii="Book Antiqua" w:hAnsi="Book Antiqua"/>
                <w:szCs w:val="20"/>
              </w:rPr>
              <w:t>49</w:t>
            </w:r>
          </w:p>
        </w:tc>
      </w:tr>
      <w:tr w:rsidR="00FD52A8" w:rsidRPr="00FD52A8" w14:paraId="6530F745" w14:textId="77777777" w:rsidTr="00FD52A8">
        <w:trPr>
          <w:trHeight w:val="478"/>
        </w:trPr>
        <w:tc>
          <w:tcPr>
            <w:tcW w:w="567" w:type="dxa"/>
          </w:tcPr>
          <w:p w14:paraId="5D6F2BDC" w14:textId="77777777" w:rsidR="00FD52A8" w:rsidRPr="00FD52A8" w:rsidRDefault="00FD52A8" w:rsidP="00FD52A8">
            <w:pPr>
              <w:pStyle w:val="TableParagraph"/>
              <w:spacing w:before="207" w:line="276" w:lineRule="auto"/>
              <w:ind w:left="0" w:right="180"/>
              <w:jc w:val="right"/>
              <w:rPr>
                <w:rFonts w:ascii="Book Antiqua" w:hAnsi="Book Antiqua"/>
                <w:szCs w:val="20"/>
              </w:rPr>
            </w:pPr>
            <w:r w:rsidRPr="00FD52A8">
              <w:rPr>
                <w:rFonts w:ascii="Book Antiqua" w:hAnsi="Book Antiqua"/>
                <w:szCs w:val="20"/>
              </w:rPr>
              <w:t>2.</w:t>
            </w:r>
          </w:p>
        </w:tc>
        <w:tc>
          <w:tcPr>
            <w:tcW w:w="1701" w:type="dxa"/>
          </w:tcPr>
          <w:p w14:paraId="0CF27E67" w14:textId="77777777" w:rsidR="00FD52A8" w:rsidRPr="00FD52A8" w:rsidRDefault="00FD52A8" w:rsidP="00FD52A8">
            <w:pPr>
              <w:pStyle w:val="TableParagraph"/>
              <w:spacing w:before="207" w:line="276" w:lineRule="auto"/>
              <w:ind w:left="275"/>
              <w:jc w:val="left"/>
              <w:rPr>
                <w:rFonts w:ascii="Book Antiqua" w:hAnsi="Book Antiqua"/>
                <w:szCs w:val="20"/>
              </w:rPr>
            </w:pPr>
            <w:r w:rsidRPr="00FD52A8">
              <w:rPr>
                <w:rFonts w:ascii="Book Antiqua" w:hAnsi="Book Antiqua"/>
                <w:szCs w:val="20"/>
              </w:rPr>
              <w:t>January</w:t>
            </w:r>
            <w:r w:rsidRPr="00FD52A8">
              <w:rPr>
                <w:rFonts w:ascii="Book Antiqua" w:hAnsi="Book Antiqua"/>
                <w:spacing w:val="-1"/>
                <w:szCs w:val="20"/>
              </w:rPr>
              <w:t xml:space="preserve"> </w:t>
            </w:r>
            <w:r w:rsidRPr="00FD52A8">
              <w:rPr>
                <w:rFonts w:ascii="Book Antiqua" w:hAnsi="Book Antiqua"/>
                <w:szCs w:val="20"/>
              </w:rPr>
              <w:t>2022</w:t>
            </w:r>
          </w:p>
        </w:tc>
        <w:tc>
          <w:tcPr>
            <w:tcW w:w="2694" w:type="dxa"/>
          </w:tcPr>
          <w:p w14:paraId="53FB5514" w14:textId="009308E5" w:rsidR="00FD52A8" w:rsidRPr="00FD52A8" w:rsidRDefault="00FD52A8" w:rsidP="00FD52A8">
            <w:pPr>
              <w:pStyle w:val="TableParagraph"/>
              <w:spacing w:before="3" w:line="276" w:lineRule="auto"/>
              <w:ind w:left="233" w:right="234"/>
              <w:rPr>
                <w:rFonts w:ascii="Book Antiqua" w:hAnsi="Book Antiqua"/>
                <w:szCs w:val="20"/>
              </w:rPr>
            </w:pPr>
            <w:r w:rsidRPr="00FD52A8">
              <w:rPr>
                <w:rFonts w:ascii="Book Antiqua" w:hAnsi="Book Antiqua"/>
                <w:szCs w:val="20"/>
              </w:rPr>
              <w:t>19.93/A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693" w:type="dxa"/>
          </w:tcPr>
          <w:p w14:paraId="35D9F00E" w14:textId="32E248F4" w:rsidR="00FD52A8" w:rsidRPr="00FD52A8" w:rsidRDefault="00FD52A8" w:rsidP="00FD52A8">
            <w:pPr>
              <w:pStyle w:val="TableParagraph"/>
              <w:spacing w:before="3" w:line="276" w:lineRule="auto"/>
              <w:ind w:right="212"/>
              <w:rPr>
                <w:rFonts w:ascii="Book Antiqua" w:hAnsi="Book Antiqua"/>
                <w:szCs w:val="20"/>
              </w:rPr>
            </w:pPr>
            <w:r w:rsidRPr="00FD52A8">
              <w:rPr>
                <w:rFonts w:ascii="Book Antiqua" w:hAnsi="Book Antiqua"/>
                <w:szCs w:val="20"/>
              </w:rPr>
              <w:t>14.97/A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126" w:type="dxa"/>
          </w:tcPr>
          <w:p w14:paraId="04DB1E95" w14:textId="77777777" w:rsidR="00FD52A8" w:rsidRPr="00FD52A8" w:rsidRDefault="00FD52A8" w:rsidP="00FD52A8">
            <w:pPr>
              <w:pStyle w:val="TableParagraph"/>
              <w:spacing w:before="207" w:line="276" w:lineRule="auto"/>
              <w:ind w:left="937" w:right="929"/>
              <w:rPr>
                <w:rFonts w:ascii="Book Antiqua" w:hAnsi="Book Antiqua"/>
                <w:szCs w:val="20"/>
              </w:rPr>
            </w:pPr>
            <w:r w:rsidRPr="00FD52A8">
              <w:rPr>
                <w:rFonts w:ascii="Book Antiqua" w:hAnsi="Book Antiqua"/>
                <w:szCs w:val="20"/>
              </w:rPr>
              <w:t>40</w:t>
            </w:r>
          </w:p>
        </w:tc>
      </w:tr>
      <w:tr w:rsidR="00FD52A8" w:rsidRPr="00FD52A8" w14:paraId="00FDC6D4" w14:textId="77777777" w:rsidTr="00FD52A8">
        <w:trPr>
          <w:trHeight w:val="514"/>
        </w:trPr>
        <w:tc>
          <w:tcPr>
            <w:tcW w:w="567" w:type="dxa"/>
          </w:tcPr>
          <w:p w14:paraId="228AF44D" w14:textId="77777777" w:rsidR="00FD52A8" w:rsidRPr="00FD52A8" w:rsidRDefault="00FD52A8" w:rsidP="00FD52A8">
            <w:pPr>
              <w:pStyle w:val="TableParagraph"/>
              <w:spacing w:before="207" w:line="276" w:lineRule="auto"/>
              <w:ind w:left="0" w:right="180"/>
              <w:jc w:val="right"/>
              <w:rPr>
                <w:rFonts w:ascii="Book Antiqua" w:hAnsi="Book Antiqua"/>
                <w:szCs w:val="20"/>
              </w:rPr>
            </w:pPr>
            <w:r w:rsidRPr="00FD52A8">
              <w:rPr>
                <w:rFonts w:ascii="Book Antiqua" w:hAnsi="Book Antiqua"/>
                <w:szCs w:val="20"/>
              </w:rPr>
              <w:t>3.</w:t>
            </w:r>
          </w:p>
        </w:tc>
        <w:tc>
          <w:tcPr>
            <w:tcW w:w="1701" w:type="dxa"/>
          </w:tcPr>
          <w:p w14:paraId="47CAE678" w14:textId="77777777" w:rsidR="00FD52A8" w:rsidRPr="00FD52A8" w:rsidRDefault="00FD52A8" w:rsidP="00FD52A8">
            <w:pPr>
              <w:pStyle w:val="TableParagraph"/>
              <w:spacing w:before="207" w:line="276" w:lineRule="auto"/>
              <w:ind w:left="215"/>
              <w:jc w:val="left"/>
              <w:rPr>
                <w:rFonts w:ascii="Book Antiqua" w:hAnsi="Book Antiqua"/>
                <w:szCs w:val="20"/>
              </w:rPr>
            </w:pPr>
            <w:r w:rsidRPr="00FD52A8">
              <w:rPr>
                <w:rFonts w:ascii="Book Antiqua" w:hAnsi="Book Antiqua"/>
                <w:szCs w:val="20"/>
              </w:rPr>
              <w:t>February</w:t>
            </w:r>
            <w:r w:rsidRPr="00FD52A8">
              <w:rPr>
                <w:rFonts w:ascii="Book Antiqua" w:hAnsi="Book Antiqua"/>
                <w:spacing w:val="-1"/>
                <w:szCs w:val="20"/>
              </w:rPr>
              <w:t xml:space="preserve"> </w:t>
            </w:r>
            <w:r w:rsidRPr="00FD52A8">
              <w:rPr>
                <w:rFonts w:ascii="Book Antiqua" w:hAnsi="Book Antiqua"/>
                <w:szCs w:val="20"/>
              </w:rPr>
              <w:t>2022</w:t>
            </w:r>
          </w:p>
        </w:tc>
        <w:tc>
          <w:tcPr>
            <w:tcW w:w="2694" w:type="dxa"/>
          </w:tcPr>
          <w:p w14:paraId="4CCC2DD7" w14:textId="6B2CB052" w:rsidR="00FD52A8" w:rsidRPr="00FD52A8" w:rsidRDefault="00FD52A8" w:rsidP="00FD52A8">
            <w:pPr>
              <w:pStyle w:val="TableParagraph"/>
              <w:spacing w:line="276" w:lineRule="auto"/>
              <w:ind w:left="233" w:right="234"/>
              <w:rPr>
                <w:rFonts w:ascii="Book Antiqua" w:hAnsi="Book Antiqua"/>
                <w:szCs w:val="20"/>
              </w:rPr>
            </w:pPr>
            <w:r w:rsidRPr="00FD52A8">
              <w:rPr>
                <w:rFonts w:ascii="Book Antiqua" w:hAnsi="Book Antiqua"/>
                <w:szCs w:val="20"/>
              </w:rPr>
              <w:t>19.66/A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693" w:type="dxa"/>
          </w:tcPr>
          <w:p w14:paraId="49A4004F" w14:textId="0A17A796" w:rsidR="00FD52A8" w:rsidRPr="00FD52A8" w:rsidRDefault="00FD52A8" w:rsidP="00FD52A8">
            <w:pPr>
              <w:pStyle w:val="TableParagraph"/>
              <w:spacing w:line="276" w:lineRule="auto"/>
              <w:ind w:right="212"/>
              <w:rPr>
                <w:rFonts w:ascii="Book Antiqua" w:hAnsi="Book Antiqua"/>
                <w:szCs w:val="20"/>
              </w:rPr>
            </w:pPr>
            <w:r w:rsidRPr="00FD52A8">
              <w:rPr>
                <w:rFonts w:ascii="Book Antiqua" w:hAnsi="Book Antiqua"/>
                <w:szCs w:val="20"/>
              </w:rPr>
              <w:t>14.97/A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126" w:type="dxa"/>
          </w:tcPr>
          <w:p w14:paraId="33ACA334" w14:textId="77777777" w:rsidR="00FD52A8" w:rsidRPr="00FD52A8" w:rsidRDefault="00FD52A8" w:rsidP="00FD52A8">
            <w:pPr>
              <w:pStyle w:val="TableParagraph"/>
              <w:spacing w:before="207" w:line="276" w:lineRule="auto"/>
              <w:ind w:left="937" w:right="929"/>
              <w:rPr>
                <w:rFonts w:ascii="Book Antiqua" w:hAnsi="Book Antiqua"/>
                <w:szCs w:val="20"/>
              </w:rPr>
            </w:pPr>
            <w:r w:rsidRPr="00FD52A8">
              <w:rPr>
                <w:rFonts w:ascii="Book Antiqua" w:hAnsi="Book Antiqua"/>
                <w:szCs w:val="20"/>
              </w:rPr>
              <w:t>35</w:t>
            </w:r>
          </w:p>
        </w:tc>
      </w:tr>
      <w:tr w:rsidR="00FD52A8" w:rsidRPr="00FD52A8" w14:paraId="316AFCE8" w14:textId="77777777" w:rsidTr="00FD52A8">
        <w:trPr>
          <w:trHeight w:val="564"/>
        </w:trPr>
        <w:tc>
          <w:tcPr>
            <w:tcW w:w="567" w:type="dxa"/>
          </w:tcPr>
          <w:p w14:paraId="22C16AB1" w14:textId="77777777" w:rsidR="00FD52A8" w:rsidRPr="00FD52A8" w:rsidRDefault="00FD52A8" w:rsidP="00FD52A8">
            <w:pPr>
              <w:pStyle w:val="TableParagraph"/>
              <w:spacing w:before="207" w:line="276" w:lineRule="auto"/>
              <w:ind w:left="0" w:right="180"/>
              <w:jc w:val="right"/>
              <w:rPr>
                <w:rFonts w:ascii="Book Antiqua" w:hAnsi="Book Antiqua"/>
                <w:szCs w:val="20"/>
              </w:rPr>
            </w:pPr>
            <w:r w:rsidRPr="00FD52A8">
              <w:rPr>
                <w:rFonts w:ascii="Book Antiqua" w:hAnsi="Book Antiqua"/>
                <w:szCs w:val="20"/>
              </w:rPr>
              <w:t>4.</w:t>
            </w:r>
          </w:p>
        </w:tc>
        <w:tc>
          <w:tcPr>
            <w:tcW w:w="1701" w:type="dxa"/>
          </w:tcPr>
          <w:p w14:paraId="7126BA34" w14:textId="77777777" w:rsidR="00FD52A8" w:rsidRPr="00FD52A8" w:rsidRDefault="00FD52A8" w:rsidP="00FD52A8">
            <w:pPr>
              <w:pStyle w:val="TableParagraph"/>
              <w:spacing w:before="207" w:line="276" w:lineRule="auto"/>
              <w:ind w:left="335"/>
              <w:jc w:val="left"/>
              <w:rPr>
                <w:rFonts w:ascii="Book Antiqua" w:hAnsi="Book Antiqua"/>
                <w:szCs w:val="20"/>
              </w:rPr>
            </w:pPr>
            <w:r w:rsidRPr="00FD52A8">
              <w:rPr>
                <w:rFonts w:ascii="Book Antiqua" w:hAnsi="Book Antiqua"/>
                <w:szCs w:val="20"/>
              </w:rPr>
              <w:t>March</w:t>
            </w:r>
            <w:r w:rsidRPr="00FD52A8">
              <w:rPr>
                <w:rFonts w:ascii="Book Antiqua" w:hAnsi="Book Antiqua"/>
                <w:spacing w:val="-1"/>
                <w:szCs w:val="20"/>
              </w:rPr>
              <w:t xml:space="preserve"> </w:t>
            </w:r>
            <w:r w:rsidRPr="00FD52A8">
              <w:rPr>
                <w:rFonts w:ascii="Book Antiqua" w:hAnsi="Book Antiqua"/>
                <w:szCs w:val="20"/>
              </w:rPr>
              <w:t>2022</w:t>
            </w:r>
          </w:p>
        </w:tc>
        <w:tc>
          <w:tcPr>
            <w:tcW w:w="2694" w:type="dxa"/>
          </w:tcPr>
          <w:p w14:paraId="384B73AD" w14:textId="281208FD" w:rsidR="00FD52A8" w:rsidRPr="00FD52A8" w:rsidRDefault="00FD52A8" w:rsidP="00FD52A8">
            <w:pPr>
              <w:pStyle w:val="TableParagraph"/>
              <w:spacing w:before="3" w:line="276" w:lineRule="auto"/>
              <w:ind w:left="233" w:right="231"/>
              <w:rPr>
                <w:rFonts w:ascii="Book Antiqua" w:hAnsi="Book Antiqua"/>
                <w:szCs w:val="20"/>
              </w:rPr>
            </w:pPr>
            <w:r w:rsidRPr="00FD52A8">
              <w:rPr>
                <w:rFonts w:ascii="Book Antiqua" w:hAnsi="Book Antiqua"/>
                <w:szCs w:val="20"/>
              </w:rPr>
              <w:t>20/A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693" w:type="dxa"/>
          </w:tcPr>
          <w:p w14:paraId="6F5D983E" w14:textId="2D0B622E" w:rsidR="00FD52A8" w:rsidRPr="00FD52A8" w:rsidRDefault="00FD52A8" w:rsidP="00FD52A8">
            <w:pPr>
              <w:pStyle w:val="TableParagraph"/>
              <w:spacing w:before="3" w:line="276" w:lineRule="auto"/>
              <w:ind w:right="208"/>
              <w:rPr>
                <w:rFonts w:ascii="Book Antiqua" w:hAnsi="Book Antiqua"/>
                <w:szCs w:val="20"/>
              </w:rPr>
            </w:pPr>
            <w:r w:rsidRPr="00FD52A8">
              <w:rPr>
                <w:rFonts w:ascii="Book Antiqua" w:hAnsi="Book Antiqua"/>
                <w:szCs w:val="20"/>
              </w:rPr>
              <w:t>15/A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126" w:type="dxa"/>
          </w:tcPr>
          <w:p w14:paraId="74A67888" w14:textId="77777777" w:rsidR="00FD52A8" w:rsidRPr="00FD52A8" w:rsidRDefault="00FD52A8" w:rsidP="00FD52A8">
            <w:pPr>
              <w:pStyle w:val="TableParagraph"/>
              <w:spacing w:before="207" w:line="276" w:lineRule="auto"/>
              <w:ind w:left="937" w:right="929"/>
              <w:rPr>
                <w:rFonts w:ascii="Book Antiqua" w:hAnsi="Book Antiqua"/>
                <w:szCs w:val="20"/>
              </w:rPr>
            </w:pPr>
            <w:r w:rsidRPr="00FD52A8">
              <w:rPr>
                <w:rFonts w:ascii="Book Antiqua" w:hAnsi="Book Antiqua"/>
                <w:szCs w:val="20"/>
              </w:rPr>
              <w:t>34</w:t>
            </w:r>
          </w:p>
        </w:tc>
      </w:tr>
      <w:tr w:rsidR="00FD52A8" w:rsidRPr="00FD52A8" w14:paraId="0295B1C9" w14:textId="77777777" w:rsidTr="00FD52A8">
        <w:trPr>
          <w:trHeight w:val="430"/>
        </w:trPr>
        <w:tc>
          <w:tcPr>
            <w:tcW w:w="567" w:type="dxa"/>
          </w:tcPr>
          <w:p w14:paraId="707521BA" w14:textId="77777777" w:rsidR="00FD52A8" w:rsidRPr="00FD52A8" w:rsidRDefault="00FD52A8" w:rsidP="00FD52A8">
            <w:pPr>
              <w:pStyle w:val="TableParagraph"/>
              <w:spacing w:before="207" w:line="276" w:lineRule="auto"/>
              <w:ind w:left="0" w:right="180"/>
              <w:jc w:val="right"/>
              <w:rPr>
                <w:rFonts w:ascii="Book Antiqua" w:hAnsi="Book Antiqua"/>
                <w:szCs w:val="20"/>
              </w:rPr>
            </w:pPr>
            <w:r w:rsidRPr="00FD52A8">
              <w:rPr>
                <w:rFonts w:ascii="Book Antiqua" w:hAnsi="Book Antiqua"/>
                <w:szCs w:val="20"/>
              </w:rPr>
              <w:t>5.</w:t>
            </w:r>
          </w:p>
        </w:tc>
        <w:tc>
          <w:tcPr>
            <w:tcW w:w="1701" w:type="dxa"/>
          </w:tcPr>
          <w:p w14:paraId="589BC76B" w14:textId="77777777" w:rsidR="00FD52A8" w:rsidRPr="00FD52A8" w:rsidRDefault="00FD52A8" w:rsidP="00FD52A8">
            <w:pPr>
              <w:pStyle w:val="TableParagraph"/>
              <w:spacing w:before="207" w:line="276" w:lineRule="auto"/>
              <w:ind w:left="395"/>
              <w:jc w:val="left"/>
              <w:rPr>
                <w:rFonts w:ascii="Book Antiqua" w:hAnsi="Book Antiqua"/>
                <w:szCs w:val="20"/>
              </w:rPr>
            </w:pPr>
            <w:r w:rsidRPr="00FD52A8">
              <w:rPr>
                <w:rFonts w:ascii="Book Antiqua" w:hAnsi="Book Antiqua"/>
                <w:szCs w:val="20"/>
              </w:rPr>
              <w:t>April</w:t>
            </w:r>
            <w:r w:rsidRPr="00FD52A8">
              <w:rPr>
                <w:rFonts w:ascii="Book Antiqua" w:hAnsi="Book Antiqua"/>
                <w:spacing w:val="-1"/>
                <w:szCs w:val="20"/>
              </w:rPr>
              <w:t xml:space="preserve"> </w:t>
            </w:r>
            <w:r w:rsidRPr="00FD52A8">
              <w:rPr>
                <w:rFonts w:ascii="Book Antiqua" w:hAnsi="Book Antiqua"/>
                <w:szCs w:val="20"/>
              </w:rPr>
              <w:t>2022</w:t>
            </w:r>
          </w:p>
        </w:tc>
        <w:tc>
          <w:tcPr>
            <w:tcW w:w="2694" w:type="dxa"/>
          </w:tcPr>
          <w:p w14:paraId="4B8EEF3D" w14:textId="4224275D" w:rsidR="00FD52A8" w:rsidRPr="00FD52A8" w:rsidRDefault="00FD52A8" w:rsidP="00FD52A8">
            <w:pPr>
              <w:pStyle w:val="TableParagraph"/>
              <w:spacing w:line="276" w:lineRule="auto"/>
              <w:ind w:left="233" w:right="234"/>
              <w:rPr>
                <w:rFonts w:ascii="Book Antiqua" w:hAnsi="Book Antiqua"/>
                <w:szCs w:val="20"/>
              </w:rPr>
            </w:pPr>
            <w:r w:rsidRPr="00FD52A8">
              <w:rPr>
                <w:rFonts w:ascii="Book Antiqua" w:hAnsi="Book Antiqua"/>
                <w:szCs w:val="20"/>
              </w:rPr>
              <w:t>19.66/A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693" w:type="dxa"/>
          </w:tcPr>
          <w:p w14:paraId="5EB5D254" w14:textId="3F39D405" w:rsidR="00FD52A8" w:rsidRPr="00FD52A8" w:rsidRDefault="00FD52A8" w:rsidP="00FD52A8">
            <w:pPr>
              <w:pStyle w:val="TableParagraph"/>
              <w:spacing w:line="276" w:lineRule="auto"/>
              <w:ind w:right="212"/>
              <w:rPr>
                <w:rFonts w:ascii="Book Antiqua" w:hAnsi="Book Antiqua"/>
                <w:szCs w:val="20"/>
              </w:rPr>
            </w:pPr>
            <w:r w:rsidRPr="00FD52A8">
              <w:rPr>
                <w:rFonts w:ascii="Book Antiqua" w:hAnsi="Book Antiqua"/>
                <w:szCs w:val="20"/>
              </w:rPr>
              <w:t>14.71/A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126" w:type="dxa"/>
          </w:tcPr>
          <w:p w14:paraId="0052C67F" w14:textId="77777777" w:rsidR="00FD52A8" w:rsidRPr="00FD52A8" w:rsidRDefault="00FD52A8" w:rsidP="00FD52A8">
            <w:pPr>
              <w:pStyle w:val="TableParagraph"/>
              <w:spacing w:before="207" w:line="276" w:lineRule="auto"/>
              <w:ind w:left="937" w:right="929"/>
              <w:rPr>
                <w:rFonts w:ascii="Book Antiqua" w:hAnsi="Book Antiqua"/>
                <w:szCs w:val="20"/>
              </w:rPr>
            </w:pPr>
            <w:r w:rsidRPr="00FD52A8">
              <w:rPr>
                <w:rFonts w:ascii="Book Antiqua" w:hAnsi="Book Antiqua"/>
                <w:szCs w:val="20"/>
              </w:rPr>
              <w:t>36</w:t>
            </w:r>
          </w:p>
        </w:tc>
      </w:tr>
      <w:tr w:rsidR="00FD52A8" w:rsidRPr="00FD52A8" w14:paraId="6F105F21" w14:textId="77777777" w:rsidTr="00FD52A8">
        <w:trPr>
          <w:trHeight w:val="608"/>
        </w:trPr>
        <w:tc>
          <w:tcPr>
            <w:tcW w:w="567" w:type="dxa"/>
            <w:tcBorders>
              <w:bottom w:val="single" w:sz="4" w:space="0" w:color="auto"/>
            </w:tcBorders>
          </w:tcPr>
          <w:p w14:paraId="43D20F9D" w14:textId="77777777" w:rsidR="00FD52A8" w:rsidRPr="00FD52A8" w:rsidRDefault="00FD52A8" w:rsidP="00FD52A8">
            <w:pPr>
              <w:pStyle w:val="TableParagraph"/>
              <w:spacing w:before="207" w:line="276" w:lineRule="auto"/>
              <w:ind w:left="0" w:right="180"/>
              <w:jc w:val="right"/>
              <w:rPr>
                <w:rFonts w:ascii="Book Antiqua" w:hAnsi="Book Antiqua"/>
                <w:szCs w:val="20"/>
              </w:rPr>
            </w:pPr>
            <w:r w:rsidRPr="00FD52A8">
              <w:rPr>
                <w:rFonts w:ascii="Book Antiqua" w:hAnsi="Book Antiqua"/>
                <w:szCs w:val="20"/>
              </w:rPr>
              <w:t>6.</w:t>
            </w:r>
          </w:p>
        </w:tc>
        <w:tc>
          <w:tcPr>
            <w:tcW w:w="1701" w:type="dxa"/>
            <w:tcBorders>
              <w:bottom w:val="single" w:sz="4" w:space="0" w:color="auto"/>
            </w:tcBorders>
          </w:tcPr>
          <w:p w14:paraId="6CADC699" w14:textId="77777777" w:rsidR="00FD52A8" w:rsidRPr="00FD52A8" w:rsidRDefault="00FD52A8" w:rsidP="00FD52A8">
            <w:pPr>
              <w:pStyle w:val="TableParagraph"/>
              <w:spacing w:before="207" w:line="276" w:lineRule="auto"/>
              <w:ind w:left="431"/>
              <w:jc w:val="left"/>
              <w:rPr>
                <w:rFonts w:ascii="Book Antiqua" w:hAnsi="Book Antiqua"/>
                <w:szCs w:val="20"/>
              </w:rPr>
            </w:pPr>
            <w:r w:rsidRPr="00FD52A8">
              <w:rPr>
                <w:rFonts w:ascii="Book Antiqua" w:hAnsi="Book Antiqua"/>
                <w:szCs w:val="20"/>
              </w:rPr>
              <w:t>May</w:t>
            </w:r>
            <w:r w:rsidRPr="00FD52A8">
              <w:rPr>
                <w:rFonts w:ascii="Book Antiqua" w:hAnsi="Book Antiqua"/>
                <w:spacing w:val="-1"/>
                <w:szCs w:val="20"/>
              </w:rPr>
              <w:t xml:space="preserve"> </w:t>
            </w:r>
            <w:r w:rsidRPr="00FD52A8">
              <w:rPr>
                <w:rFonts w:ascii="Book Antiqua" w:hAnsi="Book Antiqua"/>
                <w:szCs w:val="20"/>
              </w:rPr>
              <w:t>2022</w:t>
            </w:r>
          </w:p>
        </w:tc>
        <w:tc>
          <w:tcPr>
            <w:tcW w:w="2694" w:type="dxa"/>
            <w:tcBorders>
              <w:bottom w:val="single" w:sz="4" w:space="0" w:color="auto"/>
            </w:tcBorders>
          </w:tcPr>
          <w:p w14:paraId="23F0B7C5" w14:textId="263C8BCA" w:rsidR="00FD52A8" w:rsidRPr="00FD52A8" w:rsidRDefault="00FD52A8" w:rsidP="00FD52A8">
            <w:pPr>
              <w:pStyle w:val="TableParagraph"/>
              <w:spacing w:before="3" w:line="276" w:lineRule="auto"/>
              <w:ind w:left="233" w:right="234"/>
              <w:rPr>
                <w:rFonts w:ascii="Book Antiqua" w:hAnsi="Book Antiqua"/>
                <w:szCs w:val="20"/>
              </w:rPr>
            </w:pPr>
            <w:r w:rsidRPr="00FD52A8">
              <w:rPr>
                <w:rFonts w:ascii="Book Antiqua" w:hAnsi="Book Antiqua"/>
                <w:szCs w:val="20"/>
              </w:rPr>
              <w:t>19.68/A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693" w:type="dxa"/>
            <w:tcBorders>
              <w:bottom w:val="single" w:sz="4" w:space="0" w:color="auto"/>
            </w:tcBorders>
          </w:tcPr>
          <w:p w14:paraId="37406CCC" w14:textId="76927DDF" w:rsidR="00FD52A8" w:rsidRPr="00FD52A8" w:rsidRDefault="00FD52A8" w:rsidP="00FD52A8">
            <w:pPr>
              <w:pStyle w:val="TableParagraph"/>
              <w:spacing w:before="3" w:line="276" w:lineRule="auto"/>
              <w:ind w:right="212"/>
              <w:rPr>
                <w:rFonts w:ascii="Book Antiqua" w:hAnsi="Book Antiqua"/>
                <w:szCs w:val="20"/>
              </w:rPr>
            </w:pPr>
            <w:r w:rsidRPr="00FD52A8">
              <w:rPr>
                <w:rFonts w:ascii="Book Antiqua" w:hAnsi="Book Antiqua"/>
                <w:szCs w:val="20"/>
              </w:rPr>
              <w:t>14.85/A</w:t>
            </w:r>
            <w:r w:rsidRPr="00FD52A8">
              <w:rPr>
                <w:rFonts w:ascii="Book Antiqua" w:hAnsi="Book Antiqua"/>
                <w:spacing w:val="-3"/>
                <w:szCs w:val="20"/>
              </w:rPr>
              <w:t xml:space="preserve"> </w:t>
            </w:r>
            <w:r w:rsidRPr="00FD52A8">
              <w:rPr>
                <w:rFonts w:ascii="Book Antiqua" w:hAnsi="Book Antiqua"/>
                <w:szCs w:val="20"/>
              </w:rPr>
              <w:t>(Very</w:t>
            </w:r>
            <w:r w:rsidRPr="00FD52A8">
              <w:rPr>
                <w:rFonts w:ascii="Book Antiqua" w:hAnsi="Book Antiqua"/>
                <w:spacing w:val="-1"/>
                <w:szCs w:val="20"/>
              </w:rPr>
              <w:t xml:space="preserve"> </w:t>
            </w:r>
            <w:r w:rsidRPr="00FD52A8">
              <w:rPr>
                <w:rFonts w:ascii="Book Antiqua" w:hAnsi="Book Antiqua"/>
                <w:szCs w:val="20"/>
              </w:rPr>
              <w:t>Good)</w:t>
            </w:r>
          </w:p>
        </w:tc>
        <w:tc>
          <w:tcPr>
            <w:tcW w:w="2126" w:type="dxa"/>
            <w:tcBorders>
              <w:bottom w:val="single" w:sz="4" w:space="0" w:color="auto"/>
            </w:tcBorders>
          </w:tcPr>
          <w:p w14:paraId="3D9A99F0" w14:textId="77777777" w:rsidR="00FD52A8" w:rsidRPr="00FD52A8" w:rsidRDefault="00FD52A8" w:rsidP="00FD52A8">
            <w:pPr>
              <w:pStyle w:val="TableParagraph"/>
              <w:spacing w:before="207" w:line="276" w:lineRule="auto"/>
              <w:ind w:left="937" w:right="929"/>
              <w:rPr>
                <w:rFonts w:ascii="Book Antiqua" w:hAnsi="Book Antiqua"/>
                <w:szCs w:val="20"/>
              </w:rPr>
            </w:pPr>
            <w:r w:rsidRPr="00FD52A8">
              <w:rPr>
                <w:rFonts w:ascii="Book Antiqua" w:hAnsi="Book Antiqua"/>
                <w:szCs w:val="20"/>
              </w:rPr>
              <w:t>34</w:t>
            </w:r>
          </w:p>
        </w:tc>
      </w:tr>
      <w:tr w:rsidR="00FD52A8" w:rsidRPr="00FD52A8" w14:paraId="37D00150" w14:textId="77777777" w:rsidTr="00FD52A8">
        <w:trPr>
          <w:trHeight w:val="830"/>
        </w:trPr>
        <w:tc>
          <w:tcPr>
            <w:tcW w:w="9781" w:type="dxa"/>
            <w:gridSpan w:val="5"/>
            <w:tcBorders>
              <w:top w:val="single" w:sz="4" w:space="0" w:color="auto"/>
            </w:tcBorders>
          </w:tcPr>
          <w:p w14:paraId="7070F0BA" w14:textId="393FCA36" w:rsidR="00FD52A8" w:rsidRPr="00FD52A8" w:rsidRDefault="00FD52A8" w:rsidP="00FD52A8">
            <w:pPr>
              <w:pStyle w:val="TableParagraph"/>
              <w:spacing w:before="207" w:line="276" w:lineRule="auto"/>
              <w:ind w:right="929"/>
              <w:jc w:val="left"/>
              <w:rPr>
                <w:rFonts w:ascii="Book Antiqua" w:hAnsi="Book Antiqua"/>
                <w:i/>
                <w:iCs/>
                <w:sz w:val="20"/>
                <w:szCs w:val="20"/>
              </w:rPr>
            </w:pPr>
            <w:r w:rsidRPr="00FD52A8">
              <w:rPr>
                <w:rFonts w:ascii="Book Antiqua" w:hAnsi="Book Antiqua"/>
                <w:i/>
                <w:iCs/>
                <w:sz w:val="20"/>
                <w:szCs w:val="20"/>
              </w:rPr>
              <w:t>Source: processed from Corruption Perception Index (IPK) and Community Satisfaction Index (IKM) Report data on Instagram Immigration Office Class I Non</w:t>
            </w:r>
            <w:r w:rsidR="004E167C" w:rsidRPr="004E167C">
              <w:rPr>
                <w:rFonts w:ascii="Book Antiqua" w:hAnsi="Book Antiqua"/>
                <w:i/>
                <w:iCs/>
                <w:sz w:val="20"/>
                <w:szCs w:val="20"/>
              </w:rPr>
              <w:t xml:space="preserve">-Checkpoint </w:t>
            </w:r>
            <w:r w:rsidRPr="00FD52A8">
              <w:rPr>
                <w:rFonts w:ascii="Book Antiqua" w:hAnsi="Book Antiqua"/>
                <w:i/>
                <w:iCs/>
                <w:sz w:val="20"/>
                <w:szCs w:val="20"/>
              </w:rPr>
              <w:t>Pati</w:t>
            </w:r>
          </w:p>
        </w:tc>
      </w:tr>
    </w:tbl>
    <w:p w14:paraId="24C1A1B7" w14:textId="77777777" w:rsidR="00FD52A8" w:rsidRDefault="00FD52A8"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sectPr w:rsidR="00FD52A8" w:rsidSect="00FD52A8">
          <w:type w:val="continuous"/>
          <w:pgSz w:w="12240" w:h="15840"/>
          <w:pgMar w:top="993" w:right="1041" w:bottom="993" w:left="1418" w:header="1152" w:footer="426" w:gutter="0"/>
          <w:cols w:space="720"/>
        </w:sectPr>
      </w:pPr>
    </w:p>
    <w:p w14:paraId="3EFDBA26" w14:textId="77777777" w:rsidR="00FD52A8" w:rsidRDefault="00FD52A8"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7E7F9234" w14:textId="4B32CE5B" w:rsid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Based on the assessment report data above, it can be seen that the Community Satisfaction Index (IKM) and Corruption </w:t>
      </w:r>
      <w:r w:rsidRPr="00575694">
        <w:rPr>
          <w:rFonts w:ascii="Book Antiqua" w:eastAsia="Book Antiqua" w:hAnsi="Book Antiqua" w:cs="Book Antiqua"/>
          <w:bCs/>
          <w:color w:val="000000"/>
          <w:sz w:val="24"/>
          <w:szCs w:val="24"/>
        </w:rPr>
        <w:t>Perception Index (IPK) on</w:t>
      </w:r>
      <w:r w:rsidR="00DE153F">
        <w:rPr>
          <w:rFonts w:ascii="Book Antiqua" w:eastAsia="Book Antiqua" w:hAnsi="Book Antiqua" w:cs="Book Antiqua"/>
          <w:bCs/>
          <w:color w:val="000000"/>
          <w:sz w:val="24"/>
          <w:szCs w:val="24"/>
        </w:rPr>
        <w:t xml:space="preserve"> </w:t>
      </w:r>
      <w:r w:rsidRPr="00575694">
        <w:rPr>
          <w:rFonts w:ascii="Book Antiqua" w:eastAsia="Book Antiqua" w:hAnsi="Book Antiqua" w:cs="Book Antiqua"/>
          <w:bCs/>
          <w:color w:val="000000"/>
          <w:sz w:val="24"/>
          <w:szCs w:val="24"/>
        </w:rPr>
        <w:t xml:space="preserve">services at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 are very good. The value obtained is always maximum. Including when at the </w:t>
      </w:r>
      <w:r w:rsidRPr="00575694">
        <w:rPr>
          <w:rFonts w:ascii="Book Antiqua" w:eastAsia="Book Antiqua" w:hAnsi="Book Antiqua" w:cs="Book Antiqua"/>
          <w:bCs/>
          <w:color w:val="000000"/>
          <w:sz w:val="24"/>
          <w:szCs w:val="24"/>
        </w:rPr>
        <w:lastRenderedPageBreak/>
        <w:t xml:space="preserve">assessment in March 2022, the assessment given by the respondent was perfect in the value of the IKM and IPK obtained. This assessment illustrates that the quality of Immigration services provided has fulfilled the aspects of public desire and has a high level of accountability. However, what should still get attention is the representation of the number of respondents who participated in the survey. Note that in the future, the number of respondents who participate in filling out and providing an assessment of the quality of service and perceptions of corruption at the Immigration Office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can be even more so that it can represent the overall picture of the quality of service provided.</w:t>
      </w:r>
    </w:p>
    <w:p w14:paraId="22388755" w14:textId="77777777" w:rsidR="00DE153F" w:rsidRPr="00575694" w:rsidRDefault="00DE153F"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7F18DFFE" w14:textId="77777777"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sidRPr="00DE153F">
        <w:rPr>
          <w:rFonts w:ascii="Book Antiqua" w:eastAsia="Book Antiqua" w:hAnsi="Book Antiqua" w:cs="Book Antiqua"/>
          <w:b/>
          <w:color w:val="000000"/>
          <w:sz w:val="24"/>
          <w:szCs w:val="24"/>
        </w:rPr>
        <w:t>Quality of Service by Google Review</w:t>
      </w:r>
    </w:p>
    <w:p w14:paraId="0BC28333" w14:textId="77777777" w:rsidR="00DE153F"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point of view of assessing the quality of service internally can be seen from the Corruption Perception Index (CPI) and Community Satisfaction Index (SMI) reports which are internally managed by the agency. However, it is also necessary to look at one of the internal satisfaction indicators that can be accessed online through reviews on Google Review from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 This is important to synchronize the report data submitted internally with the reviews or reviews provided by the immigration service applicant. The goal is to find common ground and improve the quality of service at the Immigration Office of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w:t>
      </w:r>
    </w:p>
    <w:p w14:paraId="4038395A" w14:textId="05648C97" w:rsidR="00575694" w:rsidRP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Google Review on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 page has an overall score of 4.7 from 563 reviews given by immigration service applicants. Data from this Google Review will then be analyzed for the last 6 (six) month period, from December 2021 to May 2022. The reviews submitted will be selected based on </w:t>
      </w:r>
      <w:r w:rsidRPr="00575694">
        <w:rPr>
          <w:rFonts w:ascii="Book Antiqua" w:eastAsia="Book Antiqua" w:hAnsi="Book Antiqua" w:cs="Book Antiqua"/>
          <w:bCs/>
          <w:color w:val="000000"/>
          <w:sz w:val="24"/>
          <w:szCs w:val="24"/>
        </w:rPr>
        <w:t>the level of satisfaction or dissatisfaction, the quantity of applicants in conducting the review and also the description of the input given in the review. As for some of the findings that are the subject of analysis, as follows:</w:t>
      </w:r>
    </w:p>
    <w:p w14:paraId="47FD198C" w14:textId="6408CAF2" w:rsidR="00575694" w:rsidRPr="00575694" w:rsidRDefault="00810533"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rFonts w:ascii="Book Antiqua" w:eastAsia="Book Antiqua" w:hAnsi="Book Antiqua" w:cs="Book Antiqua"/>
          <w:bCs/>
          <w:noProof/>
          <w:color w:val="000000"/>
          <w:sz w:val="24"/>
          <w:szCs w:val="24"/>
        </w:rPr>
        <w:drawing>
          <wp:inline distT="0" distB="0" distL="0" distR="0" wp14:anchorId="405E9256" wp14:editId="61F8E8B1">
            <wp:extent cx="2876550" cy="1606580"/>
            <wp:effectExtent l="0" t="0" r="0" b="0"/>
            <wp:docPr id="1613330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606580"/>
                    </a:xfrm>
                    <a:prstGeom prst="rect">
                      <a:avLst/>
                    </a:prstGeom>
                    <a:noFill/>
                  </pic:spPr>
                </pic:pic>
              </a:graphicData>
            </a:graphic>
          </wp:inline>
        </w:drawing>
      </w:r>
    </w:p>
    <w:p w14:paraId="02609FA7" w14:textId="0EC11890"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Review by Ira Mega Novianti</w:t>
      </w:r>
    </w:p>
    <w:p w14:paraId="4FD98D41" w14:textId="6FC6BC97"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 xml:space="preserve">Source: Google Review of Immigration Office Class I </w:t>
      </w:r>
      <w:r w:rsidR="007E4886" w:rsidRPr="00DE153F">
        <w:rPr>
          <w:rFonts w:ascii="Book Antiqua" w:eastAsia="Book Antiqua" w:hAnsi="Book Antiqua" w:cs="Book Antiqua"/>
          <w:bCs/>
          <w:color w:val="000000"/>
        </w:rPr>
        <w:t>Non-Checkpoint</w:t>
      </w:r>
      <w:r w:rsidRPr="00DE153F">
        <w:rPr>
          <w:rFonts w:ascii="Book Antiqua" w:eastAsia="Book Antiqua" w:hAnsi="Book Antiqua" w:cs="Book Antiqua"/>
          <w:bCs/>
          <w:color w:val="000000"/>
        </w:rPr>
        <w:t xml:space="preserve"> Pati</w:t>
      </w:r>
    </w:p>
    <w:p w14:paraId="680CCA4F" w14:textId="77777777" w:rsidR="00575694" w:rsidRP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4DBA256B" w14:textId="31792B0F" w:rsid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picture above shows a review of the services provided by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 in December 2021. The review focuses on service officers who provide good service and also facilities in the service room to support the needs of immigration service applicants. The reviewer explains in detail some of the facilities provided and the advantages obtained. For example, it is mentioned that the mini café is free or the children's playground. Reviewers also attach photos to support the explanation given. The review ends with an acknowledgment of the services and facilities provided. The review value for the service provided is positive.</w:t>
      </w:r>
    </w:p>
    <w:p w14:paraId="1BA1C15B" w14:textId="39A41E05" w:rsidR="00810533" w:rsidRDefault="00810533"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0EC4064C" w14:textId="77777777" w:rsidR="00810533" w:rsidRDefault="00810533"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4FD65712" w14:textId="77777777" w:rsidR="00810533" w:rsidRDefault="00810533"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14E367DA" w14:textId="77777777" w:rsidR="00810533" w:rsidRDefault="00810533"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5CA1F553" w14:textId="77777777" w:rsidR="00810533" w:rsidRDefault="00810533"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4BB8CA27" w14:textId="77777777" w:rsidR="00810533" w:rsidRDefault="00810533"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27745EA5" w14:textId="30468DDF" w:rsidR="00810533" w:rsidRDefault="00810533" w:rsidP="00810533">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noProof/>
        </w:rPr>
        <w:lastRenderedPageBreak/>
        <w:drawing>
          <wp:inline distT="0" distB="0" distL="0" distR="0" wp14:anchorId="3DF9EDCE" wp14:editId="307BF707">
            <wp:extent cx="2926715" cy="2423160"/>
            <wp:effectExtent l="0" t="0" r="6985"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26715" cy="2423160"/>
                    </a:xfrm>
                    <a:prstGeom prst="rect">
                      <a:avLst/>
                    </a:prstGeom>
                  </pic:spPr>
                </pic:pic>
              </a:graphicData>
            </a:graphic>
          </wp:inline>
        </w:drawing>
      </w:r>
    </w:p>
    <w:p w14:paraId="5527AA4B" w14:textId="77777777"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Review by Muchamad Sahdiqin</w:t>
      </w:r>
    </w:p>
    <w:p w14:paraId="6DBCE525" w14:textId="7A8D2FB6"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 xml:space="preserve">Source: Google Review of Immigration Office Class I </w:t>
      </w:r>
      <w:r w:rsidR="007E4886" w:rsidRPr="00DE153F">
        <w:rPr>
          <w:rFonts w:ascii="Book Antiqua" w:eastAsia="Book Antiqua" w:hAnsi="Book Antiqua" w:cs="Book Antiqua"/>
          <w:bCs/>
          <w:color w:val="000000"/>
        </w:rPr>
        <w:t>Non-Checkpoint</w:t>
      </w:r>
      <w:r w:rsidRPr="00DE153F">
        <w:rPr>
          <w:rFonts w:ascii="Book Antiqua" w:eastAsia="Book Antiqua" w:hAnsi="Book Antiqua" w:cs="Book Antiqua"/>
          <w:bCs/>
          <w:color w:val="000000"/>
        </w:rPr>
        <w:t xml:space="preserve"> Pati</w:t>
      </w:r>
    </w:p>
    <w:p w14:paraId="39A6E647" w14:textId="77777777" w:rsidR="00DE153F" w:rsidRPr="00575694"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02AFBDD9" w14:textId="748AAEEB" w:rsid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review given by Muchamd Sahdiqin focuses more on the service process at the Immigration Office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The reviewer conveyed information about service fees, speed of service and available facilities. In addition, the reviewer also emphasized for certain groups of people, in this case seafarers, to apply for a passport at the Immigration Office of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by first preparing a work recommendation from the Manpower Office. The value of this review is positive because the reviewer expresses his satisfaction with the services received and is also willing to share information with others regarding the experience gained.</w:t>
      </w:r>
    </w:p>
    <w:p w14:paraId="03D12C09" w14:textId="77777777" w:rsidR="00DE153F" w:rsidRPr="00575694" w:rsidRDefault="00DE153F"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2B12D59F" w14:textId="5792B102" w:rsidR="00575694" w:rsidRPr="00575694"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noProof/>
        </w:rPr>
        <w:drawing>
          <wp:inline distT="0" distB="0" distL="0" distR="0" wp14:anchorId="07122257" wp14:editId="3F30632E">
            <wp:extent cx="2506980" cy="1868665"/>
            <wp:effectExtent l="0" t="0" r="7620" b="0"/>
            <wp:docPr id="1200120058" name="Picture 120012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3385" cy="1873439"/>
                    </a:xfrm>
                    <a:prstGeom prst="rect">
                      <a:avLst/>
                    </a:prstGeom>
                  </pic:spPr>
                </pic:pic>
              </a:graphicData>
            </a:graphic>
          </wp:inline>
        </w:drawing>
      </w:r>
    </w:p>
    <w:p w14:paraId="07450838" w14:textId="77777777"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Review by Qilunk SparKyu</w:t>
      </w:r>
    </w:p>
    <w:p w14:paraId="7E58F939" w14:textId="59E169DF"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 xml:space="preserve">Source: Google Review of Immigration Office Class I </w:t>
      </w:r>
      <w:r w:rsidR="007E4886" w:rsidRPr="00DE153F">
        <w:rPr>
          <w:rFonts w:ascii="Book Antiqua" w:eastAsia="Book Antiqua" w:hAnsi="Book Antiqua" w:cs="Book Antiqua"/>
          <w:bCs/>
          <w:color w:val="000000"/>
        </w:rPr>
        <w:t>Non-Checkpoint</w:t>
      </w:r>
      <w:r w:rsidRPr="00DE153F">
        <w:rPr>
          <w:rFonts w:ascii="Book Antiqua" w:eastAsia="Book Antiqua" w:hAnsi="Book Antiqua" w:cs="Book Antiqua"/>
          <w:bCs/>
          <w:color w:val="000000"/>
        </w:rPr>
        <w:t xml:space="preserve"> Pati</w:t>
      </w:r>
    </w:p>
    <w:p w14:paraId="365DF858" w14:textId="2E46AE57" w:rsidR="00575694" w:rsidRP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review conducted by Qilunk SparKyu is a review made 5 (five) months ago or in January 2022. The reviewer expressed a positive response to the services provided by explaining the good quality of service, friendly officers, a comfortable place and several service support facilities available in the service room. In addition, the reviewer also provided additional information about the application fee and the passport completion period. The value of this review is positive because in addition to giving 5 (five) stars as a sign of satisfaction with the service, the reviewer is also willing to share his experience when applying for a passport at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w:t>
      </w:r>
    </w:p>
    <w:p w14:paraId="4E0D0C87" w14:textId="1798C852" w:rsidR="00575694" w:rsidRPr="00575694" w:rsidRDefault="00810533"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noProof/>
        </w:rPr>
        <w:drawing>
          <wp:inline distT="0" distB="0" distL="0" distR="0" wp14:anchorId="274BFE1E" wp14:editId="38121F58">
            <wp:extent cx="3198368" cy="1892665"/>
            <wp:effectExtent l="0" t="0" r="254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98368" cy="1892665"/>
                    </a:xfrm>
                    <a:prstGeom prst="rect">
                      <a:avLst/>
                    </a:prstGeom>
                  </pic:spPr>
                </pic:pic>
              </a:graphicData>
            </a:graphic>
          </wp:inline>
        </w:drawing>
      </w:r>
    </w:p>
    <w:p w14:paraId="5CBC3670" w14:textId="77777777"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Review by Basuki Rachmat</w:t>
      </w:r>
    </w:p>
    <w:p w14:paraId="3B813B48" w14:textId="1FD5EB7A" w:rsid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 xml:space="preserve">Source: Google Review of Immigration Office Class I </w:t>
      </w:r>
      <w:r w:rsidR="007E4886" w:rsidRPr="00DE153F">
        <w:rPr>
          <w:rFonts w:ascii="Book Antiqua" w:eastAsia="Book Antiqua" w:hAnsi="Book Antiqua" w:cs="Book Antiqua"/>
          <w:bCs/>
          <w:color w:val="000000"/>
        </w:rPr>
        <w:t>Non-Checkpoint</w:t>
      </w:r>
      <w:r w:rsidRPr="00DE153F">
        <w:rPr>
          <w:rFonts w:ascii="Book Antiqua" w:eastAsia="Book Antiqua" w:hAnsi="Book Antiqua" w:cs="Book Antiqua"/>
          <w:bCs/>
          <w:color w:val="000000"/>
        </w:rPr>
        <w:t xml:space="preserve"> Pati</w:t>
      </w:r>
    </w:p>
    <w:p w14:paraId="15445066" w14:textId="77777777" w:rsidR="00DE153F" w:rsidRP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p>
    <w:p w14:paraId="67CC15C4" w14:textId="413DDBEB" w:rsid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review given by Basuki Rachmat is a positive review because it explains about friendly service, swift officers and transparency in service. In addition, the reviewer also provided information about the collection mechanism through Drive-thru or using Post Office services. The reviewer also conveyed the period of passport completion which was considered fast and did not need to be complicated to go back and forth because the passport was simply waited for and delivered to the house concerned. This reviewer has done 15 </w:t>
      </w:r>
      <w:r w:rsidRPr="00575694">
        <w:rPr>
          <w:rFonts w:ascii="Book Antiqua" w:eastAsia="Book Antiqua" w:hAnsi="Book Antiqua" w:cs="Book Antiqua"/>
          <w:bCs/>
          <w:color w:val="000000"/>
          <w:sz w:val="24"/>
          <w:szCs w:val="24"/>
        </w:rPr>
        <w:lastRenderedPageBreak/>
        <w:t>(fifteen) Google Reviews in different places and tends to be critical to provide an assessment of the performance or service at the place visited.</w:t>
      </w:r>
    </w:p>
    <w:p w14:paraId="5F537970" w14:textId="77777777" w:rsidR="009460A2" w:rsidRDefault="009460A2"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p>
    <w:p w14:paraId="7C548E4B" w14:textId="5D63E5B8" w:rsidR="00DE153F" w:rsidRPr="00575694" w:rsidRDefault="00810533" w:rsidP="009460A2">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noProof/>
        </w:rPr>
        <w:drawing>
          <wp:inline distT="0" distB="0" distL="0" distR="0" wp14:anchorId="04A48CC6" wp14:editId="725A65D2">
            <wp:extent cx="2849880" cy="2263140"/>
            <wp:effectExtent l="0" t="0" r="7620" b="3810"/>
            <wp:docPr id="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2849880" cy="2263140"/>
                    </a:xfrm>
                    <a:prstGeom prst="rect">
                      <a:avLst/>
                    </a:prstGeom>
                    <a:ln w="190500">
                      <a:noFill/>
                      <a:prstDash val="solid"/>
                    </a:ln>
                  </pic:spPr>
                </pic:pic>
              </a:graphicData>
            </a:graphic>
          </wp:inline>
        </w:drawing>
      </w:r>
    </w:p>
    <w:p w14:paraId="1684080C" w14:textId="652E7C7E" w:rsidR="00575694" w:rsidRP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32E20CE3" w14:textId="77777777" w:rsidR="009460A2" w:rsidRDefault="009460A2"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Pr>
          <w:rFonts w:ascii="Book Antiqua" w:eastAsia="Book Antiqua" w:hAnsi="Book Antiqua" w:cs="Book Antiqua"/>
          <w:bCs/>
          <w:color w:val="000000"/>
        </w:rPr>
        <w:t>Review by Azriel FAchruddin</w:t>
      </w:r>
    </w:p>
    <w:p w14:paraId="62356A15" w14:textId="51CFFB21"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 xml:space="preserve">Source: Google Review of Immigration Office Class I </w:t>
      </w:r>
      <w:r w:rsidR="007E4886" w:rsidRPr="00DE153F">
        <w:rPr>
          <w:rFonts w:ascii="Book Antiqua" w:eastAsia="Book Antiqua" w:hAnsi="Book Antiqua" w:cs="Book Antiqua"/>
          <w:bCs/>
          <w:color w:val="000000"/>
        </w:rPr>
        <w:t>Non-Checkpoint</w:t>
      </w:r>
      <w:r w:rsidRPr="00DE153F">
        <w:rPr>
          <w:rFonts w:ascii="Book Antiqua" w:eastAsia="Book Antiqua" w:hAnsi="Book Antiqua" w:cs="Book Antiqua"/>
          <w:bCs/>
          <w:color w:val="000000"/>
        </w:rPr>
        <w:t xml:space="preserve"> Pati</w:t>
      </w:r>
    </w:p>
    <w:p w14:paraId="7AAAD8DC" w14:textId="1C88E28E" w:rsidR="00575694" w:rsidRP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review given by Azriel </w:t>
      </w:r>
      <w:r w:rsidR="00DE153F" w:rsidRPr="00575694">
        <w:rPr>
          <w:rFonts w:ascii="Book Antiqua" w:eastAsia="Book Antiqua" w:hAnsi="Book Antiqua" w:cs="Book Antiqua"/>
          <w:bCs/>
          <w:color w:val="000000"/>
          <w:sz w:val="24"/>
          <w:szCs w:val="24"/>
        </w:rPr>
        <w:t xml:space="preserve">Fachruddin </w:t>
      </w:r>
      <w:r w:rsidRPr="00575694">
        <w:rPr>
          <w:rFonts w:ascii="Book Antiqua" w:eastAsia="Book Antiqua" w:hAnsi="Book Antiqua" w:cs="Book Antiqua"/>
          <w:bCs/>
          <w:color w:val="000000"/>
          <w:sz w:val="24"/>
          <w:szCs w:val="24"/>
        </w:rPr>
        <w:t xml:space="preserve">attached several photos of the conditions and facilities in the passport service room at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 This review was conducted by him in February 2022 and is the</w:t>
      </w:r>
      <w:r w:rsidR="00DE153F">
        <w:rPr>
          <w:rFonts w:ascii="Book Antiqua" w:eastAsia="Book Antiqua" w:hAnsi="Book Antiqua" w:cs="Book Antiqua"/>
          <w:bCs/>
          <w:color w:val="000000"/>
          <w:sz w:val="24"/>
          <w:szCs w:val="24"/>
        </w:rPr>
        <w:t xml:space="preserve"> </w:t>
      </w:r>
      <w:r w:rsidRPr="00575694">
        <w:rPr>
          <w:rFonts w:ascii="Book Antiqua" w:eastAsia="Book Antiqua" w:hAnsi="Book Antiqua" w:cs="Book Antiqua"/>
          <w:bCs/>
          <w:color w:val="000000"/>
          <w:sz w:val="24"/>
          <w:szCs w:val="24"/>
        </w:rPr>
        <w:t>umpteenth review out of a total of 65 (sixty-five) reviews he has done. In addition to conveying about the access to the Immigration Office that is easily accessible, the person concerned also conveyed about the quality of service, friendliness of officers and comfort of facilities. In addition, he/she provided information to bring complete and original documents when submitting the application. The score of this review is positive.</w:t>
      </w:r>
    </w:p>
    <w:p w14:paraId="074E6BA2" w14:textId="79229256" w:rsid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1B1264C4" w14:textId="43BF11B0"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2AD2C234" w14:textId="77777777"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73B59727" w14:textId="7CC4FB9F"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1A01EA30" w14:textId="77777777"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53924D81" w14:textId="22FFFFBF"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4F10C553" w14:textId="77777777"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5BBE463E" w14:textId="3E54DA30" w:rsidR="00DE153F" w:rsidRDefault="00810533"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noProof/>
        </w:rPr>
        <w:drawing>
          <wp:inline distT="0" distB="0" distL="0" distR="0" wp14:anchorId="58434179" wp14:editId="2E79C247">
            <wp:extent cx="2982029" cy="2420340"/>
            <wp:effectExtent l="0" t="0" r="889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982029" cy="2420340"/>
                    </a:xfrm>
                    <a:prstGeom prst="rect">
                      <a:avLst/>
                    </a:prstGeom>
                    <a:ln w="190500">
                      <a:noFill/>
                      <a:prstDash val="solid"/>
                    </a:ln>
                  </pic:spPr>
                </pic:pic>
              </a:graphicData>
            </a:graphic>
          </wp:inline>
        </w:drawing>
      </w:r>
    </w:p>
    <w:p w14:paraId="6A94446D" w14:textId="77777777"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Review by Rifia Hambali</w:t>
      </w:r>
    </w:p>
    <w:p w14:paraId="551209F3" w14:textId="6586601C"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 xml:space="preserve">Source: Google Review of Immigration Office Class I </w:t>
      </w:r>
      <w:r w:rsidR="007E4886" w:rsidRPr="00DE153F">
        <w:rPr>
          <w:rFonts w:ascii="Book Antiqua" w:eastAsia="Book Antiqua" w:hAnsi="Book Antiqua" w:cs="Book Antiqua"/>
          <w:bCs/>
          <w:color w:val="000000"/>
        </w:rPr>
        <w:t>Non-Checkpoint</w:t>
      </w:r>
      <w:r w:rsidRPr="00DE153F">
        <w:rPr>
          <w:rFonts w:ascii="Book Antiqua" w:eastAsia="Book Antiqua" w:hAnsi="Book Antiqua" w:cs="Book Antiqua"/>
          <w:bCs/>
          <w:color w:val="000000"/>
        </w:rPr>
        <w:t xml:space="preserve"> Pati</w:t>
      </w:r>
    </w:p>
    <w:p w14:paraId="30148EE3" w14:textId="77777777" w:rsidR="00575694" w:rsidRP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Rifia Hambali, based on information provided by Google, often reviews the places or facilities he visits. This can be seen from the information that he has done 153 (one hundred and fifty-three) reviews. The person concerned gave 4 stars as a form of assessment to show that the services and facilities provided were good enough. The person concerned still critically provides input on several service mechanisms that need improvement including supporting facilities in the service area. In addition, the person concerned also gave a warning because within a certain period of time they were not immediately served. This was a positive review despite the feedback and suggestions given. It is important to get feedback like this so that the institution understands which sides should get attention for future improvement.</w:t>
      </w:r>
    </w:p>
    <w:p w14:paraId="1FBA6B9D" w14:textId="77777777" w:rsidR="00575694" w:rsidRP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 </w:t>
      </w:r>
    </w:p>
    <w:p w14:paraId="4DBF3502" w14:textId="483D3931" w:rsidR="00575694" w:rsidRP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3B6178CD" w14:textId="77777777" w:rsid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 </w:t>
      </w:r>
    </w:p>
    <w:p w14:paraId="2BEDCC4B" w14:textId="77777777"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75353CB0" w14:textId="77777777" w:rsidR="00810533" w:rsidRDefault="00810533"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652EBB7C" w14:textId="77777777" w:rsidR="00810533" w:rsidRDefault="00810533"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622A7CD6" w14:textId="77777777"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1A941CEC" w14:textId="77777777"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3D6DDF98" w14:textId="77777777" w:rsidR="00DE153F"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7A1B6D23" w14:textId="5417D2DB" w:rsidR="00DE153F" w:rsidRDefault="00810533"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noProof/>
        </w:rPr>
        <w:lastRenderedPageBreak/>
        <w:drawing>
          <wp:inline distT="0" distB="0" distL="0" distR="0" wp14:anchorId="3100EECE" wp14:editId="03E70FA8">
            <wp:extent cx="2971800" cy="2531362"/>
            <wp:effectExtent l="0" t="0" r="0" b="2540"/>
            <wp:docPr id="1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2971800" cy="2531362"/>
                    </a:xfrm>
                    <a:prstGeom prst="rect">
                      <a:avLst/>
                    </a:prstGeom>
                    <a:ln w="190500">
                      <a:noFill/>
                      <a:prstDash val="solid"/>
                    </a:ln>
                  </pic:spPr>
                </pic:pic>
              </a:graphicData>
            </a:graphic>
          </wp:inline>
        </w:drawing>
      </w:r>
    </w:p>
    <w:p w14:paraId="2564199B" w14:textId="77777777"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Review by Adam Kukuh Baskoro</w:t>
      </w:r>
    </w:p>
    <w:p w14:paraId="0C370D94" w14:textId="0595A7AD" w:rsidR="00575694" w:rsidRPr="00DE153F"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 xml:space="preserve">Source: Google Review of Immigration Office Class I </w:t>
      </w:r>
      <w:r w:rsidR="007E4886" w:rsidRPr="00DE153F">
        <w:rPr>
          <w:rFonts w:ascii="Book Antiqua" w:eastAsia="Book Antiqua" w:hAnsi="Book Antiqua" w:cs="Book Antiqua"/>
          <w:bCs/>
          <w:color w:val="000000"/>
        </w:rPr>
        <w:t>Non-Checkpoint</w:t>
      </w:r>
      <w:r w:rsidRPr="00DE153F">
        <w:rPr>
          <w:rFonts w:ascii="Book Antiqua" w:eastAsia="Book Antiqua" w:hAnsi="Book Antiqua" w:cs="Book Antiqua"/>
          <w:bCs/>
          <w:color w:val="000000"/>
        </w:rPr>
        <w:t xml:space="preserve"> Pati</w:t>
      </w:r>
    </w:p>
    <w:p w14:paraId="37109812" w14:textId="77777777" w:rsidR="00575694" w:rsidRPr="00575694" w:rsidRDefault="00575694" w:rsidP="00DE153F">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The review given by Adam Kukuh Baskoro is a very effective review because he provides information about existing facilities and emphasizes good service. In addition, the reviewer also provided an attachment in the form of a photo of the service room to complement the explanation given. The reviewers have given 81 (eighty-one) reviews and most of them also attached photos as a complement. This review is a positive review because the reviewer gave a good response to the services provided.</w:t>
      </w:r>
    </w:p>
    <w:p w14:paraId="12A6B1F3" w14:textId="0E7D3CC9" w:rsidR="00575694" w:rsidRPr="00575694" w:rsidRDefault="00DE153F"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noProof/>
        </w:rPr>
        <w:drawing>
          <wp:inline distT="0" distB="0" distL="0" distR="0" wp14:anchorId="092BD654" wp14:editId="1CB34EE7">
            <wp:extent cx="2971800" cy="1767840"/>
            <wp:effectExtent l="0" t="0" r="0" b="3810"/>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2971800" cy="1767840"/>
                    </a:xfrm>
                    <a:prstGeom prst="rect">
                      <a:avLst/>
                    </a:prstGeom>
                    <a:ln w="190500">
                      <a:noFill/>
                      <a:prstDash val="solid"/>
                    </a:ln>
                  </pic:spPr>
                </pic:pic>
              </a:graphicData>
            </a:graphic>
          </wp:inline>
        </w:drawing>
      </w:r>
    </w:p>
    <w:p w14:paraId="2E4ACADC" w14:textId="144B6D73" w:rsidR="00DE153F" w:rsidRPr="00DE153F" w:rsidRDefault="00DE153F" w:rsidP="00DE153F">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 xml:space="preserve">Review by </w:t>
      </w:r>
      <w:r>
        <w:rPr>
          <w:rFonts w:ascii="Book Antiqua" w:eastAsia="Book Antiqua" w:hAnsi="Book Antiqua" w:cs="Book Antiqua"/>
          <w:bCs/>
          <w:color w:val="000000"/>
        </w:rPr>
        <w:t>tlogg tv</w:t>
      </w:r>
    </w:p>
    <w:p w14:paraId="065519B1" w14:textId="77777777" w:rsidR="00DE153F" w:rsidRPr="00DE153F" w:rsidRDefault="00DE153F" w:rsidP="00DE153F">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DE153F">
        <w:rPr>
          <w:rFonts w:ascii="Book Antiqua" w:eastAsia="Book Antiqua" w:hAnsi="Book Antiqua" w:cs="Book Antiqua"/>
          <w:bCs/>
          <w:color w:val="000000"/>
        </w:rPr>
        <w:t>Source: Google Review of Immigration Office Class I Non-Checkpoint Pati</w:t>
      </w:r>
    </w:p>
    <w:p w14:paraId="59927E6D" w14:textId="77777777" w:rsidR="00575694" w:rsidRP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6D81F4FB" w14:textId="77777777" w:rsidR="00EA72FA" w:rsidRDefault="00575694" w:rsidP="00EA72FA">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review given by tlogg tv is a negative review of the services provided by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 This is indicated by giving an assessment</w:t>
      </w:r>
      <w:r w:rsidR="00DE153F">
        <w:rPr>
          <w:rFonts w:ascii="Book Antiqua" w:eastAsia="Book Antiqua" w:hAnsi="Book Antiqua" w:cs="Book Antiqua"/>
          <w:bCs/>
          <w:color w:val="000000"/>
          <w:sz w:val="24"/>
          <w:szCs w:val="24"/>
        </w:rPr>
        <w:t xml:space="preserve"> </w:t>
      </w:r>
      <w:r w:rsidRPr="00575694">
        <w:rPr>
          <w:rFonts w:ascii="Book Antiqua" w:eastAsia="Book Antiqua" w:hAnsi="Book Antiqua" w:cs="Book Antiqua"/>
          <w:bCs/>
          <w:color w:val="000000"/>
          <w:sz w:val="24"/>
          <w:szCs w:val="24"/>
        </w:rPr>
        <w:t xml:space="preserve">with a 2-star score. The </w:t>
      </w:r>
      <w:r w:rsidRPr="00575694">
        <w:rPr>
          <w:rFonts w:ascii="Book Antiqua" w:eastAsia="Book Antiqua" w:hAnsi="Book Antiqua" w:cs="Book Antiqua"/>
          <w:bCs/>
          <w:color w:val="000000"/>
          <w:sz w:val="24"/>
          <w:szCs w:val="24"/>
        </w:rPr>
        <w:t xml:space="preserve">reviewer felt that he was not well served because he was considered unable to serve the applicant properly. The reviewer's question about the passport application mechanism that requires paying in advance did not get a good answer from the officer. Interestingly, the officer did not respond to the reviews given. In contrast to some of the previous reviews, the Google account manager admin of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 did not respond so that the reviewer got a better point of view and explanation. This should be a separate note from the service officer and the Google account manager of the Immigration Office of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to be more empathetic to the complaints and input given by the applicant.</w:t>
      </w:r>
    </w:p>
    <w:p w14:paraId="771A674B" w14:textId="1F1B185A" w:rsidR="00575694" w:rsidRPr="00575694" w:rsidRDefault="00575694" w:rsidP="00EA72FA">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In general, the reviews given by reviewers on Google Review of Immigration Office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during the period December 2021 to May 2022 are positive. However, it is necessary to check the lowest score value given by the reviewer to measure and compare the quality of service and the completeness of the facilities provided. From the Google Review, the following data was obtained:</w:t>
      </w:r>
    </w:p>
    <w:p w14:paraId="4AF9A1DB" w14:textId="6CEB24A1" w:rsidR="00575694" w:rsidRDefault="00EA72FA"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r>
        <w:rPr>
          <w:noProof/>
        </w:rPr>
        <w:drawing>
          <wp:inline distT="0" distB="0" distL="0" distR="0" wp14:anchorId="0ADD4C57" wp14:editId="5F61E497">
            <wp:extent cx="2693670" cy="2248190"/>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a:xfrm>
                      <a:off x="0" y="0"/>
                      <a:ext cx="2693670" cy="2248190"/>
                    </a:xfrm>
                    <a:prstGeom prst="rect">
                      <a:avLst/>
                    </a:prstGeom>
                    <a:ln w="190500">
                      <a:noFill/>
                      <a:prstDash val="solid"/>
                    </a:ln>
                  </pic:spPr>
                </pic:pic>
              </a:graphicData>
            </a:graphic>
          </wp:inline>
        </w:drawing>
      </w:r>
    </w:p>
    <w:p w14:paraId="65C320E7" w14:textId="1F2F697B" w:rsidR="00575694" w:rsidRPr="00EA72FA"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EA72FA">
        <w:rPr>
          <w:rFonts w:ascii="Book Antiqua" w:eastAsia="Book Antiqua" w:hAnsi="Book Antiqua" w:cs="Book Antiqua"/>
          <w:bCs/>
          <w:color w:val="000000"/>
        </w:rPr>
        <w:t xml:space="preserve">Review by A Joe </w:t>
      </w:r>
    </w:p>
    <w:p w14:paraId="09D22FAA" w14:textId="1A4760AF" w:rsid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EA72FA">
        <w:rPr>
          <w:rFonts w:ascii="Book Antiqua" w:eastAsia="Book Antiqua" w:hAnsi="Book Antiqua" w:cs="Book Antiqua"/>
          <w:bCs/>
          <w:color w:val="000000"/>
        </w:rPr>
        <w:t xml:space="preserve">Source: Google Review of Immigration Office Class I </w:t>
      </w:r>
      <w:r w:rsidR="007E4886" w:rsidRPr="00EA72FA">
        <w:rPr>
          <w:rFonts w:ascii="Book Antiqua" w:eastAsia="Book Antiqua" w:hAnsi="Book Antiqua" w:cs="Book Antiqua"/>
          <w:bCs/>
          <w:color w:val="000000"/>
        </w:rPr>
        <w:t>Non-Checkpoint</w:t>
      </w:r>
      <w:r w:rsidRPr="00EA72FA">
        <w:rPr>
          <w:rFonts w:ascii="Book Antiqua" w:eastAsia="Book Antiqua" w:hAnsi="Book Antiqua" w:cs="Book Antiqua"/>
          <w:bCs/>
          <w:color w:val="000000"/>
        </w:rPr>
        <w:t xml:space="preserve"> Pati</w:t>
      </w:r>
    </w:p>
    <w:p w14:paraId="6829E1B2" w14:textId="3BF806C9" w:rsidR="00EA72FA" w:rsidRDefault="00EA72FA"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p>
    <w:p w14:paraId="69EE3711" w14:textId="3F54EA92" w:rsidR="00EA72FA" w:rsidRDefault="00EA72FA" w:rsidP="00575694">
      <w:pPr>
        <w:pBdr>
          <w:top w:val="nil"/>
          <w:left w:val="nil"/>
          <w:bottom w:val="nil"/>
          <w:right w:val="nil"/>
          <w:between w:val="nil"/>
        </w:pBdr>
        <w:spacing w:after="0" w:line="240" w:lineRule="auto"/>
        <w:jc w:val="both"/>
        <w:rPr>
          <w:rFonts w:ascii="Book Antiqua" w:eastAsia="Book Antiqua" w:hAnsi="Book Antiqua" w:cs="Book Antiqua"/>
          <w:bCs/>
          <w:color w:val="000000"/>
        </w:rPr>
      </w:pPr>
      <w:r>
        <w:rPr>
          <w:noProof/>
        </w:rPr>
        <w:lastRenderedPageBreak/>
        <w:drawing>
          <wp:inline distT="0" distB="0" distL="0" distR="0" wp14:anchorId="26B5BC57" wp14:editId="1BE79DC9">
            <wp:extent cx="2964180" cy="1988820"/>
            <wp:effectExtent l="0" t="0" r="7620" b="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a:xfrm>
                      <a:off x="0" y="0"/>
                      <a:ext cx="2964180" cy="1988820"/>
                    </a:xfrm>
                    <a:prstGeom prst="rect">
                      <a:avLst/>
                    </a:prstGeom>
                    <a:ln w="190500">
                      <a:noFill/>
                      <a:prstDash val="solid"/>
                    </a:ln>
                  </pic:spPr>
                </pic:pic>
              </a:graphicData>
            </a:graphic>
          </wp:inline>
        </w:drawing>
      </w:r>
    </w:p>
    <w:p w14:paraId="09E8AFCE" w14:textId="37B7CA71" w:rsidR="00EA72FA" w:rsidRPr="00EA72FA" w:rsidRDefault="00EA72FA" w:rsidP="00EA72FA">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EA72FA">
        <w:rPr>
          <w:rFonts w:ascii="Book Antiqua" w:eastAsia="Book Antiqua" w:hAnsi="Book Antiqua" w:cs="Book Antiqua"/>
          <w:bCs/>
          <w:color w:val="000000"/>
        </w:rPr>
        <w:t>Review by Marine Siagian</w:t>
      </w:r>
    </w:p>
    <w:p w14:paraId="50B76214" w14:textId="3EAD2024" w:rsidR="00EA72FA" w:rsidRDefault="00EA72FA" w:rsidP="00EA72FA">
      <w:pPr>
        <w:pBdr>
          <w:top w:val="nil"/>
          <w:left w:val="nil"/>
          <w:bottom w:val="nil"/>
          <w:right w:val="nil"/>
          <w:between w:val="nil"/>
        </w:pBdr>
        <w:spacing w:after="0" w:line="240" w:lineRule="auto"/>
        <w:jc w:val="both"/>
        <w:rPr>
          <w:rFonts w:ascii="Book Antiqua" w:eastAsia="Book Antiqua" w:hAnsi="Book Antiqua" w:cs="Book Antiqua"/>
          <w:bCs/>
          <w:color w:val="000000"/>
        </w:rPr>
      </w:pPr>
      <w:r w:rsidRPr="00EA72FA">
        <w:rPr>
          <w:rFonts w:ascii="Book Antiqua" w:eastAsia="Book Antiqua" w:hAnsi="Book Antiqua" w:cs="Book Antiqua"/>
          <w:bCs/>
          <w:color w:val="000000"/>
        </w:rPr>
        <w:t>Source: Google Review of Immigration Office Class I Non-Checkpoint Pati</w:t>
      </w:r>
    </w:p>
    <w:p w14:paraId="2DDCC7C6" w14:textId="77777777" w:rsidR="00EA72FA" w:rsidRPr="00575694" w:rsidRDefault="00EA72FA"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72D53312" w14:textId="29E80B47" w:rsidR="00575694" w:rsidRDefault="00575694" w:rsidP="00EA72FA">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The review given by A Joe was given about 9 (nine) months ago while the review given by Marinie Siagian was given about a year ago. Both often give reviews of places or facilities visited. The reviews given are negative because both give the lowest score (1 star) on the reviews given. In addition, both also provide</w:t>
      </w:r>
      <w:r w:rsidR="00EA72FA">
        <w:rPr>
          <w:rFonts w:ascii="Book Antiqua" w:eastAsia="Book Antiqua" w:hAnsi="Book Antiqua" w:cs="Book Antiqua"/>
          <w:bCs/>
          <w:color w:val="000000"/>
          <w:sz w:val="24"/>
          <w:szCs w:val="24"/>
        </w:rPr>
        <w:t xml:space="preserve"> </w:t>
      </w:r>
      <w:r w:rsidRPr="00575694">
        <w:rPr>
          <w:rFonts w:ascii="Book Antiqua" w:eastAsia="Book Antiqua" w:hAnsi="Book Antiqua" w:cs="Book Antiqua"/>
          <w:bCs/>
          <w:color w:val="000000"/>
          <w:sz w:val="24"/>
          <w:szCs w:val="24"/>
        </w:rPr>
        <w:t xml:space="preserve">critical feedback on the services provided. Interestingly, the Google account admin of the Immigration Office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provides a fairly good response in responding to complaints submitted. The input given becomes a whip for improvement and enhancement of service quality. This can be seen from the reviews given in the last 6 (six) months period are mostly positive reviews.</w:t>
      </w:r>
    </w:p>
    <w:p w14:paraId="590181C0" w14:textId="77777777" w:rsidR="00EA72FA" w:rsidRPr="00EA72FA" w:rsidRDefault="00EA72FA" w:rsidP="00EA72FA">
      <w:pPr>
        <w:pBdr>
          <w:top w:val="nil"/>
          <w:left w:val="nil"/>
          <w:bottom w:val="nil"/>
          <w:right w:val="nil"/>
          <w:between w:val="nil"/>
        </w:pBdr>
        <w:spacing w:after="0" w:line="240" w:lineRule="auto"/>
        <w:ind w:firstLine="426"/>
        <w:jc w:val="both"/>
        <w:rPr>
          <w:rFonts w:ascii="Book Antiqua" w:eastAsia="Book Antiqua" w:hAnsi="Book Antiqua" w:cs="Book Antiqua"/>
          <w:b/>
          <w:color w:val="000000"/>
          <w:sz w:val="24"/>
          <w:szCs w:val="24"/>
        </w:rPr>
      </w:pPr>
    </w:p>
    <w:p w14:paraId="781520CA" w14:textId="52571FB4" w:rsidR="00575694" w:rsidRPr="00EA72FA" w:rsidRDefault="00EA72FA" w:rsidP="00EA72FA">
      <w:pPr>
        <w:pStyle w:val="ListParagraph"/>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sidRPr="00EA72FA">
        <w:rPr>
          <w:rFonts w:ascii="Book Antiqua" w:eastAsia="Book Antiqua" w:hAnsi="Book Antiqua" w:cs="Book Antiqua"/>
          <w:b/>
          <w:color w:val="000000"/>
          <w:sz w:val="24"/>
          <w:szCs w:val="24"/>
        </w:rPr>
        <w:t>CONCLUSION</w:t>
      </w:r>
    </w:p>
    <w:p w14:paraId="5D97CAE9" w14:textId="77777777" w:rsidR="00575694" w:rsidRP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3352B8EC" w14:textId="77777777" w:rsidR="00EA72FA" w:rsidRDefault="00575694" w:rsidP="00EA72FA">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Policy changes after the lower level of COVID-19 spread and the wider national vaccination program launched by the government have affected many sectors of people's lives. The Government's policy to open border gates and provide leeway for inter-country travelers to enter and exit Indonesian territory has a huge impact on the living conditions of the community. One of the affected sectors is immigration services. As one of the institutions that </w:t>
      </w:r>
      <w:r w:rsidRPr="00575694">
        <w:rPr>
          <w:rFonts w:ascii="Book Antiqua" w:eastAsia="Book Antiqua" w:hAnsi="Book Antiqua" w:cs="Book Antiqua"/>
          <w:bCs/>
          <w:color w:val="000000"/>
          <w:sz w:val="24"/>
          <w:szCs w:val="24"/>
        </w:rPr>
        <w:t>provide services for the issuance of Travel Documents between countries in the form of passports, the Directorate General of Immigration and all Immigration Technical Implementation Units under it try to provide the best service response to the community.</w:t>
      </w:r>
    </w:p>
    <w:p w14:paraId="159F316D" w14:textId="77777777" w:rsidR="00EA72FA" w:rsidRDefault="00575694" w:rsidP="00EA72FA">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Immigration Office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as one of the Immigration Technical Implementation Units that carries out passport issuance service procedures for the community experiences fluctuations in the number of applications. Developing issues, news delivered and information provided by the government related to travel between countries and various concessions provided, encourage an increase and decrease in the number of applicants for passport issuance. In the last 6 (six) months, it appears that the influence of information obtained by the public on the effectiveness of policies implemented by the government is a very important study to be discussed. Especially in passport issuance services, the Pati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Class I Immigration Office can accommodate the surge in passport issuance applications well.</w:t>
      </w:r>
      <w:r w:rsidR="00EA72FA">
        <w:rPr>
          <w:rFonts w:ascii="Book Antiqua" w:eastAsia="Book Antiqua" w:hAnsi="Book Antiqua" w:cs="Book Antiqua"/>
          <w:bCs/>
          <w:color w:val="000000"/>
          <w:sz w:val="24"/>
          <w:szCs w:val="24"/>
        </w:rPr>
        <w:t xml:space="preserve"> </w:t>
      </w:r>
    </w:p>
    <w:p w14:paraId="48F9F210" w14:textId="77777777" w:rsidR="00EA72FA" w:rsidRDefault="00575694" w:rsidP="00EA72FA">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quality of service provided in the context of passport issuance services is in line with the increasing number of applications. The comprehensive management of Immigration officers and the provision of </w:t>
      </w:r>
      <w:r w:rsidR="00EA72FA" w:rsidRPr="00575694">
        <w:rPr>
          <w:rFonts w:ascii="Book Antiqua" w:eastAsia="Book Antiqua" w:hAnsi="Book Antiqua" w:cs="Book Antiqua"/>
          <w:bCs/>
          <w:color w:val="000000"/>
          <w:sz w:val="24"/>
          <w:szCs w:val="24"/>
        </w:rPr>
        <w:t>various supporting</w:t>
      </w:r>
      <w:r w:rsidR="00EA72FA">
        <w:rPr>
          <w:rFonts w:ascii="Book Antiqua" w:eastAsia="Book Antiqua" w:hAnsi="Book Antiqua" w:cs="Book Antiqua"/>
          <w:bCs/>
          <w:color w:val="000000"/>
          <w:sz w:val="24"/>
          <w:szCs w:val="24"/>
        </w:rPr>
        <w:t xml:space="preserve"> </w:t>
      </w:r>
      <w:r w:rsidRPr="00575694">
        <w:rPr>
          <w:rFonts w:ascii="Book Antiqua" w:eastAsia="Book Antiqua" w:hAnsi="Book Antiqua" w:cs="Book Antiqua"/>
          <w:bCs/>
          <w:color w:val="000000"/>
          <w:sz w:val="24"/>
          <w:szCs w:val="24"/>
        </w:rPr>
        <w:t xml:space="preserve">facilities that facilitate and make the applicant comfortable, make the value of service quality also increase. The Community Satisfaction Index (IKM) and Corruption Perception Index (IPK) which are one of the indicators of immigration service satisfaction carried out by the Pati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Immigration Office generally have an A grade, namely Very Good. In addition, there are also indicators of public satisfaction in the form of reviews on Google Review which shows that the </w:t>
      </w:r>
      <w:r w:rsidRPr="00575694">
        <w:rPr>
          <w:rFonts w:ascii="Book Antiqua" w:eastAsia="Book Antiqua" w:hAnsi="Book Antiqua" w:cs="Book Antiqua"/>
          <w:bCs/>
          <w:color w:val="000000"/>
          <w:sz w:val="24"/>
          <w:szCs w:val="24"/>
        </w:rPr>
        <w:lastRenderedPageBreak/>
        <w:t xml:space="preserve">level of public satisfaction with Immigration services at the Immigration Office of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is very high.</w:t>
      </w:r>
    </w:p>
    <w:p w14:paraId="28AB5FD1" w14:textId="55D434C9" w:rsidR="00575694" w:rsidRPr="00575694" w:rsidRDefault="00575694" w:rsidP="00EA72FA">
      <w:pPr>
        <w:pBdr>
          <w:top w:val="nil"/>
          <w:left w:val="nil"/>
          <w:bottom w:val="nil"/>
          <w:right w:val="nil"/>
          <w:between w:val="nil"/>
        </w:pBdr>
        <w:spacing w:after="0" w:line="240" w:lineRule="auto"/>
        <w:ind w:firstLine="426"/>
        <w:jc w:val="both"/>
        <w:rPr>
          <w:rFonts w:ascii="Book Antiqua" w:eastAsia="Book Antiqua" w:hAnsi="Book Antiqua" w:cs="Book Antiqua"/>
          <w:bCs/>
          <w:color w:val="000000"/>
          <w:sz w:val="24"/>
          <w:szCs w:val="24"/>
        </w:rPr>
      </w:pPr>
      <w:r w:rsidRPr="00575694">
        <w:rPr>
          <w:rFonts w:ascii="Book Antiqua" w:eastAsia="Book Antiqua" w:hAnsi="Book Antiqua" w:cs="Book Antiqua"/>
          <w:bCs/>
          <w:color w:val="000000"/>
          <w:sz w:val="24"/>
          <w:szCs w:val="24"/>
        </w:rPr>
        <w:t xml:space="preserve">The ability of Immigration Office Class I </w:t>
      </w:r>
      <w:r w:rsidR="007E4886">
        <w:rPr>
          <w:rFonts w:ascii="Book Antiqua" w:eastAsia="Book Antiqua" w:hAnsi="Book Antiqua" w:cs="Book Antiqua"/>
          <w:bCs/>
          <w:color w:val="000000"/>
          <w:sz w:val="24"/>
          <w:szCs w:val="24"/>
        </w:rPr>
        <w:t>Non-Checkpoint</w:t>
      </w:r>
      <w:r w:rsidRPr="00575694">
        <w:rPr>
          <w:rFonts w:ascii="Book Antiqua" w:eastAsia="Book Antiqua" w:hAnsi="Book Antiqua" w:cs="Book Antiqua"/>
          <w:bCs/>
          <w:color w:val="000000"/>
          <w:sz w:val="24"/>
          <w:szCs w:val="24"/>
        </w:rPr>
        <w:t xml:space="preserve"> Pati to be adaptive and accommodating as well as the quality of services that are getting better in order to respond to changes in policies decided by the government, must continue to make material in the framework of the evaluation process for policies and strategic steps taken. The higher level of public satisfaction with immigration services and the expectation of a better passport issuance service process are challenges that must be answered with real performance. Various steps, breakthroughs and innovations are needed in order to continue to develop services that are able to answer the various needs of the community. Increased capability and supervision of Officers must continue to get a balanced proportion. The provision of better, organized and affordable facilities for service applicants is one form of evaluation of the services that have been provided.</w:t>
      </w:r>
    </w:p>
    <w:p w14:paraId="39E86D62" w14:textId="77777777" w:rsidR="00575694" w:rsidRDefault="00575694" w:rsidP="00575694">
      <w:pPr>
        <w:pBdr>
          <w:top w:val="nil"/>
          <w:left w:val="nil"/>
          <w:bottom w:val="nil"/>
          <w:right w:val="nil"/>
          <w:between w:val="nil"/>
        </w:pBdr>
        <w:spacing w:after="0" w:line="240" w:lineRule="auto"/>
        <w:jc w:val="both"/>
        <w:rPr>
          <w:rFonts w:ascii="Book Antiqua" w:eastAsia="Book Antiqua" w:hAnsi="Book Antiqua" w:cs="Book Antiqua"/>
          <w:bCs/>
          <w:color w:val="000000"/>
          <w:sz w:val="24"/>
          <w:szCs w:val="24"/>
        </w:rPr>
      </w:pPr>
    </w:p>
    <w:p w14:paraId="730666E4" w14:textId="01FEB8F1" w:rsidR="00575694" w:rsidRDefault="00EA72FA" w:rsidP="00EA72FA">
      <w:pPr>
        <w:pStyle w:val="ListParagraph"/>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b/>
          <w:bCs/>
          <w:sz w:val="24"/>
          <w:szCs w:val="24"/>
        </w:rPr>
      </w:pPr>
      <w:r w:rsidRPr="00EA72FA">
        <w:rPr>
          <w:rFonts w:ascii="Book Antiqua" w:eastAsia="Book Antiqua" w:hAnsi="Book Antiqua" w:cs="Book Antiqua"/>
          <w:b/>
          <w:bCs/>
          <w:sz w:val="24"/>
          <w:szCs w:val="24"/>
        </w:rPr>
        <w:t>REFERENCES</w:t>
      </w:r>
    </w:p>
    <w:p w14:paraId="044F7CE1" w14:textId="77777777" w:rsidR="00EA72FA" w:rsidRDefault="00EA72FA" w:rsidP="00EA72FA">
      <w:pPr>
        <w:pStyle w:val="ListParagraph"/>
        <w:pBdr>
          <w:top w:val="nil"/>
          <w:left w:val="nil"/>
          <w:bottom w:val="nil"/>
          <w:right w:val="nil"/>
          <w:between w:val="nil"/>
        </w:pBdr>
        <w:spacing w:after="0" w:line="240" w:lineRule="auto"/>
        <w:ind w:left="426"/>
        <w:jc w:val="both"/>
        <w:rPr>
          <w:rFonts w:ascii="Book Antiqua" w:eastAsia="Book Antiqua" w:hAnsi="Book Antiqua" w:cs="Book Antiqua"/>
          <w:b/>
          <w:bCs/>
          <w:sz w:val="24"/>
          <w:szCs w:val="24"/>
        </w:rPr>
      </w:pPr>
    </w:p>
    <w:p w14:paraId="0F0A4851" w14:textId="6A699F00"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eastAsia="Book Antiqua" w:hAnsi="Book Antiqua" w:cs="Book Antiqua"/>
          <w:b/>
          <w:bCs/>
          <w:sz w:val="24"/>
          <w:szCs w:val="24"/>
        </w:rPr>
        <w:fldChar w:fldCharType="begin" w:fldLock="1"/>
      </w:r>
      <w:r>
        <w:rPr>
          <w:rFonts w:ascii="Book Antiqua" w:eastAsia="Book Antiqua" w:hAnsi="Book Antiqua" w:cs="Book Antiqua"/>
          <w:b/>
          <w:bCs/>
          <w:sz w:val="24"/>
          <w:szCs w:val="24"/>
        </w:rPr>
        <w:instrText xml:space="preserve">ADDIN Mendeley Bibliography CSL_BIBLIOGRAPHY </w:instrText>
      </w:r>
      <w:r>
        <w:rPr>
          <w:rFonts w:ascii="Book Antiqua" w:eastAsia="Book Antiqua" w:hAnsi="Book Antiqua" w:cs="Book Antiqua"/>
          <w:b/>
          <w:bCs/>
          <w:sz w:val="24"/>
          <w:szCs w:val="24"/>
        </w:rPr>
        <w:fldChar w:fldCharType="separate"/>
      </w:r>
      <w:r w:rsidRPr="00EA72FA">
        <w:rPr>
          <w:rFonts w:ascii="Book Antiqua" w:hAnsi="Book Antiqua" w:cs="Times New Roman"/>
          <w:noProof/>
          <w:sz w:val="24"/>
          <w:szCs w:val="24"/>
        </w:rPr>
        <w:t xml:space="preserve">Abdullah, R. R. (2019). Urgensi dan Inovasi dalam Pembaharuan Peraturan Teknis mengenai Paspor Biasa. </w:t>
      </w:r>
      <w:r w:rsidRPr="00EA72FA">
        <w:rPr>
          <w:rFonts w:ascii="Book Antiqua" w:hAnsi="Book Antiqua" w:cs="Times New Roman"/>
          <w:i/>
          <w:iCs/>
          <w:noProof/>
          <w:sz w:val="24"/>
          <w:szCs w:val="24"/>
        </w:rPr>
        <w:t>Jurnal Ilmiah Kebijakan Hukum</w:t>
      </w:r>
      <w:r w:rsidRPr="00EA72FA">
        <w:rPr>
          <w:rFonts w:ascii="Book Antiqua" w:hAnsi="Book Antiqua" w:cs="Times New Roman"/>
          <w:noProof/>
          <w:sz w:val="24"/>
          <w:szCs w:val="24"/>
        </w:rPr>
        <w:t xml:space="preserve">, </w:t>
      </w:r>
      <w:r w:rsidRPr="00EA72FA">
        <w:rPr>
          <w:rFonts w:ascii="Book Antiqua" w:hAnsi="Book Antiqua" w:cs="Times New Roman"/>
          <w:i/>
          <w:iCs/>
          <w:noProof/>
          <w:sz w:val="24"/>
          <w:szCs w:val="24"/>
        </w:rPr>
        <w:t>13</w:t>
      </w:r>
      <w:r w:rsidRPr="00EA72FA">
        <w:rPr>
          <w:rFonts w:ascii="Book Antiqua" w:hAnsi="Book Antiqua" w:cs="Times New Roman"/>
          <w:noProof/>
          <w:sz w:val="24"/>
          <w:szCs w:val="24"/>
        </w:rPr>
        <w:t>(1), 51. https://doi.org/10.30641/kebijakan.2019.v13.51-68</w:t>
      </w:r>
    </w:p>
    <w:p w14:paraId="188501E7"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Budisusila, A., &amp; Dharma, U. S. (2022). </w:t>
      </w:r>
      <w:r w:rsidRPr="00EA72FA">
        <w:rPr>
          <w:rFonts w:ascii="Book Antiqua" w:hAnsi="Book Antiqua" w:cs="Times New Roman"/>
          <w:i/>
          <w:iCs/>
          <w:noProof/>
          <w:sz w:val="24"/>
          <w:szCs w:val="24"/>
        </w:rPr>
        <w:t>TRANSFORMASI EKONOMI INDONESIA PASCA PANDEMI</w:t>
      </w:r>
      <w:r w:rsidRPr="00EA72FA">
        <w:rPr>
          <w:rFonts w:ascii="Times New Roman" w:hAnsi="Times New Roman" w:cs="Times New Roman"/>
          <w:i/>
          <w:iCs/>
          <w:noProof/>
          <w:sz w:val="24"/>
          <w:szCs w:val="24"/>
        </w:rPr>
        <w:t> </w:t>
      </w:r>
      <w:r w:rsidRPr="00EA72FA">
        <w:rPr>
          <w:rFonts w:ascii="Book Antiqua" w:hAnsi="Book Antiqua" w:cs="Times New Roman"/>
          <w:i/>
          <w:iCs/>
          <w:noProof/>
          <w:sz w:val="24"/>
          <w:szCs w:val="24"/>
        </w:rPr>
        <w:t>: PENDEKATAN</w:t>
      </w:r>
      <w:r w:rsidRPr="00EA72FA">
        <w:rPr>
          <w:rFonts w:ascii="Book Antiqua" w:hAnsi="Book Antiqua" w:cs="Times New Roman"/>
          <w:noProof/>
          <w:sz w:val="24"/>
          <w:szCs w:val="24"/>
        </w:rPr>
        <w:t xml:space="preserve"> (Issue December 2021).</w:t>
      </w:r>
    </w:p>
    <w:p w14:paraId="41A6B06B"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Chaharani, N. A., Adi, T. P., &amp; Hasmi, D. L. (2020). PENERAPAN APLIKASI PENDAFTARAN ANTRIAN PASPOR ONLINE (APAPO) DALAM PERSPEKTIF E-GOVERNMENT. </w:t>
      </w:r>
      <w:r w:rsidRPr="00EA72FA">
        <w:rPr>
          <w:rFonts w:ascii="Book Antiqua" w:hAnsi="Book Antiqua" w:cs="Times New Roman"/>
          <w:i/>
          <w:iCs/>
          <w:noProof/>
          <w:sz w:val="24"/>
          <w:szCs w:val="24"/>
        </w:rPr>
        <w:t>Jurnal Kebijakan Publik</w:t>
      </w:r>
      <w:r w:rsidRPr="00EA72FA">
        <w:rPr>
          <w:rFonts w:ascii="Book Antiqua" w:hAnsi="Book Antiqua" w:cs="Times New Roman"/>
          <w:noProof/>
          <w:sz w:val="24"/>
          <w:szCs w:val="24"/>
        </w:rPr>
        <w:t xml:space="preserve">, </w:t>
      </w:r>
      <w:r w:rsidRPr="00EA72FA">
        <w:rPr>
          <w:rFonts w:ascii="Book Antiqua" w:hAnsi="Book Antiqua" w:cs="Times New Roman"/>
          <w:i/>
          <w:iCs/>
          <w:noProof/>
          <w:sz w:val="24"/>
          <w:szCs w:val="24"/>
        </w:rPr>
        <w:t>11</w:t>
      </w:r>
      <w:r w:rsidRPr="00EA72FA">
        <w:rPr>
          <w:rFonts w:ascii="Book Antiqua" w:hAnsi="Book Antiqua" w:cs="Times New Roman"/>
          <w:noProof/>
          <w:sz w:val="24"/>
          <w:szCs w:val="24"/>
        </w:rPr>
        <w:t>(2), 83. https://doi.org/10.31258/jkp.11.2.p.83-88</w:t>
      </w:r>
    </w:p>
    <w:p w14:paraId="32CAC6DF"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Goretti, M., Leigh, L., Babii, A., Cevik, S., Kaendera, S., Muir, I., Nadeem, S., &amp; Salinas, G. (2021). </w:t>
      </w:r>
      <w:r w:rsidRPr="00EA72FA">
        <w:rPr>
          <w:rFonts w:ascii="Book Antiqua" w:hAnsi="Book Antiqua" w:cs="Times New Roman"/>
          <w:i/>
          <w:iCs/>
          <w:noProof/>
          <w:sz w:val="24"/>
          <w:szCs w:val="24"/>
        </w:rPr>
        <w:t>Tourism in the Post-Pandemic World</w:t>
      </w:r>
      <w:r w:rsidRPr="00EA72FA">
        <w:rPr>
          <w:rFonts w:ascii="Book Antiqua" w:hAnsi="Book Antiqua" w:cs="Times New Roman"/>
          <w:noProof/>
          <w:sz w:val="24"/>
          <w:szCs w:val="24"/>
        </w:rPr>
        <w:t xml:space="preserve"> (Issue 21).</w:t>
      </w:r>
    </w:p>
    <w:p w14:paraId="283C3639"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Hafizhah, H. (2022). </w:t>
      </w:r>
      <w:r w:rsidRPr="00EA72FA">
        <w:rPr>
          <w:rFonts w:ascii="Book Antiqua" w:hAnsi="Book Antiqua" w:cs="Times New Roman"/>
          <w:i/>
          <w:iCs/>
          <w:noProof/>
          <w:sz w:val="24"/>
          <w:szCs w:val="24"/>
        </w:rPr>
        <w:t>Australia Sudah Membuka Kembali Penerbangan Internasional</w:t>
      </w:r>
      <w:r w:rsidRPr="00EA72FA">
        <w:rPr>
          <w:rFonts w:ascii="Book Antiqua" w:hAnsi="Book Antiqua" w:cs="Times New Roman"/>
          <w:noProof/>
          <w:sz w:val="24"/>
          <w:szCs w:val="24"/>
        </w:rPr>
        <w:t>. Republika.Co.Id. https://www.republika.co.id/berita/r7nipw330/australia-sudah-buka-kembali-penerbangan-internasional#:~:text=REPUBLIKA.CO.ID%2C SYDNEY,internasional untuk mencegah virus corona.</w:t>
      </w:r>
    </w:p>
    <w:p w14:paraId="28F9010D"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Indrady, A. (2021). Neoliberaslime Versus Kebijakan Selektif Keimigrasian: Korelasi Komponen “International Openness” Dengan Rezim Bebas Visa Di Indonesia. </w:t>
      </w:r>
      <w:r w:rsidRPr="00EA72FA">
        <w:rPr>
          <w:rFonts w:ascii="Book Antiqua" w:hAnsi="Book Antiqua" w:cs="Times New Roman"/>
          <w:i/>
          <w:iCs/>
          <w:noProof/>
          <w:sz w:val="24"/>
          <w:szCs w:val="24"/>
        </w:rPr>
        <w:t>Jurnal Ilmiah Hubungan Internasional</w:t>
      </w:r>
      <w:r w:rsidRPr="00EA72FA">
        <w:rPr>
          <w:rFonts w:ascii="Book Antiqua" w:hAnsi="Book Antiqua" w:cs="Times New Roman"/>
          <w:noProof/>
          <w:sz w:val="24"/>
          <w:szCs w:val="24"/>
        </w:rPr>
        <w:t xml:space="preserve">, </w:t>
      </w:r>
      <w:r w:rsidRPr="00EA72FA">
        <w:rPr>
          <w:rFonts w:ascii="Book Antiqua" w:hAnsi="Book Antiqua" w:cs="Times New Roman"/>
          <w:i/>
          <w:iCs/>
          <w:noProof/>
          <w:sz w:val="24"/>
          <w:szCs w:val="24"/>
        </w:rPr>
        <w:t>17</w:t>
      </w:r>
      <w:r w:rsidRPr="00EA72FA">
        <w:rPr>
          <w:rFonts w:ascii="Book Antiqua" w:hAnsi="Book Antiqua" w:cs="Times New Roman"/>
          <w:noProof/>
          <w:sz w:val="24"/>
          <w:szCs w:val="24"/>
        </w:rPr>
        <w:t>(2), 153–171. https://doi.org/10.26593/jihi.v17i2.3609.153-171</w:t>
      </w:r>
    </w:p>
    <w:p w14:paraId="73AA091D"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i/>
          <w:iCs/>
          <w:noProof/>
          <w:sz w:val="24"/>
          <w:szCs w:val="24"/>
        </w:rPr>
        <w:t>Undang-Undang Nomor 6 tahun 2011 tentang Keimigrasian</w:t>
      </w:r>
      <w:r w:rsidRPr="00EA72FA">
        <w:rPr>
          <w:rFonts w:ascii="Book Antiqua" w:hAnsi="Book Antiqua" w:cs="Times New Roman"/>
          <w:noProof/>
          <w:sz w:val="24"/>
          <w:szCs w:val="24"/>
        </w:rPr>
        <w:t>, (2011) (testimony of Kementerian Hukum dan Hak Asasi Manusia Republik Indonesia).</w:t>
      </w:r>
    </w:p>
    <w:p w14:paraId="5D2CA2FB"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Lahadalia, H. E. B. (2021). </w:t>
      </w:r>
      <w:r w:rsidRPr="00EA72FA">
        <w:rPr>
          <w:rFonts w:ascii="Book Antiqua" w:hAnsi="Book Antiqua" w:cs="Times New Roman"/>
          <w:i/>
          <w:iCs/>
          <w:noProof/>
          <w:sz w:val="24"/>
          <w:szCs w:val="24"/>
        </w:rPr>
        <w:t>Indonesia Investment</w:t>
      </w:r>
      <w:r w:rsidRPr="00EA72FA">
        <w:rPr>
          <w:rFonts w:ascii="Book Antiqua" w:hAnsi="Book Antiqua" w:cs="Times New Roman"/>
          <w:noProof/>
          <w:sz w:val="24"/>
          <w:szCs w:val="24"/>
        </w:rPr>
        <w:t xml:space="preserve"> (I). Kementerian Investtasi/ BKPM. https://www.indonesia-investments.com/id/keuangan/angka-ekonomi-makro/produk-domestik-bruto-indonesia/item253</w:t>
      </w:r>
    </w:p>
    <w:p w14:paraId="1475645B"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Maliana, I. (2022). </w:t>
      </w:r>
      <w:r w:rsidRPr="00EA72FA">
        <w:rPr>
          <w:rFonts w:ascii="Book Antiqua" w:hAnsi="Book Antiqua" w:cs="Times New Roman"/>
          <w:i/>
          <w:iCs/>
          <w:noProof/>
          <w:sz w:val="24"/>
          <w:szCs w:val="24"/>
        </w:rPr>
        <w:t>Singapura dan Malaysia Buka Perbatasan Darat 1 April 2022, Wisatawan Tidak Perlu Tes COVID dan Karantina</w:t>
      </w:r>
      <w:r w:rsidRPr="00EA72FA">
        <w:rPr>
          <w:rFonts w:ascii="Book Antiqua" w:hAnsi="Book Antiqua" w:cs="Times New Roman"/>
          <w:noProof/>
          <w:sz w:val="24"/>
          <w:szCs w:val="24"/>
        </w:rPr>
        <w:t>. Tribunnews.Com. https://www.tribunnews.com/internasional/2022/03/25/singapura-dan-malaysia-buka-perbatasan-darat-1-april-2022-wisatawan-tak-perlu-tes-covid-karantina</w:t>
      </w:r>
    </w:p>
    <w:p w14:paraId="7697C37C"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i/>
          <w:iCs/>
          <w:noProof/>
          <w:sz w:val="24"/>
          <w:szCs w:val="24"/>
        </w:rPr>
        <w:t>Undang-undang nomor 6 tahun 2011 tentang Keimigrasian</w:t>
      </w:r>
      <w:r w:rsidRPr="00EA72FA">
        <w:rPr>
          <w:rFonts w:ascii="Book Antiqua" w:hAnsi="Book Antiqua" w:cs="Times New Roman"/>
          <w:noProof/>
          <w:sz w:val="24"/>
          <w:szCs w:val="24"/>
        </w:rPr>
        <w:t>, (2011) (testimony of Menteri Hukum dan Hak Asasi Manusia).</w:t>
      </w:r>
    </w:p>
    <w:p w14:paraId="37335060"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i/>
          <w:iCs/>
          <w:noProof/>
          <w:sz w:val="24"/>
          <w:szCs w:val="24"/>
        </w:rPr>
        <w:t xml:space="preserve">Peraturan Menteri Hukum dan Hak Asasi Manusia Nomor 8 Tahun 2014 tentang </w:t>
      </w:r>
      <w:r w:rsidRPr="00EA72FA">
        <w:rPr>
          <w:rFonts w:ascii="Book Antiqua" w:hAnsi="Book Antiqua" w:cs="Times New Roman"/>
          <w:i/>
          <w:iCs/>
          <w:noProof/>
          <w:sz w:val="24"/>
          <w:szCs w:val="24"/>
        </w:rPr>
        <w:lastRenderedPageBreak/>
        <w:t>Paspor Biasa dan Surat Perjalanan Laksana Paspor</w:t>
      </w:r>
      <w:r w:rsidRPr="00EA72FA">
        <w:rPr>
          <w:rFonts w:ascii="Book Antiqua" w:hAnsi="Book Antiqua" w:cs="Times New Roman"/>
          <w:noProof/>
          <w:sz w:val="24"/>
          <w:szCs w:val="24"/>
        </w:rPr>
        <w:t>, (2014) (testimony of Menteri Hukum dan Hak Asasi Manusia republik Indonesia).</w:t>
      </w:r>
    </w:p>
    <w:p w14:paraId="469F551B"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O’Connor, C., O’Connell, N., Burke, E., Dempster, M., Graham, C. D., Scally, G., Zgaga, L., Nolan, A., Nicolson, G., Mather, L., Barry, J., Crowley, P., &amp; Darker, C. D. (2021). Bordering on crisis: A qualitative analysis of focus group, social media, and news media perspectives on the Republic of Ireland-Northern Ireland border during the ‘first wave’ of the COVID-19 pandemic. </w:t>
      </w:r>
      <w:r w:rsidRPr="00EA72FA">
        <w:rPr>
          <w:rFonts w:ascii="Book Antiqua" w:hAnsi="Book Antiqua" w:cs="Times New Roman"/>
          <w:i/>
          <w:iCs/>
          <w:noProof/>
          <w:sz w:val="24"/>
          <w:szCs w:val="24"/>
        </w:rPr>
        <w:t>Social Science and Medicine</w:t>
      </w:r>
      <w:r w:rsidRPr="00EA72FA">
        <w:rPr>
          <w:rFonts w:ascii="Book Antiqua" w:hAnsi="Book Antiqua" w:cs="Times New Roman"/>
          <w:noProof/>
          <w:sz w:val="24"/>
          <w:szCs w:val="24"/>
        </w:rPr>
        <w:t xml:space="preserve">, </w:t>
      </w:r>
      <w:r w:rsidRPr="00EA72FA">
        <w:rPr>
          <w:rFonts w:ascii="Book Antiqua" w:hAnsi="Book Antiqua" w:cs="Times New Roman"/>
          <w:i/>
          <w:iCs/>
          <w:noProof/>
          <w:sz w:val="24"/>
          <w:szCs w:val="24"/>
        </w:rPr>
        <w:t>282</w:t>
      </w:r>
      <w:r w:rsidRPr="00EA72FA">
        <w:rPr>
          <w:rFonts w:ascii="Book Antiqua" w:hAnsi="Book Antiqua" w:cs="Times New Roman"/>
          <w:noProof/>
          <w:sz w:val="24"/>
          <w:szCs w:val="24"/>
        </w:rPr>
        <w:t>(June), 114111. https://doi.org/10.1016/j.socscimed.2021.114111</w:t>
      </w:r>
    </w:p>
    <w:p w14:paraId="6990CBAA"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Poltekim, P. D. (2020). </w:t>
      </w:r>
      <w:r w:rsidRPr="00EA72FA">
        <w:rPr>
          <w:rFonts w:ascii="Book Antiqua" w:hAnsi="Book Antiqua" w:cs="Times New Roman"/>
          <w:i/>
          <w:iCs/>
          <w:noProof/>
          <w:sz w:val="24"/>
          <w:szCs w:val="24"/>
        </w:rPr>
        <w:t>Pelayanan Paspor RI Di Era Birokrasi Digital</w:t>
      </w:r>
      <w:r w:rsidRPr="00EA72FA">
        <w:rPr>
          <w:rFonts w:ascii="Book Antiqua" w:hAnsi="Book Antiqua" w:cs="Times New Roman"/>
          <w:noProof/>
          <w:sz w:val="24"/>
          <w:szCs w:val="24"/>
        </w:rPr>
        <w:t xml:space="preserve"> (Issue August 2020).</w:t>
      </w:r>
    </w:p>
    <w:p w14:paraId="72E2374F"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Rachmawati, T., &amp; Nasution, S. J. (2015). Nilai Demokrasi dalam Pelayanan Publik: Studi Kasus Kantor Imigrasi Bandung. </w:t>
      </w:r>
      <w:r w:rsidRPr="00EA72FA">
        <w:rPr>
          <w:rFonts w:ascii="Book Antiqua" w:hAnsi="Book Antiqua" w:cs="Times New Roman"/>
          <w:i/>
          <w:iCs/>
          <w:noProof/>
          <w:sz w:val="24"/>
          <w:szCs w:val="24"/>
        </w:rPr>
        <w:t>JKAP (Jurnal Kebijakan Dan Administrasi Publik)</w:t>
      </w:r>
      <w:r w:rsidRPr="00EA72FA">
        <w:rPr>
          <w:rFonts w:ascii="Book Antiqua" w:hAnsi="Book Antiqua" w:cs="Times New Roman"/>
          <w:noProof/>
          <w:sz w:val="24"/>
          <w:szCs w:val="24"/>
        </w:rPr>
        <w:t xml:space="preserve">, </w:t>
      </w:r>
      <w:r w:rsidRPr="00EA72FA">
        <w:rPr>
          <w:rFonts w:ascii="Book Antiqua" w:hAnsi="Book Antiqua" w:cs="Times New Roman"/>
          <w:i/>
          <w:iCs/>
          <w:noProof/>
          <w:sz w:val="24"/>
          <w:szCs w:val="24"/>
        </w:rPr>
        <w:t>19</w:t>
      </w:r>
      <w:r w:rsidRPr="00EA72FA">
        <w:rPr>
          <w:rFonts w:ascii="Book Antiqua" w:hAnsi="Book Antiqua" w:cs="Times New Roman"/>
          <w:noProof/>
          <w:sz w:val="24"/>
          <w:szCs w:val="24"/>
        </w:rPr>
        <w:t>(2), 133. https://doi.org/10.22146/jkap.8166</w:t>
      </w:r>
    </w:p>
    <w:p w14:paraId="6B70C9E2"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Syahrin, M. A. (2019). Audit Hukum Regulasi Aplikasi Pendaftaran Antrian Permohonan Paspor Secara Online (Apapo) Dalam Pelayanan Paspor Ri Berbasis E-Government: Studi …. </w:t>
      </w:r>
      <w:r w:rsidRPr="00EA72FA">
        <w:rPr>
          <w:rFonts w:ascii="Book Antiqua" w:hAnsi="Book Antiqua" w:cs="Times New Roman"/>
          <w:i/>
          <w:iCs/>
          <w:noProof/>
          <w:sz w:val="24"/>
          <w:szCs w:val="24"/>
        </w:rPr>
        <w:t>Lex Librum: Jurnal Ilmu Hukum</w:t>
      </w:r>
      <w:r w:rsidRPr="00EA72FA">
        <w:rPr>
          <w:rFonts w:ascii="Book Antiqua" w:hAnsi="Book Antiqua" w:cs="Times New Roman"/>
          <w:noProof/>
          <w:sz w:val="24"/>
          <w:szCs w:val="24"/>
        </w:rPr>
        <w:t xml:space="preserve">, </w:t>
      </w:r>
      <w:r w:rsidRPr="00EA72FA">
        <w:rPr>
          <w:rFonts w:ascii="Book Antiqua" w:hAnsi="Book Antiqua" w:cs="Times New Roman"/>
          <w:i/>
          <w:iCs/>
          <w:noProof/>
          <w:sz w:val="24"/>
          <w:szCs w:val="24"/>
        </w:rPr>
        <w:t>December 2019</w:t>
      </w:r>
      <w:r w:rsidRPr="00EA72FA">
        <w:rPr>
          <w:rFonts w:ascii="Book Antiqua" w:hAnsi="Book Antiqua" w:cs="Times New Roman"/>
          <w:noProof/>
          <w:sz w:val="24"/>
          <w:szCs w:val="24"/>
        </w:rPr>
        <w:t>. https://doi.org/10.5281/zenodo.3600656</w:t>
      </w:r>
    </w:p>
    <w:p w14:paraId="60FDCA6D"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Tahir, A. (2018). </w:t>
      </w:r>
      <w:r w:rsidRPr="00EA72FA">
        <w:rPr>
          <w:rFonts w:ascii="Book Antiqua" w:hAnsi="Book Antiqua" w:cs="Times New Roman"/>
          <w:i/>
          <w:iCs/>
          <w:noProof/>
          <w:sz w:val="24"/>
          <w:szCs w:val="24"/>
        </w:rPr>
        <w:t>Kebijakan publik dan good governancy</w:t>
      </w:r>
      <w:r w:rsidRPr="00EA72FA">
        <w:rPr>
          <w:rFonts w:ascii="Book Antiqua" w:hAnsi="Book Antiqua" w:cs="Times New Roman"/>
          <w:noProof/>
          <w:sz w:val="24"/>
          <w:szCs w:val="24"/>
        </w:rPr>
        <w:t>. 1–174.</w:t>
      </w:r>
    </w:p>
    <w:p w14:paraId="034BA406"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Triyanto, D., Kismartini, K., Aprianty, H., &amp; Novelia, P. (2022). Penerapan Aplikasi Pendaftaran Antrean Paspor Online dalam Upaya Meningkatkan Pelayanan Publik di Bengkulu. </w:t>
      </w:r>
      <w:r w:rsidRPr="00EA72FA">
        <w:rPr>
          <w:rFonts w:ascii="Book Antiqua" w:hAnsi="Book Antiqua" w:cs="Times New Roman"/>
          <w:i/>
          <w:iCs/>
          <w:noProof/>
          <w:sz w:val="24"/>
          <w:szCs w:val="24"/>
        </w:rPr>
        <w:t>Perspektif</w:t>
      </w:r>
      <w:r w:rsidRPr="00EA72FA">
        <w:rPr>
          <w:rFonts w:ascii="Book Antiqua" w:hAnsi="Book Antiqua" w:cs="Times New Roman"/>
          <w:noProof/>
          <w:sz w:val="24"/>
          <w:szCs w:val="24"/>
        </w:rPr>
        <w:t xml:space="preserve">, </w:t>
      </w:r>
      <w:r w:rsidRPr="00EA72FA">
        <w:rPr>
          <w:rFonts w:ascii="Book Antiqua" w:hAnsi="Book Antiqua" w:cs="Times New Roman"/>
          <w:i/>
          <w:iCs/>
          <w:noProof/>
          <w:sz w:val="24"/>
          <w:szCs w:val="24"/>
        </w:rPr>
        <w:t>11</w:t>
      </w:r>
      <w:r w:rsidRPr="00EA72FA">
        <w:rPr>
          <w:rFonts w:ascii="Book Antiqua" w:hAnsi="Book Antiqua" w:cs="Times New Roman"/>
          <w:noProof/>
          <w:sz w:val="24"/>
          <w:szCs w:val="24"/>
        </w:rPr>
        <w:t>(2), 527–532. https://doi.org/10.31289/perspektif.v11i2.5876</w:t>
      </w:r>
    </w:p>
    <w:p w14:paraId="07E0274A"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72FA">
        <w:rPr>
          <w:rFonts w:ascii="Book Antiqua" w:hAnsi="Book Antiqua" w:cs="Times New Roman"/>
          <w:noProof/>
          <w:sz w:val="24"/>
          <w:szCs w:val="24"/>
        </w:rPr>
        <w:t xml:space="preserve">Wilonotomo, W., &amp; Aji, K. P. (2018). Pelayanan Pembuatan Paspor dalam Kajiannya Terhadap Teori Manfaat Teknologi Informasi. </w:t>
      </w:r>
      <w:r w:rsidRPr="00EA72FA">
        <w:rPr>
          <w:rFonts w:ascii="Book Antiqua" w:hAnsi="Book Antiqua" w:cs="Times New Roman"/>
          <w:i/>
          <w:iCs/>
          <w:noProof/>
          <w:sz w:val="24"/>
          <w:szCs w:val="24"/>
        </w:rPr>
        <w:t>Jurnal Ilmiah Kebijakan Hukum</w:t>
      </w:r>
      <w:r w:rsidRPr="00EA72FA">
        <w:rPr>
          <w:rFonts w:ascii="Book Antiqua" w:hAnsi="Book Antiqua" w:cs="Times New Roman"/>
          <w:noProof/>
          <w:sz w:val="24"/>
          <w:szCs w:val="24"/>
        </w:rPr>
        <w:t xml:space="preserve">, </w:t>
      </w:r>
      <w:r w:rsidRPr="00EA72FA">
        <w:rPr>
          <w:rFonts w:ascii="Book Antiqua" w:hAnsi="Book Antiqua" w:cs="Times New Roman"/>
          <w:i/>
          <w:iCs/>
          <w:noProof/>
          <w:sz w:val="24"/>
          <w:szCs w:val="24"/>
        </w:rPr>
        <w:t>12</w:t>
      </w:r>
      <w:r w:rsidRPr="00EA72FA">
        <w:rPr>
          <w:rFonts w:ascii="Book Antiqua" w:hAnsi="Book Antiqua" w:cs="Times New Roman"/>
          <w:noProof/>
          <w:sz w:val="24"/>
          <w:szCs w:val="24"/>
        </w:rPr>
        <w:t>(2), 163. https://doi.org/10.30641/kebijakan.2018.v12.163-178</w:t>
      </w:r>
    </w:p>
    <w:p w14:paraId="3D5002B3" w14:textId="77777777" w:rsidR="00EA72FA" w:rsidRPr="00EA72FA" w:rsidRDefault="00EA72FA" w:rsidP="00EA72FA">
      <w:pPr>
        <w:widowControl w:val="0"/>
        <w:autoSpaceDE w:val="0"/>
        <w:autoSpaceDN w:val="0"/>
        <w:adjustRightInd w:val="0"/>
        <w:spacing w:after="0" w:line="240" w:lineRule="auto"/>
        <w:ind w:left="480" w:hanging="480"/>
        <w:jc w:val="both"/>
        <w:rPr>
          <w:rFonts w:ascii="Book Antiqua" w:hAnsi="Book Antiqua"/>
          <w:noProof/>
          <w:sz w:val="24"/>
        </w:rPr>
      </w:pPr>
      <w:r w:rsidRPr="00EA72FA">
        <w:rPr>
          <w:rFonts w:ascii="Book Antiqua" w:hAnsi="Book Antiqua" w:cs="Times New Roman"/>
          <w:noProof/>
          <w:sz w:val="24"/>
          <w:szCs w:val="24"/>
        </w:rPr>
        <w:t xml:space="preserve">Xin, L. (2020). Rising from the pandemic. In </w:t>
      </w:r>
      <w:r w:rsidRPr="00EA72FA">
        <w:rPr>
          <w:rFonts w:ascii="Book Antiqua" w:hAnsi="Book Antiqua" w:cs="Times New Roman"/>
          <w:i/>
          <w:iCs/>
          <w:noProof/>
          <w:sz w:val="24"/>
          <w:szCs w:val="24"/>
        </w:rPr>
        <w:t>Physics World</w:t>
      </w:r>
      <w:r w:rsidRPr="00EA72FA">
        <w:rPr>
          <w:rFonts w:ascii="Book Antiqua" w:hAnsi="Book Antiqua" w:cs="Times New Roman"/>
          <w:noProof/>
          <w:sz w:val="24"/>
          <w:szCs w:val="24"/>
        </w:rPr>
        <w:t xml:space="preserve"> (Vol. 33, Issue 8). https://doi.org/10.1088/2058-7058/33/8/16</w:t>
      </w:r>
    </w:p>
    <w:p w14:paraId="66097E45" w14:textId="06F7C5BD" w:rsidR="00EA72FA" w:rsidRPr="00EA72FA" w:rsidRDefault="00EA72FA" w:rsidP="00EA72FA">
      <w:pPr>
        <w:pStyle w:val="ListParagraph"/>
        <w:pBdr>
          <w:top w:val="nil"/>
          <w:left w:val="nil"/>
          <w:bottom w:val="nil"/>
          <w:right w:val="nil"/>
          <w:between w:val="nil"/>
        </w:pBdr>
        <w:spacing w:after="0" w:line="240" w:lineRule="auto"/>
        <w:ind w:left="426"/>
        <w:jc w:val="both"/>
        <w:rPr>
          <w:rFonts w:ascii="Book Antiqua" w:eastAsia="Book Antiqua" w:hAnsi="Book Antiqua" w:cs="Book Antiqua"/>
          <w:b/>
          <w:bCs/>
          <w:sz w:val="24"/>
          <w:szCs w:val="24"/>
        </w:rPr>
      </w:pPr>
      <w:r>
        <w:rPr>
          <w:rFonts w:ascii="Book Antiqua" w:eastAsia="Book Antiqua" w:hAnsi="Book Antiqua" w:cs="Book Antiqua"/>
          <w:b/>
          <w:bCs/>
          <w:sz w:val="24"/>
          <w:szCs w:val="24"/>
        </w:rPr>
        <w:fldChar w:fldCharType="end"/>
      </w:r>
    </w:p>
    <w:p w14:paraId="49C7691C" w14:textId="77777777" w:rsidR="00F869B9" w:rsidRDefault="00F869B9">
      <w:pPr>
        <w:spacing w:after="0"/>
        <w:ind w:left="851" w:hanging="850"/>
        <w:jc w:val="both"/>
        <w:rPr>
          <w:rFonts w:ascii="Book Antiqua" w:eastAsia="Book Antiqua" w:hAnsi="Book Antiqua" w:cs="Book Antiqua"/>
          <w:sz w:val="24"/>
          <w:szCs w:val="24"/>
        </w:rPr>
      </w:pPr>
    </w:p>
    <w:sectPr w:rsidR="00F869B9">
      <w:type w:val="continuous"/>
      <w:pgSz w:w="12240" w:h="15840"/>
      <w:pgMar w:top="993" w:right="1041" w:bottom="993" w:left="1418" w:header="1152" w:footer="426" w:gutter="0"/>
      <w:cols w:num="2" w:space="720" w:equalWidth="0">
        <w:col w:w="4678" w:space="425"/>
        <w:col w:w="46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1B593" w14:textId="77777777" w:rsidR="00B17DFE" w:rsidRDefault="00B17DFE">
      <w:pPr>
        <w:spacing w:after="0" w:line="240" w:lineRule="auto"/>
      </w:pPr>
      <w:r>
        <w:separator/>
      </w:r>
    </w:p>
  </w:endnote>
  <w:endnote w:type="continuationSeparator" w:id="0">
    <w:p w14:paraId="37A80F07" w14:textId="77777777" w:rsidR="00B17DFE" w:rsidRDefault="00B1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2323B" w14:textId="77777777" w:rsidR="00F869B9" w:rsidRDefault="00B17DFE">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3255C6">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604CFBB9" wp14:editId="0461C8B8">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4E3DC193" w14:textId="77777777" w:rsidR="00F869B9" w:rsidRDefault="00B17DFE">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xxxx; </w:t>
    </w:r>
    <w:r>
      <w:rPr>
        <w:rFonts w:ascii="Book Antiqua" w:eastAsia="Book Antiqua" w:hAnsi="Book Antiqua" w:cs="Book Antiqua"/>
        <w:i/>
        <w:color w:val="000000"/>
      </w:rPr>
      <w:t>………</w:t>
    </w:r>
  </w:p>
  <w:p w14:paraId="32380175" w14:textId="77777777" w:rsidR="00F869B9" w:rsidRDefault="00F869B9">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AD9A9" w14:textId="77777777" w:rsidR="00F869B9" w:rsidRDefault="00B17DFE">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3255C6">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365DEC86" wp14:editId="4C479490">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190D29CC" w14:textId="77777777" w:rsidR="00F869B9" w:rsidRDefault="00B17DFE">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xxxx;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A0543" w14:textId="77777777" w:rsidR="00B17DFE" w:rsidRDefault="00B17DFE">
      <w:pPr>
        <w:spacing w:after="0" w:line="240" w:lineRule="auto"/>
      </w:pPr>
      <w:r>
        <w:separator/>
      </w:r>
    </w:p>
  </w:footnote>
  <w:footnote w:type="continuationSeparator" w:id="0">
    <w:p w14:paraId="0957CE85" w14:textId="77777777" w:rsidR="00B17DFE" w:rsidRDefault="00B17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1629D"/>
    <w:multiLevelType w:val="hybridMultilevel"/>
    <w:tmpl w:val="73947ABC"/>
    <w:lvl w:ilvl="0" w:tplc="7FF202D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17E44CEE"/>
    <w:multiLevelType w:val="hybridMultilevel"/>
    <w:tmpl w:val="11CACB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E701AC"/>
    <w:multiLevelType w:val="multilevel"/>
    <w:tmpl w:val="C77A4E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3A60EE"/>
    <w:multiLevelType w:val="hybridMultilevel"/>
    <w:tmpl w:val="BE46251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B9"/>
    <w:rsid w:val="003255C6"/>
    <w:rsid w:val="003F3A48"/>
    <w:rsid w:val="004E167C"/>
    <w:rsid w:val="00546B60"/>
    <w:rsid w:val="0055739C"/>
    <w:rsid w:val="00575694"/>
    <w:rsid w:val="006C699D"/>
    <w:rsid w:val="007E4886"/>
    <w:rsid w:val="00810533"/>
    <w:rsid w:val="008F4F57"/>
    <w:rsid w:val="009460A2"/>
    <w:rsid w:val="009F3049"/>
    <w:rsid w:val="00B17DFE"/>
    <w:rsid w:val="00DE153F"/>
    <w:rsid w:val="00EA72FA"/>
    <w:rsid w:val="00F869B9"/>
    <w:rsid w:val="00FD52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16E56"/>
  <w15:docId w15:val="{993C31A6-6BB6-4014-B9F4-26E8A37E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character" w:styleId="UnresolvedMention">
    <w:name w:val="Unresolved Mention"/>
    <w:basedOn w:val="DefaultParagraphFont"/>
    <w:uiPriority w:val="99"/>
    <w:semiHidden/>
    <w:unhideWhenUsed/>
    <w:rsid w:val="007E4886"/>
    <w:rPr>
      <w:color w:val="605E5C"/>
      <w:shd w:val="clear" w:color="auto" w:fill="E1DFDD"/>
    </w:rPr>
  </w:style>
  <w:style w:type="paragraph" w:customStyle="1" w:styleId="TableParagraph">
    <w:name w:val="Table Paragraph"/>
    <w:basedOn w:val="Normal"/>
    <w:uiPriority w:val="1"/>
    <w:qFormat/>
    <w:rsid w:val="008F4F57"/>
    <w:pPr>
      <w:widowControl w:val="0"/>
      <w:autoSpaceDE w:val="0"/>
      <w:autoSpaceDN w:val="0"/>
      <w:spacing w:after="0" w:line="240" w:lineRule="auto"/>
      <w:ind w:left="220"/>
      <w:jc w:val="cente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numbering" Target="numbering.xml"/><Relationship Id="rId21" Type="http://schemas.openxmlformats.org/officeDocument/2006/relationships/image" Target="media/image11.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jurnal.unmer.ac.id/index.php/jkpp" TargetMode="External"/><Relationship Id="rId19" Type="http://schemas.openxmlformats.org/officeDocument/2006/relationships/image" Target="media/image9.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Props1.xml><?xml version="1.0" encoding="utf-8"?>
<ds:datastoreItem xmlns:ds="http://schemas.openxmlformats.org/officeDocument/2006/customXml" ds:itemID="{69CB176D-E676-4928-A531-4635E2AC71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10273</Words>
  <Characters>58562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USER</cp:lastModifiedBy>
  <cp:revision>10</cp:revision>
  <dcterms:created xsi:type="dcterms:W3CDTF">2023-07-08T01:16:00Z</dcterms:created>
  <dcterms:modified xsi:type="dcterms:W3CDTF">2024-02-20T02:43:00Z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461669b9-dcaa-39cf-b404-473416b2cd59</vt:lpwstr>
  </property>
  <property fmtid="{D5CDD505-2E9C-101B-9397-08002B2CF9AE}" pid="24" name="Mendeley Citation Style_1">
    <vt:lpwstr>http://www.zotero.org/styles/apa</vt:lpwstr>
  </property>
</Properties>
</file>