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05D11" w14:textId="77777777" w:rsidR="008B5BF3" w:rsidRDefault="008B5BF3">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8B5BF3" w14:paraId="0CF1D7D5" w14:textId="77777777">
        <w:tc>
          <w:tcPr>
            <w:tcW w:w="3970" w:type="dxa"/>
          </w:tcPr>
          <w:p w14:paraId="07DF0D27" w14:textId="77777777" w:rsidR="008B5BF3" w:rsidRDefault="00C47895">
            <w:pPr>
              <w:rPr>
                <w:rFonts w:ascii="Arial" w:eastAsia="Arial" w:hAnsi="Arial" w:cs="Arial"/>
                <w:sz w:val="24"/>
                <w:szCs w:val="24"/>
              </w:rPr>
            </w:pPr>
            <w:r>
              <w:rPr>
                <w:noProof/>
              </w:rPr>
              <w:drawing>
                <wp:anchor distT="0" distB="0" distL="114300" distR="114300" simplePos="0" relativeHeight="251658240" behindDoc="0" locked="0" layoutInCell="1" hidden="0" allowOverlap="1" wp14:anchorId="7ED82074" wp14:editId="4462044B">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14450" cy="514350"/>
                          </a:xfrm>
                          <a:prstGeom prst="rect">
                            <a:avLst/>
                          </a:prstGeom>
                          <a:ln/>
                        </pic:spPr>
                      </pic:pic>
                    </a:graphicData>
                  </a:graphic>
                </wp:anchor>
              </w:drawing>
            </w:r>
          </w:p>
          <w:p w14:paraId="13083895" w14:textId="77777777" w:rsidR="008B5BF3" w:rsidRDefault="008B5BF3">
            <w:pPr>
              <w:jc w:val="center"/>
              <w:rPr>
                <w:rFonts w:ascii="Arial" w:eastAsia="Arial" w:hAnsi="Arial" w:cs="Arial"/>
                <w:sz w:val="24"/>
                <w:szCs w:val="24"/>
              </w:rPr>
            </w:pPr>
          </w:p>
          <w:p w14:paraId="3D6F746F" w14:textId="77777777" w:rsidR="008B5BF3" w:rsidRDefault="008B5BF3">
            <w:pPr>
              <w:jc w:val="center"/>
              <w:rPr>
                <w:rFonts w:ascii="Arial" w:eastAsia="Arial" w:hAnsi="Arial" w:cs="Arial"/>
                <w:sz w:val="24"/>
                <w:szCs w:val="24"/>
              </w:rPr>
            </w:pPr>
          </w:p>
          <w:p w14:paraId="77D2AB06" w14:textId="77777777" w:rsidR="008B5BF3" w:rsidRDefault="008B5BF3">
            <w:pPr>
              <w:jc w:val="center"/>
              <w:rPr>
                <w:rFonts w:ascii="Arial" w:eastAsia="Arial" w:hAnsi="Arial" w:cs="Arial"/>
                <w:sz w:val="4"/>
                <w:szCs w:val="4"/>
              </w:rPr>
            </w:pPr>
          </w:p>
          <w:p w14:paraId="67F80A2D" w14:textId="77777777" w:rsidR="008B5BF3" w:rsidRDefault="00C47895">
            <w:pPr>
              <w:jc w:val="center"/>
              <w:rPr>
                <w:rFonts w:ascii="Arial" w:eastAsia="Arial" w:hAnsi="Arial" w:cs="Arial"/>
                <w:sz w:val="20"/>
                <w:szCs w:val="20"/>
              </w:rPr>
            </w:pPr>
            <w:r>
              <w:rPr>
                <w:rFonts w:ascii="Arial" w:eastAsia="Arial" w:hAnsi="Arial" w:cs="Arial"/>
                <w:sz w:val="20"/>
                <w:szCs w:val="20"/>
              </w:rPr>
              <w:t>PUBLISIA: Jurnal Ilmu Administrasi Publik</w:t>
            </w:r>
          </w:p>
          <w:p w14:paraId="31AB4A13" w14:textId="77777777" w:rsidR="008B5BF3" w:rsidRDefault="00310A47">
            <w:pPr>
              <w:jc w:val="center"/>
              <w:rPr>
                <w:rFonts w:ascii="Arial" w:eastAsia="Arial" w:hAnsi="Arial" w:cs="Arial"/>
                <w:sz w:val="20"/>
                <w:szCs w:val="20"/>
              </w:rPr>
            </w:pPr>
            <w:hyperlink r:id="rId10">
              <w:r w:rsidR="00C47895">
                <w:rPr>
                  <w:rFonts w:ascii="Arial" w:eastAsia="Arial" w:hAnsi="Arial" w:cs="Arial"/>
                  <w:sz w:val="20"/>
                  <w:szCs w:val="20"/>
                </w:rPr>
                <w:t>http://jurnal.unmer.ac.id/index.php/jkpp</w:t>
              </w:r>
            </w:hyperlink>
          </w:p>
        </w:tc>
        <w:tc>
          <w:tcPr>
            <w:tcW w:w="5811" w:type="dxa"/>
            <w:vAlign w:val="bottom"/>
          </w:tcPr>
          <w:p w14:paraId="134579B2" w14:textId="77777777" w:rsidR="008B5BF3" w:rsidRDefault="00C47895">
            <w:pPr>
              <w:jc w:val="right"/>
              <w:rPr>
                <w:rFonts w:ascii="Arial" w:eastAsia="Arial" w:hAnsi="Arial" w:cs="Arial"/>
                <w:sz w:val="20"/>
                <w:szCs w:val="20"/>
              </w:rPr>
            </w:pPr>
            <w:r>
              <w:rPr>
                <w:rFonts w:ascii="Arial" w:eastAsia="Arial" w:hAnsi="Arial" w:cs="Arial"/>
                <w:sz w:val="20"/>
                <w:szCs w:val="20"/>
              </w:rPr>
              <w:t xml:space="preserve">ISSN: </w:t>
            </w:r>
          </w:p>
          <w:p w14:paraId="6B5A5D61" w14:textId="77777777" w:rsidR="008B5BF3" w:rsidRDefault="00C47895">
            <w:pPr>
              <w:jc w:val="right"/>
              <w:rPr>
                <w:rFonts w:ascii="Arial" w:eastAsia="Arial" w:hAnsi="Arial" w:cs="Arial"/>
                <w:sz w:val="20"/>
                <w:szCs w:val="20"/>
              </w:rPr>
            </w:pPr>
            <w:r>
              <w:rPr>
                <w:rFonts w:ascii="Arial" w:eastAsia="Arial" w:hAnsi="Arial" w:cs="Arial"/>
                <w:sz w:val="20"/>
                <w:szCs w:val="20"/>
              </w:rPr>
              <w:t xml:space="preserve">2541-2515(p), 2541-2035(e) </w:t>
            </w:r>
          </w:p>
          <w:p w14:paraId="04BD4987" w14:textId="77777777" w:rsidR="008B5BF3" w:rsidRDefault="00C47895">
            <w:pPr>
              <w:jc w:val="right"/>
              <w:rPr>
                <w:rFonts w:ascii="Arial" w:eastAsia="Arial" w:hAnsi="Arial" w:cs="Arial"/>
                <w:sz w:val="20"/>
                <w:szCs w:val="20"/>
              </w:rPr>
            </w:pPr>
            <w:r>
              <w:rPr>
                <w:rFonts w:ascii="Arial" w:eastAsia="Arial" w:hAnsi="Arial" w:cs="Arial"/>
                <w:sz w:val="20"/>
                <w:szCs w:val="20"/>
              </w:rPr>
              <w:t xml:space="preserve">Volume: xx (xx) xxxx: </w:t>
            </w:r>
          </w:p>
          <w:p w14:paraId="6CBA7A1C" w14:textId="77777777" w:rsidR="008B5BF3" w:rsidRDefault="00C47895">
            <w:pPr>
              <w:jc w:val="right"/>
              <w:rPr>
                <w:rFonts w:ascii="Arial" w:eastAsia="Arial" w:hAnsi="Arial" w:cs="Arial"/>
                <w:sz w:val="20"/>
                <w:szCs w:val="20"/>
              </w:rPr>
            </w:pPr>
            <w:r>
              <w:rPr>
                <w:rFonts w:ascii="Arial" w:eastAsia="Arial" w:hAnsi="Arial" w:cs="Arial"/>
                <w:sz w:val="20"/>
                <w:szCs w:val="20"/>
              </w:rPr>
              <w:t>p. …. - …..</w:t>
            </w:r>
          </w:p>
          <w:p w14:paraId="48EB7B9B" w14:textId="77777777" w:rsidR="008B5BF3" w:rsidRDefault="00C47895">
            <w:pPr>
              <w:jc w:val="right"/>
              <w:rPr>
                <w:rFonts w:ascii="Arial" w:eastAsia="Arial" w:hAnsi="Arial" w:cs="Arial"/>
                <w:sz w:val="20"/>
                <w:szCs w:val="20"/>
              </w:rPr>
            </w:pPr>
            <w:r>
              <w:rPr>
                <w:rFonts w:ascii="Arial" w:eastAsia="Arial" w:hAnsi="Arial" w:cs="Arial"/>
                <w:sz w:val="20"/>
                <w:szCs w:val="20"/>
              </w:rPr>
              <w:t>DOI: Prefix 10.26905</w:t>
            </w:r>
          </w:p>
        </w:tc>
      </w:tr>
    </w:tbl>
    <w:p w14:paraId="34F1B6C9" w14:textId="77777777" w:rsidR="008B5BF3" w:rsidRDefault="008B5BF3">
      <w:pPr>
        <w:spacing w:after="0" w:line="240" w:lineRule="auto"/>
        <w:jc w:val="center"/>
        <w:rPr>
          <w:rFonts w:ascii="Book Antiqua" w:eastAsia="Book Antiqua" w:hAnsi="Book Antiqua" w:cs="Book Antiqua"/>
          <w:b/>
        </w:rPr>
      </w:pPr>
    </w:p>
    <w:p w14:paraId="0E35F847" w14:textId="77777777" w:rsidR="00DE2CCA" w:rsidRPr="00866834" w:rsidRDefault="00DE2CCA" w:rsidP="00DE2CCA">
      <w:pPr>
        <w:jc w:val="center"/>
        <w:rPr>
          <w:rFonts w:ascii="Book Antiqua" w:hAnsi="Book Antiqua" w:cs="Times New Roman"/>
          <w:b/>
          <w:bCs/>
          <w:sz w:val="28"/>
          <w:szCs w:val="28"/>
        </w:rPr>
      </w:pPr>
      <w:r w:rsidRPr="00866834">
        <w:rPr>
          <w:rFonts w:ascii="Book Antiqua" w:hAnsi="Book Antiqua" w:cs="Times New Roman"/>
          <w:b/>
          <w:bCs/>
          <w:sz w:val="28"/>
          <w:szCs w:val="28"/>
        </w:rPr>
        <w:t>Analysis of Indonesian Coal Export Policy</w:t>
      </w:r>
    </w:p>
    <w:p w14:paraId="25F4334F" w14:textId="77777777" w:rsidR="008B5BF3" w:rsidRDefault="008B5BF3">
      <w:pPr>
        <w:spacing w:after="0" w:line="240" w:lineRule="auto"/>
        <w:jc w:val="center"/>
        <w:rPr>
          <w:rFonts w:ascii="Book Antiqua" w:eastAsia="Book Antiqua" w:hAnsi="Book Antiqua" w:cs="Book Antiqua"/>
          <w:b/>
          <w:sz w:val="24"/>
          <w:szCs w:val="24"/>
        </w:rPr>
      </w:pPr>
    </w:p>
    <w:p w14:paraId="10ABE0B9" w14:textId="36F5BA69" w:rsidR="00DE2CCA" w:rsidRPr="00866834" w:rsidRDefault="00DC29AA" w:rsidP="00DE2CCA">
      <w:pPr>
        <w:spacing w:after="0"/>
        <w:jc w:val="center"/>
        <w:rPr>
          <w:rFonts w:ascii="Book Antiqua" w:hAnsi="Book Antiqua" w:cs="Times New Roman"/>
          <w:b/>
          <w:bCs/>
          <w:sz w:val="24"/>
          <w:szCs w:val="24"/>
        </w:rPr>
      </w:pPr>
      <w:r>
        <w:rPr>
          <w:rFonts w:ascii="Book Antiqua" w:hAnsi="Book Antiqua" w:cs="Times New Roman"/>
          <w:b/>
          <w:bCs/>
          <w:sz w:val="24"/>
          <w:szCs w:val="24"/>
        </w:rPr>
        <w:t>…………………..</w:t>
      </w:r>
      <w:r w:rsidR="00DE2CCA" w:rsidRPr="005A19E8">
        <w:rPr>
          <w:rFonts w:ascii="Book Antiqua" w:hAnsi="Book Antiqua" w:cs="Times New Roman"/>
          <w:b/>
          <w:bCs/>
          <w:sz w:val="24"/>
          <w:szCs w:val="24"/>
          <w:vertAlign w:val="superscript"/>
        </w:rPr>
        <w:t>*</w:t>
      </w:r>
      <w:r w:rsidR="00DE2CCA" w:rsidRPr="00866834">
        <w:rPr>
          <w:rFonts w:ascii="Book Antiqua" w:hAnsi="Book Antiqua" w:cs="Times New Roman"/>
          <w:b/>
          <w:bCs/>
          <w:sz w:val="24"/>
          <w:szCs w:val="24"/>
        </w:rPr>
        <w:t xml:space="preserve">, </w:t>
      </w:r>
      <w:r>
        <w:rPr>
          <w:rFonts w:ascii="Book Antiqua" w:hAnsi="Book Antiqua" w:cs="Times New Roman"/>
          <w:b/>
          <w:bCs/>
          <w:sz w:val="24"/>
          <w:szCs w:val="24"/>
        </w:rPr>
        <w:t>….</w:t>
      </w:r>
      <w:r w:rsidR="00DE2CCA" w:rsidRPr="00866834">
        <w:rPr>
          <w:rFonts w:ascii="Book Antiqua" w:hAnsi="Book Antiqua" w:cs="Times New Roman"/>
          <w:b/>
          <w:bCs/>
          <w:sz w:val="24"/>
          <w:szCs w:val="24"/>
        </w:rPr>
        <w:t xml:space="preserve"> </w:t>
      </w:r>
      <w:r>
        <w:rPr>
          <w:rFonts w:ascii="Book Antiqua" w:hAnsi="Book Antiqua" w:cs="Times New Roman"/>
          <w:b/>
          <w:bCs/>
          <w:sz w:val="24"/>
          <w:szCs w:val="24"/>
        </w:rPr>
        <w:t>…………….</w:t>
      </w:r>
      <w:r w:rsidR="00DE2CCA" w:rsidRPr="00866834">
        <w:rPr>
          <w:rFonts w:ascii="Book Antiqua" w:hAnsi="Book Antiqua" w:cs="Times New Roman"/>
          <w:b/>
          <w:bCs/>
          <w:sz w:val="24"/>
          <w:szCs w:val="24"/>
        </w:rPr>
        <w:t xml:space="preserve">, </w:t>
      </w:r>
      <w:r>
        <w:rPr>
          <w:rFonts w:ascii="Book Antiqua" w:hAnsi="Book Antiqua" w:cs="Times New Roman"/>
          <w:b/>
          <w:bCs/>
          <w:sz w:val="24"/>
          <w:szCs w:val="24"/>
        </w:rPr>
        <w:t>……………..</w:t>
      </w:r>
    </w:p>
    <w:p w14:paraId="2CD8CDCF" w14:textId="3CD40AB9" w:rsidR="00DE2CCA" w:rsidRPr="005A19E8" w:rsidRDefault="00DE2CCA" w:rsidP="00DE2CCA">
      <w:pPr>
        <w:spacing w:after="0"/>
        <w:jc w:val="center"/>
        <w:rPr>
          <w:rFonts w:ascii="Book Antiqua" w:hAnsi="Book Antiqua" w:cs="Times New Roman"/>
          <w:b/>
          <w:bCs/>
          <w:sz w:val="24"/>
          <w:szCs w:val="24"/>
        </w:rPr>
      </w:pPr>
      <w:r>
        <w:rPr>
          <w:rFonts w:ascii="Book Antiqua" w:hAnsi="Book Antiqua" w:cs="Times New Roman"/>
          <w:sz w:val="24"/>
          <w:szCs w:val="24"/>
        </w:rPr>
        <w:t>*</w:t>
      </w:r>
      <w:r w:rsidR="00DC29AA">
        <w:rPr>
          <w:rFonts w:ascii="Book Antiqua" w:hAnsi="Book Antiqua" w:cs="Times New Roman"/>
          <w:sz w:val="24"/>
          <w:szCs w:val="24"/>
        </w:rPr>
        <w:t>……………………………..</w:t>
      </w:r>
      <w:r w:rsidRPr="005A19E8">
        <w:rPr>
          <w:rFonts w:ascii="Book Antiqua" w:hAnsi="Book Antiqua" w:cs="Times New Roman"/>
          <w:b/>
          <w:bCs/>
          <w:sz w:val="24"/>
          <w:szCs w:val="24"/>
        </w:rPr>
        <w:t xml:space="preserve"> </w:t>
      </w:r>
    </w:p>
    <w:p w14:paraId="145C454F" w14:textId="5225AD74" w:rsidR="00DE2CCA" w:rsidRPr="005A19E8" w:rsidRDefault="00DE2CCA" w:rsidP="00DE2CCA">
      <w:pPr>
        <w:spacing w:after="0"/>
        <w:jc w:val="center"/>
        <w:rPr>
          <w:rFonts w:ascii="Book Antiqua" w:hAnsi="Book Antiqua" w:cs="Times New Roman"/>
          <w:b/>
          <w:bCs/>
          <w:sz w:val="24"/>
          <w:szCs w:val="24"/>
        </w:rPr>
      </w:pPr>
      <w:r w:rsidRPr="005A19E8">
        <w:rPr>
          <w:rFonts w:ascii="Book Antiqua" w:hAnsi="Book Antiqua" w:cs="Times New Roman"/>
          <w:sz w:val="24"/>
          <w:szCs w:val="24"/>
        </w:rPr>
        <w:t xml:space="preserve">Jl. </w:t>
      </w:r>
      <w:r w:rsidR="00DC29AA">
        <w:rPr>
          <w:rFonts w:ascii="Book Antiqua" w:hAnsi="Book Antiqua" w:cs="Times New Roman"/>
          <w:sz w:val="24"/>
          <w:szCs w:val="24"/>
        </w:rPr>
        <w:t>…………………..</w:t>
      </w:r>
    </w:p>
    <w:p w14:paraId="32DBA9A3" w14:textId="0889C148" w:rsidR="00DE2CCA" w:rsidRPr="00887341" w:rsidRDefault="00DE2CCA" w:rsidP="00DE2CCA">
      <w:pPr>
        <w:jc w:val="center"/>
        <w:rPr>
          <w:rFonts w:ascii="Book Antiqua" w:hAnsi="Book Antiqua" w:cs="Times New Roman"/>
          <w:b/>
          <w:bCs/>
          <w:sz w:val="24"/>
          <w:szCs w:val="24"/>
        </w:rPr>
      </w:pPr>
      <w:r>
        <w:rPr>
          <w:rFonts w:ascii="Book Antiqua" w:hAnsi="Book Antiqua" w:cs="Times New Roman"/>
          <w:sz w:val="24"/>
          <w:szCs w:val="24"/>
        </w:rPr>
        <w:t>*</w:t>
      </w:r>
      <w:r w:rsidRPr="005A19E8">
        <w:rPr>
          <w:rFonts w:ascii="Book Antiqua" w:hAnsi="Book Antiqua" w:cs="Times New Roman"/>
          <w:sz w:val="24"/>
          <w:szCs w:val="24"/>
        </w:rPr>
        <w:t>Correspondence:</w:t>
      </w:r>
      <w:r w:rsidR="00DC29AA">
        <w:rPr>
          <w:rFonts w:ascii="Book Antiqua" w:hAnsi="Book Antiqua" w:cs="Times New Roman"/>
          <w:sz w:val="24"/>
          <w:szCs w:val="24"/>
        </w:rPr>
        <w:t xml:space="preserve"> ………….</w:t>
      </w:r>
    </w:p>
    <w:p w14:paraId="3B1B2196" w14:textId="61338616" w:rsidR="008B5BF3" w:rsidRDefault="00C47895">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 xml:space="preserve"> </w:t>
      </w:r>
    </w:p>
    <w:p w14:paraId="1AE4584D" w14:textId="77777777" w:rsidR="008B5BF3" w:rsidRDefault="008B5BF3">
      <w:pPr>
        <w:spacing w:after="0" w:line="240" w:lineRule="auto"/>
        <w:jc w:val="center"/>
        <w:rPr>
          <w:rFonts w:ascii="Book Antiqua" w:eastAsia="Book Antiqua" w:hAnsi="Book Antiqua" w:cs="Book Antiqua"/>
          <w:sz w:val="2"/>
          <w:szCs w:val="2"/>
        </w:rPr>
      </w:pPr>
    </w:p>
    <w:p w14:paraId="451C4F86" w14:textId="77777777" w:rsidR="008B5BF3" w:rsidRDefault="008B5BF3">
      <w:pPr>
        <w:spacing w:after="0" w:line="240" w:lineRule="auto"/>
        <w:jc w:val="center"/>
        <w:rPr>
          <w:rFonts w:ascii="Book Antiqua" w:eastAsia="Book Antiqua" w:hAnsi="Book Antiqua" w:cs="Book Antiqua"/>
          <w:sz w:val="2"/>
          <w:szCs w:val="2"/>
        </w:rPr>
      </w:pPr>
    </w:p>
    <w:p w14:paraId="6A23A171" w14:textId="77777777" w:rsidR="008B5BF3" w:rsidRDefault="008B5BF3">
      <w:pPr>
        <w:spacing w:after="0" w:line="240" w:lineRule="auto"/>
        <w:jc w:val="center"/>
        <w:rPr>
          <w:rFonts w:ascii="Book Antiqua" w:eastAsia="Book Antiqua" w:hAnsi="Book Antiqua" w:cs="Book Antiqua"/>
          <w:sz w:val="2"/>
          <w:szCs w:val="2"/>
        </w:rPr>
      </w:pPr>
    </w:p>
    <w:p w14:paraId="73F55D1D" w14:textId="77777777" w:rsidR="008B5BF3" w:rsidRDefault="008B5BF3">
      <w:pPr>
        <w:spacing w:after="0" w:line="240" w:lineRule="auto"/>
        <w:jc w:val="center"/>
        <w:rPr>
          <w:rFonts w:ascii="Book Antiqua" w:eastAsia="Book Antiqua" w:hAnsi="Book Antiqua" w:cs="Book Antiqua"/>
          <w:sz w:val="2"/>
          <w:szCs w:val="2"/>
        </w:rPr>
      </w:pPr>
    </w:p>
    <w:p w14:paraId="27022569" w14:textId="77777777" w:rsidR="008B5BF3" w:rsidRDefault="008B5BF3">
      <w:pPr>
        <w:spacing w:after="0" w:line="240" w:lineRule="auto"/>
        <w:jc w:val="center"/>
        <w:rPr>
          <w:rFonts w:ascii="Book Antiqua" w:eastAsia="Book Antiqua" w:hAnsi="Book Antiqua" w:cs="Book Antiqua"/>
          <w:sz w:val="2"/>
          <w:szCs w:val="2"/>
        </w:rPr>
      </w:pPr>
    </w:p>
    <w:p w14:paraId="1861FAFF" w14:textId="77777777" w:rsidR="008B5BF3" w:rsidRDefault="008B5BF3">
      <w:pPr>
        <w:spacing w:after="0" w:line="240" w:lineRule="auto"/>
        <w:jc w:val="center"/>
        <w:rPr>
          <w:rFonts w:ascii="Book Antiqua" w:eastAsia="Book Antiqua" w:hAnsi="Book Antiqua" w:cs="Book Antiqua"/>
          <w:sz w:val="2"/>
          <w:szCs w:val="2"/>
        </w:rPr>
      </w:pPr>
    </w:p>
    <w:p w14:paraId="01E6D7EA" w14:textId="77777777" w:rsidR="008B5BF3" w:rsidRDefault="008B5BF3">
      <w:pPr>
        <w:spacing w:after="0" w:line="240" w:lineRule="auto"/>
        <w:jc w:val="center"/>
        <w:rPr>
          <w:rFonts w:ascii="Book Antiqua" w:eastAsia="Book Antiqua" w:hAnsi="Book Antiqua" w:cs="Book Antiqua"/>
          <w:sz w:val="2"/>
          <w:szCs w:val="2"/>
        </w:rPr>
      </w:pPr>
    </w:p>
    <w:p w14:paraId="0FF5E63B" w14:textId="77777777" w:rsidR="008B5BF3" w:rsidRDefault="008B5BF3">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8B5BF3" w14:paraId="6C0E2391" w14:textId="77777777">
        <w:tc>
          <w:tcPr>
            <w:tcW w:w="2126" w:type="dxa"/>
          </w:tcPr>
          <w:p w14:paraId="678E1E14" w14:textId="77777777" w:rsidR="008B5BF3" w:rsidRDefault="008B5BF3">
            <w:pPr>
              <w:jc w:val="center"/>
              <w:rPr>
                <w:rFonts w:ascii="Book Antiqua" w:eastAsia="Book Antiqua" w:hAnsi="Book Antiqua" w:cs="Book Antiqua"/>
                <w:b/>
              </w:rPr>
            </w:pPr>
          </w:p>
        </w:tc>
        <w:tc>
          <w:tcPr>
            <w:tcW w:w="7229" w:type="dxa"/>
          </w:tcPr>
          <w:p w14:paraId="5224E265" w14:textId="77777777" w:rsidR="008B5BF3" w:rsidRDefault="00C47895">
            <w:pPr>
              <w:jc w:val="center"/>
              <w:rPr>
                <w:rFonts w:ascii="Book Antiqua" w:eastAsia="Book Antiqua" w:hAnsi="Book Antiqua" w:cs="Book Antiqua"/>
                <w:b/>
              </w:rPr>
            </w:pPr>
            <w:r>
              <w:rPr>
                <w:rFonts w:ascii="Book Antiqua" w:eastAsia="Book Antiqua" w:hAnsi="Book Antiqua" w:cs="Book Antiqua"/>
                <w:b/>
                <w:sz w:val="24"/>
                <w:szCs w:val="24"/>
              </w:rPr>
              <w:t>Abstract</w:t>
            </w:r>
          </w:p>
        </w:tc>
      </w:tr>
      <w:tr w:rsidR="008B5BF3" w14:paraId="171812DE" w14:textId="77777777">
        <w:tc>
          <w:tcPr>
            <w:tcW w:w="2126" w:type="dxa"/>
            <w:vAlign w:val="bottom"/>
          </w:tcPr>
          <w:p w14:paraId="75775A93" w14:textId="77777777" w:rsidR="008B5BF3" w:rsidRDefault="00C47895">
            <w:pPr>
              <w:ind w:right="33"/>
              <w:rPr>
                <w:rFonts w:ascii="Book Antiqua" w:eastAsia="Book Antiqua" w:hAnsi="Book Antiqua" w:cs="Book Antiqua"/>
                <w:sz w:val="20"/>
                <w:szCs w:val="20"/>
              </w:rPr>
            </w:pPr>
            <w:r>
              <w:rPr>
                <w:rFonts w:ascii="Book Antiqua" w:eastAsia="Book Antiqua" w:hAnsi="Book Antiqua" w:cs="Book Antiqua"/>
                <w:sz w:val="20"/>
                <w:szCs w:val="20"/>
              </w:rPr>
              <w:t>Article Histori:</w:t>
            </w:r>
          </w:p>
          <w:p w14:paraId="7EDA9EA1" w14:textId="77777777" w:rsidR="008B5BF3" w:rsidRDefault="00C47895">
            <w:pPr>
              <w:ind w:right="33"/>
              <w:rPr>
                <w:rFonts w:ascii="Book Antiqua" w:eastAsia="Book Antiqua" w:hAnsi="Book Antiqua" w:cs="Book Antiqua"/>
                <w:sz w:val="20"/>
                <w:szCs w:val="20"/>
              </w:rPr>
            </w:pPr>
            <w:r>
              <w:rPr>
                <w:rFonts w:ascii="Book Antiqua" w:eastAsia="Book Antiqua" w:hAnsi="Book Antiqua" w:cs="Book Antiqua"/>
                <w:sz w:val="20"/>
                <w:szCs w:val="20"/>
              </w:rPr>
              <w:t>Submited: ……….</w:t>
            </w:r>
          </w:p>
          <w:p w14:paraId="24046F9D" w14:textId="77777777" w:rsidR="008B5BF3" w:rsidRDefault="00C47895">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14:paraId="593AADE1" w14:textId="77777777" w:rsidR="008B5BF3" w:rsidRDefault="00C47895">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14:paraId="3B2D7465" w14:textId="77777777" w:rsidR="008B5BF3" w:rsidRDefault="00C47895">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14:paraId="59D7107F" w14:textId="77777777" w:rsidR="008B5BF3" w:rsidRDefault="008B5BF3">
            <w:pPr>
              <w:ind w:right="33"/>
              <w:rPr>
                <w:rFonts w:ascii="Book Antiqua" w:eastAsia="Book Antiqua" w:hAnsi="Book Antiqua" w:cs="Book Antiqua"/>
                <w:color w:val="FF0000"/>
                <w:sz w:val="20"/>
                <w:szCs w:val="20"/>
              </w:rPr>
            </w:pPr>
          </w:p>
        </w:tc>
        <w:tc>
          <w:tcPr>
            <w:tcW w:w="7229" w:type="dxa"/>
          </w:tcPr>
          <w:p w14:paraId="271C195A" w14:textId="77777777" w:rsidR="00DE2CCA" w:rsidRDefault="00DE2CCA" w:rsidP="00DE2CCA">
            <w:pPr>
              <w:spacing w:line="360" w:lineRule="auto"/>
              <w:jc w:val="both"/>
              <w:rPr>
                <w:rFonts w:ascii="Book Antiqua" w:hAnsi="Book Antiqua" w:cs="Times New Roman"/>
                <w:i/>
                <w:iCs/>
                <w:sz w:val="20"/>
                <w:szCs w:val="20"/>
              </w:rPr>
            </w:pPr>
            <w:r w:rsidRPr="00866834">
              <w:rPr>
                <w:rFonts w:ascii="Book Antiqua" w:hAnsi="Book Antiqua" w:cs="Times New Roman"/>
                <w:i/>
                <w:iCs/>
                <w:sz w:val="20"/>
                <w:szCs w:val="20"/>
              </w:rPr>
              <w:t xml:space="preserve">Indonesia's coal exports play an important role in driving the country's economy and are one of its main export commodities. </w:t>
            </w:r>
            <w:r w:rsidRPr="005B761E">
              <w:rPr>
                <w:rFonts w:ascii="Book Antiqua" w:hAnsi="Book Antiqua" w:cs="Times New Roman"/>
                <w:i/>
                <w:iCs/>
                <w:sz w:val="20"/>
                <w:szCs w:val="20"/>
              </w:rPr>
              <w:t xml:space="preserve">As one of the world's largest coal producers, Indonesia consistently contributes </w:t>
            </w:r>
            <w:r>
              <w:rPr>
                <w:rFonts w:ascii="Book Antiqua" w:hAnsi="Book Antiqua" w:cs="Times New Roman"/>
                <w:i/>
                <w:iCs/>
                <w:sz w:val="20"/>
                <w:szCs w:val="20"/>
              </w:rPr>
              <w:t>significantly</w:t>
            </w:r>
            <w:r w:rsidRPr="005B761E">
              <w:rPr>
                <w:rFonts w:ascii="Book Antiqua" w:hAnsi="Book Antiqua" w:cs="Times New Roman"/>
                <w:i/>
                <w:iCs/>
                <w:sz w:val="20"/>
                <w:szCs w:val="20"/>
              </w:rPr>
              <w:t xml:space="preserve"> to the global market. This research aims to provide an in-depth analysis of the export policy of coal commodities in Indonesia. The research method is qualitative, using a descriptive analysis approach. The study examines policies related to coal exports, including government regulations, trade rules, environmental regulations, and other policies that influence the Indonesian coal export process or policy changes that affect Indonesian coal exports. At the same time, it analyses the effects and implications of these policies on the export of coal commodities in Indonesia. The research </w:t>
            </w:r>
            <w:r>
              <w:rPr>
                <w:rFonts w:ascii="Book Antiqua" w:hAnsi="Book Antiqua" w:cs="Times New Roman"/>
                <w:i/>
                <w:iCs/>
                <w:sz w:val="20"/>
                <w:szCs w:val="20"/>
              </w:rPr>
              <w:t xml:space="preserve">uses </w:t>
            </w:r>
            <w:r w:rsidRPr="005B761E">
              <w:rPr>
                <w:rFonts w:ascii="Book Antiqua" w:hAnsi="Book Antiqua" w:cs="Times New Roman"/>
                <w:i/>
                <w:iCs/>
                <w:sz w:val="20"/>
                <w:szCs w:val="20"/>
              </w:rPr>
              <w:t xml:space="preserve">the theory of trade liberalism as a framework to address the research objectives. The findings indicate that Indonesia's coal export policy </w:t>
            </w:r>
            <w:r>
              <w:rPr>
                <w:rFonts w:ascii="Book Antiqua" w:hAnsi="Book Antiqua" w:cs="Times New Roman"/>
                <w:i/>
                <w:iCs/>
                <w:sz w:val="20"/>
                <w:szCs w:val="20"/>
              </w:rPr>
              <w:t>significantly impacts</w:t>
            </w:r>
            <w:r w:rsidRPr="005B761E">
              <w:rPr>
                <w:rFonts w:ascii="Book Antiqua" w:hAnsi="Book Antiqua" w:cs="Times New Roman"/>
                <w:i/>
                <w:iCs/>
                <w:sz w:val="20"/>
                <w:szCs w:val="20"/>
              </w:rPr>
              <w:t xml:space="preserve"> the coal industry, the national economy and international market dynamics. Although mercantilism may persist for a certain </w:t>
            </w:r>
            <w:r>
              <w:rPr>
                <w:rFonts w:ascii="Book Antiqua" w:hAnsi="Book Antiqua" w:cs="Times New Roman"/>
                <w:i/>
                <w:iCs/>
                <w:sz w:val="20"/>
                <w:szCs w:val="20"/>
              </w:rPr>
              <w:t>period</w:t>
            </w:r>
            <w:r w:rsidRPr="005B761E">
              <w:rPr>
                <w:rFonts w:ascii="Book Antiqua" w:hAnsi="Book Antiqua" w:cs="Times New Roman"/>
                <w:i/>
                <w:iCs/>
                <w:sz w:val="20"/>
                <w:szCs w:val="20"/>
              </w:rPr>
              <w:t>, the dominance of liberalism, which adheres to the principles of market mechanism, has successfully surpassed the influence of mercantilism. Thus, this research contributes to a better understanding of the role of coal in Indonesia's export context and provides a basis for future policy improvements.</w:t>
            </w:r>
          </w:p>
          <w:p w14:paraId="715CFB0D" w14:textId="77777777" w:rsidR="008B5BF3" w:rsidRDefault="008B5BF3">
            <w:pPr>
              <w:ind w:left="175"/>
              <w:jc w:val="both"/>
              <w:rPr>
                <w:rFonts w:ascii="Book Antiqua" w:eastAsia="Book Antiqua" w:hAnsi="Book Antiqua" w:cs="Book Antiqua"/>
                <w:b/>
              </w:rPr>
            </w:pPr>
          </w:p>
        </w:tc>
      </w:tr>
      <w:tr w:rsidR="008B5BF3" w14:paraId="7C1FE840" w14:textId="77777777">
        <w:tc>
          <w:tcPr>
            <w:tcW w:w="2126" w:type="dxa"/>
            <w:vAlign w:val="bottom"/>
          </w:tcPr>
          <w:p w14:paraId="11988CEB" w14:textId="77777777" w:rsidR="008B5BF3" w:rsidRDefault="008B5BF3">
            <w:pPr>
              <w:ind w:right="33"/>
              <w:rPr>
                <w:rFonts w:ascii="Book Antiqua" w:eastAsia="Book Antiqua" w:hAnsi="Book Antiqua" w:cs="Book Antiqua"/>
                <w:sz w:val="20"/>
                <w:szCs w:val="20"/>
              </w:rPr>
            </w:pPr>
          </w:p>
        </w:tc>
        <w:tc>
          <w:tcPr>
            <w:tcW w:w="7229" w:type="dxa"/>
          </w:tcPr>
          <w:p w14:paraId="2462C4AD" w14:textId="77777777" w:rsidR="008B5BF3" w:rsidRDefault="008B5BF3">
            <w:pPr>
              <w:ind w:left="175"/>
              <w:jc w:val="both"/>
              <w:rPr>
                <w:rFonts w:ascii="Book Antiqua" w:eastAsia="Book Antiqua" w:hAnsi="Book Antiqua" w:cs="Book Antiqua"/>
                <w:i/>
              </w:rPr>
            </w:pPr>
          </w:p>
        </w:tc>
      </w:tr>
      <w:tr w:rsidR="008B5BF3" w14:paraId="68AA8FF5" w14:textId="77777777">
        <w:tc>
          <w:tcPr>
            <w:tcW w:w="9355" w:type="dxa"/>
            <w:gridSpan w:val="2"/>
          </w:tcPr>
          <w:p w14:paraId="6F1DE36C" w14:textId="3B0B88E9" w:rsidR="008B5BF3" w:rsidRDefault="00DE2CCA">
            <w:pPr>
              <w:jc w:val="both"/>
              <w:rPr>
                <w:rFonts w:ascii="Book Antiqua" w:eastAsia="Book Antiqua" w:hAnsi="Book Antiqua" w:cs="Book Antiqua"/>
                <w:i/>
              </w:rPr>
            </w:pPr>
            <w:r>
              <w:rPr>
                <w:rFonts w:ascii="Book Antiqua" w:eastAsia="Book Antiqua" w:hAnsi="Book Antiqua" w:cs="Book Antiqua"/>
                <w:b/>
              </w:rPr>
              <w:t xml:space="preserve">Keywords: </w:t>
            </w:r>
            <w:r w:rsidRPr="00DE2CCA">
              <w:rPr>
                <w:rFonts w:ascii="Book Antiqua" w:eastAsia="Book Antiqua" w:hAnsi="Book Antiqua" w:cs="Book Antiqua"/>
                <w:bCs/>
                <w:i/>
                <w:iCs/>
              </w:rPr>
              <w:t>Export Policy; Coal Commodity, International Trade.</w:t>
            </w:r>
          </w:p>
        </w:tc>
      </w:tr>
    </w:tbl>
    <w:p w14:paraId="72618F3B" w14:textId="77777777" w:rsidR="008B5BF3" w:rsidRDefault="008B5BF3">
      <w:pPr>
        <w:spacing w:after="0" w:line="240" w:lineRule="auto"/>
        <w:jc w:val="center"/>
        <w:rPr>
          <w:rFonts w:ascii="Book Antiqua" w:eastAsia="Book Antiqua" w:hAnsi="Book Antiqua" w:cs="Book Antiqua"/>
          <w:b/>
          <w:sz w:val="24"/>
          <w:szCs w:val="24"/>
        </w:rPr>
      </w:pPr>
    </w:p>
    <w:p w14:paraId="23C0B37C" w14:textId="77777777" w:rsidR="008B5BF3" w:rsidRDefault="008B5BF3">
      <w:pPr>
        <w:spacing w:after="0" w:line="240" w:lineRule="auto"/>
        <w:jc w:val="both"/>
        <w:rPr>
          <w:rFonts w:ascii="Book Antiqua" w:eastAsia="Book Antiqua" w:hAnsi="Book Antiqua" w:cs="Book Antiqua"/>
          <w:i/>
          <w:sz w:val="24"/>
          <w:szCs w:val="24"/>
        </w:rPr>
        <w:sectPr w:rsidR="008B5BF3" w:rsidSect="00B72164">
          <w:footerReference w:type="even" r:id="rId11"/>
          <w:footerReference w:type="default" r:id="rId12"/>
          <w:pgSz w:w="12240" w:h="15840"/>
          <w:pgMar w:top="426" w:right="1041" w:bottom="992" w:left="1418" w:header="1151" w:footer="851" w:gutter="0"/>
          <w:pgNumType w:start="1"/>
          <w:cols w:space="720" w:equalWidth="0">
            <w:col w:w="9360"/>
          </w:cols>
        </w:sectPr>
      </w:pPr>
    </w:p>
    <w:p w14:paraId="32B26900" w14:textId="6B4C8109" w:rsidR="008B5BF3" w:rsidRDefault="00DE2CCA" w:rsidP="00DE2CCA">
      <w:pPr>
        <w:numPr>
          <w:ilvl w:val="0"/>
          <w:numId w:val="1"/>
        </w:numPr>
        <w:pBdr>
          <w:top w:val="nil"/>
          <w:left w:val="nil"/>
          <w:bottom w:val="nil"/>
          <w:right w:val="nil"/>
          <w:between w:val="nil"/>
        </w:pBdr>
        <w:spacing w:line="259" w:lineRule="auto"/>
        <w:ind w:left="426" w:hanging="426"/>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Introduction</w:t>
      </w:r>
    </w:p>
    <w:p w14:paraId="28DDD7E0"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For the past four decades, coal has been Indonesia's most important natural resource. It has been a key axis of energy </w:t>
      </w:r>
      <w:r w:rsidRPr="00DE2CCA">
        <w:rPr>
          <w:rFonts w:ascii="Book Antiqua" w:hAnsi="Book Antiqua" w:cs="Times New Roman"/>
          <w:sz w:val="24"/>
          <w:szCs w:val="24"/>
        </w:rPr>
        <w:t xml:space="preserve">policy and industry. Indonesia has total coal reserves of 35.1 billion tons, of which 99.2 billion tons were identified as resources in 2022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{"citationItems":[{"id":"ITEM-1","itemData":{"author":[{"dropping-particle":"","family":"Juarsa, Arya, Wibisono, Sigit Arso, Muhammad Abdurahman Ibrahim, Penny Oktaviani, Rahmat Hidayat","given":"Fatimah","non-dropping-particle":"","parse-names":false,"suffix":""}],"id":"ITEM-1","issued":{"date-parts":[["2023"]]},"number-of-pages":"124","publisher":"Kementrian Energi dan Sumber Daya Mineral Badan Geologi","publisher-place":"Jakrta","title":"Neraca Sumber Daya dan Cadangan Mineral, Batubara, dan Panas Bumi Indonesia Tahun 2022","type":"book"},"uris":["http://www.mendeley.com/documents/?uuid=cca1073b-93bd-455c-9fdf-75335eb0fe7b"]}],"mendeley":{"formattedCitation":"(Juarsa, Arya, Wibisono, Sigit Arso, Muhammad Abdurahman Ibrahim, Penny Oktaviani, Rahmat Hidayat, 2023)","manualFormatting":"(Juarsa et al., 2023)","plainTextFormattedCitation":"(Juarsa, Arya, Wibisono, Sigit Arso, Muhammad Abdurahman Ibrahim, Penny Oktaviani, Rahmat Hidayat, 2023)","previouslyFormattedCitation":"(Juarsa, Arya, Wibisono, Sigit Arso, Muhammad Abdurahman Ibrahim, Penny Oktaviani, Rahmat Hidayat, 2023)"},"properties":{"noteIndex":0},"schema":"https://github.com/citation-style-language/schema/raw/master/csl-citation.json"}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(Juarsa et al., 2023)</w:t>
      </w:r>
      <w:r w:rsidRPr="00DE2CCA">
        <w:rPr>
          <w:rFonts w:ascii="Book Antiqua" w:hAnsi="Book Antiqua" w:cs="Times New Roman"/>
          <w:sz w:val="24"/>
          <w:szCs w:val="24"/>
        </w:rPr>
        <w:fldChar w:fldCharType="end"/>
      </w:r>
      <w:r w:rsidRPr="00DE2CCA">
        <w:rPr>
          <w:rFonts w:ascii="Book Antiqua" w:hAnsi="Book Antiqua" w:cs="Times New Roman"/>
          <w:sz w:val="24"/>
          <w:szCs w:val="24"/>
        </w:rPr>
        <w:t xml:space="preserve">. In 2023, Indonesian </w:t>
      </w:r>
      <w:r w:rsidRPr="00DE2CCA">
        <w:rPr>
          <w:rFonts w:ascii="Book Antiqua" w:hAnsi="Book Antiqua" w:cs="Times New Roman"/>
          <w:sz w:val="24"/>
          <w:szCs w:val="24"/>
        </w:rPr>
        <w:lastRenderedPageBreak/>
        <w:t xml:space="preserve">coal experienced a significant increase due to rising demand from both domestic and international markets. According to the Statistical Review of World Energy, Indonesia ranks seventh worldwide for the largest total coal reserves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{"citationItems":[{"id":"ITEM-1","itemData":{"abstract":"Energy generated from environmentally friendly, cost-effective solar cells is a key aspect for developing a clean renewable-energy economy. Non-toxic and Earth-abundant materials with high absorption coefficient (&gt;105 cm−1) and optimal bandgap (1–1.5 eV) have received great attention as photovoltaic (PV) absorber layers during the last few decades. Among them, antimony selenide (Sb2Se3) has been a promising PV absorber, with steadily increasing power-conversion efficiency (PCE) compared to other emerging compounds. Very recent studies showed that high-quality ZnO:Al/ZnO/CdS/TiO2/Sb2Se3/MoSe2/Mo devices with PCE of 9.2% can be fabricated using cost-effective novel compounds. Considering these recent advances, this article provides an overview of the material properties of Sb2Se3 thin films and the recent progress made with Sb2Se3-based solar cells. Analysis of Sb2Se3-based thin-film solar cells has also shown that the devices have relatively good light management due to their suitable bandgap and high absorption coefficient, whereas carrier management, i.e. collection efficiency of photo-generated carriers, needs significant improvement. Overall, this study provides background knowledge on material properties and device performance and suggests main research directions to overcome the limiting factors of solar cell performance.","author":[{"dropping-particle":"","family":"BP","given":"","non-dropping-particle":"","parse-names":false,"suffix":""}],"container-title":"BP Energy Outlook","id":"ITEM-1","issued":{"date-parts":[["2021"]]},"number-of-pages":"46","title":"Statistical Review of World Energy 2021","type":"book"},"uris":["http://www.mendeley.com/documents/?uuid=798006b3-4d61-4ecc-b53a-65e5fbbb92d6"]}],"mendeley":{"formattedCitation":"(BP, 2021)","plainTextFormattedCitation":"(BP, 2021)","previouslyFormattedCitation":"(BP, 2021)"},"properties":{"noteIndex":0},"schema":"https://github.com/citation-style-language/schema/raw/master/csl-citation.json"}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(BP, 2021)</w:t>
      </w:r>
      <w:r w:rsidRPr="00DE2CCA">
        <w:rPr>
          <w:rFonts w:ascii="Book Antiqua" w:hAnsi="Book Antiqua" w:cs="Times New Roman"/>
          <w:sz w:val="24"/>
          <w:szCs w:val="24"/>
        </w:rPr>
        <w:fldChar w:fldCharType="end"/>
      </w:r>
      <w:r w:rsidRPr="00DE2CCA">
        <w:rPr>
          <w:rFonts w:ascii="Book Antiqua" w:hAnsi="Book Antiqua" w:cs="Times New Roman"/>
          <w:sz w:val="24"/>
          <w:szCs w:val="24"/>
        </w:rPr>
        <w:t>. With abundant coal reserves, Indonesia is becoming a critical resource for countries that rely on coal energy to meet their industrial and power generation needs.</w:t>
      </w:r>
    </w:p>
    <w:p w14:paraId="61AF6F0F"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Coal is a key fossil fuel for power generation and a fundamental fuel for steel and cement production. As a commodity, coal is an important pillar that supports national economic growth and contributes significantly to the country's revenues and expenditures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{"citationItems":[{"id":"ITEM-1","itemData":{"abstract":"Tulisan ini dibuat sebagai bagian dari upaya Climate Transparency, sebuah kemitraan internasional yang terdiri dari IESR dan 13 organisasi riset lain dan NGO yang membandingkan aksi iklim G20 – www.climate-transparency.org. Tulisan ini didanai oleh International Climate Initiative (IKI). Kementerian Federal untuk Lingkungan, Konservasi Alam, dan Keamanan Nuklir (BMU) Jerman mendukung inisiatif ini berdasarkan keputusan yang diadopsi oleh German Bundestag.","author":[{"dropping-particle":"","family":"Arinaldo, Deon &amp; Adiatma","given":"Julius","non-dropping-particle":"","parse-names":false,"suffix":""}],"container-title":"Institute for Essential Services Reform (IESR)","id":"ITEM-1","issued":{"date-parts":[["2019"]]},"number-of-pages":"1-12","title":"Dinamika Batu Bara Indonesia: Menuju Transisi Energi yang Adil","type":"book"},"uris":["http://www.mendeley.com/documents/?uuid=295d8ef7-3835-48eb-a502-0ac8b4828fed"]}],"mendeley":{"formattedCitation":"(Arinaldo, Deon &amp; Adiatma, 2019)","manualFormatting":"(Arinaldo et al., 2019)","plainTextFormattedCitation":"(Arinaldo, Deon &amp; Adiatma, 2019)","previouslyFormattedCitation":"(Arinaldo, Deon &amp; Adiatma, 2019)"},"properties":{"noteIndex":0},"schema":"https://github.com/citation-style-language/schema/raw/master/csl-citation.json"}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(Arinaldo et al., 2019)</w:t>
      </w:r>
      <w:r w:rsidRPr="00DE2CCA">
        <w:rPr>
          <w:rFonts w:ascii="Book Antiqua" w:hAnsi="Book Antiqua" w:cs="Times New Roman"/>
          <w:sz w:val="24"/>
          <w:szCs w:val="24"/>
        </w:rPr>
        <w:fldChar w:fldCharType="end"/>
      </w:r>
      <w:r w:rsidRPr="00DE2CCA">
        <w:rPr>
          <w:rFonts w:ascii="Book Antiqua" w:hAnsi="Book Antiqua" w:cs="Times New Roman"/>
          <w:sz w:val="24"/>
          <w:szCs w:val="24"/>
        </w:rPr>
        <w:t xml:space="preserve">. The coal mining subsector will contribute approximately 6.6 %, or IDR 261.71 trillion, to Indonesia's Gross Domestic Product (GDP) in 2021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{"citationItems":[{"id":"ITEM-1","itemData":{"URL":"https://databoks.katadata.co.id/datapublish/2022/04/04/pertambangan-batu-bara-dan-lignit-tumbuh-66-pada-2021","author":[{"dropping-particle":"","family":"Kusnandar","given":"Viva Budy","non-dropping-particle":"","parse-names":false,"suffix":""}],"container-title":"Databoks","id":"ITEM-1","issued":{"date-parts":[["2022"]]},"title":"Pertambangan Batu Bara dan Lignit Tumbuh 6,6% pada 2021","type":"webpage"},"uris":["http://www.mendeley.com/documents/?uuid=1b81f491-481e-4f85-8a55-a1fbc1ff4b4b"]}],"mendeley":{"formattedCitation":"(Kusnandar, 2022)","plainTextFormattedCitation":"(Kusnandar, 2022)","previouslyFormattedCitation":"(Kusnandar, 2022)"},"properties":{"noteIndex":0},"schema":"https://github.com/citation-style-language/schema/raw/master/csl-citation.json"}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(Kusnandar, 2022)</w:t>
      </w:r>
      <w:r w:rsidRPr="00DE2CCA">
        <w:rPr>
          <w:rFonts w:ascii="Book Antiqua" w:hAnsi="Book Antiqua" w:cs="Times New Roman"/>
          <w:sz w:val="24"/>
          <w:szCs w:val="24"/>
        </w:rPr>
        <w:fldChar w:fldCharType="end"/>
      </w:r>
      <w:r w:rsidRPr="00DE2CCA">
        <w:rPr>
          <w:rFonts w:ascii="Book Antiqua" w:hAnsi="Book Antiqua" w:cs="Times New Roman"/>
          <w:sz w:val="24"/>
          <w:szCs w:val="24"/>
        </w:rPr>
        <w:t>. This means that the coal subsector contributes approximately 39.59% of the total GDP of the mining and quarrying sector in Indonesia.</w:t>
      </w:r>
    </w:p>
    <w:p w14:paraId="2244859E"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In addition to being the primary source of electricity generation, coal is a strategic and high-priority export commodity. Since 2005, Indonesia has been the world's largest producer and exporter of coal. The high coal production figures result from the increasing demand for coal in the export market. As a result, Indonesia plays a crucial role in the global coal market. The value of coal exports accounts for 15% of Indonesia's total exports. According to the Ministry of Energy and Mineral Resources, Indonesia's coal exports reached 394.08 million tons in 2023, an increase of 7.11% compared to the </w:t>
      </w:r>
      <w:r w:rsidRPr="00DE2CCA">
        <w:rPr>
          <w:rFonts w:ascii="Book Antiqua" w:hAnsi="Book Antiqua" w:cs="Times New Roman"/>
          <w:sz w:val="24"/>
          <w:szCs w:val="24"/>
        </w:rPr>
        <w:t xml:space="preserve">previous year's total of 367.94 million tons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{"citationItems":[{"id":"ITEM-1","itemData":{"URL":"https://modi.esdm.go.id/produksi-batubara","author":[{"dropping-particle":"","family":"MODI","given":"","non-dropping-particle":"","parse-names":false,"suffix":""}],"container-title":"Kementrian Energi dan Sumber Daya Miniral","id":"ITEM-1","issued":{"date-parts":[["2023"]]},"title":"Realisasi Produksi &amp; Penjualan Batubara","type":"webpage"},"uris":["http://www.mendeley.com/documents/?uuid=8e19cf26-2d9c-4b3b-b736-c8437acb1a6d"]}],"mendeley":{"formattedCitation":"(MODI, 2023)","manualFormatting":"(MODI, 2024)","plainTextFormattedCitation":"(MODI, 2023)","previouslyFormattedCitation":"(MODI, 2023)"},"properties":{"noteIndex":0},"schema":"https://github.com/citation-style-language/schema/raw/master/csl-citation.json"}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(MODI, 2024)</w:t>
      </w:r>
      <w:r w:rsidRPr="00DE2CCA">
        <w:rPr>
          <w:rFonts w:ascii="Book Antiqua" w:hAnsi="Book Antiqua" w:cs="Times New Roman"/>
          <w:sz w:val="24"/>
          <w:szCs w:val="24"/>
        </w:rPr>
        <w:fldChar w:fldCharType="end"/>
      </w:r>
      <w:r w:rsidRPr="00DE2CCA">
        <w:rPr>
          <w:rFonts w:ascii="Book Antiqua" w:hAnsi="Book Antiqua" w:cs="Times New Roman"/>
          <w:sz w:val="24"/>
          <w:szCs w:val="24"/>
        </w:rPr>
        <w:t xml:space="preserve">. Indonesia's coal exports account for 75% of total coal production, with the remaining portion sold on the domestic market to meet domestic demand. This percentage is regulated by Decision No. 267 of 2022 of the Minister of Energy and Mineral Resources of the Republic of Indonesia on fulfilling domestic coal demand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{"citationItems":[{"id":"ITEM-1","itemData":{"author":[{"dropping-particle":"","family":"ESDM","given":"","non-dropping-particle":"","parse-names":false,"suffix":""}],"id":"ITEM-1","issued":{"date-parts":[["2022"]]},"title":"Kepmen ESDM No. 267.K/MB.01/MEM.B/2022 tentang Pemenuhan Kebutuhan Batubara Dalam Negeri","type":"report"},"uris":["http://www.mendeley.com/documents/?uuid=0b66368a-3105-4b94-bb9d-e43c55935257"]}],"mendeley":{"formattedCitation":"(ESDM, 2022b)","plainTextFormattedCitation":"(ESDM, 2022b)","previouslyFormattedCitation":"(ESDM, 2022b)"},"properties":{"noteIndex":0},"schema":"https://github.com/citation-style-language/schema/raw/master/csl-citation.json"}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(ESDM, 2022b)</w:t>
      </w:r>
      <w:r w:rsidRPr="00DE2CCA">
        <w:rPr>
          <w:rFonts w:ascii="Book Antiqua" w:hAnsi="Book Antiqua" w:cs="Times New Roman"/>
          <w:sz w:val="24"/>
          <w:szCs w:val="24"/>
        </w:rPr>
        <w:fldChar w:fldCharType="end"/>
      </w:r>
      <w:r w:rsidRPr="00DE2CCA">
        <w:rPr>
          <w:rFonts w:ascii="Book Antiqua" w:hAnsi="Book Antiqua" w:cs="Times New Roman"/>
          <w:sz w:val="24"/>
          <w:szCs w:val="24"/>
        </w:rPr>
        <w:t>.</w:t>
      </w:r>
    </w:p>
    <w:p w14:paraId="39C6B8D8"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The coal industry in Indonesia consists of several large producers and several small players with coal mines and concessions. Different regions in Indonesia have different types and amounts of coal reserves. Most coal reserves and production are concentrated on the islands of Sumatra and Kalimantan. Regarding coal categories, data indicate that 60% of Indonesia's coal reserves are classified as low quality (below 5100 cal/g). In contrast, the remaining portion is classified as medium quality (between 5100 and 6100 cal/g)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{"citationItems":[{"id":"ITEM-1","itemData":{"DOI":"10.20527/ecoplan.v4i2.339","ISSN":"2620-6102","abstract":"Coal is a fuel made from fossils, which hold an essential part of the energy for power plants and serves as a staple fuel for steel and cement production. Indonesia, South Africa, and Colombia are developing countries that took part in the largest coal exporters in the world. The purpose of this study is to analyze the three developing countries in coal exporting competitiveness, Indonesia, South Africa, and Colombia, in terms of comparative advantage or competitive advantage and times of the trade specialization index, as well as compare the exports and imports of coal from the three countries and export developments. This study will be using secondary data within a period of fifteen years (2004 – 2018). The data analysis methods used in this study are based on the Balassa Index of Revealed Comparative Advantage (RCA) and the Trade Specialization Index (TSI). The research from RCA showed that Indonesia doesn’t have a comparative advantage in contrast to South Africa, but Indonesia has a comparative advantage collated with Colombia. Based on the study held by TSI, the three developing countries are presumed to have strong competitiveness and tend to succeed in becoming coal exporting countries.","author":[{"dropping-particle":"","family":"Yulia","given":"Sifa","non-dropping-particle":"","parse-names":false,"suffix":""},{"dropping-particle":"","family":"Chandriyanti","given":"Ika","non-dropping-particle":"","parse-names":false,"suffix":""}],"container-title":"Ecoplan","id":"ITEM-1","issue":"2","issued":{"date-parts":[["2021"]]},"page":"99-110","title":"Analisis Daya Saing Komparatif dan Kompetitif Ekspor Komoditas Batu Bara Tiga Negara Berkembang (Indonesia, Afrika Selatan dan Kolombia)","type":"article-journal","volume":"4"},"uris":["http://www.mendeley.com/documents/?uuid=bf9db526-d150-45dd-9f3d-c86a220a62e2"]}],"mendeley":{"formattedCitation":"(Yulia &amp; Chandriyanti, 2021)","manualFormatting":"(Yulia &amp; Chandriyanti, 2021)","plainTextFormattedCitation":"(Yulia &amp; Chandriyanti, 2021)","previouslyFormattedCitation":"(Yulia &amp; Chandriyanti, 2021)"},"properties":{"noteIndex":0},"schema":"https://github.com/citation-style-language/schema/raw/master/csl-citation.json"}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(Yulia &amp; Chandriyanti, 2021)</w:t>
      </w:r>
      <w:r w:rsidRPr="00DE2CCA">
        <w:rPr>
          <w:rFonts w:ascii="Book Antiqua" w:hAnsi="Book Antiqua" w:cs="Times New Roman"/>
          <w:sz w:val="24"/>
          <w:szCs w:val="24"/>
        </w:rPr>
        <w:fldChar w:fldCharType="end"/>
      </w:r>
      <w:r w:rsidRPr="00DE2CCA">
        <w:rPr>
          <w:rFonts w:ascii="Book Antiqua" w:hAnsi="Book Antiqua" w:cs="Times New Roman"/>
          <w:sz w:val="24"/>
          <w:szCs w:val="24"/>
        </w:rPr>
        <w:t>. Low quality coal meets domestic demand, while exported coal is mainly medium quality.</w:t>
      </w:r>
    </w:p>
    <w:p w14:paraId="17AE0406"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Countries in Asia, such as China, India, Japan, Hong Kong, Cambodia, the Philippines, and others, dominate the Indonesian coal export market. The hot climatic conditions largely influence this high demand in Asia, especially in Southeast Asia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{"citationItems":[{"id":"ITEM-1","itemData":{"URL":"https://www.cnbcindonesia.com/research/20230718143917-128-455370/ekspor-batu-bara-ri-ke-china-melonjak-ke-kamboja-naik-600","author":[{"dropping-particle":"","family":"CNBC Indoneisa","given":"","non-dropping-particle":"","parse-names":false,"suffix":""}],"container-title":"CNBC Indonesia","id":"ITEM-1","issued":{"date-parts":[["2023"]]},"title":"Ekspor Batu Bara RI ke China Melonjak, ke Kamboja Naik 600%","type":"webpage"},"uris":["http://www.mendeley.com/documents/?uuid=5eb22ff4-288b-4243-91a4-2b9091f2d3ca"]}],"mendeley":{"formattedCitation":"(CNBC Indoneisa, 2023)","manualFormatting":"(CNBC Indonesia, 2023)","plainTextFormattedCitation":"(CNBC Indoneisa, 2023)","previouslyFormattedCitation":"(CNBC Indoneisa, 2023)"},"properties":{"noteIndex":0},"schema":"https://github.com/citation-style-language/schema/raw/master/csl-citation.json"}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(CNBC Indonesia, 2023)</w:t>
      </w:r>
      <w:r w:rsidRPr="00DE2CCA">
        <w:rPr>
          <w:rFonts w:ascii="Book Antiqua" w:hAnsi="Book Antiqua" w:cs="Times New Roman"/>
          <w:sz w:val="24"/>
          <w:szCs w:val="24"/>
        </w:rPr>
        <w:fldChar w:fldCharType="end"/>
      </w:r>
      <w:r w:rsidRPr="00DE2CCA">
        <w:rPr>
          <w:rFonts w:ascii="Book Antiqua" w:hAnsi="Book Antiqua" w:cs="Times New Roman"/>
          <w:sz w:val="24"/>
          <w:szCs w:val="24"/>
        </w:rPr>
        <w:t xml:space="preserve">. In early 2022, there was a significant increase in coal demand from several European countries that had not imported Indonesian coal in the previous year. This was attributed to the energy crisis and the Russian-Ukrainian invasion. In terms of value, Indonesia's coal </w:t>
      </w:r>
      <w:r w:rsidRPr="00DE2CCA">
        <w:rPr>
          <w:rFonts w:ascii="Book Antiqua" w:hAnsi="Book Antiqua" w:cs="Times New Roman"/>
          <w:sz w:val="24"/>
          <w:szCs w:val="24"/>
        </w:rPr>
        <w:lastRenderedPageBreak/>
        <w:t xml:space="preserve">exports reached USD 28.86 billion or IDR 444.44 trillion in 2023, a significant decline from the previous year's USD 46.74 billion </w:t>
      </w:r>
      <w:r w:rsidRPr="00DE2CCA">
        <w:rPr>
          <w:rStyle w:val="FootnoteReference"/>
          <w:rFonts w:ascii="Book Antiqua" w:hAnsi="Book Antiqua"/>
          <w:sz w:val="24"/>
          <w:szCs w:val="24"/>
        </w:rPr>
        <w:fldChar w:fldCharType="begin" w:fldLock="1"/>
      </w:r>
      <w:r w:rsidRPr="00DE2CCA">
        <w:rPr>
          <w:rFonts w:ascii="Book Antiqua" w:hAnsi="Book Antiqua" w:cs="Times New Roman"/>
          <w:sz w:val="24"/>
          <w:szCs w:val="24"/>
        </w:rPr>
        <w:instrText>ADDIN CSL_CITATION {"citationItems":[{"id":"ITEM-1","itemData":{"URL":"https://www.cnbcindonesia.com/research/20231120012256-128-490233/durian-runtuh-masih-tersisa-ekspor-batu-bara-tembus-rp400-t#:~:text=Secara keseluruhan%2C nilai ekspor batu,%2C87%25 (mtm).","author":[{"dropping-particle":"","family":"Taufani","given":"Muhammad Reza","non-dropping-particle":"","parse-names":false,"suffix":""}],"container-title":"CNBC Indonesia","id":"ITEM-1","issued":{"date-parts":[["2023"]]},"title":"Durian Runtuh Masih Tersisa, Ekspor Batu Bara Tembus Rp400 T","type":"webpage"},"uris":["http://www.mendeley.com/documents/?uuid=41a36e4e-8a5a-484e-bf71-4bcc49ff9523"]}],"mendeley":{"formattedCitation":"(Taufani, 2023)","plainTextFormattedCitation":"(Taufani, 2023)","previouslyFormattedCitation":"(Taufani, 2023)"},"properties":{"noteIndex":0},"schema":"https://github.com/citation-style-language/schema/raw/master/csl-citation.json"}</w:instrText>
      </w:r>
      <w:r w:rsidRPr="00DE2CCA">
        <w:rPr>
          <w:rStyle w:val="FootnoteReference"/>
          <w:rFonts w:ascii="Book Antiqua" w:hAnsi="Book Antiqua"/>
          <w:sz w:val="24"/>
          <w:szCs w:val="24"/>
        </w:rPr>
        <w:fldChar w:fldCharType="separate"/>
      </w:r>
      <w:r w:rsidRPr="00DE2CCA">
        <w:rPr>
          <w:rFonts w:ascii="Book Antiqua" w:hAnsi="Book Antiqua" w:cs="Times New Roman"/>
          <w:noProof/>
          <w:sz w:val="24"/>
          <w:szCs w:val="24"/>
        </w:rPr>
        <w:t>(Taufani, 2023)</w:t>
      </w:r>
      <w:r w:rsidRPr="00DE2CCA">
        <w:rPr>
          <w:rStyle w:val="FootnoteReference"/>
          <w:rFonts w:ascii="Book Antiqua" w:hAnsi="Book Antiqua"/>
          <w:sz w:val="24"/>
          <w:szCs w:val="24"/>
        </w:rPr>
        <w:fldChar w:fldCharType="end"/>
      </w:r>
      <w:r w:rsidRPr="00DE2CCA">
        <w:rPr>
          <w:rFonts w:ascii="Book Antiqua" w:hAnsi="Book Antiqua" w:cs="Times New Roman"/>
          <w:sz w:val="24"/>
          <w:szCs w:val="24"/>
        </w:rPr>
        <w:t xml:space="preserve">. Despite the decline, the Secretary General of the Ministry of Energy and Mineral Resources (ESDM), Dadan Kusdiana, mentioned that the current coal selling prices are still profitable for companies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{"citationItems":[{"id":"ITEM-1","itemData":{"author":[{"dropping-particle":"","family":"CNBC Indonesia","given":"","non-dropping-particle":"","parse-names":false,"suffix":""}],"id":"ITEM-1","issued":{"date-parts":[["2023"]]},"title":"Industri Batu Bara Terus Membara Sepanjang 2023","type":"report"},"uris":["http://www.mendeley.com/documents/?uuid=b766cb8c-14bd-4bd8-9013-88aeb2687fb1"]}],"mendeley":{"formattedCitation":"(CNBC Indonesia, 2023)","manualFormatting":"(CNBC Indonesia, 2023)","plainTextFormattedCitation":"(CNBC Indonesia, 2023)","previouslyFormattedCitation":"(CNBC Indonesia, 2023)"},"properties":{"noteIndex":0},"schema":"https://github.com/citation-style-language/schema/raw/master/csl-citation.json"}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(CNBC Indonesia, 2023)</w:t>
      </w:r>
      <w:r w:rsidRPr="00DE2CCA">
        <w:rPr>
          <w:rFonts w:ascii="Book Antiqua" w:hAnsi="Book Antiqua" w:cs="Times New Roman"/>
          <w:sz w:val="24"/>
          <w:szCs w:val="24"/>
        </w:rPr>
        <w:fldChar w:fldCharType="end"/>
      </w:r>
      <w:r w:rsidRPr="00DE2CCA">
        <w:rPr>
          <w:rFonts w:ascii="Book Antiqua" w:hAnsi="Book Antiqua" w:cs="Times New Roman"/>
          <w:sz w:val="24"/>
          <w:szCs w:val="24"/>
        </w:rPr>
        <w:t>. Meanwhile, from the non-tax government revenue (PNBP) perspective, the mineral and coal sector exceeded the 2023 State Budget (APBN) target as of November 2023, reaching IDR 152.16 trillion or 178% of the APBN target.</w:t>
      </w:r>
    </w:p>
    <w:p w14:paraId="09DD0D96"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Several authors have researched Indonesian coal exports. However, studies that specifically focus on the policy of Indonesian coal exports are still limited. Melawati Puspita Dewi (2018) identified the impact of coal prices on Indonesian coal exports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{"citationItems":[{"id":"ITEM-1","itemData":{"ISBN":"9783642253874","ISSN":"09240136","PMID":"25246403","abstract":"Solid Freeform Fabrication and Shape Deposition are rapid manufacturing processes which build parts by incremental material deposition and fusion of cross-sectional layers. In this paper, several thermal deposition processes are described for directly fabricating prototype metal shapes using robotically manipulated material deposition systems. A robotic palletizing/part transfer system is also described which integrates multiple deposition and shaping processes into a single facility for rapidly manufacturing functional shapes.","author":[{"dropping-particle":"","family":"Dewi","given":"Melawati Puspita","non-dropping-particle":"","parse-names":false,"suffix":""}],"container-title":"Journal of Materials Processing Technology","id":"ITEM-1","issue":"1","issued":{"date-parts":[["2018"]]},"number-of-pages":"1-8","title":"Analisis Ekspor Batubara Indoensia","type":"report","volume":"1"},"uris":["http://www.mendeley.com/documents/?uuid=40acb130-c701-4c47-a54a-ce33c09cc68b"]}],"mendeley":{"formattedCitation":"(Dewi, 2018)","manualFormatting":"(Dewi et al., 2018)","plainTextFormattedCitation":"(Dewi, 2018)","previouslyFormattedCitation":"(Dewi, 2018)"},"properties":{"noteIndex":0},"schema":"https://github.com/citation-style-language/schema/raw/master/csl-citation.json"}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(Dewi et al., 2018)</w:t>
      </w:r>
      <w:r w:rsidRPr="00DE2CCA">
        <w:rPr>
          <w:rFonts w:ascii="Book Antiqua" w:hAnsi="Book Antiqua" w:cs="Times New Roman"/>
          <w:sz w:val="24"/>
          <w:szCs w:val="24"/>
        </w:rPr>
        <w:fldChar w:fldCharType="end"/>
      </w:r>
      <w:r w:rsidRPr="00DE2CCA">
        <w:rPr>
          <w:rFonts w:ascii="Book Antiqua" w:hAnsi="Book Antiqua" w:cs="Times New Roman"/>
          <w:sz w:val="24"/>
          <w:szCs w:val="24"/>
        </w:rPr>
        <w:t xml:space="preserve">. The results of this research show that there is a significant positive correlation between coal prices and the volume of coal exports. In other words, as coal prices in the destination country increase, the volume of exports to that country also increases. Therefore, the widening gap between international and domestic prices can increase the quantity of exported commodities. Dessy Natalia and colleagues mentioned that if Indonesia's abundant coal reserves are not well managed, there is a concern that these reserves will be depleted more quickly. Therefore, the policy of export restrictions is one of the measures taken to maintain the stability of Indonesia's coal supply in the hope that energy conservation principles can be achieved and domestic energy needs </w:t>
      </w:r>
      <w:r w:rsidRPr="00DE2CCA">
        <w:rPr>
          <w:rFonts w:ascii="Book Antiqua" w:hAnsi="Book Antiqua" w:cs="Times New Roman"/>
          <w:sz w:val="24"/>
          <w:szCs w:val="24"/>
        </w:rPr>
        <w:t xml:space="preserve">can be met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abstract":"hukum","author":[{"dropping-particle":"","family":"Natalia","given":"Dessy","non-dropping-particle":"","parse-names":false,"suffix":""},{"dropping-particle":"","family":"Yoesgiantoro","given":"Donny","non-dropping-particle":"","parse-names":false,"suffix":""},{"dropping-particle":"","family":"Yusgiantoro","given":"Filda Ctra","non-dropping-particle":"","parse-names":false,"suffix":""}],"container-title":"Jurnal Kewarganegaran","id":"ITEM-1","issue":"1","issued":{"date-parts":[["2022"]]},"page":"1828","title":"Analisis Kebijakan Domestic Market Obligation (DMO) Batu Bara Indonesia Untuk Ketahanan Neger Dan Mendukung Pertanahan","type":"article-journal","volume":"6"},"uris":["http://www.mendeley.com/documents/?uuid=7e89beb3-1688-4f2e-8aed-0e15ce4c335a"]}],"mendeley":{"formattedCitation":"(Natalia, Yoesgiantoro, &amp; Yusgiantoro, 2022)","manualFormatting":"(Natalia, Yoesgiantoro et al., 2022)","plainTextFormattedCitation":"(Natalia, Yoesgiantoro, &amp; Yusgiantoro, 2022)","previouslyFormattedCitation":"(Natalia, Yoesgiantoro, &amp; Yusgiantoro, 2022)"},"properties":{"noteIndex":0},"schema":"https://github.com/citation-style-language/schema/raw/master/csl-citation.json"}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(Natalia, Yoesgiantoro et al., 2022)</w:t>
      </w:r>
      <w:r w:rsidRPr="00DE2CCA">
        <w:rPr>
          <w:rFonts w:ascii="Book Antiqua" w:hAnsi="Book Antiqua" w:cs="Times New Roman"/>
          <w:sz w:val="24"/>
          <w:szCs w:val="24"/>
        </w:rPr>
        <w:fldChar w:fldCharType="end"/>
      </w:r>
      <w:r w:rsidRPr="00DE2CCA">
        <w:rPr>
          <w:rFonts w:ascii="Book Antiqua" w:hAnsi="Book Antiqua" w:cs="Times New Roman"/>
          <w:sz w:val="24"/>
          <w:szCs w:val="24"/>
        </w:rPr>
        <w:t xml:space="preserve">. Meanwhile, Izza Azizah and Aris Soelistyo (2022) found that Indonesia's Gross Domestic Product (GDP), the population of destination countries, as well as exchange rates and inflation rates significantly influence Indonesia's coal </w:t>
      </w:r>
      <w:r w:rsidRPr="00DE2CCA">
        <w:rPr>
          <w:rFonts w:ascii="Book Antiqua" w:hAnsi="Book Antiqua" w:cs="Times New Roman"/>
          <w:sz w:val="24"/>
          <w:szCs w:val="24"/>
        </w:rPr>
        <w:fldChar w:fldCharType="begin" w:fldLock="1"/>
      </w:r>
      <w:r w:rsidRPr="00DE2CCA">
        <w:rPr>
          <w:rFonts w:ascii="Book Antiqua" w:hAnsi="Book Antiqua" w:cs="Times New Roman"/>
          <w:sz w:val="24"/>
          <w:szCs w:val="24"/>
        </w:rPr>
        <w:instrText>ADDIN CSL_CITATION {"citationItems":[{"id":"ITEM-1","itemData":{"DOI":"10.22219/jie.v6i4.22608","ISSN":"2963-9239","abstract":"This study aims to analyze the impacts of Indonesia's GDP, Export Destination Country GDP, Destination Country Population, Distance, Exchange Rate and Inflation on Indonesia's coal exports in 2014-2020. The data used is secondary data obtained from BPS, World Bank, Bank of International Settlements and Geobytes. The analysis method uses panel data regression with random effect. The results of this study show that Indonesia's GDP, Population of Destination Countries, Exchange Rate and Inflation have a positive and significant influence on Indonesia's coal exports, while the GDP of Export Destination Countries and Distance does not have a significant influence on Indonesia's coal exports. Penelitian ini bertujuan untuk menganalisis dampak PDB Indonesia, PDB Negara Tujuan Ekspor, Populasi Negara Tujuan Ekspor, Jarak, Nilai Tukar dan Inflasi terhadap ekspor batubara Indonesia pada tahun 2014-2020. Data yang digunakan adalah data sekunder yang diperoleh dari BPS, World Bank, Bank of International Settlements dan Geobytes. Metode analisis menggunakan regresi data panel dengan random effect. Hasil penelitian ini menunjukkan bahwa PDB Indonesia, Populasi Negara Tujuan, Nilai Tukar dan Inflasi memiliki pengaruh yang signifikan terhadap ekspor batubara Indonesia, sedangkan PDB Negara Tujuan Ekspor dan Jarak tidak memiliki pengaruh yang signifikan terhadap ekspor batubara Indonesia.","author":[{"dropping-particle":"","family":"Azizah, Izza Adelia","given":"Aris Soelistyo","non-dropping-particle":"","parse-names":false,"suffix":""}],"container-title":"Jurnal Ilmu Ekonomi JIE","id":"ITEM-1","issue":"4","issued":{"date-parts":[["2022"]]},"page":"584-596","title":"Analisis Faktor-faktor yang Mempengaruhi Nilai Ekspor Batubara Indonesia Tahun 2014-2020","type":"article-journal","volume":"6"},"uris":["http://www.mendeley.com/documents/?uuid=a77264b0-1115-4b35-bb76-f00490a2f167"]}],"mendeley":{"formattedCitation":"(Azizah, Izza Adelia, 2022)","manualFormatting":"(Azizah et al., 2022)","plainTextFormattedCitation":"(Azizah, Izza Adelia, 2022)","previouslyFormattedCitation":"(Azizah, Izza Adelia, 2022)"},"properties":{"noteIndex":0},"schema":"https://github.com/citation-style-language/schema/raw/master/csl-citation.json"}</w:instrText>
      </w:r>
      <w:r w:rsidRPr="00DE2CCA">
        <w:rPr>
          <w:rFonts w:ascii="Book Antiqua" w:hAnsi="Book Antiqua" w:cs="Times New Roman"/>
          <w:sz w:val="24"/>
          <w:szCs w:val="24"/>
        </w:rPr>
        <w:fldChar w:fldCharType="separate"/>
      </w:r>
      <w:r w:rsidRPr="00DE2CCA">
        <w:rPr>
          <w:rFonts w:ascii="Book Antiqua" w:hAnsi="Book Antiqua" w:cs="Times New Roman"/>
          <w:noProof/>
          <w:sz w:val="24"/>
          <w:szCs w:val="24"/>
        </w:rPr>
        <w:t>(Azizah et al., 2022)</w:t>
      </w:r>
      <w:r w:rsidRPr="00DE2CCA">
        <w:rPr>
          <w:rFonts w:ascii="Book Antiqua" w:hAnsi="Book Antiqua" w:cs="Times New Roman"/>
          <w:sz w:val="24"/>
          <w:szCs w:val="24"/>
        </w:rPr>
        <w:fldChar w:fldCharType="end"/>
      </w:r>
      <w:r w:rsidRPr="00DE2CCA">
        <w:rPr>
          <w:rFonts w:ascii="Book Antiqua" w:hAnsi="Book Antiqua" w:cs="Times New Roman"/>
          <w:sz w:val="24"/>
          <w:szCs w:val="24"/>
        </w:rPr>
        <w:t xml:space="preserve">. </w:t>
      </w:r>
    </w:p>
    <w:p w14:paraId="005ED7D6"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These studies conclude that Indonesian coal plays an important role globally. To ensure that national energy needs are met, appropriate policies or regulations are needed to govern the export activities of Indonesian coal. Rising coal prices in the global market are encouraging mining companies to increase production for export. While this can provide economic benefits, there is a need to be vigilant about the potential imbalance between coal exports and domestic energy needs. The authors aim to identify Indonesia's coal export policies in this study. They seek to analyze regulations and policies related to Indonesian coal exports, including government regulations, international trade rules, environmental regulations, and other policies affecting the Indonesian coal export process or policy changes affecting Indonesian coal exports, and to analyze the impact and implications of these policies.</w:t>
      </w:r>
    </w:p>
    <w:p w14:paraId="5695FE28" w14:textId="77777777" w:rsidR="008B5BF3" w:rsidRPr="00DE2CCA" w:rsidRDefault="008B5BF3">
      <w:pPr>
        <w:spacing w:after="0" w:line="240" w:lineRule="auto"/>
        <w:jc w:val="both"/>
        <w:rPr>
          <w:rFonts w:ascii="Book Antiqua" w:eastAsia="Book Antiqua" w:hAnsi="Book Antiqua" w:cs="Book Antiqua"/>
          <w:b/>
          <w:bCs/>
          <w:sz w:val="24"/>
          <w:szCs w:val="24"/>
        </w:rPr>
      </w:pPr>
    </w:p>
    <w:p w14:paraId="2F40CF00" w14:textId="0E2CA08D" w:rsidR="008B5BF3" w:rsidRDefault="00DE2CCA" w:rsidP="00DE2CCA">
      <w:pPr>
        <w:numPr>
          <w:ilvl w:val="0"/>
          <w:numId w:val="1"/>
        </w:numPr>
        <w:pBdr>
          <w:top w:val="nil"/>
          <w:left w:val="nil"/>
          <w:bottom w:val="nil"/>
          <w:right w:val="nil"/>
          <w:between w:val="nil"/>
        </w:pBdr>
        <w:spacing w:line="259" w:lineRule="auto"/>
        <w:ind w:left="426" w:hanging="426"/>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Literature Review</w:t>
      </w:r>
    </w:p>
    <w:p w14:paraId="4BA7B3CC"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The policy process refers to the steps in deciding policy options, considering various factors in the policy environment. Public policy is a complex entity, and understanding how the policy process works is done in an effort better to describe the influencing factors </w:t>
      </w:r>
      <w:r w:rsidRPr="00DE2CCA">
        <w:rPr>
          <w:rFonts w:ascii="Book Antiqua" w:hAnsi="Book Antiqua" w:cs="Times New Roman"/>
          <w:bCs/>
          <w:sz w:val="24"/>
          <w:szCs w:val="24"/>
        </w:rPr>
        <w:fldChar w:fldCharType="begin" w:fldLock="1"/>
      </w:r>
      <w:r w:rsidRPr="00DE2CCA">
        <w:rPr>
          <w:rFonts w:ascii="Book Antiqua" w:hAnsi="Book Antiqua" w:cs="Times New Roman"/>
          <w:bCs/>
          <w:sz w:val="24"/>
          <w:szCs w:val="24"/>
        </w:rPr>
        <w:instrText>ADDIN CSL_CITATION {"citationItems":[{"id":"ITEM-1","itemData":{"DOI":"10.1057/9781137314154","ISBN":"9781349334988","abstract":"Policy making takes place in a context of interdependence. This statement is uncontroversial and there are many examples of cases in which decision-makers in one country (or state, city and so on) are somehow influenced by the choices made in other countries (or states, cities, and so on). For instance, consider the following exchange on ‘Big Society’, a project by David Cameron, the British Prime Minister, aiming to reinvigorate civil society in the context of drastic cuts in public spending:1 Francis Maude (the minister for the Cabinet office) was unconcerned about the unevenness of services that Big Society is likely to entail. In his view, one of the programme’s key virtues was its potential for heterogeneity. ‘People will associate to form a bigger, stronger society in many ways which will be random,’ he said. ‘It’ll be fantastically different in different places.’ ‘What if it’s fantastically better in some places?’ I asked. ‘The advantage of where we are with technology is that it becomes much easier for the ones where it isn’t fantastic to look at what’s going on where it’s fantastic and draw from it,’ he replied.","author":[{"dropping-particle":"","family":"Allison","given":"Christine Rothmayr","non-dropping-particle":"","parse-names":false,"suffix":""}],"container-title":"Comparative Policy Studies","id":"ITEM-1","issued":{"date-parts":[["2014"]]},"publisher":"Plagrave Macamillan","title":"Comparative Policy Studies Conceptual and Methodological Challenges","type":"book"},"uris":["http://www.mendeley.com/documents/?uuid=ee2150ec-49c2-47eb-a889-529c2ccaf977"]}],"mendeley":{"formattedCitation":"(Allison, 2014)","plainTextFormattedCitation":"(Allison, 2014)","previouslyFormattedCitation":"(Allison, 2014)"},"properties":{"noteIndex":0},"schema":"https://github.com/citation-style-language/schema/raw/master/csl-citation.json"}</w:instrText>
      </w:r>
      <w:r w:rsidRPr="00DE2CCA">
        <w:rPr>
          <w:rFonts w:ascii="Book Antiqua" w:hAnsi="Book Antiqua" w:cs="Times New Roman"/>
          <w:bCs/>
          <w:sz w:val="24"/>
          <w:szCs w:val="24"/>
        </w:rPr>
        <w:fldChar w:fldCharType="separate"/>
      </w:r>
      <w:r w:rsidRPr="00DE2CCA">
        <w:rPr>
          <w:rFonts w:ascii="Book Antiqua" w:hAnsi="Book Antiqua" w:cs="Times New Roman"/>
          <w:bCs/>
          <w:noProof/>
          <w:sz w:val="24"/>
          <w:szCs w:val="24"/>
        </w:rPr>
        <w:t>(Allison, 2014)</w:t>
      </w:r>
      <w:r w:rsidRPr="00DE2CCA">
        <w:rPr>
          <w:rFonts w:ascii="Book Antiqua" w:hAnsi="Book Antiqua" w:cs="Times New Roman"/>
          <w:bCs/>
          <w:sz w:val="24"/>
          <w:szCs w:val="24"/>
        </w:rPr>
        <w:fldChar w:fldCharType="end"/>
      </w:r>
      <w:r w:rsidRPr="00DE2CCA">
        <w:rPr>
          <w:rFonts w:ascii="Book Antiqua" w:hAnsi="Book Antiqua" w:cs="Times New Roman"/>
          <w:bCs/>
          <w:sz w:val="24"/>
          <w:szCs w:val="24"/>
        </w:rPr>
        <w:t>.</w:t>
      </w:r>
      <w:r w:rsidRPr="00DE2CCA">
        <w:rPr>
          <w:rFonts w:ascii="Times New Roman" w:hAnsi="Times New Roman" w:cs="Times New Roman"/>
          <w:bCs/>
          <w:sz w:val="24"/>
          <w:szCs w:val="24"/>
        </w:rPr>
        <w:t xml:space="preserve"> </w:t>
      </w:r>
      <w:r w:rsidRPr="00DE2CCA">
        <w:rPr>
          <w:rFonts w:ascii="Book Antiqua" w:hAnsi="Book Antiqua" w:cs="Times New Roman"/>
          <w:sz w:val="24"/>
          <w:szCs w:val="24"/>
        </w:rPr>
        <w:t xml:space="preserve">On the one hand, Thomas Dye simply defines </w:t>
      </w:r>
      <w:r w:rsidRPr="00DE2CCA">
        <w:rPr>
          <w:rFonts w:ascii="Book Antiqua" w:hAnsi="Book Antiqua" w:cs="Times New Roman"/>
          <w:sz w:val="24"/>
          <w:szCs w:val="24"/>
        </w:rPr>
        <w:lastRenderedPageBreak/>
        <w:t xml:space="preserve">public policy as “who gets what”, “why”, and “what difference it makes” in politics </w:t>
      </w:r>
      <w:r w:rsidRPr="00DE2CCA">
        <w:rPr>
          <w:rFonts w:ascii="Book Antiqua" w:hAnsi="Book Antiqua" w:cs="Times New Roman"/>
          <w:bCs/>
          <w:sz w:val="24"/>
          <w:szCs w:val="24"/>
        </w:rPr>
        <w:fldChar w:fldCharType="begin" w:fldLock="1"/>
      </w:r>
      <w:r w:rsidRPr="00DE2CCA">
        <w:rPr>
          <w:rFonts w:ascii="Book Antiqua" w:hAnsi="Book Antiqua" w:cs="Times New Roman"/>
          <w:bCs/>
          <w:sz w:val="24"/>
          <w:szCs w:val="24"/>
        </w:rPr>
        <w:instrText>ADDIN CSL_CITATION {"citationItems":[{"id":"ITEM-1","itemData":{"ISBN":"978-0-205-23882-8","author":[{"dropping-particle":"","family":"Dye","given":"Thomas R.","non-dropping-particle":"","parse-names":false,"suffix":""}],"container-title":"Understanding Public Policy","edition":"Fourteenth","id":"ITEM-1","issued":{"date-parts":[["2013"]]},"title":"Understanding Public Policy","type":"book"},"uris":["http://www.mendeley.com/documents/?uuid=797b2038-f3e2-4eb0-a4a3-7bc873a0ffac"]}],"mendeley":{"formattedCitation":"(Dye, 2013)","plainTextFormattedCitation":"(Dye, 2013)","previouslyFormattedCitation":"(Dye, 2013)"},"properties":{"noteIndex":0},"schema":"https://github.com/citation-style-language/schema/raw/master/csl-citation.json"}</w:instrText>
      </w:r>
      <w:r w:rsidRPr="00DE2CCA">
        <w:rPr>
          <w:rFonts w:ascii="Book Antiqua" w:hAnsi="Book Antiqua" w:cs="Times New Roman"/>
          <w:bCs/>
          <w:sz w:val="24"/>
          <w:szCs w:val="24"/>
        </w:rPr>
        <w:fldChar w:fldCharType="separate"/>
      </w:r>
      <w:r w:rsidRPr="00DE2CCA">
        <w:rPr>
          <w:rFonts w:ascii="Book Antiqua" w:hAnsi="Book Antiqua" w:cs="Times New Roman"/>
          <w:bCs/>
          <w:noProof/>
          <w:sz w:val="24"/>
          <w:szCs w:val="24"/>
        </w:rPr>
        <w:t>(Dye, 2013)</w:t>
      </w:r>
      <w:r w:rsidRPr="00DE2CCA">
        <w:rPr>
          <w:rFonts w:ascii="Book Antiqua" w:hAnsi="Book Antiqua" w:cs="Times New Roman"/>
          <w:bCs/>
          <w:sz w:val="24"/>
          <w:szCs w:val="24"/>
        </w:rPr>
        <w:fldChar w:fldCharType="end"/>
      </w:r>
      <w:r w:rsidRPr="00DE2CCA">
        <w:rPr>
          <w:rFonts w:ascii="Book Antiqua" w:hAnsi="Book Antiqua" w:cs="Times New Roman"/>
          <w:bCs/>
          <w:sz w:val="24"/>
          <w:szCs w:val="24"/>
        </w:rPr>
        <w:t xml:space="preserve">. </w:t>
      </w:r>
      <w:r w:rsidRPr="00DE2CCA">
        <w:rPr>
          <w:rFonts w:ascii="Book Antiqua" w:hAnsi="Book Antiqua" w:cs="Times New Roman"/>
          <w:sz w:val="24"/>
          <w:szCs w:val="24"/>
        </w:rPr>
        <w:t>However, this definition is arguably too simplistic because it considers not only what policies the government adopts but also why the government adopts those policies and the consequences of those policies. This definition also applies to any government activity, from making purchases to delaying or canceling them.</w:t>
      </w:r>
    </w:p>
    <w:p w14:paraId="7BA979FD"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The dynamics of this policy are highly complex and characterized by different forces and different processes that can either strengthen or weaken policy stability in specific cases. The process of matching ends and means in policy-making has two dimensions: technical and political. The technical dimension seeks to identify the optimal relationship between goals and means, as some means are better suited than others to address the root causes of specific problems, which are often considered and treated as examples of policy design </w:t>
      </w:r>
      <w:r w:rsidRPr="00DE2CCA">
        <w:rPr>
          <w:rFonts w:ascii="Book Antiqua" w:hAnsi="Book Antiqua" w:cs="Times New Roman"/>
          <w:bCs/>
          <w:sz w:val="24"/>
          <w:szCs w:val="24"/>
        </w:rPr>
        <w:fldChar w:fldCharType="begin" w:fldLock="1"/>
      </w:r>
      <w:r w:rsidRPr="00DE2CCA">
        <w:rPr>
          <w:rFonts w:ascii="Book Antiqua" w:hAnsi="Book Antiqua" w:cs="Times New Roman"/>
          <w:bCs/>
          <w:sz w:val="24"/>
          <w:szCs w:val="24"/>
        </w:rPr>
        <w:instrText>ADDIN CSL_CITATION {"citationItems":[{"id":"ITEM-1","itemData":{"ISBN":"9780199026142","author":[{"dropping-particle":"","family":"Howlett, Michael, M. Ramesh","given":"Anthony Perl","non-dropping-particle":"","parse-names":false,"suffix":""}],"edition":"Fourth","id":"ITEM-1","issued":{"date-parts":[["2020"]]},"number-of-pages":"1-19","publisher":"Oxford University Pers","title":"Studying Public POlicy Principles and Processes","type":"book"},"uris":["http://www.mendeley.com/documents/?uuid=cea908ac-a6dd-43b1-88fc-2a83e018fd92"]}],"mendeley":{"formattedCitation":"(Howlett, Michael, M. Ramesh, 2020)","manualFormatting":"(Howlett, Michael et al., 2020)","plainTextFormattedCitation":"(Howlett, Michael, M. Ramesh, 2020)","previouslyFormattedCitation":"(Howlett, Michael, M. Ramesh, 2020)"},"properties":{"noteIndex":0},"schema":"https://github.com/citation-style-language/schema/raw/master/csl-citation.json"}</w:instrText>
      </w:r>
      <w:r w:rsidRPr="00DE2CCA">
        <w:rPr>
          <w:rFonts w:ascii="Book Antiqua" w:hAnsi="Book Antiqua" w:cs="Times New Roman"/>
          <w:bCs/>
          <w:sz w:val="24"/>
          <w:szCs w:val="24"/>
        </w:rPr>
        <w:fldChar w:fldCharType="separate"/>
      </w:r>
      <w:r w:rsidRPr="00DE2CCA">
        <w:rPr>
          <w:rFonts w:ascii="Book Antiqua" w:hAnsi="Book Antiqua" w:cs="Times New Roman"/>
          <w:bCs/>
          <w:noProof/>
          <w:sz w:val="24"/>
          <w:szCs w:val="24"/>
        </w:rPr>
        <w:t>(Howlett, Michael et al., 2020)</w:t>
      </w:r>
      <w:r w:rsidRPr="00DE2CCA">
        <w:rPr>
          <w:rFonts w:ascii="Book Antiqua" w:hAnsi="Book Antiqua" w:cs="Times New Roman"/>
          <w:bCs/>
          <w:sz w:val="24"/>
          <w:szCs w:val="24"/>
        </w:rPr>
        <w:fldChar w:fldCharType="end"/>
      </w:r>
      <w:r w:rsidRPr="00DE2CCA">
        <w:rPr>
          <w:rFonts w:ascii="Book Antiqua" w:hAnsi="Book Antiqua" w:cs="Times New Roman"/>
          <w:bCs/>
          <w:sz w:val="24"/>
          <w:szCs w:val="24"/>
        </w:rPr>
        <w:t xml:space="preserve">. </w:t>
      </w:r>
      <w:r w:rsidRPr="00DE2CCA">
        <w:rPr>
          <w:rFonts w:ascii="Book Antiqua" w:hAnsi="Book Antiqua" w:cs="Times New Roman"/>
          <w:sz w:val="24"/>
          <w:szCs w:val="24"/>
        </w:rPr>
        <w:t xml:space="preserve">The authors also use the theory of trade liberalism to address the research objectives. The basic concept of trade liberalism emerges as a policy strategy to reduce or even eliminate trade barriers, both tariff and non-tariff, to protect domestic industries from international competitive pressures </w:t>
      </w:r>
      <w:r w:rsidRPr="00DE2CCA">
        <w:rPr>
          <w:rFonts w:ascii="Book Antiqua" w:hAnsi="Book Antiqua" w:cs="Times New Roman"/>
          <w:bCs/>
          <w:sz w:val="24"/>
          <w:szCs w:val="24"/>
        </w:rPr>
        <w:fldChar w:fldCharType="begin" w:fldLock="1"/>
      </w:r>
      <w:r w:rsidRPr="00DE2CCA">
        <w:rPr>
          <w:rFonts w:ascii="Book Antiqua" w:hAnsi="Book Antiqua" w:cs="Times New Roman"/>
          <w:bCs/>
          <w:sz w:val="24"/>
          <w:szCs w:val="24"/>
        </w:rPr>
        <w:instrText>ADDIN CSL_CITATION {"citationItems":[{"id":"ITEM-1","itemData":{"ISBN":"9978-979-27-0484-6","author":[{"dropping-particle":"","family":"Ariifin, Samsul, Dian Ediana","given":"Charles P.R.Joseph","non-dropping-particle":"","parse-names":false,"suffix":""}],"id":"ITEM-1","issued":{"date-parts":[["2007"]]},"number-of-pages":"13","publisher":"PT ElexMedia Komputindo","publisher-place":"Jakarta","title":"Kerja Sama Perdagangan Internasional: Peluang dan Tantangan bagi Indonesia","type":"book"},"uris":["http://www.mendeley.com/documents/?uuid=e8e1fdeb-fe84-4cbd-9cd1-73c7b23673b9"]}],"mendeley":{"formattedCitation":"(Ariifin, Samsul, Dian Ediana, 2007)","manualFormatting":"(Ariifin, Samsul et al., 2007)","plainTextFormattedCitation":"(Ariifin, Samsul, Dian Ediana, 2007)","previouslyFormattedCitation":"(Ariifin, Samsul, Dian Ediana, 2007)"},"properties":{"noteIndex":0},"schema":"https://github.com/citation-style-language/schema/raw/master/csl-citation.json"}</w:instrText>
      </w:r>
      <w:r w:rsidRPr="00DE2CCA">
        <w:rPr>
          <w:rFonts w:ascii="Book Antiqua" w:hAnsi="Book Antiqua" w:cs="Times New Roman"/>
          <w:bCs/>
          <w:sz w:val="24"/>
          <w:szCs w:val="24"/>
        </w:rPr>
        <w:fldChar w:fldCharType="separate"/>
      </w:r>
      <w:r w:rsidRPr="00DE2CCA">
        <w:rPr>
          <w:rFonts w:ascii="Book Antiqua" w:hAnsi="Book Antiqua" w:cs="Times New Roman"/>
          <w:bCs/>
          <w:noProof/>
          <w:sz w:val="24"/>
          <w:szCs w:val="24"/>
        </w:rPr>
        <w:t>(Ariifin, Samsul et al., 2007)</w:t>
      </w:r>
      <w:r w:rsidRPr="00DE2CCA">
        <w:rPr>
          <w:rFonts w:ascii="Book Antiqua" w:hAnsi="Book Antiqua" w:cs="Times New Roman"/>
          <w:bCs/>
          <w:sz w:val="24"/>
          <w:szCs w:val="24"/>
        </w:rPr>
        <w:fldChar w:fldCharType="end"/>
      </w:r>
      <w:r w:rsidRPr="00DE2CCA">
        <w:rPr>
          <w:rFonts w:ascii="Book Antiqua" w:hAnsi="Book Antiqua" w:cs="Times New Roman"/>
          <w:bCs/>
          <w:sz w:val="24"/>
          <w:szCs w:val="24"/>
        </w:rPr>
        <w:t xml:space="preserve">. </w:t>
      </w:r>
      <w:r w:rsidRPr="00DE2CCA">
        <w:rPr>
          <w:rFonts w:ascii="Book Antiqua" w:hAnsi="Book Antiqua" w:cs="Times New Roman"/>
          <w:sz w:val="24"/>
          <w:szCs w:val="24"/>
        </w:rPr>
        <w:t xml:space="preserve">The goal of trade liberalism is to advance the economy by providing economic agents with greater opportunities to engage in transactions </w:t>
      </w:r>
      <w:r w:rsidRPr="00DE2CCA">
        <w:rPr>
          <w:rFonts w:ascii="Book Antiqua" w:hAnsi="Book Antiqua" w:cs="Times New Roman"/>
          <w:bCs/>
          <w:sz w:val="24"/>
          <w:szCs w:val="24"/>
        </w:rPr>
        <w:fldChar w:fldCharType="begin" w:fldLock="1"/>
      </w:r>
      <w:r w:rsidRPr="00DE2CCA">
        <w:rPr>
          <w:rFonts w:ascii="Book Antiqua" w:hAnsi="Book Antiqua" w:cs="Times New Roman"/>
          <w:bCs/>
          <w:sz w:val="24"/>
          <w:szCs w:val="24"/>
        </w:rPr>
        <w:instrText>ADDIN CSL_CITATION {"citationItems":[{"id":"ITEM-1","itemData":{"ISBN":"9781439038949","author":[{"dropping-particle":"","family":"Carbaugh","given":"Robert J","non-dropping-particle":"","parse-names":false,"suffix":""}],"edition":"13th editi","id":"ITEM-1","issued":{"date-parts":[["0"]]},"publisher":"South-Western Cengage Learning","title":"International Economics","type":"book"},"uris":["http://www.mendeley.com/documents/?uuid=819def23-f799-48a1-9b95-3a87e4cf3c3f"]}],"mendeley":{"formattedCitation":"(Carbaugh, n.d.)","manualFormatting":"(Carbaugh, 2010)","plainTextFormattedCitation":"(Carbaugh, n.d.)","previouslyFormattedCitation":"(Carbaugh, n.d.)"},"properties":{"noteIndex":0},"schema":"https://github.com/citation-style-language/schema/raw/master/csl-citation.json"}</w:instrText>
      </w:r>
      <w:r w:rsidRPr="00DE2CCA">
        <w:rPr>
          <w:rFonts w:ascii="Book Antiqua" w:hAnsi="Book Antiqua" w:cs="Times New Roman"/>
          <w:bCs/>
          <w:sz w:val="24"/>
          <w:szCs w:val="24"/>
        </w:rPr>
        <w:fldChar w:fldCharType="separate"/>
      </w:r>
      <w:r w:rsidRPr="00DE2CCA">
        <w:rPr>
          <w:rFonts w:ascii="Book Antiqua" w:hAnsi="Book Antiqua" w:cs="Times New Roman"/>
          <w:bCs/>
          <w:noProof/>
          <w:sz w:val="24"/>
          <w:szCs w:val="24"/>
        </w:rPr>
        <w:t>(Carbaugh, 2010)</w:t>
      </w:r>
      <w:r w:rsidRPr="00DE2CCA">
        <w:rPr>
          <w:rFonts w:ascii="Book Antiqua" w:hAnsi="Book Antiqua" w:cs="Times New Roman"/>
          <w:bCs/>
          <w:sz w:val="24"/>
          <w:szCs w:val="24"/>
        </w:rPr>
        <w:fldChar w:fldCharType="end"/>
      </w:r>
      <w:r w:rsidRPr="00DE2CCA">
        <w:rPr>
          <w:rFonts w:ascii="Book Antiqua" w:hAnsi="Book Antiqua" w:cs="Times New Roman"/>
          <w:bCs/>
          <w:sz w:val="24"/>
          <w:szCs w:val="24"/>
        </w:rPr>
        <w:t xml:space="preserve">. </w:t>
      </w:r>
      <w:r w:rsidRPr="00DE2CCA">
        <w:rPr>
          <w:rFonts w:ascii="Book Antiqua" w:hAnsi="Book Antiqua" w:cs="Times New Roman"/>
          <w:sz w:val="24"/>
          <w:szCs w:val="24"/>
        </w:rPr>
        <w:t xml:space="preserve">In addition, trade liberalism helps to create a favorable investment climate by attracting investors </w:t>
      </w:r>
      <w:r w:rsidRPr="00DE2CCA">
        <w:rPr>
          <w:rFonts w:ascii="Book Antiqua" w:hAnsi="Book Antiqua" w:cs="Times New Roman"/>
          <w:bCs/>
          <w:sz w:val="24"/>
          <w:szCs w:val="24"/>
        </w:rPr>
        <w:fldChar w:fldCharType="begin" w:fldLock="1"/>
      </w:r>
      <w:r w:rsidRPr="00DE2CCA">
        <w:rPr>
          <w:rFonts w:ascii="Book Antiqua" w:hAnsi="Book Antiqua" w:cs="Times New Roman"/>
          <w:bCs/>
          <w:sz w:val="24"/>
          <w:szCs w:val="24"/>
        </w:rPr>
        <w:instrText>ADDIN CSL_CITATION {"citationItems":[{"id":"ITEM-1","itemData":{"abstract":"This research analyzes the impact of the international trade and the foreign investment on the efficiency of the host country. We apply two consecutive steps on the 5 ASEAN member countries data during the period of 1995 √ 2005. The first step is the estimation of the frontier model, using the Stochastic Frontier Analysis (SFA). The second step is the estimation of inefficiency determinacy model, covering the impact of the Foreign Direct Investment (FDI), Foreign Portfolio Investment (FPI), Other Foreign Investment (OFI), Human Development Index (HDI) and the Financial Market Development (FMD). Our result shows the international trade, FMD and the 3 forms of the foreign investment are significantly affect the economic efficiency.","author":[{"dropping-particle":"","family":"Afin","given":"Rifai","non-dropping-particle":"","parse-names":false,"suffix":""},{"dropping-particle":"","family":"Yulistiono","given":"Herry","non-dropping-particle":"","parse-names":false,"suffix":""},{"dropping-particle":"","family":"Oktarani","given":"Nur Alfillail","non-dropping-particle":"","parse-names":false,"suffix":""}],"container-title":"Ekonomi Moneter dan Perbankan","id":"ITEM-1","issued":{"date-parts":[["2008"]]},"page":"261-296","title":"Perdagangan Internasional, Investasi Asing, dan Efisiensi Perekonomian Negara-Negara Asean","type":"article-journal"},"uris":["http://www.mendeley.com/documents/?uuid=713a648a-0a50-4424-8add-af27edadae05"]}],"mendeley":{"formattedCitation":"(Afin, Yulistiono, &amp; Oktarani, 2008)","manualFormatting":"(Afin, Yulistiono, 2008)","plainTextFormattedCitation":"(Afin, Yulistiono, &amp; Oktarani, 2008)","previouslyFormattedCitation":"(Afin, Yulistiono, &amp; Oktarani, 2008)"},"properties":{"noteIndex":0},"schema":"https://github.com/citation-style-language/schema/raw/master/csl-citation.json"}</w:instrText>
      </w:r>
      <w:r w:rsidRPr="00DE2CCA">
        <w:rPr>
          <w:rFonts w:ascii="Book Antiqua" w:hAnsi="Book Antiqua" w:cs="Times New Roman"/>
          <w:bCs/>
          <w:sz w:val="24"/>
          <w:szCs w:val="24"/>
        </w:rPr>
        <w:fldChar w:fldCharType="separate"/>
      </w:r>
      <w:r w:rsidRPr="00DE2CCA">
        <w:rPr>
          <w:rFonts w:ascii="Book Antiqua" w:hAnsi="Book Antiqua" w:cs="Times New Roman"/>
          <w:bCs/>
          <w:noProof/>
          <w:sz w:val="24"/>
          <w:szCs w:val="24"/>
        </w:rPr>
        <w:t>(Afin, Yulistiono, 2008)</w:t>
      </w:r>
      <w:r w:rsidRPr="00DE2CCA">
        <w:rPr>
          <w:rFonts w:ascii="Book Antiqua" w:hAnsi="Book Antiqua" w:cs="Times New Roman"/>
          <w:bCs/>
          <w:sz w:val="24"/>
          <w:szCs w:val="24"/>
        </w:rPr>
        <w:fldChar w:fldCharType="end"/>
      </w:r>
      <w:r w:rsidRPr="00DE2CCA">
        <w:rPr>
          <w:rFonts w:ascii="Book Antiqua" w:hAnsi="Book Antiqua" w:cs="Times New Roman"/>
          <w:bCs/>
          <w:sz w:val="24"/>
          <w:szCs w:val="24"/>
        </w:rPr>
        <w:t xml:space="preserve">. </w:t>
      </w:r>
      <w:r w:rsidRPr="00DE2CCA">
        <w:rPr>
          <w:rFonts w:ascii="Book Antiqua" w:hAnsi="Book Antiqua" w:cs="Times New Roman"/>
          <w:sz w:val="24"/>
          <w:szCs w:val="24"/>
        </w:rPr>
        <w:t xml:space="preserve">This investment can </w:t>
      </w:r>
      <w:r w:rsidRPr="00DE2CCA">
        <w:rPr>
          <w:rFonts w:ascii="Book Antiqua" w:hAnsi="Book Antiqua" w:cs="Times New Roman"/>
          <w:sz w:val="24"/>
          <w:szCs w:val="24"/>
        </w:rPr>
        <w:t>improve infrastructure and technology, increase production quality, and enhance Indonesian products' competitiveness in the international market, thus optimizing export potential.</w:t>
      </w:r>
    </w:p>
    <w:p w14:paraId="70C8350A" w14:textId="3750A2A3" w:rsidR="00DE2CCA" w:rsidRPr="00DE2CCA" w:rsidRDefault="00DE2CCA" w:rsidP="00DE2CCA">
      <w:pPr>
        <w:ind w:firstLine="426"/>
        <w:jc w:val="both"/>
        <w:rPr>
          <w:rFonts w:ascii="Book Antiqua" w:hAnsi="Book Antiqua" w:cs="Times New Roman"/>
          <w:sz w:val="24"/>
          <w:szCs w:val="24"/>
        </w:rPr>
      </w:pPr>
      <w:r w:rsidRPr="00DE2CCA">
        <w:rPr>
          <w:rFonts w:ascii="Book Antiqua" w:hAnsi="Book Antiqua" w:cs="Times New Roman"/>
          <w:sz w:val="24"/>
          <w:szCs w:val="24"/>
        </w:rPr>
        <w:t xml:space="preserve">At present, the issue of trade liberalism has colored the international commodity market, including the energy sector. As a country that has adopted an open economy and ratified various regional and global economic and trade cooperation agreements, the pressure of liberalism through these cooperation agreements is not unlikely to create conflicts of interest with domestic policies and threaten national interests. Research by Triswan Suseno and Harta Haryadi explains that the government has implemented control over national coal production policies to ensure national energy needs by limiting exports </w:t>
      </w:r>
      <w:r w:rsidRPr="00DE2CCA">
        <w:rPr>
          <w:rFonts w:ascii="Book Antiqua" w:hAnsi="Book Antiqua" w:cs="Times New Roman"/>
          <w:bCs/>
          <w:sz w:val="24"/>
          <w:szCs w:val="24"/>
        </w:rPr>
        <w:fldChar w:fldCharType="begin" w:fldLock="1"/>
      </w:r>
      <w:r w:rsidRPr="00DE2CCA">
        <w:rPr>
          <w:rFonts w:ascii="Book Antiqua" w:hAnsi="Book Antiqua" w:cs="Times New Roman"/>
          <w:bCs/>
          <w:sz w:val="24"/>
          <w:szCs w:val="24"/>
        </w:rPr>
        <w:instrText>ADDIN CSL_CITATION {"citationItems":[{"id":"ITEM-1","itemData":{"abstract":"SARI Sumber daya batubara Indonesia saat ini diperkirakan mencapai 161 miliar ton dengan cadangan diperkirakan sebesar 28,02 miliar ton yang terdiri atas cadangan terkira (probable) sebesar 17,76 miliar ton dan cadangan siap tambang (proven) 10,26 miliar ton. Produksi batubara pada tahun 2011 tercatat sebanyak 353,23 juta ton, penjualan dalam negeri tercatat sebesar 80,56 juta ton dan ekspor 272,67 juta ton. Berdasarkan model peramalan menggunakan model regresi, maka pada tahun 2025, proyeksi pemakaian batubara dalam negeri diperkirakan mencapai 135,73 juta ton dan jumlah ekspor diperkirakan mencapai 359,91 juta ton, sehingga jumlah kebutuhan batubara pada tahun tersebut diperkirakan mencapai 495,64 juta ton. Berpedoman pada model peramalan tersebut, maka cadangan batubara siap tambang hanya mampu bertahan selama kurang lebih 30 tahun saja. Apabila cadangan batubara Indonesia yang jumlahnya cukup banyak itu tidak dikelola dengan baik maka dikhawatirkan akan habis dalam kurun waktu yang lebih cepat. ABSTRACT Indonesia's coal resources are estimated 161 billion tonnes and coal reserves are estimated 28.02 billion tonnes, consisting of measure (probable) amounted of 17.76 billion tonnes and 10.26 billion tonnes of mineable reserves (proven). Coal production within the year of 2011 was recovered 353.23 million tonnes, domestic sales at 80.56 million tonnes and 272.67 million tonnes of exports. Based on a regression analysis, in 2025, the projected domestic coal consumption reach 135.73 million tonnes and the amount of exports are estimated to be 359.91 million tonnes, hence total requirement of coal for the year is expected to be 495.64 million tonnes. Based on the forecasting model, the mineable coal reserves can only hold out for about 30 years. If the Indonesia's coal reserves are not properly managed the life time of the coal mining will be less than expected.","author":[{"dropping-particle":"","family":"Suseno, Triswan","given":"Hayadi Harta","non-dropping-particle":"","parse-names":false,"suffix":""}],"container-title":"Jurnal Teknologi Mineral dan Batubara","id":"ITEM-1","issue":"1","issued":{"date-parts":[["2013"]]},"page":"23-34","title":"Analisis Kebijakan Pengendalian produksi Batubara Nasional dalam Rangka Menjamin kebutuhan Energi Nasional","type":"article-journal","volume":"9"},"uris":["http://www.mendeley.com/documents/?uuid=04d686e6-3293-40aa-8a58-35721a97a4dd"]}],"mendeley":{"formattedCitation":"(Suseno, Triswan, 2013)","plainTextFormattedCitation":"(Suseno, Triswan, 2013)","previouslyFormattedCitation":"(Suseno, Triswan, 2013)"},"properties":{"noteIndex":0},"schema":"https://github.com/citation-style-language/schema/raw/master/csl-citation.json"}</w:instrText>
      </w:r>
      <w:r w:rsidRPr="00DE2CCA">
        <w:rPr>
          <w:rFonts w:ascii="Book Antiqua" w:hAnsi="Book Antiqua" w:cs="Times New Roman"/>
          <w:bCs/>
          <w:sz w:val="24"/>
          <w:szCs w:val="24"/>
        </w:rPr>
        <w:fldChar w:fldCharType="separate"/>
      </w:r>
      <w:r w:rsidRPr="00DE2CCA">
        <w:rPr>
          <w:rFonts w:ascii="Book Antiqua" w:hAnsi="Book Antiqua" w:cs="Times New Roman"/>
          <w:bCs/>
          <w:noProof/>
          <w:sz w:val="24"/>
          <w:szCs w:val="24"/>
        </w:rPr>
        <w:t>(Suseno, Triswan, 2013)</w:t>
      </w:r>
      <w:r w:rsidRPr="00DE2CCA">
        <w:rPr>
          <w:rFonts w:ascii="Book Antiqua" w:hAnsi="Book Antiqua" w:cs="Times New Roman"/>
          <w:bCs/>
          <w:sz w:val="24"/>
          <w:szCs w:val="24"/>
        </w:rPr>
        <w:fldChar w:fldCharType="end"/>
      </w:r>
      <w:r w:rsidRPr="00DE2CCA">
        <w:rPr>
          <w:rFonts w:ascii="Book Antiqua" w:hAnsi="Book Antiqua" w:cs="Times New Roman"/>
          <w:bCs/>
          <w:sz w:val="24"/>
          <w:szCs w:val="24"/>
        </w:rPr>
        <w:t xml:space="preserve">. </w:t>
      </w:r>
      <w:r w:rsidRPr="00DE2CCA">
        <w:rPr>
          <w:rFonts w:ascii="Book Antiqua" w:hAnsi="Book Antiqua" w:cs="Times New Roman"/>
          <w:sz w:val="24"/>
          <w:szCs w:val="24"/>
        </w:rPr>
        <w:t>The findings of this research indicate that if coal exports are not controlled, there is a concern that domestic coal needs will be neglected. Trade liberalization opens up global market access for Indonesian coal exports. However, government policy control is also necessary to balance domestic supply and demand. This leads the authors to analyze the theoretical aspects of trade liberalism about the export of coal commodities in the energy sector while also explaining how trade motives and liberalization pressures can influence the direction of government policy.</w:t>
      </w:r>
    </w:p>
    <w:p w14:paraId="64520365" w14:textId="702EE525" w:rsidR="008B5BF3" w:rsidRDefault="00DE2CCA" w:rsidP="00DE2CCA">
      <w:pPr>
        <w:numPr>
          <w:ilvl w:val="0"/>
          <w:numId w:val="1"/>
        </w:numPr>
        <w:pBdr>
          <w:top w:val="nil"/>
          <w:left w:val="nil"/>
          <w:bottom w:val="nil"/>
          <w:right w:val="nil"/>
          <w:between w:val="nil"/>
        </w:pBdr>
        <w:spacing w:line="259" w:lineRule="auto"/>
        <w:ind w:left="426" w:hanging="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Research Methods</w:t>
      </w:r>
    </w:p>
    <w:p w14:paraId="3D5BDAA9" w14:textId="77777777" w:rsidR="00DE2CCA" w:rsidRPr="00DE2CCA" w:rsidRDefault="00DE2CCA" w:rsidP="00DE2CCA">
      <w:pPr>
        <w:spacing w:after="0"/>
        <w:ind w:firstLine="426"/>
        <w:jc w:val="both"/>
        <w:rPr>
          <w:rFonts w:ascii="Book Antiqua" w:hAnsi="Book Antiqua" w:cs="Times New Roman"/>
          <w:sz w:val="24"/>
          <w:szCs w:val="24"/>
        </w:rPr>
      </w:pPr>
      <w:r w:rsidRPr="00DE2CCA">
        <w:rPr>
          <w:rFonts w:ascii="Book Antiqua" w:hAnsi="Book Antiqua" w:cs="Times New Roman"/>
          <w:sz w:val="24"/>
          <w:szCs w:val="24"/>
        </w:rPr>
        <w:t xml:space="preserve">This research is based on a qualitative study with a descriptive analysis nature. </w:t>
      </w:r>
      <w:r w:rsidRPr="00DE2CCA">
        <w:rPr>
          <w:rFonts w:ascii="Book Antiqua" w:hAnsi="Book Antiqua" w:cs="Times New Roman"/>
          <w:sz w:val="24"/>
          <w:szCs w:val="24"/>
        </w:rPr>
        <w:lastRenderedPageBreak/>
        <w:t xml:space="preserve">Qualitative research is a method used to examine the natural conditions of an object, which emphasizes meaning rather than generalization </w:t>
      </w:r>
      <w:r w:rsidRPr="00DE2CCA">
        <w:rPr>
          <w:rFonts w:ascii="Book Antiqua" w:hAnsi="Book Antiqua" w:cs="Times New Roman"/>
          <w:bCs/>
          <w:sz w:val="24"/>
          <w:szCs w:val="24"/>
        </w:rPr>
        <w:fldChar w:fldCharType="begin" w:fldLock="1"/>
      </w:r>
      <w:r w:rsidRPr="00DE2CCA">
        <w:rPr>
          <w:rFonts w:ascii="Book Antiqua" w:hAnsi="Book Antiqua" w:cs="Times New Roman"/>
          <w:bCs/>
          <w:sz w:val="24"/>
          <w:szCs w:val="24"/>
        </w:rPr>
        <w:instrText>ADDIN CSL_CITATION {"citationItems":[{"id":"ITEM-1","itemData":{"ISBN":"9786239753436","author":[{"dropping-particle":"","family":"Abdussamad","given":"Zuchari","non-dropping-particle":"","parse-names":false,"suffix":""}],"edition":"1","editor":[{"dropping-particle":"","family":"Rapanna","given":"Patta","non-dropping-particle":"","parse-names":false,"suffix":""}],"id":"ITEM-1","issued":{"date-parts":[["2021"]]},"number-of-pages":"79-172","publisher":"Syakir Media Press","title":"Metode Penelitian Kualitatif","type":"book"},"uris":["http://www.mendeley.com/documents/?uuid=a3613ca7-1b7f-4725-b1ea-751e0a4ffcc0"]}],"mendeley":{"formattedCitation":"(Abdussamad, 2021)","plainTextFormattedCitation":"(Abdussamad, 2021)","previouslyFormattedCitation":"(Abdussamad, 2021)"},"properties":{"noteIndex":0},"schema":"https://github.com/citation-style-language/schema/raw/master/csl-citation.json"}</w:instrText>
      </w:r>
      <w:r w:rsidRPr="00DE2CCA">
        <w:rPr>
          <w:rFonts w:ascii="Book Antiqua" w:hAnsi="Book Antiqua" w:cs="Times New Roman"/>
          <w:bCs/>
          <w:sz w:val="24"/>
          <w:szCs w:val="24"/>
        </w:rPr>
        <w:fldChar w:fldCharType="separate"/>
      </w:r>
      <w:r w:rsidRPr="00DE2CCA">
        <w:rPr>
          <w:rFonts w:ascii="Book Antiqua" w:hAnsi="Book Antiqua" w:cs="Times New Roman"/>
          <w:bCs/>
          <w:noProof/>
          <w:sz w:val="24"/>
          <w:szCs w:val="24"/>
        </w:rPr>
        <w:t>(Abdussamad, 2021)</w:t>
      </w:r>
      <w:r w:rsidRPr="00DE2CCA">
        <w:rPr>
          <w:rFonts w:ascii="Book Antiqua" w:hAnsi="Book Antiqua" w:cs="Times New Roman"/>
          <w:bCs/>
          <w:sz w:val="24"/>
          <w:szCs w:val="24"/>
        </w:rPr>
        <w:fldChar w:fldCharType="end"/>
      </w:r>
      <w:r w:rsidRPr="00DE2CCA">
        <w:rPr>
          <w:rFonts w:ascii="Book Antiqua" w:hAnsi="Book Antiqua" w:cs="Times New Roman"/>
          <w:bCs/>
          <w:sz w:val="24"/>
          <w:szCs w:val="24"/>
        </w:rPr>
        <w:t xml:space="preserve">. </w:t>
      </w:r>
      <w:r w:rsidRPr="00DE2CCA">
        <w:rPr>
          <w:rFonts w:ascii="Book Antiqua" w:hAnsi="Book Antiqua" w:cs="Times New Roman"/>
          <w:sz w:val="24"/>
          <w:szCs w:val="24"/>
        </w:rPr>
        <w:t xml:space="preserve">This method involves the object of the social phenomenon in its natural conditions by systematically describing and explaining facts. The explanation provided by the author to the readers will result in a description based on the events under investigation. The subjects of this research are the entities involved in formulating and implementing coal export policies, such as the Ministry of Energy and Mineral Resources (ESDM) or coal mining companies, industry associations and other relevant stakeholders who play a role in coal export policies. The subject of this study is the policies related to coal export in Indonesia. This research uses the library research or literature review technique where information, facts and data are gathered from various sources such as books, e-books, journals, e-journals, </w:t>
      </w:r>
      <w:r w:rsidRPr="00DE2CCA">
        <w:rPr>
          <w:rFonts w:ascii="Book Antiqua" w:hAnsi="Book Antiqua" w:cs="Times New Roman"/>
          <w:sz w:val="24"/>
          <w:szCs w:val="24"/>
        </w:rPr>
        <w:t>working papers, official government reports, and relevant articles and news. After collecting data, this information is then processed and analyzed to assess its validity. The literature review technique allows researchers to synthesize existing knowledge and gain in-depth insights into understanding the research topic.</w:t>
      </w:r>
    </w:p>
    <w:p w14:paraId="2E7C3E76" w14:textId="77777777" w:rsidR="008B5BF3" w:rsidRDefault="008B5BF3">
      <w:pPr>
        <w:pBdr>
          <w:top w:val="nil"/>
          <w:left w:val="nil"/>
          <w:bottom w:val="nil"/>
          <w:right w:val="nil"/>
          <w:between w:val="nil"/>
        </w:pBdr>
        <w:spacing w:after="0" w:line="240" w:lineRule="auto"/>
        <w:ind w:left="720" w:hanging="720"/>
        <w:jc w:val="both"/>
        <w:rPr>
          <w:rFonts w:ascii="Book Antiqua" w:eastAsia="Book Antiqua" w:hAnsi="Book Antiqua" w:cs="Book Antiqua"/>
          <w:color w:val="000000"/>
          <w:sz w:val="24"/>
          <w:szCs w:val="24"/>
        </w:rPr>
      </w:pPr>
    </w:p>
    <w:p w14:paraId="6F74FA40" w14:textId="778F3C5C" w:rsidR="008B5BF3" w:rsidRDefault="00DE2CCA" w:rsidP="00DE2CCA">
      <w:pPr>
        <w:numPr>
          <w:ilvl w:val="0"/>
          <w:numId w:val="1"/>
        </w:numPr>
        <w:pBdr>
          <w:top w:val="nil"/>
          <w:left w:val="nil"/>
          <w:bottom w:val="nil"/>
          <w:right w:val="nil"/>
          <w:between w:val="nil"/>
        </w:pBdr>
        <w:spacing w:line="259" w:lineRule="auto"/>
        <w:ind w:left="426" w:hanging="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Result and Discussion</w:t>
      </w:r>
    </w:p>
    <w:p w14:paraId="519FFFA0" w14:textId="77777777" w:rsidR="00DE2CCA" w:rsidRDefault="00DE2CCA" w:rsidP="00DE2CCA">
      <w:pPr>
        <w:spacing w:after="0"/>
        <w:jc w:val="both"/>
        <w:rPr>
          <w:rFonts w:ascii="Book Antiqua" w:hAnsi="Book Antiqua" w:cs="Times New Roman"/>
          <w:b/>
          <w:bCs/>
          <w:sz w:val="24"/>
          <w:szCs w:val="24"/>
        </w:rPr>
      </w:pPr>
      <w:r w:rsidRPr="00DE2CCA">
        <w:rPr>
          <w:rFonts w:ascii="Book Antiqua" w:hAnsi="Book Antiqua" w:cs="Times New Roman"/>
          <w:b/>
          <w:bCs/>
          <w:sz w:val="24"/>
          <w:szCs w:val="24"/>
        </w:rPr>
        <w:t>Indonesia’s Coal Export Policy</w:t>
      </w:r>
    </w:p>
    <w:p w14:paraId="33F0A89F" w14:textId="29C9E66B" w:rsidR="00DE2CCA" w:rsidRDefault="00DE2CCA" w:rsidP="00DE2CCA">
      <w:pPr>
        <w:ind w:firstLine="426"/>
        <w:jc w:val="both"/>
        <w:rPr>
          <w:rFonts w:ascii="Book Antiqua" w:hAnsi="Book Antiqua" w:cs="Times New Roman"/>
          <w:sz w:val="24"/>
          <w:szCs w:val="24"/>
        </w:rPr>
      </w:pPr>
      <w:r w:rsidRPr="00CF1A17">
        <w:rPr>
          <w:rFonts w:ascii="Book Antiqua" w:hAnsi="Book Antiqua" w:cs="Times New Roman"/>
          <w:sz w:val="24"/>
          <w:szCs w:val="24"/>
        </w:rPr>
        <w:t>Indonesia's coal export policy plays a central role in the dynamics of the national mining industry. In addition to the crucial role of coal as a key economic resource, this study discusses the various policies implemented to regulate and manage Indonesia's coal export activities, including government regulations, linkages with international trade rules, and other policy strategies. A thorough understanding of this policy framework is essential to assess its impact on the export sector and its implications for domestic energy demand.</w:t>
      </w:r>
    </w:p>
    <w:p w14:paraId="3DE98BBE" w14:textId="77777777" w:rsidR="00DE2CCA" w:rsidRDefault="00DE2CCA" w:rsidP="00DE2CCA">
      <w:pPr>
        <w:spacing w:after="0"/>
        <w:ind w:left="360"/>
        <w:jc w:val="center"/>
        <w:rPr>
          <w:rFonts w:ascii="Book Antiqua" w:hAnsi="Book Antiqua" w:cs="Times New Roman"/>
          <w:sz w:val="24"/>
          <w:szCs w:val="24"/>
        </w:rPr>
        <w:sectPr w:rsidR="00DE2CCA" w:rsidSect="00B72164">
          <w:type w:val="continuous"/>
          <w:pgSz w:w="12240" w:h="15840"/>
          <w:pgMar w:top="993" w:right="1041" w:bottom="993" w:left="1418" w:header="1152" w:footer="426" w:gutter="0"/>
          <w:cols w:num="2" w:space="720" w:equalWidth="0">
            <w:col w:w="4678" w:space="425"/>
            <w:col w:w="4678" w:space="0"/>
          </w:cols>
        </w:sectPr>
      </w:pPr>
    </w:p>
    <w:p w14:paraId="2BAA4B99" w14:textId="6595D103" w:rsidR="00DE2CCA" w:rsidRDefault="00DE2CCA" w:rsidP="00DE2CCA">
      <w:pPr>
        <w:spacing w:after="0"/>
        <w:ind w:left="360"/>
        <w:jc w:val="center"/>
        <w:rPr>
          <w:rFonts w:ascii="Book Antiqua" w:hAnsi="Book Antiqua" w:cs="Times New Roman"/>
          <w:sz w:val="24"/>
          <w:szCs w:val="24"/>
        </w:rPr>
      </w:pPr>
      <w:r w:rsidRPr="005479DE">
        <w:rPr>
          <w:rFonts w:ascii="Times New Roman" w:hAnsi="Times New Roman" w:cs="Times New Roman"/>
          <w:noProof/>
          <w:sz w:val="24"/>
          <w:szCs w:val="24"/>
        </w:rPr>
        <w:drawing>
          <wp:anchor distT="0" distB="0" distL="114300" distR="114300" simplePos="0" relativeHeight="251660288" behindDoc="0" locked="0" layoutInCell="1" allowOverlap="1" wp14:anchorId="3D3314FC" wp14:editId="47660E4E">
            <wp:simplePos x="0" y="0"/>
            <wp:positionH relativeFrom="margin">
              <wp:posOffset>671195</wp:posOffset>
            </wp:positionH>
            <wp:positionV relativeFrom="margin">
              <wp:posOffset>6098540</wp:posOffset>
            </wp:positionV>
            <wp:extent cx="5166995" cy="2209800"/>
            <wp:effectExtent l="0" t="0" r="14605" b="0"/>
            <wp:wrapTopAndBottom/>
            <wp:docPr id="205119688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300256">
        <w:rPr>
          <w:rFonts w:ascii="Book Antiqua" w:hAnsi="Book Antiqua" w:cs="Times New Roman"/>
          <w:sz w:val="24"/>
          <w:szCs w:val="24"/>
        </w:rPr>
        <w:t>Chart 1. Realization of Coal Production</w:t>
      </w:r>
      <w:r>
        <w:rPr>
          <w:rFonts w:ascii="Book Antiqua" w:hAnsi="Book Antiqua" w:cs="Times New Roman"/>
          <w:sz w:val="24"/>
          <w:szCs w:val="24"/>
        </w:rPr>
        <w:t xml:space="preserve">, </w:t>
      </w:r>
      <w:r w:rsidRPr="00300256">
        <w:rPr>
          <w:rFonts w:ascii="Book Antiqua" w:hAnsi="Book Antiqua" w:cs="Times New Roman"/>
          <w:sz w:val="24"/>
          <w:szCs w:val="24"/>
        </w:rPr>
        <w:t>Export</w:t>
      </w:r>
      <w:r>
        <w:rPr>
          <w:rFonts w:ascii="Book Antiqua" w:hAnsi="Book Antiqua" w:cs="Times New Roman"/>
          <w:sz w:val="24"/>
          <w:szCs w:val="24"/>
        </w:rPr>
        <w:t xml:space="preserve">, and DMO </w:t>
      </w:r>
      <w:r w:rsidRPr="00300256">
        <w:rPr>
          <w:rFonts w:ascii="Book Antiqua" w:hAnsi="Book Antiqua" w:cs="Times New Roman"/>
          <w:sz w:val="24"/>
          <w:szCs w:val="24"/>
        </w:rPr>
        <w:t>in Indonesia for the years 2019-2023 (Million Tons)</w:t>
      </w:r>
    </w:p>
    <w:p w14:paraId="43A2BC22" w14:textId="7035D86C" w:rsidR="00DE2CCA" w:rsidRDefault="00DE2CCA" w:rsidP="00DE2CCA">
      <w:pPr>
        <w:ind w:left="360"/>
        <w:jc w:val="center"/>
        <w:rPr>
          <w:rFonts w:ascii="Book Antiqua" w:hAnsi="Book Antiqua" w:cs="Times New Roman"/>
          <w:sz w:val="24"/>
          <w:szCs w:val="24"/>
        </w:rPr>
        <w:sectPr w:rsidR="00DE2CCA" w:rsidSect="00B72164">
          <w:type w:val="continuous"/>
          <w:pgSz w:w="12240" w:h="15840"/>
          <w:pgMar w:top="993" w:right="1041" w:bottom="993" w:left="1418" w:header="1152" w:footer="426" w:gutter="0"/>
          <w:cols w:space="720"/>
        </w:sectPr>
      </w:pPr>
      <w:r w:rsidRPr="00172CF4">
        <w:rPr>
          <w:rFonts w:ascii="Book Antiqua" w:hAnsi="Book Antiqua" w:cs="Times New Roman"/>
          <w:sz w:val="24"/>
          <w:szCs w:val="24"/>
        </w:rPr>
        <w:t>Source: Minerba One Data Indonesia (MODI), 2024</w:t>
      </w:r>
      <w:r>
        <w:rPr>
          <w:rFonts w:ascii="Book Antiqua" w:hAnsi="Book Antiqua" w:cs="Times New Roman"/>
          <w:sz w:val="24"/>
          <w:szCs w:val="24"/>
        </w:rPr>
        <w:t>.</w:t>
      </w:r>
    </w:p>
    <w:p w14:paraId="7DCBA0F7" w14:textId="77777777" w:rsidR="00DE2CCA" w:rsidRPr="00172CF4" w:rsidRDefault="00DE2CCA" w:rsidP="00DE2CCA">
      <w:pPr>
        <w:spacing w:after="0"/>
        <w:ind w:firstLine="426"/>
        <w:jc w:val="both"/>
        <w:rPr>
          <w:rFonts w:ascii="Book Antiqua" w:hAnsi="Book Antiqua" w:cs="Times New Roman"/>
          <w:sz w:val="24"/>
          <w:szCs w:val="24"/>
        </w:rPr>
      </w:pPr>
      <w:r>
        <w:rPr>
          <w:rFonts w:ascii="Book Antiqua" w:hAnsi="Book Antiqua" w:cs="Times New Roman"/>
          <w:sz w:val="24"/>
          <w:szCs w:val="24"/>
        </w:rPr>
        <w:t>The above chart shows</w:t>
      </w:r>
      <w:r w:rsidRPr="00172CF4">
        <w:rPr>
          <w:rFonts w:ascii="Book Antiqua" w:hAnsi="Book Antiqua" w:cs="Times New Roman"/>
          <w:sz w:val="24"/>
          <w:szCs w:val="24"/>
        </w:rPr>
        <w:t xml:space="preserve"> that the realization of coal production, exports</w:t>
      </w:r>
      <w:r>
        <w:rPr>
          <w:rFonts w:ascii="Book Antiqua" w:hAnsi="Book Antiqua" w:cs="Times New Roman"/>
          <w:sz w:val="24"/>
          <w:szCs w:val="24"/>
        </w:rPr>
        <w:t>, and the fulfillment</w:t>
      </w:r>
      <w:r w:rsidRPr="00172CF4">
        <w:rPr>
          <w:rFonts w:ascii="Book Antiqua" w:hAnsi="Book Antiqua" w:cs="Times New Roman"/>
          <w:sz w:val="24"/>
          <w:szCs w:val="24"/>
        </w:rPr>
        <w:t xml:space="preserve"> of Indonesia's Domestic Market Obligation (DMO) have fluctuated </w:t>
      </w:r>
      <w:r w:rsidRPr="00172CF4">
        <w:rPr>
          <w:rFonts w:ascii="Book Antiqua" w:hAnsi="Book Antiqua" w:cs="Times New Roman"/>
          <w:sz w:val="24"/>
          <w:szCs w:val="24"/>
        </w:rPr>
        <w:lastRenderedPageBreak/>
        <w:t xml:space="preserve">over time. Despite the fluctuations in some previous periods, which resulted in a </w:t>
      </w:r>
      <w:r>
        <w:rPr>
          <w:rFonts w:ascii="Book Antiqua" w:hAnsi="Book Antiqua" w:cs="Times New Roman"/>
          <w:sz w:val="24"/>
          <w:szCs w:val="24"/>
        </w:rPr>
        <w:t>supply shortage</w:t>
      </w:r>
      <w:r w:rsidRPr="00172CF4">
        <w:rPr>
          <w:rFonts w:ascii="Book Antiqua" w:hAnsi="Book Antiqua" w:cs="Times New Roman"/>
          <w:sz w:val="24"/>
          <w:szCs w:val="24"/>
        </w:rPr>
        <w:t xml:space="preserve"> for domestic needs, </w:t>
      </w:r>
      <w:r>
        <w:rPr>
          <w:rFonts w:ascii="Book Antiqua" w:hAnsi="Book Antiqua" w:cs="Times New Roman"/>
          <w:sz w:val="24"/>
          <w:szCs w:val="24"/>
        </w:rPr>
        <w:t>implementing</w:t>
      </w:r>
      <w:r w:rsidRPr="00172CF4">
        <w:rPr>
          <w:rFonts w:ascii="Book Antiqua" w:hAnsi="Book Antiqua" w:cs="Times New Roman"/>
          <w:sz w:val="24"/>
          <w:szCs w:val="24"/>
        </w:rPr>
        <w:t xml:space="preserve"> policies has successfully brought Indonesian coal exports and production in line with established regulations. With appropriate policies and the government's ability to manage them effectively, realization is expected to </w:t>
      </w:r>
      <w:r>
        <w:rPr>
          <w:rFonts w:ascii="Book Antiqua" w:hAnsi="Book Antiqua" w:cs="Times New Roman"/>
          <w:sz w:val="24"/>
          <w:szCs w:val="24"/>
        </w:rPr>
        <w:t>align</w:t>
      </w:r>
      <w:r w:rsidRPr="00172CF4">
        <w:rPr>
          <w:rFonts w:ascii="Book Antiqua" w:hAnsi="Book Antiqua" w:cs="Times New Roman"/>
          <w:sz w:val="24"/>
          <w:szCs w:val="24"/>
        </w:rPr>
        <w:t xml:space="preserve"> with predetermined plans.</w:t>
      </w:r>
    </w:p>
    <w:p w14:paraId="07EB1361" w14:textId="77777777" w:rsidR="00DE2CCA" w:rsidRPr="00172CF4" w:rsidRDefault="00DE2CCA" w:rsidP="00DE2CCA">
      <w:pPr>
        <w:spacing w:after="0"/>
        <w:ind w:firstLine="426"/>
        <w:jc w:val="both"/>
        <w:rPr>
          <w:rFonts w:ascii="Book Antiqua" w:hAnsi="Book Antiqua" w:cs="Times New Roman"/>
          <w:sz w:val="24"/>
          <w:szCs w:val="24"/>
        </w:rPr>
      </w:pPr>
      <w:r>
        <w:rPr>
          <w:rFonts w:ascii="Book Antiqua" w:hAnsi="Book Antiqua" w:cs="Times New Roman"/>
          <w:sz w:val="24"/>
          <w:szCs w:val="24"/>
        </w:rPr>
        <w:t>To</w:t>
      </w:r>
      <w:r w:rsidRPr="00172CF4">
        <w:rPr>
          <w:rFonts w:ascii="Book Antiqua" w:hAnsi="Book Antiqua" w:cs="Times New Roman"/>
          <w:sz w:val="24"/>
          <w:szCs w:val="24"/>
        </w:rPr>
        <w:t xml:space="preserve"> increase the effectiveness of </w:t>
      </w:r>
      <w:r>
        <w:rPr>
          <w:rFonts w:ascii="Book Antiqua" w:hAnsi="Book Antiqua" w:cs="Times New Roman"/>
          <w:sz w:val="24"/>
          <w:szCs w:val="24"/>
        </w:rPr>
        <w:t>implementing</w:t>
      </w:r>
      <w:r w:rsidRPr="00172CF4">
        <w:rPr>
          <w:rFonts w:ascii="Book Antiqua" w:hAnsi="Book Antiqua" w:cs="Times New Roman"/>
          <w:sz w:val="24"/>
          <w:szCs w:val="24"/>
        </w:rPr>
        <w:t xml:space="preserve"> the coal export and coal product policy, the government has set the coal export quota at 75% of total coal production, with the remainder to be sold in the domestic market. It is allocated to holders of mining business </w:t>
      </w:r>
      <w:r>
        <w:rPr>
          <w:rFonts w:ascii="Book Antiqua" w:hAnsi="Book Antiqua" w:cs="Times New Roman"/>
          <w:sz w:val="24"/>
          <w:szCs w:val="24"/>
        </w:rPr>
        <w:t>licenses at the coal production stage, holders of special mining business licenses at the coal production stage, holders of coal mining operation production work contracts, and holders of special mining business licenses</w:t>
      </w:r>
      <w:r w:rsidRPr="00172CF4">
        <w:rPr>
          <w:rFonts w:ascii="Book Antiqua" w:hAnsi="Book Antiqua" w:cs="Times New Roman"/>
          <w:sz w:val="24"/>
          <w:szCs w:val="24"/>
        </w:rPr>
        <w:t xml:space="preserve"> as a continuation of contract operation or contract for coal products. The setting of this percentage is officially regulated by the Minister of Energy and Mineral Resources of the Republic of Indonesia's Decision No. 267 of 2022, which aims to establish guidelines and policies to meet domestic coal demand, including the provision of electricity for public and self-interest, and to meet the demand for raw materials or industrial fuel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{"citationItems":[{"id":"ITEM-1","itemData":{"author":[{"dropping-particle":"","family":"ESDM","given":"","non-dropping-particle":"","parse-names":false,"suffix":""}],"id":"ITEM-1","issued":{"date-parts":[["2022"]]},"title":"Kepmen ESDM No. 267.K/MB.01/MEM.B/2022 tentang Pemenuhan Kebutuhan Batubara Dalam Negeri","type":"report"},"uris":["http://www.mendeley.com/documents/?uuid=0b66368a-3105-4b94-bb9d-e43c55935257"]}],"mendeley":{"formattedCitation":"(ESDM, 2022b)","plainTextFormattedCitation":"(ESDM, 2022b)","previouslyFormattedCitation":"(ESDM, 2022b)"},"properties":{"noteIndex":0},"schema":"https://github.com/citation-style-language/schema/raw/master/csl-citation.json"}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(ESDM, 2022b)</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Setting the export limit through the Domestic Market Obligation (DMO) policy is in line with the principles stated in Article 33(3) of the 1945 Constitution, which emphasize that the use of Indonesia's natural resources must be optimal, efficient, transparent and equitable </w:t>
      </w:r>
      <w:r>
        <w:rPr>
          <w:rFonts w:ascii="Book Antiqua" w:hAnsi="Book Antiqua" w:cs="Times New Roman"/>
          <w:sz w:val="24"/>
          <w:szCs w:val="24"/>
        </w:rPr>
        <w:t>to</w:t>
      </w:r>
      <w:r w:rsidRPr="00172CF4">
        <w:rPr>
          <w:rFonts w:ascii="Book Antiqua" w:hAnsi="Book Antiqua" w:cs="Times New Roman"/>
          <w:sz w:val="24"/>
          <w:szCs w:val="24"/>
        </w:rPr>
        <w:t xml:space="preserve"> provide maximum benefit for the welfare of the people.</w:t>
      </w:r>
    </w:p>
    <w:p w14:paraId="6053163A" w14:textId="77777777" w:rsidR="00DE2CCA" w:rsidRPr="00172CF4" w:rsidRDefault="00DE2CCA" w:rsidP="00DE2CCA">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In essence, the Domestic Market Obligation (DMO) policy was first implemented in 2009 through Regulation of the Minister of Energy and Mineral Resources of the Republic of Indonesia No. 34 of 2009, </w:t>
      </w:r>
      <w:r>
        <w:rPr>
          <w:rFonts w:ascii="Book Antiqua" w:hAnsi="Book Antiqua" w:cs="Times New Roman"/>
          <w:sz w:val="24"/>
          <w:szCs w:val="24"/>
        </w:rPr>
        <w:t>prioritizing</w:t>
      </w:r>
      <w:r w:rsidRPr="00172CF4">
        <w:rPr>
          <w:rFonts w:ascii="Book Antiqua" w:hAnsi="Book Antiqua" w:cs="Times New Roman"/>
          <w:sz w:val="24"/>
          <w:szCs w:val="24"/>
        </w:rPr>
        <w:t xml:space="preserve"> </w:t>
      </w:r>
      <w:r>
        <w:rPr>
          <w:rFonts w:ascii="Book Antiqua" w:hAnsi="Book Antiqua" w:cs="Times New Roman"/>
          <w:sz w:val="24"/>
          <w:szCs w:val="24"/>
        </w:rPr>
        <w:t>coal supply</w:t>
      </w:r>
      <w:r w:rsidRPr="00172CF4">
        <w:rPr>
          <w:rFonts w:ascii="Book Antiqua" w:hAnsi="Book Antiqua" w:cs="Times New Roman"/>
          <w:sz w:val="24"/>
          <w:szCs w:val="24"/>
        </w:rPr>
        <w:t xml:space="preserve"> for domestic use. This regulation has been amended several times, most recently by Regulation of the Minister of Energy and Mineral Resources of the Republic of Indonesia No. 17 of 2020. However, PT. PLN, as the largest consumer of coal raw materials, still faces a supply shortage. This shortage of supply situation has been recorded in several years, namely 2008, 2018 and 2021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{"citationItems":[{"id":"ITEM-1","itemData":{"abstract":"Indonesia currently still relies on coal as the main fuel for power generation on a national scale. This happens because Indonesia still uses Steam Power Plants (PLTU) as the main power plant. Thus, the role of coal becomes very important to maintain the stability of electricity supply in Indonesia. Electricity is an important aspect considering that almost all human activities currently require electrical resources. Lack of electricity supply can have fatal consequences, such as blackouts in some areas, hampering trading activities and company productivity in those areas. The DMO policy aects the level of national energy security. The coal DMO policy also supports national defense and security through ensuring the supply of electricity through fullling coal supply needs in the domestic market. Therefore, the coal DMO policy is a strategic step to support national energy security and national defense and security.","author":[{"dropping-particle":"","family":"Fahmi","given":"Ice","non-dropping-particle":"","parse-names":false,"suffix":""},{"dropping-particle":"","family":"Soelistyo","given":"Tri","non-dropping-particle":"","parse-names":false,"suffix":""},{"dropping-particle":"","family":"Maulani","given":"Muhammad","non-dropping-particle":"","parse-names":false,"suffix":""},{"dropping-particle":"","family":"Afandi","given":"Gunawan","non-dropping-particle":"","parse-names":false,"suffix":""},{"dropping-particle":"","family":"Sasongko","given":"Nugroho Adi","non-dropping-particle":"","parse-names":false,"suffix":""},{"dropping-particle":"","family":"Yoesgiantoro","given":"Donny","non-dropping-particle":"","parse-names":false,"suffix":""}],"container-title":"Jurnal Patriot Biru","id":"ITEM-1","issue":"3","issued":{"date-parts":[["2022"]]},"page":"59-69","title":"Pengaruh Kebijakan DMO Batubara Terhadap Ketahanan Energi Nasional dalam Mendukung Pertahanan dan Keamanan Negara","type":"article-journal","volume":"1"},"uris":["http://www.mendeley.com/documents/?uuid=7cb3f8de-0a01-4153-80b4-6dee140fa28e"]}],"mendeley":{"formattedCitation":"(Fahmi et al., 2022)","manualFormatting":"(Fahmi et al., 2022)","plainTextFormattedCitation":"(Fahmi et al., 2022)","previouslyFormattedCitation":"(Fahmi et al.,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172CF4">
        <w:rPr>
          <w:rFonts w:ascii="Book Antiqua" w:hAnsi="Book Antiqua" w:cs="Times New Roman"/>
          <w:bCs/>
          <w:noProof/>
          <w:sz w:val="24"/>
          <w:szCs w:val="24"/>
        </w:rPr>
        <w:t>(Fahmi et al.,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Therefore, it can be concluded that many </w:t>
      </w:r>
      <w:r>
        <w:rPr>
          <w:rFonts w:ascii="Book Antiqua" w:hAnsi="Book Antiqua" w:cs="Times New Roman"/>
          <w:sz w:val="24"/>
          <w:szCs w:val="24"/>
        </w:rPr>
        <w:t>coal-producing</w:t>
      </w:r>
      <w:r w:rsidRPr="00172CF4">
        <w:rPr>
          <w:rFonts w:ascii="Book Antiqua" w:hAnsi="Book Antiqua" w:cs="Times New Roman"/>
          <w:sz w:val="24"/>
          <w:szCs w:val="24"/>
        </w:rPr>
        <w:t xml:space="preserve"> companies have not successfully met the set targets of the domestic market obligation.</w:t>
      </w:r>
    </w:p>
    <w:p w14:paraId="6E888C6E" w14:textId="77777777" w:rsidR="00DE2CCA" w:rsidRPr="00172CF4" w:rsidRDefault="00DE2CCA" w:rsidP="00DE2CCA">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The impact of insufficient domestic coal supply in 2021 prompted the Indonesian government to take decisive action. In early 2022, the Indonesian government officially implemented a one-month restriction on coal exports from 1 January to 31 January 2022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{"citationItems":[{"id":"ITEM-1","itemData":{"URL":"https://www.cnbcindonesia.com/news/20221226111915-4-400076/tanpa-aba-aba-ri-setop-ekspor-batu-bara-di-awal-tahun#:~:text=Pemerintah Indonesia resmi melarang seluruh,Persero)%2C dalam kondisi kritis.","author":[{"dropping-particle":"","family":"CNBC Indonesia","given":"","non-dropping-particle":"","parse-names":false,"suffix":""}],"container-title":"CNBC Indonesia","id":"ITEM-1","issued":{"date-parts":[["2022"]]},"title":"Tanpa Aba-Aba, RI Setop Ekspor Batu Bara di Awal Tahun","type":"webpage"},"uris":["http://www.mendeley.com/documents/?uuid=ac07b6c5-7e24-4130-8b6b-71b2f947411c"]}],"mendeley":{"formattedCitation":"(CNBC Indonesia, 2022)","plainTextFormattedCitation":"(CNBC Indonesia, 2022)","previouslyFormattedCitation":"(CNBC Indonesia,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(CNBC Indonesia,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This measure included an export ban for all coal mining companies</w:t>
      </w:r>
      <w:r>
        <w:rPr>
          <w:rFonts w:ascii="Book Antiqua" w:hAnsi="Book Antiqua" w:cs="Times New Roman"/>
          <w:sz w:val="24"/>
          <w:szCs w:val="24"/>
        </w:rPr>
        <w:t>. It was</w:t>
      </w:r>
      <w:r w:rsidRPr="00172CF4">
        <w:rPr>
          <w:rFonts w:ascii="Book Antiqua" w:hAnsi="Book Antiqua" w:cs="Times New Roman"/>
          <w:sz w:val="24"/>
          <w:szCs w:val="24"/>
        </w:rPr>
        <w:t xml:space="preserve"> announced through an official press release by the Directorate General of Minerals and Coal of the Ministry of Energy and Mineral Resources No. B-1605/MB.05/DJB.B/2021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{"citationItems":[{"id":"ITEM-1","itemData":{"author":[{"dropping-particle":"","family":"ESDM","given":"","non-dropping-particle":"","parse-names":false,"suffix":""}],"id":"ITEM-1","issued":{"date-parts":[["2022"]]},"title":"Pemenuhan Kebutuhan Batubara Dalam Negeri","type":"report"},"uris":["http://www.mendeley.com/documents/?uuid=da9fec59-4713-45e5-bd3d-0f32f6015ac0"]}],"mendeley":{"formattedCitation":"(ESDM, 2022c)","manualFormatting":"(ESDM, 2021b)","plainTextFormattedCitation":"(ESDM, 2022c)","previouslyFormattedCitation":"(ESDM, 2022c)"},"properties":{"noteIndex":0},"schema":"https://github.com/citation-style-language/schema/raw/master/csl-citation.json"}</w:instrText>
      </w:r>
      <w:r w:rsidRPr="00172CF4">
        <w:rPr>
          <w:rFonts w:ascii="Book Antiqua" w:hAnsi="Book Antiqua" w:cs="Times New Roman"/>
          <w:bCs/>
          <w:sz w:val="24"/>
          <w:szCs w:val="24"/>
        </w:rPr>
        <w:fldChar w:fldCharType="separate"/>
      </w:r>
      <w:r w:rsidRPr="00172CF4">
        <w:rPr>
          <w:rFonts w:ascii="Book Antiqua" w:hAnsi="Book Antiqua" w:cs="Times New Roman"/>
          <w:bCs/>
          <w:noProof/>
          <w:sz w:val="24"/>
          <w:szCs w:val="24"/>
        </w:rPr>
        <w:t>(ESDM, 2021b)</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The statement indicated that the </w:t>
      </w:r>
      <w:r>
        <w:rPr>
          <w:rFonts w:ascii="Book Antiqua" w:hAnsi="Book Antiqua" w:cs="Times New Roman"/>
          <w:sz w:val="24"/>
          <w:szCs w:val="24"/>
        </w:rPr>
        <w:t>coal supply</w:t>
      </w:r>
      <w:r w:rsidRPr="00172CF4">
        <w:rPr>
          <w:rFonts w:ascii="Book Antiqua" w:hAnsi="Book Antiqua" w:cs="Times New Roman"/>
          <w:sz w:val="24"/>
          <w:szCs w:val="24"/>
        </w:rPr>
        <w:t xml:space="preserve"> to PLN Group's Steam Power Plants (PLTU) and Independent Power Producers (IPP) was in a critical condition with a severely limited </w:t>
      </w:r>
      <w:r>
        <w:rPr>
          <w:rFonts w:ascii="Book Antiqua" w:hAnsi="Book Antiqua" w:cs="Times New Roman"/>
          <w:sz w:val="24"/>
          <w:szCs w:val="24"/>
        </w:rPr>
        <w:t>coal supply</w:t>
      </w:r>
      <w:r w:rsidRPr="00172CF4">
        <w:rPr>
          <w:rFonts w:ascii="Book Antiqua" w:hAnsi="Book Antiqua" w:cs="Times New Roman"/>
          <w:sz w:val="24"/>
          <w:szCs w:val="24"/>
        </w:rPr>
        <w:t xml:space="preserve">. This situation </w:t>
      </w:r>
      <w:r>
        <w:rPr>
          <w:rFonts w:ascii="Book Antiqua" w:hAnsi="Book Antiqua" w:cs="Times New Roman"/>
          <w:sz w:val="24"/>
          <w:szCs w:val="24"/>
        </w:rPr>
        <w:t xml:space="preserve">could </w:t>
      </w:r>
      <w:r>
        <w:rPr>
          <w:rFonts w:ascii="Book Antiqua" w:hAnsi="Book Antiqua" w:cs="Times New Roman"/>
          <w:sz w:val="24"/>
          <w:szCs w:val="24"/>
        </w:rPr>
        <w:lastRenderedPageBreak/>
        <w:t>potentially</w:t>
      </w:r>
      <w:r w:rsidRPr="00172CF4">
        <w:rPr>
          <w:rFonts w:ascii="Book Antiqua" w:hAnsi="Book Antiqua" w:cs="Times New Roman"/>
          <w:sz w:val="24"/>
          <w:szCs w:val="24"/>
        </w:rPr>
        <w:t xml:space="preserve"> disrupt the operation of PLTUs and </w:t>
      </w:r>
      <w:r>
        <w:rPr>
          <w:rFonts w:ascii="Book Antiqua" w:hAnsi="Book Antiqua" w:cs="Times New Roman"/>
          <w:sz w:val="24"/>
          <w:szCs w:val="24"/>
        </w:rPr>
        <w:t>harm</w:t>
      </w:r>
      <w:r w:rsidRPr="00172CF4">
        <w:rPr>
          <w:rFonts w:ascii="Book Antiqua" w:hAnsi="Book Antiqua" w:cs="Times New Roman"/>
          <w:sz w:val="24"/>
          <w:szCs w:val="24"/>
        </w:rPr>
        <w:t xml:space="preserve"> the national electricity supply.</w:t>
      </w:r>
    </w:p>
    <w:p w14:paraId="07803E3E" w14:textId="77777777" w:rsidR="00DE2CCA" w:rsidRPr="00172CF4" w:rsidRDefault="00DE2CCA" w:rsidP="00DE2CCA">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The impact of insufficient domestic coal supply in 2021 prompted the Indonesian government to take decisive action. In early 2022, the Indonesian government officially implemented a one-month restriction on coal exports from 1 January to 31 January 2022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{"citationItems":[{"id":"ITEM-1","itemData":{"URL":"https://www.cnbcindonesia.com/news/20221226111915-4-400076/tanpa-aba-aba-ri-setop-ekspor-batu-bara-di-awal-tahun#:~:text=Pemerintah Indonesia resmi melarang seluruh,Persero)%2C dalam kondisi kritis.","author":[{"dropping-particle":"","family":"CNBC Indonesia","given":"","non-dropping-particle":"","parse-names":false,"suffix":""}],"container-title":"CNBC Indonesia","id":"ITEM-1","issued":{"date-parts":[["2022"]]},"title":"Tanpa Aba-Aba, RI Setop Ekspor Batu Bara di Awal Tahun","type":"webpage"},"uris":["http://www.mendeley.com/documents/?uuid=ac07b6c5-7e24-4130-8b6b-71b2f947411c"]}],"mendeley":{"formattedCitation":"(CNBC Indonesia, 2022)","plainTextFormattedCitation":"(CNBC Indonesia, 2022)","previouslyFormattedCitation":"(CNBC Indonesia,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(CNBC Indonesia,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This measure included an export ban for all coal mining companies</w:t>
      </w:r>
      <w:r>
        <w:rPr>
          <w:rFonts w:ascii="Book Antiqua" w:hAnsi="Book Antiqua" w:cs="Times New Roman"/>
          <w:sz w:val="24"/>
          <w:szCs w:val="24"/>
        </w:rPr>
        <w:t>. It was</w:t>
      </w:r>
      <w:r w:rsidRPr="00172CF4">
        <w:rPr>
          <w:rFonts w:ascii="Book Antiqua" w:hAnsi="Book Antiqua" w:cs="Times New Roman"/>
          <w:sz w:val="24"/>
          <w:szCs w:val="24"/>
        </w:rPr>
        <w:t xml:space="preserve"> announced through an official press release by the Directorate General of Minerals and Coal of the Ministry of Energy and Mineral Resources No. B-1605/MB.05/DJB.B/2021 (ESDM, 2021b). The statement indicated that the </w:t>
      </w:r>
      <w:r>
        <w:rPr>
          <w:rFonts w:ascii="Book Antiqua" w:hAnsi="Book Antiqua" w:cs="Times New Roman"/>
          <w:sz w:val="24"/>
          <w:szCs w:val="24"/>
        </w:rPr>
        <w:t>coal supply</w:t>
      </w:r>
      <w:r w:rsidRPr="00172CF4">
        <w:rPr>
          <w:rFonts w:ascii="Book Antiqua" w:hAnsi="Book Antiqua" w:cs="Times New Roman"/>
          <w:sz w:val="24"/>
          <w:szCs w:val="24"/>
        </w:rPr>
        <w:t xml:space="preserve"> to PLN Group's Steam Power Plants (PLTU) and Independent Power Producers (IPP) was in a critical condition with a severely limited </w:t>
      </w:r>
      <w:r>
        <w:rPr>
          <w:rFonts w:ascii="Book Antiqua" w:hAnsi="Book Antiqua" w:cs="Times New Roman"/>
          <w:sz w:val="24"/>
          <w:szCs w:val="24"/>
        </w:rPr>
        <w:t>coal supply</w:t>
      </w:r>
      <w:r w:rsidRPr="00172CF4">
        <w:rPr>
          <w:rFonts w:ascii="Book Antiqua" w:hAnsi="Book Antiqua" w:cs="Times New Roman"/>
          <w:sz w:val="24"/>
          <w:szCs w:val="24"/>
        </w:rPr>
        <w:t xml:space="preserve">. This situation </w:t>
      </w:r>
      <w:r>
        <w:rPr>
          <w:rFonts w:ascii="Book Antiqua" w:hAnsi="Book Antiqua" w:cs="Times New Roman"/>
          <w:sz w:val="24"/>
          <w:szCs w:val="24"/>
        </w:rPr>
        <w:t>could potentially</w:t>
      </w:r>
      <w:r w:rsidRPr="00172CF4">
        <w:rPr>
          <w:rFonts w:ascii="Book Antiqua" w:hAnsi="Book Antiqua" w:cs="Times New Roman"/>
          <w:sz w:val="24"/>
          <w:szCs w:val="24"/>
        </w:rPr>
        <w:t xml:space="preserve"> disrupt the operation of PLTUs and </w:t>
      </w:r>
      <w:r>
        <w:rPr>
          <w:rFonts w:ascii="Book Antiqua" w:hAnsi="Book Antiqua" w:cs="Times New Roman"/>
          <w:sz w:val="24"/>
          <w:szCs w:val="24"/>
        </w:rPr>
        <w:t>harm</w:t>
      </w:r>
      <w:r w:rsidRPr="00172CF4">
        <w:rPr>
          <w:rFonts w:ascii="Book Antiqua" w:hAnsi="Book Antiqua" w:cs="Times New Roman"/>
          <w:sz w:val="24"/>
          <w:szCs w:val="24"/>
        </w:rPr>
        <w:t xml:space="preserve"> the national electricity supply.</w:t>
      </w:r>
    </w:p>
    <w:p w14:paraId="5DE081C0" w14:textId="77777777" w:rsidR="00DE2CCA" w:rsidRPr="00172CF4" w:rsidRDefault="00DE2CCA" w:rsidP="00DE2CCA">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The coal export ban has provoked serious reactions from companies and countries dependent on coal supplies from Indonesia, such as Japan, South Korea and the Philippines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s://www.cnbcindonesia.com/news/20220108153237-4-305709/ini-sederet-negara-desak-ri-cabut-larangan-ekspor-batu-bara","author":[{"dropping-particle":"","family":"Asmsariani","given":"Wilda","non-dropping-particle":"","parse-names":false,"suffix":""}],"container-title":"CNN Indonesia","id":"ITEM-1","issued":{"date-parts":[["2022"]]},"title":"Ini Sederet Negara Desak RI Cabut Larangan Ekspor Batu Bara","type":"webpage"},"uris":["http://www.mendeley.com/documents/?uuid=8e2fb2ff-b0d8-47ae-a8eb-d35718a3bbe2"]}],"mendeley":{"formattedCitation":"(Asmsariani, 2022)","plainTextFormattedCitation":"(Asmsariani, 2022)","previouslyFormattedCitation":"(Asmsariani,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(Asmsariani,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In a letter sent by the Japanese ambassador to Indonesia, Kanasugi Kenji, he urged the Ministry of Energy and Mineral Resources (ESDM) to lift the coal export ban. He expressed concern that the ban could </w:t>
      </w:r>
      <w:r>
        <w:rPr>
          <w:rFonts w:ascii="Book Antiqua" w:hAnsi="Book Antiqua" w:cs="Times New Roman"/>
          <w:sz w:val="24"/>
          <w:szCs w:val="24"/>
        </w:rPr>
        <w:t>seriously impact</w:t>
      </w:r>
      <w:r w:rsidRPr="00172CF4">
        <w:rPr>
          <w:rFonts w:ascii="Book Antiqua" w:hAnsi="Book Antiqua" w:cs="Times New Roman"/>
          <w:sz w:val="24"/>
          <w:szCs w:val="24"/>
        </w:rPr>
        <w:t xml:space="preserve"> </w:t>
      </w:r>
      <w:r>
        <w:rPr>
          <w:rFonts w:ascii="Book Antiqua" w:hAnsi="Book Antiqua" w:cs="Times New Roman"/>
          <w:sz w:val="24"/>
          <w:szCs w:val="24"/>
        </w:rPr>
        <w:t xml:space="preserve">Japan's economic activities and daily life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{"citationItems":[{"id":"ITEM-1","itemData":{"URL":"https://www.cnnindonesia.com/ekonomi/20220106072145-85-743160/alasan-jepang-protes-larangan-ekspor-batu-bara-ri","author":[{"dropping-particle":"","family":"CNN Indonesia","given":"","non-dropping-particle":"","parse-names":false,"suffix":""}],"container-title":"CNN Indonesia","id":"ITEM-1","issued":{"date-parts":[["2022"]]},"title":"Alasan Jepang Protes Larangan Ekspor Batu Bara RI","type":"webpage"},"uris":["http://www.mendeley.com/documents/?uuid=93c4b98e-ca8b-4457-b9e7-d5600ebfcfc2"]}],"mendeley":{"formattedCitation":"(CNN Indonesia, 2022)","manualFormatting":"(CNN Indonesia, 2022)","plainTextFormattedCitation":"(CNN Indonesia, 2022)","previouslyFormattedCitation":"(CNN Indonesia,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172CF4">
        <w:rPr>
          <w:rFonts w:ascii="Book Antiqua" w:hAnsi="Book Antiqua" w:cs="Times New Roman"/>
          <w:bCs/>
          <w:noProof/>
          <w:sz w:val="24"/>
          <w:szCs w:val="24"/>
        </w:rPr>
        <w:t>(CNN Indonesia,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Similarly, Philippine Energy Secretary Alfonso Cusi stressed the need for the Indonesian government to lift the coal export ban. Cusi argued that such a policy could potentially harm the Philippine economy, which relies heavily on coal as an </w:t>
      </w:r>
      <w:r w:rsidRPr="00172CF4">
        <w:rPr>
          <w:rFonts w:ascii="Book Antiqua" w:hAnsi="Book Antiqua" w:cs="Times New Roman"/>
          <w:sz w:val="24"/>
          <w:szCs w:val="24"/>
        </w:rPr>
        <w:t xml:space="preserve">energy source for power generation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s://www.cnbcindonesia.com/news/20220110182406-4-306144/jreng-filipina-ikut-desak-ri-cabut-larangan-ekspor-batu-bara","author":[{"dropping-particle":"","family":"Asmarni","given":"Wilda","non-dropping-particle":"","parse-names":false,"suffix":""}],"container-title":"CNBC Indonesia","id":"ITEM-1","issued":{"date-parts":[["2022"]]},"title":"Jreng! Filipina Ikut Desak RI Cabut Larangan Ekspor Batu Bara","type":"webpage"},"uris":["http://www.mendeley.com/documents/?uuid=4bd04ab6-fc44-4004-a9ea-fe2846a45963"]}],"mendeley":{"formattedCitation":"(Asmarni, 2022)","plainTextFormattedCitation":"(Asmarni, 2022)","previouslyFormattedCitation":"(Asmarni,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(Asmarni,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Based on data from the Handbook of Energy and Economic Statistics of Indonesia 2021, Indonesia's coal exports to the Philippines reached 30.16 million tons in 2021, making it the third largest after exports to China and India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{"citationItems":[{"id":"ITEM-1","itemData":{"author":[{"dropping-particle":"","family":"ESDM","given":"","non-dropping-particle":"","parse-names":false,"suffix":""}],"container-title":"Ministry of Energy and Mineral Resources Republic of Indonesia","id":"ITEM-1","issued":{"date-parts":[["2021"]]},"number-of-pages":"23-26","title":"Handbook Energy &amp; Economic Statistics Indonesia","type":"book"},"uris":["http://www.mendeley.com/documents/?uuid=f3b627e8-746d-4d2e-b7b8-38b7ada20b57"]}],"mendeley":{"formattedCitation":"(ESDM, 2021)","plainTextFormattedCitation":"(ESDM, 2021)","previouslyFormattedCitation":"(ESDM, 2021)"},"properties":{"noteIndex":0},"schema":"https://github.com/citation-style-language/schema/raw/master/csl-citation.json"}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(ESDM, 2021)</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The protests from these countries reflect the urgency of coal supplies to maintain economic and national security stability. It highlights the crucial role of coal in keeping a country in balance, both economically and in terms of security.</w:t>
      </w:r>
    </w:p>
    <w:p w14:paraId="08DE898E" w14:textId="77777777" w:rsidR="00DE2CCA" w:rsidRPr="00172CF4" w:rsidRDefault="00DE2CCA" w:rsidP="00DE2CCA">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The pros and cons of the coal export ban have sparked debate among various coal industry stakeholders, as they are complexly linked to Indonesia's coal export policy. The Indonesian Coal Mining Association (APBI) voiced its objections and urged the Minister of Energy and Mineral Resources (ESDM) </w:t>
      </w:r>
      <w:r>
        <w:rPr>
          <w:rFonts w:ascii="Book Antiqua" w:hAnsi="Book Antiqua" w:cs="Times New Roman"/>
          <w:sz w:val="24"/>
          <w:szCs w:val="24"/>
        </w:rPr>
        <w:t>to lift the coal export ban immediately</w:t>
      </w:r>
      <w:r w:rsidRPr="00172CF4">
        <w:rPr>
          <w:rFonts w:ascii="Book Antiqua" w:hAnsi="Book Antiqua" w:cs="Times New Roman"/>
          <w:sz w:val="24"/>
          <w:szCs w:val="24"/>
        </w:rPr>
        <w:t xml:space="preserve">. APBI stated that the policy was considered inappropriate because coal supply to steam power plants (PLTU), which are managed by both PLN and independent power producers (IPP), depends heavily on coal sales contracts or supplies between PLN and IPP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s://www.cnbcindonesia.com/news/20220101193507-4-303799/giliran-pengusaha-batubara-protes-larangan-ekspor-batu-bara","author":[{"dropping-particle":"","family":"Syahputra","given":"Eqqi","non-dropping-particle":"","parse-names":false,"suffix":""}],"container-title":"CNBC Indonesia","id":"ITEM-1","issued":{"date-parts":[["2022"]]},"title":"Giliran Pengusaha Batubara Protes Larangan Ekspor Batu Bara","type":"webpage"},"uris":["http://www.mendeley.com/documents/?uuid=75ed902c-1076-4a07-a717-55460e771a6d"]}],"mendeley":{"formattedCitation":"(Syahputra, 2022)","manualFormatting":"(Syahputra, Eqqi, 2022)","plainTextFormattedCitation":"(Syahputra, 2022)","previouslyFormattedCitation":"(Syahputra,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172CF4">
        <w:rPr>
          <w:rFonts w:ascii="Book Antiqua" w:hAnsi="Book Antiqua" w:cs="Times New Roman"/>
          <w:bCs/>
          <w:noProof/>
          <w:sz w:val="24"/>
          <w:szCs w:val="24"/>
        </w:rPr>
        <w:t>(Syahputra, Eqqi,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Pr>
          <w:rFonts w:ascii="Book Antiqua" w:hAnsi="Book Antiqua" w:cs="Times New Roman"/>
          <w:sz w:val="24"/>
          <w:szCs w:val="24"/>
        </w:rPr>
        <w:t>An official statement issued by APBI</w:t>
      </w:r>
      <w:r w:rsidRPr="00172CF4">
        <w:rPr>
          <w:rFonts w:ascii="Book Antiqua" w:hAnsi="Book Antiqua" w:cs="Times New Roman"/>
          <w:sz w:val="24"/>
          <w:szCs w:val="24"/>
        </w:rPr>
        <w:t xml:space="preserve"> emphasized that the solution to the critical condition of coal supply in PLTU, including IPP, should first be discussed with industry players. The aim is to find a solution that meets the needs of all parties.</w:t>
      </w:r>
    </w:p>
    <w:p w14:paraId="5C4FC827" w14:textId="77777777" w:rsidR="00DE2CCA" w:rsidRPr="00172CF4" w:rsidRDefault="00DE2CCA" w:rsidP="00DE2CCA">
      <w:pPr>
        <w:spacing w:after="0"/>
        <w:ind w:firstLine="426"/>
        <w:jc w:val="both"/>
        <w:rPr>
          <w:rFonts w:ascii="Book Antiqua" w:hAnsi="Book Antiqua" w:cs="Times New Roman"/>
          <w:sz w:val="24"/>
          <w:szCs w:val="24"/>
        </w:rPr>
      </w:pPr>
      <w:r>
        <w:rPr>
          <w:rFonts w:ascii="Book Antiqua" w:hAnsi="Book Antiqua" w:cs="Times New Roman"/>
          <w:sz w:val="24"/>
          <w:szCs w:val="24"/>
        </w:rPr>
        <w:t>Given</w:t>
      </w:r>
      <w:r w:rsidRPr="00172CF4">
        <w:rPr>
          <w:rFonts w:ascii="Book Antiqua" w:hAnsi="Book Antiqua" w:cs="Times New Roman"/>
          <w:sz w:val="24"/>
          <w:szCs w:val="24"/>
        </w:rPr>
        <w:t xml:space="preserve"> the improving coal supply and stock conditions in PLN and IPP power plants, the government has taken a policy step to reopen coal export opportunities for companies that have fulfilled their Domestic Market Obligation (DMO) obligations and </w:t>
      </w:r>
      <w:r w:rsidRPr="00172CF4">
        <w:rPr>
          <w:rFonts w:ascii="Book Antiqua" w:hAnsi="Book Antiqua" w:cs="Times New Roman"/>
          <w:sz w:val="24"/>
          <w:szCs w:val="24"/>
        </w:rPr>
        <w:lastRenderedPageBreak/>
        <w:t xml:space="preserve">have submitted a declaration agreeing to pay fines and compensation for DMO shortcomings, effective from 1 February 2022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{"citationItems":[{"id":"ITEM-1","itemData":{"author":[{"dropping-particle":"","family":"ESDM","given":"","non-dropping-particle":"","parse-names":false,"suffix":""}],"id":"ITEM-1","issued":{"date-parts":[["2022"]]},"title":"Ekspor Batubara Kembali Dibuka","type":"report"},"uris":["http://www.mendeley.com/documents/?uuid=73d304d5-e3e4-4807-b4b6-174586e6f34c"]}],"mendeley":{"formattedCitation":"(ESDM, 2022a)","plainTextFormattedCitation":"(ESDM, 2022a)","previouslyFormattedCitation":"(ESDM, 2022a)"},"properties":{"noteIndex":0},"schema":"https://github.com/citation-style-language/schema/raw/master/csl-citation.json"}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(ESDM, 2022a)</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Conversely, companies that have not met their DMO obligations and have not submitted a statement agreeing to pay fines or compensation for DMO shortcomings will not be allowed to export coal. This means that while mercantilism may prevail for </w:t>
      </w:r>
      <w:r>
        <w:rPr>
          <w:rFonts w:ascii="Book Antiqua" w:hAnsi="Book Antiqua" w:cs="Times New Roman"/>
          <w:sz w:val="24"/>
          <w:szCs w:val="24"/>
        </w:rPr>
        <w:t>a while</w:t>
      </w:r>
      <w:r w:rsidRPr="00172CF4">
        <w:rPr>
          <w:rFonts w:ascii="Book Antiqua" w:hAnsi="Book Antiqua" w:cs="Times New Roman"/>
          <w:sz w:val="24"/>
          <w:szCs w:val="24"/>
        </w:rPr>
        <w:t>, the dominance of liberalism, which adheres to the principles of the market mechanism, has successfully outweighed the influence of mercantilism.</w:t>
      </w:r>
    </w:p>
    <w:p w14:paraId="7BBE6984" w14:textId="77777777" w:rsidR="00DE2CCA" w:rsidRPr="00172CF4" w:rsidRDefault="00DE2CCA" w:rsidP="00DE2CCA">
      <w:pPr>
        <w:spacing w:after="0"/>
        <w:ind w:firstLine="426"/>
        <w:jc w:val="both"/>
        <w:rPr>
          <w:rFonts w:ascii="Book Antiqua" w:hAnsi="Book Antiqua" w:cs="Times New Roman"/>
          <w:color w:val="000000"/>
          <w:sz w:val="24"/>
          <w:szCs w:val="24"/>
          <w:shd w:val="clear" w:color="auto" w:fill="FFFFFF"/>
        </w:rPr>
      </w:pPr>
      <w:r w:rsidRPr="00172CF4">
        <w:rPr>
          <w:rFonts w:ascii="Book Antiqua" w:hAnsi="Book Antiqua" w:cs="Times New Roman"/>
          <w:sz w:val="24"/>
          <w:szCs w:val="24"/>
        </w:rPr>
        <w:t>The export requirements policy for coal industry players refers to the Regulation of the Minister of Trade of the Republic of Indonesia No. 52 of 2018</w:t>
      </w:r>
      <w:r>
        <w:rPr>
          <w:rFonts w:ascii="Book Antiqua" w:hAnsi="Book Antiqua" w:cs="Times New Roman"/>
          <w:sz w:val="24"/>
          <w:szCs w:val="24"/>
        </w:rPr>
        <w:t>,</w:t>
      </w:r>
      <w:r w:rsidRPr="00172CF4">
        <w:rPr>
          <w:rFonts w:ascii="Book Antiqua" w:hAnsi="Book Antiqua" w:cs="Times New Roman"/>
          <w:sz w:val="24"/>
          <w:szCs w:val="24"/>
        </w:rPr>
        <w:t xml:space="preserve"> amending the Regulation of the Minister of Trade No. 39/M-DAG/PER/7/2014 on provisions for the export of coal and coal products </w:t>
      </w:r>
      <w:r w:rsidRPr="00172CF4">
        <w:rPr>
          <w:rFonts w:ascii="Book Antiqua" w:hAnsi="Book Antiqua" w:cs="Times New Roman"/>
          <w:color w:val="000000"/>
          <w:sz w:val="24"/>
          <w:szCs w:val="24"/>
          <w:shd w:val="clear" w:color="auto" w:fill="FFFFFF"/>
        </w:rPr>
        <w:fldChar w:fldCharType="begin" w:fldLock="1"/>
      </w:r>
      <w:r>
        <w:rPr>
          <w:rFonts w:ascii="Book Antiqua" w:hAnsi="Book Antiqua" w:cs="Times New Roman"/>
          <w:color w:val="000000"/>
          <w:sz w:val="24"/>
          <w:szCs w:val="24"/>
          <w:shd w:val="clear" w:color="auto" w:fill="FFFFFF"/>
        </w:rPr>
        <w:instrText>ADDIN CSL_CITATION {"citationItems":[{"id":"ITEM-1","itemData":{"author":[{"dropping-particle":"","family":"Kementerian Perdagangan","given":"","non-dropping-particle":"","parse-names":false,"suffix":""}],"id":"ITEM-1","issued":{"date-parts":[["2018"]]},"title":"Peraturan Menteri Perdagangan Republik Indonesia No. 52 Tahun 2018","type":"report"},"uris":["http://www.mendeley.com/documents/?uuid=13670f83-bc02-4f25-9c34-4c54085dff5c"]}],"mendeley":{"formattedCitation":"(Kementerian Perdagangan, 2018)","manualFormatting":"(Kementerian Perdagangan, 2018)","plainTextFormattedCitation":"(Kementerian Perdagangan, 2018)","previouslyFormattedCitation":"(Kementerian Perdagangan, 2018)"},"properties":{"noteIndex":0},"schema":"https://github.com/citation-style-language/schema/raw/master/csl-citation.json"}</w:instrText>
      </w:r>
      <w:r w:rsidRPr="00172CF4">
        <w:rPr>
          <w:rFonts w:ascii="Book Antiqua" w:hAnsi="Book Antiqua" w:cs="Times New Roman"/>
          <w:color w:val="000000"/>
          <w:sz w:val="24"/>
          <w:szCs w:val="24"/>
          <w:shd w:val="clear" w:color="auto" w:fill="FFFFFF"/>
        </w:rPr>
        <w:fldChar w:fldCharType="separate"/>
      </w:r>
      <w:r w:rsidRPr="00172CF4">
        <w:rPr>
          <w:rFonts w:ascii="Book Antiqua" w:hAnsi="Book Antiqua" w:cs="Times New Roman"/>
          <w:noProof/>
          <w:color w:val="000000"/>
          <w:sz w:val="24"/>
          <w:szCs w:val="24"/>
          <w:shd w:val="clear" w:color="auto" w:fill="FFFFFF"/>
        </w:rPr>
        <w:t>(Kementerian Perdagangan, 2018)</w:t>
      </w:r>
      <w:r w:rsidRPr="00172CF4">
        <w:rPr>
          <w:rFonts w:ascii="Book Antiqua" w:hAnsi="Book Antiqua" w:cs="Times New Roman"/>
          <w:color w:val="000000"/>
          <w:sz w:val="24"/>
          <w:szCs w:val="24"/>
          <w:shd w:val="clear" w:color="auto" w:fill="FFFFFF"/>
        </w:rPr>
        <w:fldChar w:fldCharType="end"/>
      </w:r>
      <w:r w:rsidRPr="00172CF4">
        <w:rPr>
          <w:rFonts w:ascii="Book Antiqua" w:hAnsi="Book Antiqua" w:cs="Times New Roman"/>
          <w:color w:val="000000"/>
          <w:sz w:val="24"/>
          <w:szCs w:val="24"/>
          <w:shd w:val="clear" w:color="auto" w:fill="FFFFFF"/>
        </w:rPr>
        <w:t xml:space="preserve">. </w:t>
      </w:r>
      <w:r w:rsidRPr="00172CF4">
        <w:rPr>
          <w:rFonts w:ascii="Book Antiqua" w:hAnsi="Book Antiqua" w:cs="Times New Roman"/>
          <w:sz w:val="24"/>
          <w:szCs w:val="24"/>
        </w:rPr>
        <w:t xml:space="preserve">This regulation stipulates that companies seeking approval to export coal and coal products must be registered as ET-Batubara. The government has explicitly imposed a coal export ban on companies without ET status, effective from 1 October 2014, </w:t>
      </w:r>
      <w:r>
        <w:rPr>
          <w:rFonts w:ascii="Book Antiqua" w:hAnsi="Book Antiqua" w:cs="Times New Roman"/>
          <w:sz w:val="24"/>
          <w:szCs w:val="24"/>
        </w:rPr>
        <w:t>aiming to regulate and supervise</w:t>
      </w:r>
      <w:r w:rsidRPr="00172CF4">
        <w:rPr>
          <w:rFonts w:ascii="Book Antiqua" w:hAnsi="Book Antiqua" w:cs="Times New Roman"/>
          <w:sz w:val="24"/>
          <w:szCs w:val="24"/>
        </w:rPr>
        <w:t xml:space="preserve"> export activities </w:t>
      </w:r>
      <w:r>
        <w:rPr>
          <w:rFonts w:ascii="Book Antiqua" w:hAnsi="Book Antiqua" w:cs="Times New Roman"/>
          <w:sz w:val="24"/>
          <w:szCs w:val="24"/>
        </w:rPr>
        <w:t>more orderly</w:t>
      </w:r>
      <w:r w:rsidRPr="00172CF4">
        <w:rPr>
          <w:rFonts w:ascii="Book Antiqua" w:hAnsi="Book Antiqua" w:cs="Times New Roman"/>
          <w:sz w:val="24"/>
          <w:szCs w:val="24"/>
        </w:rPr>
        <w:t xml:space="preserve">. The requirements for obtaining ET recommendations include that holders of Coal Mining Business Work Agreements (PKP2B) and Mining Business License (IUP) must submit tax payment documents and proof of payment of royalties or non-tax government revenue (PNBP). These provisions are regulated </w:t>
      </w:r>
      <w:r>
        <w:rPr>
          <w:rFonts w:ascii="Book Antiqua" w:hAnsi="Book Antiqua" w:cs="Times New Roman"/>
          <w:sz w:val="24"/>
          <w:szCs w:val="24"/>
        </w:rPr>
        <w:t>by</w:t>
      </w:r>
      <w:r w:rsidRPr="00172CF4">
        <w:rPr>
          <w:rFonts w:ascii="Book Antiqua" w:hAnsi="Book Antiqua" w:cs="Times New Roman"/>
          <w:sz w:val="24"/>
          <w:szCs w:val="24"/>
        </w:rPr>
        <w:t xml:space="preserve"> Minerba No. 714.K/30/DJB/2014 Article 1 outlines the procedures and requirements </w:t>
      </w:r>
      <w:r w:rsidRPr="00172CF4">
        <w:rPr>
          <w:rFonts w:ascii="Book Antiqua" w:hAnsi="Book Antiqua" w:cs="Times New Roman"/>
          <w:sz w:val="24"/>
          <w:szCs w:val="24"/>
        </w:rPr>
        <w:t xml:space="preserve">for obtaining recommendations as a registered coal exporter </w:t>
      </w:r>
      <w:r w:rsidRPr="00172CF4">
        <w:rPr>
          <w:rFonts w:ascii="Book Antiqua" w:hAnsi="Book Antiqua" w:cs="Times New Roman"/>
          <w:color w:val="000000"/>
          <w:sz w:val="24"/>
          <w:szCs w:val="24"/>
          <w:shd w:val="clear" w:color="auto" w:fill="FFFFFF"/>
        </w:rPr>
        <w:fldChar w:fldCharType="begin" w:fldLock="1"/>
      </w:r>
      <w:r>
        <w:rPr>
          <w:rFonts w:ascii="Book Antiqua" w:hAnsi="Book Antiqua" w:cs="Times New Roman"/>
          <w:color w:val="000000"/>
          <w:sz w:val="24"/>
          <w:szCs w:val="24"/>
          <w:shd w:val="clear" w:color="auto" w:fill="FFFFFF"/>
        </w:rPr>
        <w:instrText>ADDIN CSL_CITATION {"citationItems":[{"id":"ITEM-1","itemData":{"author":[{"dropping-particle":"","family":"Kementerian Perdagangan","given":"","non-dropping-particle":"","parse-names":false,"suffix":""}],"id":"ITEM-1","issued":{"date-parts":[["2014"]]},"title":"Peraturan Menteri Perdagangan Republik Indonesia No. 39/M-DAG/PER/7/2014","type":"report"},"uris":["http://www.mendeley.com/documents/?uuid=ae7db70b-4394-4dee-aedd-f8b0beb0a3cc"]}],"mendeley":{"formattedCitation":"(Kementerian Perdagangan, 2014)","plainTextFormattedCitation":"(Kementerian Perdagangan, 2014)","previouslyFormattedCitation":"(Kementerian Perdagangan, 2014)"},"properties":{"noteIndex":0},"schema":"https://github.com/citation-style-language/schema/raw/master/csl-citation.json"}</w:instrText>
      </w:r>
      <w:r w:rsidRPr="00172CF4">
        <w:rPr>
          <w:rFonts w:ascii="Book Antiqua" w:hAnsi="Book Antiqua" w:cs="Times New Roman"/>
          <w:color w:val="000000"/>
          <w:sz w:val="24"/>
          <w:szCs w:val="24"/>
          <w:shd w:val="clear" w:color="auto" w:fill="FFFFFF"/>
        </w:rPr>
        <w:fldChar w:fldCharType="separate"/>
      </w:r>
      <w:r w:rsidRPr="00F56189">
        <w:rPr>
          <w:rFonts w:ascii="Book Antiqua" w:hAnsi="Book Antiqua" w:cs="Times New Roman"/>
          <w:noProof/>
          <w:color w:val="000000"/>
          <w:sz w:val="24"/>
          <w:szCs w:val="24"/>
          <w:shd w:val="clear" w:color="auto" w:fill="FFFFFF"/>
        </w:rPr>
        <w:t>(Kementerian Perdagangan, 2014)</w:t>
      </w:r>
      <w:r w:rsidRPr="00172CF4">
        <w:rPr>
          <w:rFonts w:ascii="Book Antiqua" w:hAnsi="Book Antiqua" w:cs="Times New Roman"/>
          <w:color w:val="000000"/>
          <w:sz w:val="24"/>
          <w:szCs w:val="24"/>
          <w:shd w:val="clear" w:color="auto" w:fill="FFFFFF"/>
        </w:rPr>
        <w:fldChar w:fldCharType="end"/>
      </w:r>
      <w:r w:rsidRPr="00172CF4">
        <w:rPr>
          <w:rFonts w:ascii="Book Antiqua" w:hAnsi="Book Antiqua" w:cs="Times New Roman"/>
          <w:color w:val="000000"/>
          <w:sz w:val="24"/>
          <w:szCs w:val="24"/>
          <w:shd w:val="clear" w:color="auto" w:fill="FFFFFF"/>
        </w:rPr>
        <w:t xml:space="preserve">. </w:t>
      </w:r>
      <w:r w:rsidRPr="00172CF4">
        <w:rPr>
          <w:rFonts w:ascii="Book Antiqua" w:hAnsi="Book Antiqua" w:cs="Times New Roman"/>
          <w:sz w:val="24"/>
          <w:szCs w:val="24"/>
        </w:rPr>
        <w:t xml:space="preserve">Coal is also a commodity that </w:t>
      </w:r>
      <w:r>
        <w:rPr>
          <w:rFonts w:ascii="Book Antiqua" w:hAnsi="Book Antiqua" w:cs="Times New Roman"/>
          <w:sz w:val="24"/>
          <w:szCs w:val="24"/>
        </w:rPr>
        <w:t>must be exported using national maritime transport</w:t>
      </w:r>
      <w:r w:rsidRPr="00172CF4">
        <w:rPr>
          <w:rFonts w:ascii="Book Antiqua" w:hAnsi="Book Antiqua" w:cs="Times New Roman"/>
          <w:sz w:val="24"/>
          <w:szCs w:val="24"/>
        </w:rPr>
        <w:t xml:space="preserve"> to promote the growth of the capacity of the national shipping industry. This policy is regulated by the Ministry of Trade Regulation No. 65 of 2020, which was implemented to support national shipping industry players to take advantage of the high demand for maritime transportation resulting from the increase in coal exports </w:t>
      </w:r>
      <w:r w:rsidRPr="00172CF4">
        <w:rPr>
          <w:rFonts w:ascii="Book Antiqua" w:hAnsi="Book Antiqua" w:cs="Times New Roman"/>
          <w:color w:val="000000"/>
          <w:sz w:val="24"/>
          <w:szCs w:val="24"/>
          <w:shd w:val="clear" w:color="auto" w:fill="FFFFFF"/>
        </w:rPr>
        <w:fldChar w:fldCharType="begin" w:fldLock="1"/>
      </w:r>
      <w:r>
        <w:rPr>
          <w:rFonts w:ascii="Book Antiqua" w:hAnsi="Book Antiqua" w:cs="Times New Roman"/>
          <w:color w:val="000000"/>
          <w:sz w:val="24"/>
          <w:szCs w:val="24"/>
          <w:shd w:val="clear" w:color="auto" w:fill="FFFFFF"/>
        </w:rPr>
        <w:instrText>ADDIN CSL_CITATION {"citationItems":[{"id":"ITEM-1","itemData":{"author":[{"dropping-particle":"","family":"Kementerian Perdagangan","given":"","non-dropping-particle":"","parse-names":false,"suffix":""}],"id":"ITEM-1","issued":{"date-parts":[["2020"]]},"publisher-place":"Jakarta","title":"Peraturan Menteri Perdagangan Nomor 65 Tahun 2020","type":"report"},"uris":["http://www.mendeley.com/documents/?uuid=26f52147-0958-4ef8-9be2-8af4f9550de3"]}],"mendeley":{"formattedCitation":"(Kementerian Perdagangan, 2020)","plainTextFormattedCitation":"(Kementerian Perdagangan, 2020)","previouslyFormattedCitation":"(Kementerian Perdagangan, 2020)"},"properties":{"noteIndex":0},"schema":"https://github.com/citation-style-language/schema/raw/master/csl-citation.json"}</w:instrText>
      </w:r>
      <w:r w:rsidRPr="00172CF4">
        <w:rPr>
          <w:rFonts w:ascii="Book Antiqua" w:hAnsi="Book Antiqua" w:cs="Times New Roman"/>
          <w:color w:val="000000"/>
          <w:sz w:val="24"/>
          <w:szCs w:val="24"/>
          <w:shd w:val="clear" w:color="auto" w:fill="FFFFFF"/>
        </w:rPr>
        <w:fldChar w:fldCharType="separate"/>
      </w:r>
      <w:r w:rsidRPr="00F56189">
        <w:rPr>
          <w:rFonts w:ascii="Book Antiqua" w:hAnsi="Book Antiqua" w:cs="Times New Roman"/>
          <w:noProof/>
          <w:color w:val="000000"/>
          <w:sz w:val="24"/>
          <w:szCs w:val="24"/>
          <w:shd w:val="clear" w:color="auto" w:fill="FFFFFF"/>
        </w:rPr>
        <w:t>(Kementerian Perdagangan, 2020)</w:t>
      </w:r>
      <w:r w:rsidRPr="00172CF4">
        <w:rPr>
          <w:rFonts w:ascii="Book Antiqua" w:hAnsi="Book Antiqua" w:cs="Times New Roman"/>
          <w:color w:val="000000"/>
          <w:sz w:val="24"/>
          <w:szCs w:val="24"/>
          <w:shd w:val="clear" w:color="auto" w:fill="FFFFFF"/>
        </w:rPr>
        <w:fldChar w:fldCharType="end"/>
      </w:r>
      <w:r w:rsidRPr="00172CF4">
        <w:rPr>
          <w:rFonts w:ascii="Book Antiqua" w:hAnsi="Book Antiqua" w:cs="Times New Roman"/>
          <w:color w:val="000000"/>
          <w:sz w:val="24"/>
          <w:szCs w:val="24"/>
          <w:shd w:val="clear" w:color="auto" w:fill="FFFFFF"/>
        </w:rPr>
        <w:t>.</w:t>
      </w:r>
    </w:p>
    <w:p w14:paraId="52E2D5A1" w14:textId="77777777" w:rsidR="00DE2CCA" w:rsidRPr="00172CF4" w:rsidRDefault="00DE2CCA" w:rsidP="00DE2CCA">
      <w:pPr>
        <w:spacing w:after="0"/>
        <w:ind w:firstLine="426"/>
        <w:jc w:val="both"/>
        <w:rPr>
          <w:rFonts w:ascii="Book Antiqua" w:hAnsi="Book Antiqua" w:cs="Times New Roman"/>
          <w:color w:val="000000"/>
          <w:sz w:val="24"/>
          <w:szCs w:val="24"/>
          <w:shd w:val="clear" w:color="auto" w:fill="FFFFFF"/>
        </w:rPr>
      </w:pPr>
      <w:r w:rsidRPr="00172CF4">
        <w:rPr>
          <w:rFonts w:ascii="Book Antiqua" w:hAnsi="Book Antiqua" w:cs="Times New Roman"/>
          <w:color w:val="000000"/>
          <w:sz w:val="24"/>
          <w:szCs w:val="24"/>
          <w:shd w:val="clear" w:color="auto" w:fill="FFFFFF"/>
        </w:rPr>
        <w:t xml:space="preserve">In implementing the provisions set out in Article 32(2) of Regulation No. 25 of 2018 of the Minister of Energy and Mineral Resources on mineral and coal mining business activities, the government has established a policy for business entities to meet domestic requirements. In urgent situations where domestic coal requirements are not met, the Director General of Minerals and Coal, on behalf of the Minister of Energy and Mineral Resources, is authorized to appoint holders of mining business </w:t>
      </w:r>
      <w:r>
        <w:rPr>
          <w:rFonts w:ascii="Book Antiqua" w:hAnsi="Book Antiqua" w:cs="Times New Roman"/>
          <w:color w:val="000000"/>
          <w:sz w:val="24"/>
          <w:szCs w:val="24"/>
          <w:shd w:val="clear" w:color="auto" w:fill="FFFFFF"/>
        </w:rPr>
        <w:t>licenses</w:t>
      </w:r>
      <w:r w:rsidRPr="00172CF4">
        <w:rPr>
          <w:rFonts w:ascii="Book Antiqua" w:hAnsi="Book Antiqua" w:cs="Times New Roman"/>
          <w:color w:val="000000"/>
          <w:sz w:val="24"/>
          <w:szCs w:val="24"/>
          <w:shd w:val="clear" w:color="auto" w:fill="FFFFFF"/>
        </w:rPr>
        <w:t xml:space="preserve"> for the coal production operation stage, holders of special mining business license for the coal production operation stage, holders of coal mining business cooperation agreements for the production operation stage, holders of special mining business license as a continuation of contract/agreement operations for the coal commodity, or holders of coal transport and sales permits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{"citationItems":[{"id":"ITEM-1","itemData":{"author":[{"dropping-particle":"","family":"ESDM","given":"","non-dropping-particle":"","parse-names":false,"suffix":""}],"id":"ITEM-1","issued":{"date-parts":[["2022"]]},"title":"Kepmen ESDM No. 267.K/MB.01/MEM.B/2022 tentang Pemenuhan Kebutuhan Batubara Dalam Negeri","type":"report"},"uris":["http://www.mendeley.com/documents/?uuid=0b66368a-3105-4b94-bb9d-e43c55935257"]}],"mendeley":{"formattedCitation":"(ESDM, 2022b)","plainTextFormattedCitation":"(ESDM, 2022b)","previouslyFormattedCitation":"(ESDM, 2022b)"},"properties":{"noteIndex":0},"schema":"https://github.com/citation-style-language/schema/raw/master/csl-citation.json"}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(ESDM, 2022b)</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p>
    <w:p w14:paraId="632A51E2" w14:textId="77777777" w:rsidR="00DE2CCA" w:rsidRPr="00172CF4" w:rsidRDefault="00DE2CCA" w:rsidP="00DE2CCA">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This policy includes the </w:t>
      </w:r>
      <w:r>
        <w:rPr>
          <w:rFonts w:ascii="Book Antiqua" w:hAnsi="Book Antiqua" w:cs="Times New Roman"/>
          <w:sz w:val="24"/>
          <w:szCs w:val="24"/>
        </w:rPr>
        <w:t>fulfillment</w:t>
      </w:r>
      <w:r w:rsidRPr="00172CF4">
        <w:rPr>
          <w:rFonts w:ascii="Book Antiqua" w:hAnsi="Book Antiqua" w:cs="Times New Roman"/>
          <w:sz w:val="24"/>
          <w:szCs w:val="24"/>
        </w:rPr>
        <w:t xml:space="preserve"> of domestic coal demand, which must be </w:t>
      </w:r>
      <w:r w:rsidRPr="00172CF4">
        <w:rPr>
          <w:rFonts w:ascii="Book Antiqua" w:hAnsi="Book Antiqua" w:cs="Times New Roman"/>
          <w:sz w:val="24"/>
          <w:szCs w:val="24"/>
        </w:rPr>
        <w:lastRenderedPageBreak/>
        <w:t xml:space="preserve">reported by business entities no later than </w:t>
      </w:r>
      <w:r>
        <w:rPr>
          <w:rFonts w:ascii="Book Antiqua" w:hAnsi="Book Antiqua" w:cs="Times New Roman"/>
          <w:sz w:val="24"/>
          <w:szCs w:val="24"/>
        </w:rPr>
        <w:t>ten</w:t>
      </w:r>
      <w:r w:rsidRPr="00172CF4">
        <w:rPr>
          <w:rFonts w:ascii="Book Antiqua" w:hAnsi="Book Antiqua" w:cs="Times New Roman"/>
          <w:sz w:val="24"/>
          <w:szCs w:val="24"/>
        </w:rPr>
        <w:t xml:space="preserve"> days after the end of each month </w:t>
      </w:r>
      <w:r>
        <w:rPr>
          <w:rFonts w:ascii="Book Antiqua" w:hAnsi="Book Antiqua" w:cs="Times New Roman"/>
          <w:sz w:val="24"/>
          <w:szCs w:val="24"/>
        </w:rPr>
        <w:t>in</w:t>
      </w:r>
      <w:r w:rsidRPr="00172CF4">
        <w:rPr>
          <w:rFonts w:ascii="Book Antiqua" w:hAnsi="Book Antiqua" w:cs="Times New Roman"/>
          <w:sz w:val="24"/>
          <w:szCs w:val="24"/>
        </w:rPr>
        <w:t xml:space="preserve"> the format specified by the Minister of Trade. If business entities fail to pay the compensation fund within 30 (thirty) days as stipulated, they will face sanctions in the form of a ban on selling coal abroad. </w:t>
      </w:r>
      <w:r>
        <w:rPr>
          <w:rFonts w:ascii="Book Antiqua" w:hAnsi="Book Antiqua" w:cs="Times New Roman"/>
          <w:sz w:val="24"/>
          <w:szCs w:val="24"/>
        </w:rPr>
        <w:t>Suppose business entities do not fulfill their obligation to pay the compensation fund during the ban on the sale of coal abroad. In that case,</w:t>
      </w:r>
      <w:r w:rsidRPr="00172CF4">
        <w:rPr>
          <w:rFonts w:ascii="Book Antiqua" w:hAnsi="Book Antiqua" w:cs="Times New Roman"/>
          <w:sz w:val="24"/>
          <w:szCs w:val="24"/>
        </w:rPr>
        <w:t xml:space="preserve"> they will be subject to administrative sanctions, such as temporary suspension of all production operations for a maximum period of 60 (sixty) days. If, during the period of administrative sanctions in the form of temporary suspension, the obligation to pay the compensation fund is not fulfilled, economic entities may be subject to administrative sanctions, such as the revocation of the mining license (IUP) or the special mining license (IUPK), or the termination of the coal mining cooperation agreement (PKP2B). In the context of failure to meet domestic coal demand, coal mining enterprises are subject to sanctions, including a ban on selling coal abroad until domestic coal demand is met.</w:t>
      </w:r>
    </w:p>
    <w:p w14:paraId="6994477B" w14:textId="77777777" w:rsidR="00DE2CCA" w:rsidRPr="00172CF4" w:rsidRDefault="00DE2CCA" w:rsidP="00DE2CCA">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Meanwhile, the types and rates of non-tax government revenue (PNBP) applicable to the Ministry of Energy and Mineral Resources have been determined by Government Regulation No. 26 of the Republic of Indonesia of 2022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{"citationItems":[{"id":"ITEM-1","itemData":{"author":[{"dropping-particle":"","family":"Pemerintah Pusat","given":"","non-dropping-particle":"","parse-names":false,"suffix":""}],"id":"ITEM-1","issued":{"date-parts":[["2022"]]},"publisher-place":"Jakrta","title":"Peraturan Pemerintah Republik Indonesia Nomor 26 Tahun 2022","type":"report"},"uris":["http://www.mendeley.com/documents/?uuid=e775058a-5052-43d2-ab3d-716c52e6c3d2"]}],"mendeley":{"formattedCitation":"(Pemerintah Pusat, 2022)","plainTextFormattedCitation":"(Pemerintah Pusat, 2022)","previouslyFormattedCitation":"(Pemerintah Pusat,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(Pemerintah Pusat,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According to the Ministry of Energy and Mineral Resources, the realization of PNBP revenue in the energy and mineral resources sector reached </w:t>
      </w:r>
      <w:r w:rsidRPr="000313FC">
        <w:rPr>
          <w:rFonts w:ascii="Book Antiqua" w:hAnsi="Book Antiqua" w:cs="Times New Roman"/>
          <w:sz w:val="24"/>
          <w:szCs w:val="24"/>
        </w:rPr>
        <w:t xml:space="preserve">IDR 224 trillion as of October or the end of the third quarter of 2023, or 99.90% of the set target </w:t>
      </w:r>
      <w:r w:rsidRPr="000313FC">
        <w:rPr>
          <w:rFonts w:ascii="Book Antiqua" w:hAnsi="Book Antiqua" w:cs="Times New Roman"/>
          <w:bCs/>
          <w:sz w:val="24"/>
          <w:szCs w:val="24"/>
        </w:rPr>
        <w:fldChar w:fldCharType="begin" w:fldLock="1"/>
      </w:r>
      <w:r w:rsidRPr="000313FC">
        <w:rPr>
          <w:rFonts w:ascii="Book Antiqua" w:hAnsi="Book Antiqua" w:cs="Times New Roman"/>
          <w:bCs/>
          <w:sz w:val="24"/>
          <w:szCs w:val="24"/>
        </w:rPr>
        <w:instrText>ADDIN CSL_CITATION {"citationItems":[{"id":"ITEM-1","itemData":{"URL":"https://www.esdm.go.id/id/media-center/arsip-berita/kuartal-iii-2023-sumbangsih-pnbp-sektor-esdm-tembus-rp224-triliun","author":[{"dropping-particle":"","family":"Pribadi","given":"Agung","non-dropping-particle":"","parse-names":false,"suffix":""}],"container-title":"Kementerian Energi dan SUmber Daya Mineral Republik Indonesiamber Daya Mineral Republik Indonesia","id":"ITEM-1","issued":{"date-parts":[["2023"]]},"title":"Kuartal III 2023, Sumbangsih PNBP Sektor ESDM Tembus Rp224 Triliun","type":"webpage"},"uris":["http://www.mendeley.com/documents/?uuid=089b2d28-c5b1-4b23-b563-36a94eb77d48"]}],"mendeley":{"formattedCitation":"(Pribadi, 2023)","plainTextFormattedCitation":"(Pribadi, 2023)","previouslyFormattedCitation":"(Pribadi, 2023)"},"properties":{"noteIndex":0},"schema":"https://github.com/citation-style-language/schema/raw/master/csl-citation.json"}</w:instrText>
      </w:r>
      <w:r w:rsidRPr="000313FC">
        <w:rPr>
          <w:rFonts w:ascii="Book Antiqua" w:hAnsi="Book Antiqua" w:cs="Times New Roman"/>
          <w:bCs/>
          <w:sz w:val="24"/>
          <w:szCs w:val="24"/>
        </w:rPr>
        <w:fldChar w:fldCharType="separate"/>
      </w:r>
      <w:r w:rsidRPr="000313FC">
        <w:rPr>
          <w:rFonts w:ascii="Book Antiqua" w:hAnsi="Book Antiqua" w:cs="Times New Roman"/>
          <w:bCs/>
          <w:noProof/>
          <w:sz w:val="24"/>
          <w:szCs w:val="24"/>
        </w:rPr>
        <w:t>(Pribadi, 2023)</w:t>
      </w:r>
      <w:r w:rsidRPr="000313FC">
        <w:rPr>
          <w:rFonts w:ascii="Book Antiqua" w:hAnsi="Book Antiqua" w:cs="Times New Roman"/>
          <w:bCs/>
          <w:sz w:val="24"/>
          <w:szCs w:val="24"/>
        </w:rPr>
        <w:fldChar w:fldCharType="end"/>
      </w:r>
      <w:r w:rsidRPr="000313FC">
        <w:rPr>
          <w:rFonts w:ascii="Book Antiqua" w:hAnsi="Book Antiqua" w:cs="Times New Roman"/>
          <w:bCs/>
          <w:sz w:val="24"/>
          <w:szCs w:val="24"/>
        </w:rPr>
        <w:t>.</w:t>
      </w:r>
      <w:r>
        <w:rPr>
          <w:rFonts w:ascii="Times New Roman" w:hAnsi="Times New Roman" w:cs="Times New Roman"/>
          <w:bCs/>
          <w:sz w:val="24"/>
          <w:szCs w:val="24"/>
        </w:rPr>
        <w:t xml:space="preserve"> </w:t>
      </w:r>
      <w:r w:rsidRPr="00172CF4">
        <w:rPr>
          <w:rFonts w:ascii="Book Antiqua" w:hAnsi="Book Antiqua" w:cs="Times New Roman"/>
          <w:sz w:val="24"/>
          <w:szCs w:val="24"/>
        </w:rPr>
        <w:t xml:space="preserve">One of the main </w:t>
      </w:r>
      <w:r w:rsidRPr="00172CF4">
        <w:rPr>
          <w:rFonts w:ascii="Book Antiqua" w:hAnsi="Book Antiqua" w:cs="Times New Roman"/>
          <w:sz w:val="24"/>
          <w:szCs w:val="24"/>
        </w:rPr>
        <w:t xml:space="preserve">contributors to the PNBP in the mineral and coal mining subsector </w:t>
      </w:r>
      <w:r>
        <w:rPr>
          <w:rFonts w:ascii="Book Antiqua" w:hAnsi="Book Antiqua" w:cs="Times New Roman"/>
          <w:sz w:val="24"/>
          <w:szCs w:val="24"/>
        </w:rPr>
        <w:t>is</w:t>
      </w:r>
      <w:r w:rsidRPr="00172CF4">
        <w:rPr>
          <w:rFonts w:ascii="Book Antiqua" w:hAnsi="Book Antiqua" w:cs="Times New Roman"/>
          <w:sz w:val="24"/>
          <w:szCs w:val="24"/>
        </w:rPr>
        <w:t xml:space="preserve"> the increase in production fees or coal royalties</w:t>
      </w:r>
      <w:r>
        <w:rPr>
          <w:rFonts w:ascii="Book Antiqua" w:hAnsi="Book Antiqua" w:cs="Times New Roman"/>
          <w:sz w:val="24"/>
          <w:szCs w:val="24"/>
        </w:rPr>
        <w:t xml:space="preserve"> due to</w:t>
      </w:r>
      <w:r w:rsidRPr="00172CF4">
        <w:rPr>
          <w:rFonts w:ascii="Book Antiqua" w:hAnsi="Book Antiqua" w:cs="Times New Roman"/>
          <w:sz w:val="24"/>
          <w:szCs w:val="24"/>
        </w:rPr>
        <w:t xml:space="preserve"> the implementation of Government Regulation No. 26 of 2022. Therefore, despite the average decline in the coal reference price (HBA) from January to August 2023, the increase in coal royalties managed to overcome this decline.</w:t>
      </w:r>
    </w:p>
    <w:p w14:paraId="7887279A" w14:textId="77777777" w:rsidR="00DE2CCA" w:rsidRPr="00172CF4" w:rsidRDefault="00DE2CCA" w:rsidP="00DE2CCA">
      <w:pPr>
        <w:spacing w:after="0"/>
        <w:ind w:firstLine="426"/>
        <w:jc w:val="both"/>
        <w:rPr>
          <w:rFonts w:ascii="Book Antiqua" w:hAnsi="Book Antiqua" w:cs="Times New Roman"/>
          <w:bCs/>
          <w:sz w:val="24"/>
          <w:szCs w:val="24"/>
        </w:rPr>
      </w:pPr>
      <w:r w:rsidRPr="00172CF4">
        <w:rPr>
          <w:rFonts w:ascii="Book Antiqua" w:hAnsi="Book Antiqua" w:cs="Times New Roman"/>
          <w:sz w:val="24"/>
          <w:szCs w:val="24"/>
        </w:rPr>
        <w:t xml:space="preserve">The rapid growth of Indonesia's coal export activities today is closely linked to the high demand in the international market. In this case, the government has a role in minimizing potential negative impacts from coal export activities. The ever-increasing demand from countries such as China, India and several others for coal as a fuel for power generation and industry is one of the main factors. However, the high demand for coal exports can lead to potential exploitation of natural resources and environmental pollution, especially in former mining areas, and emissions. The Ministry of Finance mentions that the emergence of global climate change phenomena </w:t>
      </w:r>
      <w:r>
        <w:rPr>
          <w:rFonts w:ascii="Book Antiqua" w:hAnsi="Book Antiqua" w:cs="Times New Roman"/>
          <w:sz w:val="24"/>
          <w:szCs w:val="24"/>
        </w:rPr>
        <w:t>increases</w:t>
      </w:r>
      <w:r w:rsidRPr="00172CF4">
        <w:rPr>
          <w:rFonts w:ascii="Book Antiqua" w:hAnsi="Book Antiqua" w:cs="Times New Roman"/>
          <w:sz w:val="24"/>
          <w:szCs w:val="24"/>
        </w:rPr>
        <w:t xml:space="preserve"> the </w:t>
      </w:r>
      <w:r>
        <w:rPr>
          <w:rFonts w:ascii="Book Antiqua" w:hAnsi="Book Antiqua" w:cs="Times New Roman"/>
          <w:sz w:val="24"/>
          <w:szCs w:val="24"/>
        </w:rPr>
        <w:t>global community's awareness</w:t>
      </w:r>
      <w:r w:rsidRPr="00172CF4">
        <w:rPr>
          <w:rFonts w:ascii="Book Antiqua" w:hAnsi="Book Antiqua" w:cs="Times New Roman"/>
          <w:sz w:val="24"/>
          <w:szCs w:val="24"/>
        </w:rPr>
        <w:t xml:space="preserve"> to </w:t>
      </w:r>
      <w:r>
        <w:rPr>
          <w:rFonts w:ascii="Book Antiqua" w:hAnsi="Book Antiqua" w:cs="Times New Roman"/>
          <w:sz w:val="24"/>
          <w:szCs w:val="24"/>
        </w:rPr>
        <w:t>implement</w:t>
      </w:r>
      <w:r w:rsidRPr="00172CF4">
        <w:rPr>
          <w:rFonts w:ascii="Book Antiqua" w:hAnsi="Book Antiqua" w:cs="Times New Roman"/>
          <w:sz w:val="24"/>
          <w:szCs w:val="24"/>
        </w:rPr>
        <w:t xml:space="preserve"> sustainable green economic activities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{"citationItems":[{"id":"ITEM-1","itemData":{"URL":"https://kpbu.kemenkeu.go.id/read/1191-1546/umum/kajian-opini-publik/pengaplikasian-teknologi-dalam-proyek-kpbu-berbasis-prinsip-esg","author":[{"dropping-particle":"","family":"Kementrian Keuangan","given":"","non-dropping-particle":"","parse-names":false,"suffix":""}],"container-title":"Kerja Sama Pemerintah Dengan badan usaha Kementerian keuangan Republik Indonesia","id":"ITEM-1","issued":{"date-parts":[["2023"]]},"title":"Pengaplikasian Teknologi dalam Proyek KPBU Berbasis Prinsip ESG","type":"webpage"},"uris":["http://www.mendeley.com/documents/?uuid=8887d42f-a790-4861-8de3-d3142a21486f"]}],"mendeley":{"formattedCitation":"(Kementrian Keuangan, 2023)","plainTextFormattedCitation":"(Kementrian Keuangan, 2023)","previouslyFormattedCitation":"(Kementrian Keuangan, 2023)"},"properties":{"noteIndex":0},"schema":"https://github.com/citation-style-language/schema/raw/master/csl-citation.json"}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(Kementrian Keuangan, 2023)</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Green economy in this context refers to economic activities in which humans and nature can operate in balance, enabling the </w:t>
      </w:r>
      <w:r>
        <w:rPr>
          <w:rFonts w:ascii="Book Antiqua" w:hAnsi="Book Antiqua" w:cs="Times New Roman"/>
          <w:sz w:val="24"/>
          <w:szCs w:val="24"/>
        </w:rPr>
        <w:t>fulfillment of social, economic,</w:t>
      </w:r>
      <w:r w:rsidRPr="00172CF4">
        <w:rPr>
          <w:rFonts w:ascii="Book Antiqua" w:hAnsi="Book Antiqua" w:cs="Times New Roman"/>
          <w:sz w:val="24"/>
          <w:szCs w:val="24"/>
        </w:rPr>
        <w:t xml:space="preserve"> and other aspects for both current and future generations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{"citationItems":[{"id":"ITEM-1","itemData":{"URL":"http://greengrowth.bappenas.go.id/faq-id/","author":[{"dropping-particle":"","family":"Bappenas","given":"","non-dropping-particle":"","parse-names":false,"suffix":""}],"container-title":"Kementerian PPN/Bappenas","id":"ITEM-1","issued":{"date-parts":[["2013"]]},"title":"Indonesian Greean Growth Program","type":"webpage"},"uris":["http://www.mendeley.com/documents/?uuid=da3b606d-d2c5-4431-ab07-e71a2cf5d306"]}],"mendeley":{"formattedCitation":"(Bappenas, 2013)","plainTextFormattedCitation":"(Bappenas, 2013)","previouslyFormattedCitation":"(Bappenas, 2013)"},"properties":{"noteIndex":0},"schema":"https://github.com/citation-style-language/schema/raw/master/csl-citation.json"}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(Bappenas, 2013)</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Therefore, the Indonesian government has implemented export policies to reduce environmental impacts through a green economy, requiring coal companies to conduct environmental impact assessments (AMDAL)</w:t>
      </w:r>
      <w:r>
        <w:rPr>
          <w:rFonts w:ascii="Book Antiqua" w:hAnsi="Book Antiqua" w:cs="Times New Roman"/>
          <w:sz w:val="24"/>
          <w:szCs w:val="24"/>
        </w:rPr>
        <w:t>. In</w:t>
      </w:r>
      <w:r w:rsidRPr="00172CF4">
        <w:rPr>
          <w:rFonts w:ascii="Book Antiqua" w:hAnsi="Book Antiqua" w:cs="Times New Roman"/>
          <w:sz w:val="24"/>
          <w:szCs w:val="24"/>
        </w:rPr>
        <w:t xml:space="preserve"> some cases, the </w:t>
      </w:r>
      <w:r w:rsidRPr="00172CF4">
        <w:rPr>
          <w:rFonts w:ascii="Book Antiqua" w:hAnsi="Book Antiqua" w:cs="Times New Roman"/>
          <w:sz w:val="24"/>
          <w:szCs w:val="24"/>
        </w:rPr>
        <w:lastRenderedPageBreak/>
        <w:t>government also encourages the empowerment of local communities to participate in environmental management and benefit from mining activities, including through Corporate Social Responsibility (CSR) programs</w:t>
      </w:r>
      <w:r w:rsidRPr="00172CF4">
        <w:rPr>
          <w:rFonts w:ascii="Book Antiqua" w:hAnsi="Book Antiqua" w:cs="Times New Roman"/>
          <w:bCs/>
          <w:sz w:val="24"/>
          <w:szCs w:val="24"/>
        </w:rPr>
        <w:t xml:space="preserve">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{"citationItems":[{"id":"ITEM-1","itemData":{"URL":"https://www.ggbcoal.com/?p=csr","author":[{"dropping-particle":"","family":"Golden Great Borneo","given":"","non-dropping-particle":"","parse-names":false,"suffix":""}],"container-title":"Golden Great Borneo","id":"ITEM-1","issued":{"date-parts":[["2019"]]},"title":"Coorporate Social Responsibility (CSR)","type":"webpage"},"uris":["http://www.mendeley.com/documents/?uuid=1b389d76-1fae-4eb9-aee5-19c918435536"]}],"mendeley":{"formattedCitation":"(Golden Great Borneo, 2019)","manualFormatting":"(Golden et al., 2019)","plainTextFormattedCitation":"(Golden Great Borneo, 2019)","previouslyFormattedCitation":"(Golden Great Borneo, 2019)"},"properties":{"noteIndex":0},"schema":"https://github.com/citation-style-language/schema/raw/master/csl-citation.json"}</w:instrText>
      </w:r>
      <w:r w:rsidRPr="00172CF4">
        <w:rPr>
          <w:rFonts w:ascii="Book Antiqua" w:hAnsi="Book Antiqua" w:cs="Times New Roman"/>
          <w:bCs/>
          <w:sz w:val="24"/>
          <w:szCs w:val="24"/>
        </w:rPr>
        <w:fldChar w:fldCharType="separate"/>
      </w:r>
      <w:r w:rsidRPr="00172CF4">
        <w:rPr>
          <w:rFonts w:ascii="Book Antiqua" w:hAnsi="Book Antiqua" w:cs="Times New Roman"/>
          <w:bCs/>
          <w:noProof/>
          <w:sz w:val="24"/>
          <w:szCs w:val="24"/>
        </w:rPr>
        <w:t xml:space="preserve">(Golden </w:t>
      </w:r>
      <w:r>
        <w:rPr>
          <w:rFonts w:ascii="Book Antiqua" w:hAnsi="Book Antiqua" w:cs="Times New Roman"/>
          <w:bCs/>
          <w:noProof/>
          <w:sz w:val="24"/>
          <w:szCs w:val="24"/>
        </w:rPr>
        <w:t>et al.</w:t>
      </w:r>
      <w:r w:rsidRPr="00172CF4">
        <w:rPr>
          <w:rFonts w:ascii="Book Antiqua" w:hAnsi="Book Antiqua" w:cs="Times New Roman"/>
          <w:bCs/>
          <w:noProof/>
          <w:sz w:val="24"/>
          <w:szCs w:val="24"/>
        </w:rPr>
        <w:t>, 2019)</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w:t>
      </w:r>
    </w:p>
    <w:p w14:paraId="74072AB0" w14:textId="77777777" w:rsidR="00DE2CCA" w:rsidRDefault="00DE2CCA" w:rsidP="00DE2CCA">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As one of the world's largest coal exporters, Indonesia </w:t>
      </w:r>
      <w:r>
        <w:rPr>
          <w:rFonts w:ascii="Book Antiqua" w:hAnsi="Book Antiqua" w:cs="Times New Roman"/>
          <w:sz w:val="24"/>
          <w:szCs w:val="24"/>
        </w:rPr>
        <w:t>significantly contributes</w:t>
      </w:r>
      <w:r w:rsidRPr="00172CF4">
        <w:rPr>
          <w:rFonts w:ascii="Book Antiqua" w:hAnsi="Book Antiqua" w:cs="Times New Roman"/>
          <w:sz w:val="24"/>
          <w:szCs w:val="24"/>
        </w:rPr>
        <w:t xml:space="preserve"> to global energy demand. This relationship indicates that Indonesia's coal export policy is </w:t>
      </w:r>
      <w:r>
        <w:rPr>
          <w:rFonts w:ascii="Book Antiqua" w:hAnsi="Book Antiqua" w:cs="Times New Roman"/>
          <w:sz w:val="24"/>
          <w:szCs w:val="24"/>
        </w:rPr>
        <w:t>influenced by domestic demand and</w:t>
      </w:r>
      <w:r w:rsidRPr="00172CF4">
        <w:rPr>
          <w:rFonts w:ascii="Book Antiqua" w:hAnsi="Book Antiqua" w:cs="Times New Roman"/>
          <w:sz w:val="24"/>
          <w:szCs w:val="24"/>
        </w:rPr>
        <w:t xml:space="preserve"> needs to consider international implications. Companies </w:t>
      </w:r>
      <w:r>
        <w:rPr>
          <w:rFonts w:ascii="Book Antiqua" w:hAnsi="Book Antiqua" w:cs="Times New Roman"/>
          <w:sz w:val="24"/>
          <w:szCs w:val="24"/>
        </w:rPr>
        <w:t>must</w:t>
      </w:r>
      <w:r w:rsidRPr="00172CF4">
        <w:rPr>
          <w:rFonts w:ascii="Book Antiqua" w:hAnsi="Book Antiqua" w:cs="Times New Roman"/>
          <w:sz w:val="24"/>
          <w:szCs w:val="24"/>
        </w:rPr>
        <w:t xml:space="preserve"> comply with established policies to maintain order and sustainability in Indonesia's coal mining industry. These policies </w:t>
      </w:r>
      <w:r>
        <w:rPr>
          <w:rFonts w:ascii="Book Antiqua" w:hAnsi="Book Antiqua" w:cs="Times New Roman"/>
          <w:sz w:val="24"/>
          <w:szCs w:val="24"/>
        </w:rPr>
        <w:t>aim to regulate and optimize the management of coal export activities, ensure domestic availability, control the environmental impact of coal mining, maximize benefits to communities, and ensure that export activities align</w:t>
      </w:r>
      <w:r w:rsidRPr="00172CF4">
        <w:rPr>
          <w:rFonts w:ascii="Book Antiqua" w:hAnsi="Book Antiqua" w:cs="Times New Roman"/>
          <w:sz w:val="24"/>
          <w:szCs w:val="24"/>
        </w:rPr>
        <w:t xml:space="preserve"> with national interests and government energy and economic policies.</w:t>
      </w:r>
    </w:p>
    <w:p w14:paraId="0BE9D428" w14:textId="61B241A0" w:rsidR="00DE2CCA" w:rsidRPr="00172CF4" w:rsidRDefault="00DE2CCA" w:rsidP="00DE2CCA">
      <w:pPr>
        <w:spacing w:before="240"/>
        <w:jc w:val="both"/>
        <w:rPr>
          <w:rFonts w:ascii="Book Antiqua" w:hAnsi="Book Antiqua" w:cs="Times New Roman"/>
          <w:sz w:val="24"/>
          <w:szCs w:val="24"/>
        </w:rPr>
      </w:pPr>
      <w:r w:rsidRPr="00172CF4">
        <w:rPr>
          <w:rFonts w:ascii="Book Antiqua" w:hAnsi="Book Antiqua" w:cs="Times New Roman"/>
          <w:b/>
          <w:bCs/>
          <w:sz w:val="24"/>
          <w:szCs w:val="24"/>
        </w:rPr>
        <w:t>Impact of Indonesia’s Coal Export Policy</w:t>
      </w:r>
    </w:p>
    <w:p w14:paraId="1BC4B4C7" w14:textId="77777777" w:rsidR="001B7838" w:rsidRPr="00172CF4" w:rsidRDefault="001B7838" w:rsidP="001B7838">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The influence of Indonesia's coal export policy is creating a wave of change affecting the global market, domestic economic stability and international trade dynamics. Coal export regulations, which include principles such as the Domestic Market Obligation (DMO), have significant economic consequences and interdependencies that require careful consideration. In other words, Indonesia's coal export policy can affect regional and global industrial sectors and the trade balance between domestic needs and international market dynamics. In this </w:t>
      </w:r>
      <w:r w:rsidRPr="00172CF4">
        <w:rPr>
          <w:rFonts w:ascii="Book Antiqua" w:hAnsi="Book Antiqua" w:cs="Times New Roman"/>
          <w:sz w:val="24"/>
          <w:szCs w:val="24"/>
        </w:rPr>
        <w:t xml:space="preserve">regard, coal export policies </w:t>
      </w:r>
      <w:r>
        <w:rPr>
          <w:rFonts w:ascii="Book Antiqua" w:hAnsi="Book Antiqua" w:cs="Times New Roman"/>
          <w:sz w:val="24"/>
          <w:szCs w:val="24"/>
        </w:rPr>
        <w:t>significantly impact</w:t>
      </w:r>
      <w:r w:rsidRPr="00172CF4">
        <w:rPr>
          <w:rFonts w:ascii="Book Antiqua" w:hAnsi="Book Antiqua" w:cs="Times New Roman"/>
          <w:sz w:val="24"/>
          <w:szCs w:val="24"/>
        </w:rPr>
        <w:t xml:space="preserve"> global prices and markets, as coal is a primary energy commodity used by many countries </w:t>
      </w:r>
      <w:r>
        <w:rPr>
          <w:rFonts w:ascii="Book Antiqua" w:hAnsi="Book Antiqua" w:cs="Times New Roman"/>
          <w:sz w:val="24"/>
          <w:szCs w:val="24"/>
        </w:rPr>
        <w:t>worldwide</w:t>
      </w:r>
      <w:r w:rsidRPr="00172CF4">
        <w:rPr>
          <w:rFonts w:ascii="Book Antiqua" w:hAnsi="Book Antiqua" w:cs="Times New Roman"/>
          <w:sz w:val="24"/>
          <w:szCs w:val="24"/>
        </w:rPr>
        <w:t>. In addition, Indonesia's coal export policy also has a significant impact on the environment. Policies that support the intensity of coal mining</w:t>
      </w:r>
      <w:r>
        <w:rPr>
          <w:rFonts w:ascii="Book Antiqua" w:hAnsi="Book Antiqua" w:cs="Times New Roman"/>
          <w:sz w:val="24"/>
          <w:szCs w:val="24"/>
        </w:rPr>
        <w:t xml:space="preserve"> without being balanced by sustainable mining practices can lead to deforestation, land degradation,</w:t>
      </w:r>
      <w:r w:rsidRPr="00172CF4">
        <w:rPr>
          <w:rFonts w:ascii="Book Antiqua" w:hAnsi="Book Antiqua" w:cs="Times New Roman"/>
          <w:sz w:val="24"/>
          <w:szCs w:val="24"/>
        </w:rPr>
        <w:t xml:space="preserve"> and damage to natural habitats.</w:t>
      </w:r>
    </w:p>
    <w:p w14:paraId="6457F9A7" w14:textId="77777777" w:rsidR="001B7838" w:rsidRDefault="001B7838" w:rsidP="001B7838">
      <w:pPr>
        <w:spacing w:after="0"/>
        <w:ind w:firstLine="426"/>
        <w:jc w:val="both"/>
        <w:rPr>
          <w:rFonts w:ascii="Book Antiqua" w:hAnsi="Book Antiqua" w:cs="Times New Roman"/>
          <w:sz w:val="24"/>
          <w:szCs w:val="24"/>
        </w:rPr>
      </w:pPr>
      <w:r w:rsidRPr="00172CF4">
        <w:rPr>
          <w:rFonts w:ascii="Book Antiqua" w:hAnsi="Book Antiqua" w:cs="Times New Roman"/>
          <w:sz w:val="24"/>
          <w:szCs w:val="24"/>
        </w:rPr>
        <w:t xml:space="preserve">According to the basic law of supply, the quantity of goods or services offered increases when the price rises and decreases when the price falls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{"citationItems":[{"id":"ITEM-1","itemData":{"abstract":"penawaran adalah salah satu kekuatan yang mendorong bekerjanya ekonomi pasar. penawaran juga merupakan salah satu faktor yang menentukan beberapa banyak sebuah barang dihaslkan dan berapa atau jasa yang ditawarkan dangan harga .","author":[{"dropping-particle":"","family":"Febianti","given":"Yopi Nisa","non-dropping-particle":"","parse-names":false,"suffix":""}],"container-title":"Jurnal Edunomic","id":"ITEM-1","issue":"1","issued":{"date-parts":[["2015"]]},"page":"159-167","title":"Penawaran Dalam Ekonomi Mikro","type":"article-journal","volume":"3"},"uris":["http://www.mendeley.com/documents/?uuid=2aaa359d-1b05-4e6f-a449-09c90e1d2959"]}],"mendeley":{"formattedCitation":"(Febianti, 2015)","plainTextFormattedCitation":"(Febianti, 2015)","previouslyFormattedCitation":"(Febianti, 2015)"},"properties":{"noteIndex":0},"schema":"https://github.com/citation-style-language/schema/raw/master/csl-citation.json"}</w:instrText>
      </w:r>
      <w:r w:rsidRPr="00172CF4">
        <w:rPr>
          <w:rFonts w:ascii="Book Antiqua" w:hAnsi="Book Antiqua" w:cs="Times New Roman"/>
          <w:bCs/>
          <w:sz w:val="24"/>
          <w:szCs w:val="24"/>
        </w:rPr>
        <w:fldChar w:fldCharType="separate"/>
      </w:r>
      <w:r w:rsidRPr="00F56189">
        <w:rPr>
          <w:rFonts w:ascii="Book Antiqua" w:hAnsi="Book Antiqua" w:cs="Times New Roman"/>
          <w:bCs/>
          <w:noProof/>
          <w:sz w:val="24"/>
          <w:szCs w:val="24"/>
        </w:rPr>
        <w:t>(Febianti, 2015)</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Daniel Situmeang and Arif Setiawan's research shows that Indonesia's coal exports </w:t>
      </w:r>
      <w:r>
        <w:rPr>
          <w:rFonts w:ascii="Book Antiqua" w:hAnsi="Book Antiqua" w:cs="Times New Roman"/>
          <w:sz w:val="24"/>
          <w:szCs w:val="24"/>
        </w:rPr>
        <w:t>positively impacted</w:t>
      </w:r>
      <w:r w:rsidRPr="00172CF4">
        <w:rPr>
          <w:rFonts w:ascii="Book Antiqua" w:hAnsi="Book Antiqua" w:cs="Times New Roman"/>
          <w:sz w:val="24"/>
          <w:szCs w:val="24"/>
        </w:rPr>
        <w:t xml:space="preserve"> the coal price in 2018-2020, while coal production </w:t>
      </w:r>
      <w:r>
        <w:rPr>
          <w:rFonts w:ascii="Book Antiqua" w:hAnsi="Book Antiqua" w:cs="Times New Roman"/>
          <w:sz w:val="24"/>
          <w:szCs w:val="24"/>
        </w:rPr>
        <w:t>harms</w:t>
      </w:r>
      <w:r w:rsidRPr="00172CF4">
        <w:rPr>
          <w:rFonts w:ascii="Book Antiqua" w:hAnsi="Book Antiqua" w:cs="Times New Roman"/>
          <w:sz w:val="24"/>
          <w:szCs w:val="24"/>
        </w:rPr>
        <w:t xml:space="preserve"> the coal price, although not significant </w:t>
      </w:r>
      <w:r w:rsidRPr="00172CF4">
        <w:rPr>
          <w:rFonts w:ascii="Book Antiqua" w:hAnsi="Book Antiqua" w:cs="Times New Roman"/>
          <w:bCs/>
          <w:sz w:val="24"/>
          <w:szCs w:val="24"/>
        </w:rPr>
        <w:fldChar w:fldCharType="begin" w:fldLock="1"/>
      </w:r>
      <w:r>
        <w:rPr>
          <w:rFonts w:ascii="Book Antiqua" w:hAnsi="Book Antiqua" w:cs="Times New Roman"/>
          <w:bCs/>
          <w:sz w:val="24"/>
          <w:szCs w:val="24"/>
        </w:rPr>
        <w:instrText>ADDIN CSL_CITATION {"citationItems":[{"id":"ITEM-1","itemData":{"author":[{"dropping-particle":"","family":"Situmeang","given":"Daniel Pardamean","non-dropping-particle":"","parse-names":false,"suffix":""},{"dropping-particle":"","family":"Setiawan","given":"Arif","non-dropping-particle":"","parse-names":false,"suffix":""}],"container-title":"INTAN Jurnal Penelitian Tambang","id":"ITEM-1","issued":{"date-parts":[["2022"]]},"page":"61-68","title":"Pengaruh Ekspor Dan Produksi Terhadap Harga Batubara Indonesia Pada Tahun 2018-2020","type":"article-journal","volume":"5"},"uris":["http://www.mendeley.com/documents/?uuid=199367c4-5091-456a-a483-615be4e5eb4f"]}],"mendeley":{"formattedCitation":"(Situmeang &amp; Setiawan, 2022)","manualFormatting":"(Situmeang et al., 2022)","plainTextFormattedCitation":"(Situmeang &amp; Setiawan, 2022)","previouslyFormattedCitation":"(Situmeang &amp; Setiawan, 2022)"},"properties":{"noteIndex":0},"schema":"https://github.com/citation-style-language/schema/raw/master/csl-citation.json"}</w:instrText>
      </w:r>
      <w:r w:rsidRPr="00172CF4">
        <w:rPr>
          <w:rFonts w:ascii="Book Antiqua" w:hAnsi="Book Antiqua" w:cs="Times New Roman"/>
          <w:bCs/>
          <w:sz w:val="24"/>
          <w:szCs w:val="24"/>
        </w:rPr>
        <w:fldChar w:fldCharType="separate"/>
      </w:r>
      <w:r w:rsidRPr="00172CF4">
        <w:rPr>
          <w:rFonts w:ascii="Book Antiqua" w:hAnsi="Book Antiqua" w:cs="Times New Roman"/>
          <w:bCs/>
          <w:noProof/>
          <w:sz w:val="24"/>
          <w:szCs w:val="24"/>
        </w:rPr>
        <w:t>(Situmeang et al., 2022)</w:t>
      </w:r>
      <w:r w:rsidRPr="00172CF4">
        <w:rPr>
          <w:rFonts w:ascii="Book Antiqua" w:hAnsi="Book Antiqua" w:cs="Times New Roman"/>
          <w:bCs/>
          <w:sz w:val="24"/>
          <w:szCs w:val="24"/>
        </w:rPr>
        <w:fldChar w:fldCharType="end"/>
      </w:r>
      <w:r w:rsidRPr="00172CF4">
        <w:rPr>
          <w:rFonts w:ascii="Book Antiqua" w:hAnsi="Book Antiqua" w:cs="Times New Roman"/>
          <w:bCs/>
          <w:sz w:val="24"/>
          <w:szCs w:val="24"/>
        </w:rPr>
        <w:t xml:space="preserve">.  </w:t>
      </w:r>
      <w:r w:rsidRPr="00172CF4">
        <w:rPr>
          <w:rFonts w:ascii="Book Antiqua" w:hAnsi="Book Antiqua" w:cs="Times New Roman"/>
          <w:sz w:val="24"/>
          <w:szCs w:val="24"/>
        </w:rPr>
        <w:t xml:space="preserve">In other words, an increase in the international coal price </w:t>
      </w:r>
      <w:r>
        <w:rPr>
          <w:rFonts w:ascii="Book Antiqua" w:hAnsi="Book Antiqua" w:cs="Times New Roman"/>
          <w:sz w:val="24"/>
          <w:szCs w:val="24"/>
        </w:rPr>
        <w:t>positively impacts</w:t>
      </w:r>
      <w:r w:rsidRPr="00172CF4">
        <w:rPr>
          <w:rFonts w:ascii="Book Antiqua" w:hAnsi="Book Antiqua" w:cs="Times New Roman"/>
          <w:sz w:val="24"/>
          <w:szCs w:val="24"/>
        </w:rPr>
        <w:t xml:space="preserve"> coal exports to destination countries. Therefore, if the government implements an export restriction policy, such as the Domestic Market Obligation (DMO), it can reduce the supply of coal available for export. </w:t>
      </w:r>
      <w:r>
        <w:rPr>
          <w:rFonts w:ascii="Book Antiqua" w:hAnsi="Book Antiqua" w:cs="Times New Roman"/>
          <w:sz w:val="24"/>
          <w:szCs w:val="24"/>
        </w:rPr>
        <w:t>Reducing availability on the international market</w:t>
      </w:r>
      <w:r w:rsidRPr="00172CF4">
        <w:rPr>
          <w:rFonts w:ascii="Book Antiqua" w:hAnsi="Book Antiqua" w:cs="Times New Roman"/>
          <w:sz w:val="24"/>
          <w:szCs w:val="24"/>
        </w:rPr>
        <w:t xml:space="preserve"> can put pressure on coal prices. Export restrictions can change the </w:t>
      </w:r>
      <w:r>
        <w:rPr>
          <w:rFonts w:ascii="Book Antiqua" w:hAnsi="Book Antiqua" w:cs="Times New Roman"/>
          <w:sz w:val="24"/>
          <w:szCs w:val="24"/>
        </w:rPr>
        <w:t>coal market's balance between supply and demand</w:t>
      </w:r>
      <w:r w:rsidRPr="00172CF4">
        <w:rPr>
          <w:rFonts w:ascii="Book Antiqua" w:hAnsi="Book Antiqua" w:cs="Times New Roman"/>
          <w:sz w:val="24"/>
          <w:szCs w:val="24"/>
        </w:rPr>
        <w:t xml:space="preserve">. If supply falls while demand remains high, this can </w:t>
      </w:r>
      <w:r>
        <w:rPr>
          <w:rFonts w:ascii="Book Antiqua" w:hAnsi="Book Antiqua" w:cs="Times New Roman"/>
          <w:sz w:val="24"/>
          <w:szCs w:val="24"/>
        </w:rPr>
        <w:t>pressure</w:t>
      </w:r>
      <w:r w:rsidRPr="00172CF4">
        <w:rPr>
          <w:rFonts w:ascii="Book Antiqua" w:hAnsi="Book Antiqua" w:cs="Times New Roman"/>
          <w:sz w:val="24"/>
          <w:szCs w:val="24"/>
        </w:rPr>
        <w:t xml:space="preserve"> prices.</w:t>
      </w:r>
    </w:p>
    <w:p w14:paraId="1E1160D3" w14:textId="77777777" w:rsidR="001B7838" w:rsidRDefault="001B7838" w:rsidP="001B7838">
      <w:pPr>
        <w:spacing w:after="0"/>
        <w:ind w:firstLine="426"/>
        <w:jc w:val="both"/>
        <w:rPr>
          <w:rFonts w:ascii="Times New Roman" w:hAnsi="Times New Roman" w:cs="Times New Roman"/>
          <w:bCs/>
          <w:sz w:val="24"/>
          <w:szCs w:val="24"/>
        </w:rPr>
      </w:pPr>
      <w:r w:rsidRPr="00621EBD">
        <w:rPr>
          <w:rFonts w:ascii="Book Antiqua" w:hAnsi="Book Antiqua" w:cs="Times New Roman"/>
          <w:sz w:val="24"/>
          <w:szCs w:val="24"/>
        </w:rPr>
        <w:t xml:space="preserve">Coal exports are a major source of foreign exchange earnings for Indonesia. </w:t>
      </w:r>
      <w:r>
        <w:rPr>
          <w:rFonts w:ascii="Book Antiqua" w:hAnsi="Book Antiqua" w:cs="Times New Roman"/>
          <w:sz w:val="24"/>
          <w:szCs w:val="24"/>
        </w:rPr>
        <w:t>The country can earn foreign exchange by selling coal on the international market</w:t>
      </w:r>
      <w:r w:rsidRPr="00621EBD">
        <w:rPr>
          <w:rFonts w:ascii="Book Antiqua" w:hAnsi="Book Antiqua" w:cs="Times New Roman"/>
          <w:sz w:val="24"/>
          <w:szCs w:val="24"/>
        </w:rPr>
        <w:t>, i.e.</w:t>
      </w:r>
      <w:r>
        <w:rPr>
          <w:rFonts w:ascii="Book Antiqua" w:hAnsi="Book Antiqua" w:cs="Times New Roman"/>
          <w:sz w:val="24"/>
          <w:szCs w:val="24"/>
        </w:rPr>
        <w:t>,</w:t>
      </w:r>
      <w:r w:rsidRPr="00621EBD">
        <w:rPr>
          <w:rFonts w:ascii="Book Antiqua" w:hAnsi="Book Antiqua" w:cs="Times New Roman"/>
          <w:sz w:val="24"/>
          <w:szCs w:val="24"/>
        </w:rPr>
        <w:t xml:space="preserve"> foreign currency from export earnings. These foreign exchange earnings contribute </w:t>
      </w:r>
      <w:r w:rsidRPr="00621EBD">
        <w:rPr>
          <w:rFonts w:ascii="Book Antiqua" w:hAnsi="Book Antiqua" w:cs="Times New Roman"/>
          <w:sz w:val="24"/>
          <w:szCs w:val="24"/>
        </w:rPr>
        <w:lastRenderedPageBreak/>
        <w:t xml:space="preserve">significantly to the trade balance, strengthen the country's </w:t>
      </w:r>
      <w:r>
        <w:rPr>
          <w:rFonts w:ascii="Book Antiqua" w:hAnsi="Book Antiqua" w:cs="Times New Roman"/>
          <w:sz w:val="24"/>
          <w:szCs w:val="24"/>
        </w:rPr>
        <w:t>position,</w:t>
      </w:r>
      <w:r w:rsidRPr="00621EBD">
        <w:rPr>
          <w:rFonts w:ascii="Book Antiqua" w:hAnsi="Book Antiqua" w:cs="Times New Roman"/>
          <w:sz w:val="24"/>
          <w:szCs w:val="24"/>
        </w:rPr>
        <w:t xml:space="preserve"> and support national economic stability. Indonesia's average annual coal export volume </w:t>
      </w:r>
      <w:r>
        <w:rPr>
          <w:rFonts w:ascii="Book Antiqua" w:hAnsi="Book Antiqua" w:cs="Times New Roman"/>
          <w:sz w:val="24"/>
          <w:szCs w:val="24"/>
        </w:rPr>
        <w:t>from</w:t>
      </w:r>
      <w:r w:rsidRPr="00621EBD">
        <w:rPr>
          <w:rFonts w:ascii="Book Antiqua" w:hAnsi="Book Antiqua" w:cs="Times New Roman"/>
          <w:sz w:val="24"/>
          <w:szCs w:val="24"/>
        </w:rPr>
        <w:t xml:space="preserve"> 2002-2020 was 9.31%, with foreign exchange growth of 8.95% per year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{"citationItems":[{"id":"ITEM-1","itemData":{"author":[{"dropping-particle":"","family":"Azissa","given":"Syuluki","non-dropping-particle":"","parse-names":false,"suffix":""}],"id":"ITEM-1","issued":{"date-parts":[["2022"]]},"publisher-place":"Jambi","title":"Analisis Pengaruh Ekspor Batu Bara Terhadap Devisa di Indoneisa","type":"report"},"uris":["http://www.mendeley.com/documents/?uuid=2688b7ea-6025-4e12-8b2f-a71c94fb0cd7"]}],"mendeley":{"formattedCitation":"(Azissa, 2022)","manualFormatting":"(Azissa, Syuluki, 2022)","plainTextFormattedCitation":"(Azissa, 2022)","previouslyFormattedCitation":"(Azissa, 2022)"},"properties":{"noteIndex":0},"schema":"https://github.com/citation-style-language/schema/raw/master/csl-citation.json"}</w:instrText>
      </w:r>
      <w:r>
        <w:rPr>
          <w:rFonts w:ascii="Times New Roman" w:hAnsi="Times New Roman" w:cs="Times New Roman"/>
          <w:bCs/>
          <w:sz w:val="24"/>
          <w:szCs w:val="24"/>
        </w:rPr>
        <w:fldChar w:fldCharType="separate"/>
      </w:r>
      <w:r w:rsidRPr="005479DE">
        <w:rPr>
          <w:rFonts w:ascii="Times New Roman" w:hAnsi="Times New Roman" w:cs="Times New Roman"/>
          <w:bCs/>
          <w:noProof/>
          <w:sz w:val="24"/>
          <w:szCs w:val="24"/>
        </w:rPr>
        <w:t>(Azissa,</w:t>
      </w:r>
      <w:r>
        <w:rPr>
          <w:rFonts w:ascii="Times New Roman" w:hAnsi="Times New Roman" w:cs="Times New Roman"/>
          <w:bCs/>
          <w:noProof/>
          <w:sz w:val="24"/>
          <w:szCs w:val="24"/>
        </w:rPr>
        <w:t xml:space="preserve"> Syuluki,</w:t>
      </w:r>
      <w:r w:rsidRPr="005479DE">
        <w:rPr>
          <w:rFonts w:ascii="Times New Roman" w:hAnsi="Times New Roman" w:cs="Times New Roman"/>
          <w:bCs/>
          <w:noProof/>
          <w:sz w:val="24"/>
          <w:szCs w:val="24"/>
        </w:rPr>
        <w:t xml:space="preserve"> 2022)</w:t>
      </w:r>
      <w:r>
        <w:rPr>
          <w:rFonts w:ascii="Times New Roman" w:hAnsi="Times New Roman" w:cs="Times New Roman"/>
          <w:bCs/>
          <w:sz w:val="24"/>
          <w:szCs w:val="24"/>
        </w:rPr>
        <w:fldChar w:fldCharType="end"/>
      </w:r>
      <w:r w:rsidRPr="005479DE">
        <w:rPr>
          <w:rFonts w:ascii="Times New Roman" w:hAnsi="Times New Roman" w:cs="Times New Roman"/>
          <w:bCs/>
          <w:sz w:val="24"/>
          <w:szCs w:val="24"/>
        </w:rPr>
        <w:t>.</w:t>
      </w:r>
      <w:r>
        <w:rPr>
          <w:rFonts w:ascii="Times New Roman" w:hAnsi="Times New Roman" w:cs="Times New Roman"/>
          <w:bCs/>
          <w:sz w:val="24"/>
          <w:szCs w:val="24"/>
        </w:rPr>
        <w:t xml:space="preserve"> </w:t>
      </w:r>
      <w:r w:rsidRPr="00621EBD">
        <w:rPr>
          <w:rFonts w:ascii="Book Antiqua" w:hAnsi="Book Antiqua" w:cs="Times New Roman"/>
          <w:sz w:val="24"/>
          <w:szCs w:val="24"/>
        </w:rPr>
        <w:t xml:space="preserve">This means that </w:t>
      </w:r>
      <w:r>
        <w:rPr>
          <w:rFonts w:ascii="Book Antiqua" w:hAnsi="Book Antiqua" w:cs="Times New Roman"/>
          <w:sz w:val="24"/>
          <w:szCs w:val="24"/>
        </w:rPr>
        <w:t xml:space="preserve">the </w:t>
      </w:r>
      <w:r w:rsidRPr="00621EBD">
        <w:rPr>
          <w:rFonts w:ascii="Book Antiqua" w:hAnsi="Book Antiqua" w:cs="Times New Roman"/>
          <w:sz w:val="24"/>
          <w:szCs w:val="24"/>
        </w:rPr>
        <w:t xml:space="preserve">coal export policy </w:t>
      </w:r>
      <w:r>
        <w:rPr>
          <w:rFonts w:ascii="Book Antiqua" w:hAnsi="Book Antiqua" w:cs="Times New Roman"/>
          <w:sz w:val="24"/>
          <w:szCs w:val="24"/>
        </w:rPr>
        <w:t>significantly impacts</w:t>
      </w:r>
      <w:r w:rsidRPr="00621EBD">
        <w:rPr>
          <w:rFonts w:ascii="Book Antiqua" w:hAnsi="Book Antiqua" w:cs="Times New Roman"/>
          <w:sz w:val="24"/>
          <w:szCs w:val="24"/>
        </w:rPr>
        <w:t xml:space="preserve"> the country's foreign exchange, as coal is one of Indonesia's main export commodities that contributes significantly to foreign exchange earnings. Foreign exchange earnings from coal exports contribute to a surplus in the trade balance. This surplus indicates that the value of exports is greater than imports, </w:t>
      </w:r>
      <w:r>
        <w:rPr>
          <w:rFonts w:ascii="Book Antiqua" w:hAnsi="Book Antiqua" w:cs="Times New Roman"/>
          <w:sz w:val="24"/>
          <w:szCs w:val="24"/>
        </w:rPr>
        <w:t>increasing</w:t>
      </w:r>
      <w:r w:rsidRPr="00621EBD">
        <w:rPr>
          <w:rFonts w:ascii="Book Antiqua" w:hAnsi="Book Antiqua" w:cs="Times New Roman"/>
          <w:sz w:val="24"/>
          <w:szCs w:val="24"/>
        </w:rPr>
        <w:t xml:space="preserve"> foreign exchange reserves and strengthening the country's financial position. Thus, the coal export policy becomes a key element in managing the country's foreign exchange earnings and maintaining the balance of the national economy. However, the government's ban on coal exports at the beginning of 2022 has led to a decline in the country's foreign exchange earnings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{"citationItems":[{"id":"ITEM-1","itemData":{"URL":"https://www.dpr.go.id/berita/detail/id/36777/t/Said Abdullah: Larangan Ekspor Batu Bara Berdampak Turunnya Devisa Negara","author":[{"dropping-particle":"","family":"DPR RI","given":"","non-dropping-particle":"","parse-names":false,"suffix":""}],"container-title":"Dewan Perwakilan Rakyat Republik Indonesia","id":"ITEM-1","issued":{"date-parts":[["2022"]]},"title":"Abdullah: Larangan Ekspor Batu Bara Berdampak Turunnya Devisa Negara","type":"webpage"},"uris":["http://www.mendeley.com/documents/?uuid=c22dfe2f-4b93-450e-b472-48bb01b5b65c"]}],"mendeley":{"formattedCitation":"(DPR RI, 2022)","plainTextFormattedCitation":"(DPR RI, 2022)","previouslyFormattedCitation":"(DPR RI, 2022)"},"properties":{"noteIndex":0},"schema":"https://github.com/citation-style-language/schema/raw/master/csl-citation.json"}</w:instrText>
      </w:r>
      <w:r>
        <w:rPr>
          <w:rFonts w:ascii="Times New Roman" w:hAnsi="Times New Roman" w:cs="Times New Roman"/>
          <w:bCs/>
          <w:sz w:val="24"/>
          <w:szCs w:val="24"/>
        </w:rPr>
        <w:fldChar w:fldCharType="separate"/>
      </w:r>
      <w:r w:rsidRPr="00F56189">
        <w:rPr>
          <w:rFonts w:ascii="Times New Roman" w:hAnsi="Times New Roman" w:cs="Times New Roman"/>
          <w:bCs/>
          <w:noProof/>
          <w:sz w:val="24"/>
          <w:szCs w:val="24"/>
        </w:rPr>
        <w:t>(DPR RI, 2022)</w:t>
      </w:r>
      <w:r>
        <w:rPr>
          <w:rFonts w:ascii="Times New Roman" w:hAnsi="Times New Roman" w:cs="Times New Roman"/>
          <w:bCs/>
          <w:sz w:val="24"/>
          <w:szCs w:val="24"/>
        </w:rPr>
        <w:fldChar w:fldCharType="end"/>
      </w:r>
      <w:r w:rsidRPr="005479DE">
        <w:rPr>
          <w:rFonts w:ascii="Times New Roman" w:hAnsi="Times New Roman" w:cs="Times New Roman"/>
          <w:bCs/>
          <w:sz w:val="24"/>
          <w:szCs w:val="24"/>
        </w:rPr>
        <w:t>.</w:t>
      </w:r>
    </w:p>
    <w:p w14:paraId="1BBC3A5F" w14:textId="77777777" w:rsidR="001B7838" w:rsidRDefault="001B7838" w:rsidP="001B7838">
      <w:pPr>
        <w:spacing w:after="0"/>
        <w:ind w:firstLine="426"/>
        <w:jc w:val="both"/>
        <w:rPr>
          <w:rFonts w:ascii="Book Antiqua" w:hAnsi="Book Antiqua" w:cs="Times New Roman"/>
          <w:sz w:val="24"/>
          <w:szCs w:val="24"/>
        </w:rPr>
      </w:pPr>
      <w:r w:rsidRPr="004E08B5">
        <w:rPr>
          <w:rFonts w:ascii="Book Antiqua" w:hAnsi="Book Antiqua" w:cs="Times New Roman"/>
          <w:sz w:val="24"/>
          <w:szCs w:val="24"/>
        </w:rPr>
        <w:t xml:space="preserve">In addition to the impact of export policies on coal production, international coal prices and the country's foreign exchange earnings, inappropriate coal management can have environmental consequences. Coal export policies affect the environment by determining the level of exploitation of natural resources, the mining methods used, the impact of pollution and the damage to natural habitats caused by coal mining and transport activities. </w:t>
      </w:r>
      <w:r>
        <w:rPr>
          <w:rFonts w:ascii="Book Antiqua" w:hAnsi="Book Antiqua" w:cs="Times New Roman"/>
          <w:sz w:val="24"/>
          <w:szCs w:val="24"/>
        </w:rPr>
        <w:t>Coal</w:t>
      </w:r>
      <w:r w:rsidRPr="004E08B5">
        <w:rPr>
          <w:rFonts w:ascii="Book Antiqua" w:hAnsi="Book Antiqua" w:cs="Times New Roman"/>
          <w:sz w:val="24"/>
          <w:szCs w:val="24"/>
        </w:rPr>
        <w:t xml:space="preserve"> mining produces hazardous metals and metalloids in high concentrations that </w:t>
      </w:r>
      <w:r>
        <w:rPr>
          <w:rFonts w:ascii="Book Antiqua" w:hAnsi="Book Antiqua" w:cs="Times New Roman"/>
          <w:sz w:val="24"/>
          <w:szCs w:val="24"/>
        </w:rPr>
        <w:t>harm</w:t>
      </w:r>
      <w:r w:rsidRPr="004E08B5">
        <w:rPr>
          <w:rFonts w:ascii="Book Antiqua" w:hAnsi="Book Antiqua" w:cs="Times New Roman"/>
          <w:sz w:val="24"/>
          <w:szCs w:val="24"/>
        </w:rPr>
        <w:t xml:space="preserve"> the environment. The significant amount of waste generated by certain coal mining </w:t>
      </w:r>
      <w:r w:rsidRPr="004E08B5">
        <w:rPr>
          <w:rFonts w:ascii="Book Antiqua" w:hAnsi="Book Antiqua" w:cs="Times New Roman"/>
          <w:sz w:val="24"/>
          <w:szCs w:val="24"/>
        </w:rPr>
        <w:t xml:space="preserve">activities in coal mining areas can harm the surrounding environment if not properly managed. Inadequate waste management can </w:t>
      </w:r>
      <w:r>
        <w:rPr>
          <w:rFonts w:ascii="Book Antiqua" w:hAnsi="Book Antiqua" w:cs="Times New Roman"/>
          <w:sz w:val="24"/>
          <w:szCs w:val="24"/>
        </w:rPr>
        <w:t>harm</w:t>
      </w:r>
      <w:r w:rsidRPr="004E08B5">
        <w:rPr>
          <w:rFonts w:ascii="Book Antiqua" w:hAnsi="Book Antiqua" w:cs="Times New Roman"/>
          <w:sz w:val="24"/>
          <w:szCs w:val="24"/>
        </w:rPr>
        <w:t xml:space="preserve"> soil, water</w:t>
      </w:r>
      <w:r>
        <w:rPr>
          <w:rFonts w:ascii="Book Antiqua" w:hAnsi="Book Antiqua" w:cs="Times New Roman"/>
          <w:sz w:val="24"/>
          <w:szCs w:val="24"/>
        </w:rPr>
        <w:t>, and air and potentially affect</w:t>
      </w:r>
      <w:r w:rsidRPr="004E08B5">
        <w:rPr>
          <w:rFonts w:ascii="Book Antiqua" w:hAnsi="Book Antiqua" w:cs="Times New Roman"/>
          <w:sz w:val="24"/>
          <w:szCs w:val="24"/>
        </w:rPr>
        <w:t xml:space="preserve"> the quality of life of communities surrounding mining areas. Adverse impacts should be identified at the planning stage so that corrective action can be taken in advance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{"citationItems":[{"id":"ITEM-1","itemData":{"DOI":"10.13187/er.2015.92.185","ISSN":"22198229","abstract":"Coal mining adversely affects the ecosystem as a whole. On the unstable earth, the unresting mankind constantly uses a variety of resources for daily lives. Coal is recognized to have been the main source of energy in India for many decades and contributes to nearly 27 % of the world's commercial energy requirement. Coal is mainly mined using two methods-surface or ‗opencast' and underground mining. The geological condition determines the method of mining. Coal mining is usually associated with the degradation of natural resources and the destruction of habitat. This causes invasive species to occupy the area, thus posing a threat to biodiversity. Huge quantities of waste material are produced by several mining activities in the coal mining region. If proper care is not taken for waste disposal, mining will degrade the surrounding environment. The method of waste disposal affects land, water and air and in turns the quality of life of the people in the adjacent areas. This paper throws lights on the burning issues of coal mines and its impact on the environment.","author":[{"dropping-particle":"","family":"Goswami","given":"Sribas","non-dropping-particle":"","parse-names":false,"suffix":""}],"container-title":"European Researcher","id":"ITEM-1","issue":"3","issued":{"date-parts":[["2015"]]},"page":"185-196","title":"Impact of Coal Mining on Environment","type":"article-journal","volume":"92"},"uris":["http://www.mendeley.com/documents/?uuid=651dcee0-c675-4871-b7ab-6319f93f212c"]}],"mendeley":{"formattedCitation":"(Goswami, 2015)","plainTextFormattedCitation":"(Goswami, 2015)","previouslyFormattedCitation":"(Goswami, 2015)"},"properties":{"noteIndex":0},"schema":"https://github.com/citation-style-language/schema/raw/master/csl-citation.json"}</w:instrText>
      </w:r>
      <w:r>
        <w:rPr>
          <w:rFonts w:ascii="Times New Roman" w:hAnsi="Times New Roman" w:cs="Times New Roman"/>
          <w:bCs/>
          <w:sz w:val="24"/>
          <w:szCs w:val="24"/>
        </w:rPr>
        <w:fldChar w:fldCharType="separate"/>
      </w:r>
      <w:r w:rsidRPr="00F56189">
        <w:rPr>
          <w:rFonts w:ascii="Times New Roman" w:hAnsi="Times New Roman" w:cs="Times New Roman"/>
          <w:bCs/>
          <w:noProof/>
          <w:sz w:val="24"/>
          <w:szCs w:val="24"/>
        </w:rPr>
        <w:t>(Goswami, 2015)</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Pr="004E08B5">
        <w:rPr>
          <w:rFonts w:ascii="Book Antiqua" w:hAnsi="Book Antiqua" w:cs="Times New Roman"/>
          <w:sz w:val="24"/>
          <w:szCs w:val="24"/>
        </w:rPr>
        <w:t xml:space="preserve">In this case, the Indonesian government's coal phase-out policy </w:t>
      </w:r>
      <w:r>
        <w:rPr>
          <w:rFonts w:ascii="Book Antiqua" w:hAnsi="Book Antiqua" w:cs="Times New Roman"/>
          <w:sz w:val="24"/>
          <w:szCs w:val="24"/>
        </w:rPr>
        <w:t>positively impacts</w:t>
      </w:r>
      <w:r w:rsidRPr="004E08B5">
        <w:rPr>
          <w:rFonts w:ascii="Book Antiqua" w:hAnsi="Book Antiqua" w:cs="Times New Roman"/>
          <w:sz w:val="24"/>
          <w:szCs w:val="24"/>
        </w:rPr>
        <w:t xml:space="preserve"> the scale of production and mining activities. If coal exports are restricted or stopped, domestic coal production can be reduced, </w:t>
      </w:r>
      <w:r>
        <w:rPr>
          <w:rFonts w:ascii="Book Antiqua" w:hAnsi="Book Antiqua" w:cs="Times New Roman"/>
          <w:sz w:val="24"/>
          <w:szCs w:val="24"/>
        </w:rPr>
        <w:t>reducing</w:t>
      </w:r>
      <w:r w:rsidRPr="004E08B5">
        <w:rPr>
          <w:rFonts w:ascii="Book Antiqua" w:hAnsi="Book Antiqua" w:cs="Times New Roman"/>
          <w:sz w:val="24"/>
          <w:szCs w:val="24"/>
        </w:rPr>
        <w:t xml:space="preserve"> the environmental impacts </w:t>
      </w:r>
      <w:r>
        <w:rPr>
          <w:rFonts w:ascii="Book Antiqua" w:hAnsi="Book Antiqua" w:cs="Times New Roman"/>
          <w:sz w:val="24"/>
          <w:szCs w:val="24"/>
        </w:rPr>
        <w:t>of</w:t>
      </w:r>
      <w:r w:rsidRPr="004E08B5">
        <w:rPr>
          <w:rFonts w:ascii="Book Antiqua" w:hAnsi="Book Antiqua" w:cs="Times New Roman"/>
          <w:sz w:val="24"/>
          <w:szCs w:val="24"/>
        </w:rPr>
        <w:t xml:space="preserve"> mining activities, such as deforestation, land degradation and water pollution. Ending the export policy can also be accompanied by incentives or support for investment in clean and environmentally friendly energy. This may include increased investment in renewable energy and clean technologies, which </w:t>
      </w:r>
      <w:r>
        <w:rPr>
          <w:rFonts w:ascii="Book Antiqua" w:hAnsi="Book Antiqua" w:cs="Times New Roman"/>
          <w:sz w:val="24"/>
          <w:szCs w:val="24"/>
        </w:rPr>
        <w:t>can potentially</w:t>
      </w:r>
      <w:r w:rsidRPr="004E08B5">
        <w:rPr>
          <w:rFonts w:ascii="Book Antiqua" w:hAnsi="Book Antiqua" w:cs="Times New Roman"/>
          <w:sz w:val="24"/>
          <w:szCs w:val="24"/>
        </w:rPr>
        <w:t xml:space="preserve"> reduce the </w:t>
      </w:r>
      <w:r>
        <w:rPr>
          <w:rFonts w:ascii="Book Antiqua" w:hAnsi="Book Antiqua" w:cs="Times New Roman"/>
          <w:sz w:val="24"/>
          <w:szCs w:val="24"/>
        </w:rPr>
        <w:t>energy sector's environmental impact</w:t>
      </w:r>
      <w:r w:rsidRPr="004E08B5">
        <w:rPr>
          <w:rFonts w:ascii="Book Antiqua" w:hAnsi="Book Antiqua" w:cs="Times New Roman"/>
          <w:sz w:val="24"/>
          <w:szCs w:val="24"/>
        </w:rPr>
        <w:t>.</w:t>
      </w:r>
    </w:p>
    <w:p w14:paraId="1F181F70" w14:textId="77777777" w:rsidR="001B7838" w:rsidRDefault="001B7838" w:rsidP="001B7838">
      <w:pPr>
        <w:spacing w:after="0"/>
        <w:ind w:firstLine="426"/>
        <w:jc w:val="both"/>
        <w:rPr>
          <w:rFonts w:ascii="Book Antiqua" w:hAnsi="Book Antiqua" w:cs="Times New Roman"/>
          <w:sz w:val="24"/>
          <w:szCs w:val="24"/>
        </w:rPr>
      </w:pPr>
      <w:r>
        <w:rPr>
          <w:rFonts w:ascii="Book Antiqua" w:hAnsi="Book Antiqua" w:cs="Times New Roman"/>
          <w:sz w:val="24"/>
          <w:szCs w:val="24"/>
        </w:rPr>
        <w:t>Analyzing</w:t>
      </w:r>
      <w:r w:rsidRPr="00060B5D">
        <w:rPr>
          <w:rFonts w:ascii="Book Antiqua" w:hAnsi="Book Antiqua" w:cs="Times New Roman"/>
          <w:sz w:val="24"/>
          <w:szCs w:val="24"/>
        </w:rPr>
        <w:t xml:space="preserve"> policy impacts on Indonesia's coal exports highlights the complexity of economic, environmental and political dynamics. Decisions on coal exports have significant implications for the foreign exchange sector, compliance with the Domestic Market Obligation (DMO), and environmental impacts. As part of economic policy, a broader perspective and holistic approach is needed to formulate balanced policies that deliver economic benefits while minimi</w:t>
      </w:r>
      <w:r>
        <w:rPr>
          <w:rFonts w:ascii="Book Antiqua" w:hAnsi="Book Antiqua" w:cs="Times New Roman"/>
          <w:sz w:val="24"/>
          <w:szCs w:val="24"/>
        </w:rPr>
        <w:t>z</w:t>
      </w:r>
      <w:r w:rsidRPr="00060B5D">
        <w:rPr>
          <w:rFonts w:ascii="Book Antiqua" w:hAnsi="Book Antiqua" w:cs="Times New Roman"/>
          <w:sz w:val="24"/>
          <w:szCs w:val="24"/>
        </w:rPr>
        <w:t xml:space="preserve">ing negative environmental impacts. Therefore, cooperation between government, mining companies and the community is essential to </w:t>
      </w:r>
      <w:r>
        <w:rPr>
          <w:rFonts w:ascii="Book Antiqua" w:hAnsi="Book Antiqua" w:cs="Times New Roman"/>
          <w:sz w:val="24"/>
          <w:szCs w:val="24"/>
        </w:rPr>
        <w:t>balance</w:t>
      </w:r>
      <w:r w:rsidRPr="00060B5D">
        <w:rPr>
          <w:rFonts w:ascii="Book Antiqua" w:hAnsi="Book Antiqua" w:cs="Times New Roman"/>
          <w:sz w:val="24"/>
          <w:szCs w:val="24"/>
        </w:rPr>
        <w:t xml:space="preserve"> economic growth and environmental protection. </w:t>
      </w:r>
      <w:r w:rsidRPr="00060B5D">
        <w:rPr>
          <w:rFonts w:ascii="Book Antiqua" w:hAnsi="Book Antiqua" w:cs="Times New Roman"/>
          <w:sz w:val="24"/>
          <w:szCs w:val="24"/>
        </w:rPr>
        <w:lastRenderedPageBreak/>
        <w:t xml:space="preserve">Effective regulation, implementation of technological innovation and awareness of environmental impacts are key factors in ensuring that the coal industry can </w:t>
      </w:r>
      <w:r>
        <w:rPr>
          <w:rFonts w:ascii="Book Antiqua" w:hAnsi="Book Antiqua" w:cs="Times New Roman"/>
          <w:sz w:val="24"/>
          <w:szCs w:val="24"/>
        </w:rPr>
        <w:t>sustainably contribute to Indonesia's development</w:t>
      </w:r>
      <w:r w:rsidRPr="00060B5D">
        <w:rPr>
          <w:rFonts w:ascii="Book Antiqua" w:hAnsi="Book Antiqua" w:cs="Times New Roman"/>
          <w:sz w:val="24"/>
          <w:szCs w:val="24"/>
        </w:rPr>
        <w:t>.</w:t>
      </w:r>
    </w:p>
    <w:p w14:paraId="2D8CCDEA" w14:textId="77777777" w:rsidR="008B5BF3" w:rsidRDefault="008B5BF3">
      <w:pPr>
        <w:spacing w:after="0" w:line="240" w:lineRule="auto"/>
        <w:jc w:val="both"/>
        <w:rPr>
          <w:rFonts w:ascii="Book Antiqua" w:eastAsia="Book Antiqua" w:hAnsi="Book Antiqua" w:cs="Book Antiqua"/>
          <w:sz w:val="24"/>
          <w:szCs w:val="24"/>
        </w:rPr>
      </w:pPr>
    </w:p>
    <w:p w14:paraId="0DC445BB" w14:textId="35F79BC6" w:rsidR="008B5BF3" w:rsidRDefault="001B7838" w:rsidP="001B7838">
      <w:pPr>
        <w:numPr>
          <w:ilvl w:val="0"/>
          <w:numId w:val="1"/>
        </w:numPr>
        <w:pBdr>
          <w:top w:val="nil"/>
          <w:left w:val="nil"/>
          <w:bottom w:val="nil"/>
          <w:right w:val="nil"/>
          <w:between w:val="nil"/>
        </w:pBdr>
        <w:spacing w:line="240" w:lineRule="auto"/>
        <w:ind w:left="426" w:hanging="426"/>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Conclusion</w:t>
      </w:r>
    </w:p>
    <w:p w14:paraId="5EEAEEF7" w14:textId="77777777" w:rsidR="001B7838" w:rsidRPr="001B7838" w:rsidRDefault="001B7838" w:rsidP="001B7838">
      <w:pPr>
        <w:spacing w:after="0"/>
        <w:ind w:firstLine="426"/>
        <w:jc w:val="both"/>
        <w:rPr>
          <w:rFonts w:ascii="Book Antiqua" w:hAnsi="Book Antiqua" w:cs="Times New Roman"/>
          <w:sz w:val="24"/>
          <w:szCs w:val="24"/>
        </w:rPr>
      </w:pPr>
      <w:r w:rsidRPr="001B7838">
        <w:rPr>
          <w:rFonts w:ascii="Book Antiqua" w:hAnsi="Book Antiqua" w:cs="Times New Roman"/>
          <w:sz w:val="24"/>
          <w:szCs w:val="24"/>
        </w:rPr>
        <w:t xml:space="preserve">Coal exports play a strategic role in Indonesia's economic growth, contributing significantly to government revenues and the expansion of the mining sector. While it brings economic benefits, it is important to be cautious about the potential imbalance between coal exports and domestic energy needs. Implementing policies such as the Domestic Market Obligation (DMO), which requires companies to meet national demand and export policies to reduce environmental impacts, is crucial to ensuring adequate domestic supply. Export policies play a central role in regulating and </w:t>
      </w:r>
      <w:r w:rsidRPr="001B7838">
        <w:rPr>
          <w:rFonts w:ascii="Book Antiqua" w:hAnsi="Book Antiqua" w:cs="Times New Roman"/>
          <w:sz w:val="24"/>
          <w:szCs w:val="24"/>
        </w:rPr>
        <w:t>monitoring coal export activities. The cessation of coal exports due to insufficient domestic supply significantly impacts Indonesia's coal export dynamics. It also indicates that while mercantilism may experience temporary sustainability, the dominance of liberalism, which guides and controls market mechanisms, prevails. The dominance of liberalism, which focuses on competition, free markets and innovation, has laid a strong foundation for economic growth and efficient resource allocation. Given the dynamic changes in market conditions and energy needs, policy adjustments will likely be required to sustain Indonesia's coal industry. Given these challenges, it is crucial for stakeholders and policymakers to continuously monitor and evaluate existing policies to ensure that the coal industry can contribute sustainably to Indonesia's development.</w:t>
      </w:r>
    </w:p>
    <w:p w14:paraId="3412DF35" w14:textId="2C9EB8B1" w:rsidR="001B7838" w:rsidRDefault="001B7838">
      <w:pPr>
        <w:rPr>
          <w:rFonts w:ascii="Book Antiqua" w:eastAsia="Book Antiqua" w:hAnsi="Book Antiqua" w:cs="Book Antiqua"/>
          <w:sz w:val="24"/>
          <w:szCs w:val="24"/>
        </w:rPr>
      </w:pPr>
      <w:r>
        <w:rPr>
          <w:rFonts w:ascii="Book Antiqua" w:eastAsia="Book Antiqua" w:hAnsi="Book Antiqua" w:cs="Book Antiqua"/>
          <w:sz w:val="24"/>
          <w:szCs w:val="24"/>
        </w:rPr>
        <w:br w:type="page"/>
      </w:r>
    </w:p>
    <w:p w14:paraId="0428974A" w14:textId="77777777" w:rsidR="001B7838" w:rsidRDefault="001B7838">
      <w:pPr>
        <w:spacing w:after="0" w:line="240" w:lineRule="auto"/>
        <w:jc w:val="both"/>
        <w:rPr>
          <w:rFonts w:ascii="Book Antiqua" w:eastAsia="Book Antiqua" w:hAnsi="Book Antiqua" w:cs="Book Antiqua"/>
          <w:sz w:val="24"/>
          <w:szCs w:val="24"/>
        </w:rPr>
        <w:sectPr w:rsidR="001B7838" w:rsidSect="00B72164">
          <w:type w:val="continuous"/>
          <w:pgSz w:w="12240" w:h="15840"/>
          <w:pgMar w:top="993" w:right="1041" w:bottom="993" w:left="1418" w:header="1152" w:footer="426" w:gutter="0"/>
          <w:cols w:num="2" w:space="720" w:equalWidth="0">
            <w:col w:w="4678" w:space="425"/>
            <w:col w:w="4678" w:space="0"/>
          </w:cols>
        </w:sectPr>
      </w:pPr>
    </w:p>
    <w:p w14:paraId="60203837" w14:textId="0AEE8966" w:rsidR="008B5BF3" w:rsidRPr="001B7838" w:rsidRDefault="001B7838" w:rsidP="001B7838">
      <w:pPr>
        <w:spacing w:line="240" w:lineRule="auto"/>
        <w:jc w:val="both"/>
        <w:rPr>
          <w:rFonts w:ascii="Book Antiqua" w:eastAsia="Book Antiqua" w:hAnsi="Book Antiqua" w:cs="Book Antiqua"/>
          <w:b/>
          <w:bCs/>
          <w:sz w:val="24"/>
          <w:szCs w:val="24"/>
        </w:rPr>
      </w:pPr>
      <w:r w:rsidRPr="001B7838">
        <w:rPr>
          <w:rFonts w:ascii="Book Antiqua" w:eastAsia="Book Antiqua" w:hAnsi="Book Antiqua" w:cs="Book Antiqua"/>
          <w:b/>
          <w:bCs/>
          <w:sz w:val="24"/>
          <w:szCs w:val="24"/>
        </w:rPr>
        <w:lastRenderedPageBreak/>
        <w:t xml:space="preserve">References </w:t>
      </w:r>
    </w:p>
    <w:p w14:paraId="1FC454C9" w14:textId="3A931E28"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Pr>
          <w:rFonts w:ascii="Book Antiqua" w:eastAsia="Book Antiqua" w:hAnsi="Book Antiqua" w:cs="Book Antiqua"/>
          <w:sz w:val="24"/>
          <w:szCs w:val="24"/>
        </w:rPr>
        <w:fldChar w:fldCharType="begin" w:fldLock="1"/>
      </w:r>
      <w:r>
        <w:rPr>
          <w:rFonts w:ascii="Book Antiqua" w:eastAsia="Book Antiqua" w:hAnsi="Book Antiqua" w:cs="Book Antiqua"/>
          <w:sz w:val="24"/>
          <w:szCs w:val="24"/>
        </w:rPr>
        <w:instrText xml:space="preserve">ADDIN Mendeley Bibliography CSL_BIBLIOGRAPHY </w:instrText>
      </w:r>
      <w:r>
        <w:rPr>
          <w:rFonts w:ascii="Book Antiqua" w:eastAsia="Book Antiqua" w:hAnsi="Book Antiqua" w:cs="Book Antiqua"/>
          <w:sz w:val="24"/>
          <w:szCs w:val="24"/>
        </w:rPr>
        <w:fldChar w:fldCharType="separate"/>
      </w:r>
      <w:r w:rsidRPr="001B7838">
        <w:rPr>
          <w:rFonts w:ascii="Book Antiqua" w:hAnsi="Book Antiqua" w:cs="Times New Roman"/>
          <w:noProof/>
          <w:sz w:val="24"/>
          <w:szCs w:val="24"/>
        </w:rPr>
        <w:t xml:space="preserve">Abdussamad, Z. (2021). </w:t>
      </w:r>
      <w:r w:rsidRPr="001B7838">
        <w:rPr>
          <w:rFonts w:ascii="Book Antiqua" w:hAnsi="Book Antiqua" w:cs="Times New Roman"/>
          <w:i/>
          <w:iCs/>
          <w:noProof/>
          <w:sz w:val="24"/>
          <w:szCs w:val="24"/>
        </w:rPr>
        <w:t>Metode Penelitian Kualitatif</w:t>
      </w:r>
      <w:r w:rsidRPr="001B7838">
        <w:rPr>
          <w:rFonts w:ascii="Book Antiqua" w:hAnsi="Book Antiqua" w:cs="Times New Roman"/>
          <w:noProof/>
          <w:sz w:val="24"/>
          <w:szCs w:val="24"/>
        </w:rPr>
        <w:t xml:space="preserve"> (1st ed.; P. Rapanna, Ed.). Syakir Media Press. Retrieved from https://books.google.co.id/books/about/Metode_Penelitian_Kualitatif.html?id=JtKREAAAQBAJ&amp;redir_esc=y</w:t>
      </w:r>
    </w:p>
    <w:p w14:paraId="49F557EB"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Afin, R., Yulistiono, H., &amp; Oktarani, N. A. (2008). Perdagangan Internasional, Investasi Asing, dan Efisiensi Perekonomian Negara-Negara Asean. </w:t>
      </w:r>
      <w:r w:rsidRPr="001B7838">
        <w:rPr>
          <w:rFonts w:ascii="Book Antiqua" w:hAnsi="Book Antiqua" w:cs="Times New Roman"/>
          <w:i/>
          <w:iCs/>
          <w:noProof/>
          <w:sz w:val="24"/>
          <w:szCs w:val="24"/>
        </w:rPr>
        <w:t>Ekonomi Moneter Dan Perbankan</w:t>
      </w:r>
      <w:r w:rsidRPr="001B7838">
        <w:rPr>
          <w:rFonts w:ascii="Book Antiqua" w:hAnsi="Book Antiqua" w:cs="Times New Roman"/>
          <w:noProof/>
          <w:sz w:val="24"/>
          <w:szCs w:val="24"/>
        </w:rPr>
        <w:t>, 261–296.</w:t>
      </w:r>
    </w:p>
    <w:p w14:paraId="643AB559" w14:textId="7940424E"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Allison, C. R. (2014). Comparative Policy Studies Conceptual and Methodological Challenges. In </w:t>
      </w:r>
      <w:r w:rsidRPr="001B7838">
        <w:rPr>
          <w:rFonts w:ascii="Book Antiqua" w:hAnsi="Book Antiqua" w:cs="Times New Roman"/>
          <w:i/>
          <w:iCs/>
          <w:noProof/>
          <w:sz w:val="24"/>
          <w:szCs w:val="24"/>
        </w:rPr>
        <w:t>Comparative Policy Studies</w:t>
      </w:r>
      <w:r w:rsidRPr="001B7838">
        <w:rPr>
          <w:rFonts w:ascii="Book Antiqua" w:hAnsi="Book Antiqua" w:cs="Times New Roman"/>
          <w:noProof/>
          <w:sz w:val="24"/>
          <w:szCs w:val="24"/>
        </w:rPr>
        <w:t xml:space="preserve">. </w:t>
      </w:r>
      <w:r w:rsidR="0094211C">
        <w:rPr>
          <w:rFonts w:ascii="Book Antiqua" w:hAnsi="Book Antiqua" w:cs="Times New Roman"/>
          <w:noProof/>
          <w:sz w:val="24"/>
          <w:szCs w:val="24"/>
        </w:rPr>
        <w:t>Palgrave Macmillan</w:t>
      </w:r>
      <w:r w:rsidRPr="001B7838">
        <w:rPr>
          <w:rFonts w:ascii="Book Antiqua" w:hAnsi="Book Antiqua" w:cs="Times New Roman"/>
          <w:noProof/>
          <w:sz w:val="24"/>
          <w:szCs w:val="24"/>
        </w:rPr>
        <w:t>. https://doi.org/10.1057/9781137314154</w:t>
      </w:r>
    </w:p>
    <w:p w14:paraId="3B4C1583"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Ariifin, Samsul, Dian Ediana, C. P. R. J. (2007). </w:t>
      </w:r>
      <w:r w:rsidRPr="001B7838">
        <w:rPr>
          <w:rFonts w:ascii="Book Antiqua" w:hAnsi="Book Antiqua" w:cs="Times New Roman"/>
          <w:i/>
          <w:iCs/>
          <w:noProof/>
          <w:sz w:val="24"/>
          <w:szCs w:val="24"/>
        </w:rPr>
        <w:t>Kerja Sama Perdagangan Internasional: Peluang dan Tantangan bagi Indonesia</w:t>
      </w:r>
      <w:r w:rsidRPr="001B7838">
        <w:rPr>
          <w:rFonts w:ascii="Book Antiqua" w:hAnsi="Book Antiqua" w:cs="Times New Roman"/>
          <w:noProof/>
          <w:sz w:val="24"/>
          <w:szCs w:val="24"/>
        </w:rPr>
        <w:t>. Jakarta: PT ElexMedia Komputindo. Retrieved from https://books.google.co.id/books?id=edTo3oei39QC&amp;printsec=frontcover&amp;dq=kerjasama+internasional&amp;hl=id&amp;sa=X&amp;ved=2ahUKEwjMlPvr8sfrAhURX30KHSuTCMAQ6AEwAHoECAAQAg#v=onepage&amp;q=liberalisme perdagangan&amp;f=false</w:t>
      </w:r>
    </w:p>
    <w:p w14:paraId="70E217EE"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Arinaldo, Deon &amp; Adiatma, J. (2019). Dinamika Batu Bara Indonesia: Menuju Transisi Energi yang Adil. In </w:t>
      </w:r>
      <w:r w:rsidRPr="001B7838">
        <w:rPr>
          <w:rFonts w:ascii="Book Antiqua" w:hAnsi="Book Antiqua" w:cs="Times New Roman"/>
          <w:i/>
          <w:iCs/>
          <w:noProof/>
          <w:sz w:val="24"/>
          <w:szCs w:val="24"/>
        </w:rPr>
        <w:t>Institute for Essential Services Reform (IESR)</w:t>
      </w:r>
      <w:r w:rsidRPr="001B7838">
        <w:rPr>
          <w:rFonts w:ascii="Book Antiqua" w:hAnsi="Book Antiqua" w:cs="Times New Roman"/>
          <w:noProof/>
          <w:sz w:val="24"/>
          <w:szCs w:val="24"/>
        </w:rPr>
        <w:t>. Retrieved from http://iesr.or.id/wp-content/uploads/2019/04/SPM-bahasa-lowres.pdf</w:t>
      </w:r>
    </w:p>
    <w:p w14:paraId="2CBD0165"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Asmarni, W. (2022). Jreng! Filipina Ikut Desak RI Cabut Larangan Ekspor Batu Bara. Retrieved from CNBC Indonesia website: https://www.cnbcindonesia.com/news/20220110182406-4-306144/jreng-filipina-ikut-desak-ri-cabut-larangan-ekspor-batu-bara</w:t>
      </w:r>
    </w:p>
    <w:p w14:paraId="69EB43F3"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Asmsariani, W. (2022). Ini Sederet Negara Desak RI Cabut Larangan Ekspor Batu Bara. Retrieved from CNN Indonesia website: https://www.cnbcindonesia.com/news/20220108153237-4-305709/ini-sederet-negara-desak-ri-cabut-larangan-ekspor-batu-bara</w:t>
      </w:r>
    </w:p>
    <w:p w14:paraId="019AAD54"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Azissa, S. (2022). </w:t>
      </w:r>
      <w:r w:rsidRPr="001B7838">
        <w:rPr>
          <w:rFonts w:ascii="Book Antiqua" w:hAnsi="Book Antiqua" w:cs="Times New Roman"/>
          <w:i/>
          <w:iCs/>
          <w:noProof/>
          <w:sz w:val="24"/>
          <w:szCs w:val="24"/>
        </w:rPr>
        <w:t>Analisis Pengaruh Ekspor Batu Bara Terhadap Devisa di Indoneisa</w:t>
      </w:r>
      <w:r w:rsidRPr="001B7838">
        <w:rPr>
          <w:rFonts w:ascii="Book Antiqua" w:hAnsi="Book Antiqua" w:cs="Times New Roman"/>
          <w:noProof/>
          <w:sz w:val="24"/>
          <w:szCs w:val="24"/>
        </w:rPr>
        <w:t>. Jambi. Retrieved from http://repository.unbari.ac.id/1871/1/SKRIPSI SYULUKI %281%29.pdf</w:t>
      </w:r>
    </w:p>
    <w:p w14:paraId="25F82025"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Azizah, Izza Adelia, A. S. (2022). Analisis Faktor-faktor yang Mempengaruhi Nilai Ekspor Batubara Indonesia Tahun 2014-2020. </w:t>
      </w:r>
      <w:r w:rsidRPr="001B7838">
        <w:rPr>
          <w:rFonts w:ascii="Book Antiqua" w:hAnsi="Book Antiqua" w:cs="Times New Roman"/>
          <w:i/>
          <w:iCs/>
          <w:noProof/>
          <w:sz w:val="24"/>
          <w:szCs w:val="24"/>
        </w:rPr>
        <w:t>Jurnal Ilmu Ekonomi JIE</w:t>
      </w:r>
      <w:r w:rsidRPr="001B7838">
        <w:rPr>
          <w:rFonts w:ascii="Book Antiqua" w:hAnsi="Book Antiqua" w:cs="Times New Roman"/>
          <w:noProof/>
          <w:sz w:val="24"/>
          <w:szCs w:val="24"/>
        </w:rPr>
        <w:t xml:space="preserve">, </w:t>
      </w:r>
      <w:r w:rsidRPr="001B7838">
        <w:rPr>
          <w:rFonts w:ascii="Book Antiqua" w:hAnsi="Book Antiqua" w:cs="Times New Roman"/>
          <w:i/>
          <w:iCs/>
          <w:noProof/>
          <w:sz w:val="24"/>
          <w:szCs w:val="24"/>
        </w:rPr>
        <w:t>6</w:t>
      </w:r>
      <w:r w:rsidRPr="001B7838">
        <w:rPr>
          <w:rFonts w:ascii="Book Antiqua" w:hAnsi="Book Antiqua" w:cs="Times New Roman"/>
          <w:noProof/>
          <w:sz w:val="24"/>
          <w:szCs w:val="24"/>
        </w:rPr>
        <w:t>(4), 584–596. https://doi.org/10.22219/jie.v6i4.22608</w:t>
      </w:r>
    </w:p>
    <w:p w14:paraId="3AF600DD" w14:textId="7F2244FB"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Bappenas. (2013). Indonesian </w:t>
      </w:r>
      <w:r w:rsidR="0094211C">
        <w:rPr>
          <w:rFonts w:ascii="Book Antiqua" w:hAnsi="Book Antiqua" w:cs="Times New Roman"/>
          <w:noProof/>
          <w:sz w:val="24"/>
          <w:szCs w:val="24"/>
        </w:rPr>
        <w:t>Green</w:t>
      </w:r>
      <w:r w:rsidRPr="001B7838">
        <w:rPr>
          <w:rFonts w:ascii="Book Antiqua" w:hAnsi="Book Antiqua" w:cs="Times New Roman"/>
          <w:noProof/>
          <w:sz w:val="24"/>
          <w:szCs w:val="24"/>
        </w:rPr>
        <w:t xml:space="preserve"> Growth Program. Retrieved from Kementerian PPN/Bappenas website: http://greengrowth.bappenas.go.id/faq-id/</w:t>
      </w:r>
    </w:p>
    <w:p w14:paraId="0A8BDFF7"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BP. (2021). Statistical Review of World Energy 2021. In </w:t>
      </w:r>
      <w:r w:rsidRPr="001B7838">
        <w:rPr>
          <w:rFonts w:ascii="Book Antiqua" w:hAnsi="Book Antiqua" w:cs="Times New Roman"/>
          <w:i/>
          <w:iCs/>
          <w:noProof/>
          <w:sz w:val="24"/>
          <w:szCs w:val="24"/>
        </w:rPr>
        <w:t>BP Energy Outlook</w:t>
      </w:r>
      <w:r w:rsidRPr="001B7838">
        <w:rPr>
          <w:rFonts w:ascii="Book Antiqua" w:hAnsi="Book Antiqua" w:cs="Times New Roman"/>
          <w:noProof/>
          <w:sz w:val="24"/>
          <w:szCs w:val="24"/>
        </w:rPr>
        <w:t>. Retrieved from https://www.bp.com/content/dam/bp/business-</w:t>
      </w:r>
      <w:r w:rsidRPr="001B7838">
        <w:rPr>
          <w:rFonts w:ascii="Book Antiqua" w:hAnsi="Book Antiqua" w:cs="Times New Roman"/>
          <w:noProof/>
          <w:sz w:val="24"/>
          <w:szCs w:val="24"/>
        </w:rPr>
        <w:lastRenderedPageBreak/>
        <w:t>sites/en/global/corporate/pdfs/energy-economics/statistical-review/bp-stats-review-2021-full-report.pdf</w:t>
      </w:r>
    </w:p>
    <w:p w14:paraId="331BAF0B" w14:textId="58754578"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Carbaugh, R. J. (n.d.). </w:t>
      </w:r>
      <w:r w:rsidRPr="001B7838">
        <w:rPr>
          <w:rFonts w:ascii="Book Antiqua" w:hAnsi="Book Antiqua" w:cs="Times New Roman"/>
          <w:i/>
          <w:iCs/>
          <w:noProof/>
          <w:sz w:val="24"/>
          <w:szCs w:val="24"/>
        </w:rPr>
        <w:t>International Economics</w:t>
      </w:r>
      <w:r w:rsidRPr="001B7838">
        <w:rPr>
          <w:rFonts w:ascii="Book Antiqua" w:hAnsi="Book Antiqua" w:cs="Times New Roman"/>
          <w:noProof/>
          <w:sz w:val="24"/>
          <w:szCs w:val="24"/>
        </w:rPr>
        <w:t xml:space="preserve"> (13th </w:t>
      </w:r>
      <w:r w:rsidR="0094211C">
        <w:rPr>
          <w:rFonts w:ascii="Book Antiqua" w:hAnsi="Book Antiqua" w:cs="Times New Roman"/>
          <w:noProof/>
          <w:sz w:val="24"/>
          <w:szCs w:val="24"/>
        </w:rPr>
        <w:t>ed</w:t>
      </w:r>
      <w:r w:rsidRPr="001B7838">
        <w:rPr>
          <w:rFonts w:ascii="Book Antiqua" w:hAnsi="Book Antiqua" w:cs="Times New Roman"/>
          <w:noProof/>
          <w:sz w:val="24"/>
          <w:szCs w:val="24"/>
        </w:rPr>
        <w:t>). South-Western Cengage Learning.</w:t>
      </w:r>
    </w:p>
    <w:p w14:paraId="48170832" w14:textId="0D269429"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CNBC </w:t>
      </w:r>
      <w:r w:rsidR="0094211C">
        <w:rPr>
          <w:rFonts w:ascii="Book Antiqua" w:hAnsi="Book Antiqua" w:cs="Times New Roman"/>
          <w:noProof/>
          <w:sz w:val="24"/>
          <w:szCs w:val="24"/>
        </w:rPr>
        <w:t>Indonesia</w:t>
      </w:r>
      <w:r w:rsidRPr="001B7838">
        <w:rPr>
          <w:rFonts w:ascii="Book Antiqua" w:hAnsi="Book Antiqua" w:cs="Times New Roman"/>
          <w:noProof/>
          <w:sz w:val="24"/>
          <w:szCs w:val="24"/>
        </w:rPr>
        <w:t>. (2023). Ekspor Batu Bara RI ke China Melonjak, ke Kamboja Naik 600%. Retrieved from CNBC Indonesia website: https://www.cnbcindonesia.com/research/20230718143917-128-455370/ekspor-batu-bara-ri-ke-china-melonjak-ke-kamboja-naik-600</w:t>
      </w:r>
    </w:p>
    <w:p w14:paraId="36A23FC7"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CNBC Indonesia. (2022). Tanpa Aba-Aba, RI Setop Ekspor Batu Bara di Awal Tahun. Retrieved from CNBC Indonesia website: https://www.cnbcindonesia.com/news/20221226111915-4-400076/tanpa-aba-aba-ri-setop-ekspor-batu-bara-di-awal-tahun#:~:text=Pemerintah Indonesia resmi melarang seluruh,Persero)%2C dalam kondisi kritis.</w:t>
      </w:r>
    </w:p>
    <w:p w14:paraId="0975986D"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CNBC Indonesia. (2023). </w:t>
      </w:r>
      <w:r w:rsidRPr="001B7838">
        <w:rPr>
          <w:rFonts w:ascii="Book Antiqua" w:hAnsi="Book Antiqua" w:cs="Times New Roman"/>
          <w:i/>
          <w:iCs/>
          <w:noProof/>
          <w:sz w:val="24"/>
          <w:szCs w:val="24"/>
        </w:rPr>
        <w:t>Industri Batu Bara Terus Membara Sepanjang 2023</w:t>
      </w:r>
      <w:r w:rsidRPr="001B7838">
        <w:rPr>
          <w:rFonts w:ascii="Book Antiqua" w:hAnsi="Book Antiqua" w:cs="Times New Roman"/>
          <w:noProof/>
          <w:sz w:val="24"/>
          <w:szCs w:val="24"/>
        </w:rPr>
        <w:t>. Retrieved from https://dataharian.esdm.go.id/2023/02/16/reviu-informasi-strategis-energi-dan-mineral-harian-16-februari-2023-2/</w:t>
      </w:r>
    </w:p>
    <w:p w14:paraId="7F654CFC"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CNN Indonesia. (2022). Alasan Jepang Protes Larangan Ekspor Batu Bara RI. Retrieved from CNN Indonesia website: https://www.cnnindonesia.com/ekonomi/20220106072145-85-743160/alasan-jepang-protes-larangan-ekspor-batu-bara-ri</w:t>
      </w:r>
    </w:p>
    <w:p w14:paraId="6C475302"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Dewi, M. P. (2018). Analisis Ekspor Batubara Indoensia. In </w:t>
      </w:r>
      <w:r w:rsidRPr="001B7838">
        <w:rPr>
          <w:rFonts w:ascii="Book Antiqua" w:hAnsi="Book Antiqua" w:cs="Times New Roman"/>
          <w:i/>
          <w:iCs/>
          <w:noProof/>
          <w:sz w:val="24"/>
          <w:szCs w:val="24"/>
        </w:rPr>
        <w:t>Journal of Materials Processing Technology</w:t>
      </w:r>
      <w:r w:rsidRPr="001B7838">
        <w:rPr>
          <w:rFonts w:ascii="Book Antiqua" w:hAnsi="Book Antiqua" w:cs="Times New Roman"/>
          <w:noProof/>
          <w:sz w:val="24"/>
          <w:szCs w:val="24"/>
        </w:rPr>
        <w:t xml:space="preserve"> (Vol. 1). Retrieved from http://dx.doi.org/10.1016/j.cirp.2016.06.001%0Ahttp://dx.doi.org/10.1016/j.powtec.2016.12.055%0Ahttps://doi.org/10.1016/j.ijfatigue.2019.02.006%0Ahttps://doi.org/10.1016/j.matlet.2019.04.024%0Ahttps://doi.org/10.1016/j.matlet.2019.127252%0Ahttp://dx.doi.o</w:t>
      </w:r>
    </w:p>
    <w:p w14:paraId="0748707C"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DPR RI. (2022). Abdullah: Larangan Ekspor Batu Bara Berdampak Turunnya Devisa Negara. Retrieved from Dewan Perwakilan Rakyat Republik Indonesia website: https://www.dpr.go.id/berita/detail/id/36777/t/Said Abdullah: Larangan Ekspor Batu Bara Berdampak Turunnya Devisa Negara</w:t>
      </w:r>
    </w:p>
    <w:p w14:paraId="01100929"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Dye, T. R. (2013). Understanding Public Policy. In </w:t>
      </w:r>
      <w:r w:rsidRPr="001B7838">
        <w:rPr>
          <w:rFonts w:ascii="Book Antiqua" w:hAnsi="Book Antiqua" w:cs="Times New Roman"/>
          <w:i/>
          <w:iCs/>
          <w:noProof/>
          <w:sz w:val="24"/>
          <w:szCs w:val="24"/>
        </w:rPr>
        <w:t>Understanding Public Policy</w:t>
      </w:r>
      <w:r w:rsidRPr="001B7838">
        <w:rPr>
          <w:rFonts w:ascii="Book Antiqua" w:hAnsi="Book Antiqua" w:cs="Times New Roman"/>
          <w:noProof/>
          <w:sz w:val="24"/>
          <w:szCs w:val="24"/>
        </w:rPr>
        <w:t xml:space="preserve"> (Fourteenth).</w:t>
      </w:r>
    </w:p>
    <w:p w14:paraId="5F3C21A4"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ESDM. (2021). Handbook Energy &amp; Economic Statistics Indonesia. In </w:t>
      </w:r>
      <w:r w:rsidRPr="001B7838">
        <w:rPr>
          <w:rFonts w:ascii="Book Antiqua" w:hAnsi="Book Antiqua" w:cs="Times New Roman"/>
          <w:i/>
          <w:iCs/>
          <w:noProof/>
          <w:sz w:val="24"/>
          <w:szCs w:val="24"/>
        </w:rPr>
        <w:t>Ministry of Energy and Mineral Resources Republic of Indonesia</w:t>
      </w:r>
      <w:r w:rsidRPr="001B7838">
        <w:rPr>
          <w:rFonts w:ascii="Book Antiqua" w:hAnsi="Book Antiqua" w:cs="Times New Roman"/>
          <w:noProof/>
          <w:sz w:val="24"/>
          <w:szCs w:val="24"/>
        </w:rPr>
        <w:t>. Retrieved from https://www.esdm.go.id/en/publication/handbook-of-energy-economic-statistics-of-indonesia-heesi</w:t>
      </w:r>
    </w:p>
    <w:p w14:paraId="20E36FD1"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ESDM. (2022a). </w:t>
      </w:r>
      <w:r w:rsidRPr="001B7838">
        <w:rPr>
          <w:rFonts w:ascii="Book Antiqua" w:hAnsi="Book Antiqua" w:cs="Times New Roman"/>
          <w:i/>
          <w:iCs/>
          <w:noProof/>
          <w:sz w:val="24"/>
          <w:szCs w:val="24"/>
        </w:rPr>
        <w:t>Ekspor Batubara Kembali Dibuka</w:t>
      </w:r>
      <w:r w:rsidRPr="001B7838">
        <w:rPr>
          <w:rFonts w:ascii="Book Antiqua" w:hAnsi="Book Antiqua" w:cs="Times New Roman"/>
          <w:noProof/>
          <w:sz w:val="24"/>
          <w:szCs w:val="24"/>
        </w:rPr>
        <w:t>. Retrieved from https://www.esdm.go.id/id/media-center/arsip-berita/ekspor-batubara-kembali-dibuka</w:t>
      </w:r>
    </w:p>
    <w:p w14:paraId="50455EB2"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lastRenderedPageBreak/>
        <w:t xml:space="preserve">ESDM. (2022b). </w:t>
      </w:r>
      <w:r w:rsidRPr="001B7838">
        <w:rPr>
          <w:rFonts w:ascii="Book Antiqua" w:hAnsi="Book Antiqua" w:cs="Times New Roman"/>
          <w:i/>
          <w:iCs/>
          <w:noProof/>
          <w:sz w:val="24"/>
          <w:szCs w:val="24"/>
        </w:rPr>
        <w:t>Kepmen ESDM No. 267.K/MB.01/MEM.B/2022 tentang Pemenuhan Kebutuhan Batubara Dalam Negeri</w:t>
      </w:r>
      <w:r w:rsidRPr="001B7838">
        <w:rPr>
          <w:rFonts w:ascii="Book Antiqua" w:hAnsi="Book Antiqua" w:cs="Times New Roman"/>
          <w:noProof/>
          <w:sz w:val="24"/>
          <w:szCs w:val="24"/>
        </w:rPr>
        <w:t>. Retrieved from https://jdih.esdm.go.id/storage/document/Keputusan Menteri ESDM Nomor 267 K MB 01 2022 Salinan Pemenuhan Batubara.pdf</w:t>
      </w:r>
    </w:p>
    <w:p w14:paraId="104EAE3B"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ESDM. (2022c). </w:t>
      </w:r>
      <w:r w:rsidRPr="001B7838">
        <w:rPr>
          <w:rFonts w:ascii="Book Antiqua" w:hAnsi="Book Antiqua" w:cs="Times New Roman"/>
          <w:i/>
          <w:iCs/>
          <w:noProof/>
          <w:sz w:val="24"/>
          <w:szCs w:val="24"/>
        </w:rPr>
        <w:t>Pemenuhan Kebutuhan Batubara Dalam Negeri</w:t>
      </w:r>
      <w:r w:rsidRPr="001B7838">
        <w:rPr>
          <w:rFonts w:ascii="Book Antiqua" w:hAnsi="Book Antiqua" w:cs="Times New Roman"/>
          <w:noProof/>
          <w:sz w:val="24"/>
          <w:szCs w:val="24"/>
        </w:rPr>
        <w:t>. Retrieved from https://jdih.esdm.go.id/storage/document/Keputusan Menteri ESDM Nomor 267 K MB 01 2022 Salinan Pemenuhan Batubara.pdf</w:t>
      </w:r>
    </w:p>
    <w:p w14:paraId="357EBF90"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Fahmi, I., Soelistyo, T., Maulani, M., Afandi, G., Sasongko, N. A., &amp; Yoesgiantoro, D. (2022). Pengaruh Kebijakan DMO Batubara Terhadap Ketahanan Energi Nasional dalam Mendukung Pertahanan dan Keamanan Negara. </w:t>
      </w:r>
      <w:r w:rsidRPr="001B7838">
        <w:rPr>
          <w:rFonts w:ascii="Book Antiqua" w:hAnsi="Book Antiqua" w:cs="Times New Roman"/>
          <w:i/>
          <w:iCs/>
          <w:noProof/>
          <w:sz w:val="24"/>
          <w:szCs w:val="24"/>
        </w:rPr>
        <w:t>Jurnal Patriot Biru</w:t>
      </w:r>
      <w:r w:rsidRPr="001B7838">
        <w:rPr>
          <w:rFonts w:ascii="Book Antiqua" w:hAnsi="Book Antiqua" w:cs="Times New Roman"/>
          <w:noProof/>
          <w:sz w:val="24"/>
          <w:szCs w:val="24"/>
        </w:rPr>
        <w:t xml:space="preserve">, </w:t>
      </w:r>
      <w:r w:rsidRPr="001B7838">
        <w:rPr>
          <w:rFonts w:ascii="Book Antiqua" w:hAnsi="Book Antiqua" w:cs="Times New Roman"/>
          <w:i/>
          <w:iCs/>
          <w:noProof/>
          <w:sz w:val="24"/>
          <w:szCs w:val="24"/>
        </w:rPr>
        <w:t>1</w:t>
      </w:r>
      <w:r w:rsidRPr="001B7838">
        <w:rPr>
          <w:rFonts w:ascii="Book Antiqua" w:hAnsi="Book Antiqua" w:cs="Times New Roman"/>
          <w:noProof/>
          <w:sz w:val="24"/>
          <w:szCs w:val="24"/>
        </w:rPr>
        <w:t>(3), 59–69. Retrieved from https://e-jurnal.tni-au.mil.id/index.php/jpb/article/view/8/9</w:t>
      </w:r>
    </w:p>
    <w:p w14:paraId="5A87BEA5"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Febianti, Y. N. (2015). Penawaran Dalam Ekonomi Mikro. </w:t>
      </w:r>
      <w:r w:rsidRPr="001B7838">
        <w:rPr>
          <w:rFonts w:ascii="Book Antiqua" w:hAnsi="Book Antiqua" w:cs="Times New Roman"/>
          <w:i/>
          <w:iCs/>
          <w:noProof/>
          <w:sz w:val="24"/>
          <w:szCs w:val="24"/>
        </w:rPr>
        <w:t>Jurnal Edunomic</w:t>
      </w:r>
      <w:r w:rsidRPr="001B7838">
        <w:rPr>
          <w:rFonts w:ascii="Book Antiqua" w:hAnsi="Book Antiqua" w:cs="Times New Roman"/>
          <w:noProof/>
          <w:sz w:val="24"/>
          <w:szCs w:val="24"/>
        </w:rPr>
        <w:t xml:space="preserve">, </w:t>
      </w:r>
      <w:r w:rsidRPr="001B7838">
        <w:rPr>
          <w:rFonts w:ascii="Book Antiqua" w:hAnsi="Book Antiqua" w:cs="Times New Roman"/>
          <w:i/>
          <w:iCs/>
          <w:noProof/>
          <w:sz w:val="24"/>
          <w:szCs w:val="24"/>
        </w:rPr>
        <w:t>3</w:t>
      </w:r>
      <w:r w:rsidRPr="001B7838">
        <w:rPr>
          <w:rFonts w:ascii="Book Antiqua" w:hAnsi="Book Antiqua" w:cs="Times New Roman"/>
          <w:noProof/>
          <w:sz w:val="24"/>
          <w:szCs w:val="24"/>
        </w:rPr>
        <w:t>(1), 159–167. Retrieved from https://media.neliti.com/media/publications/271672-penawaran-dalamekonomi-mikro-7251046b.pdf</w:t>
      </w:r>
    </w:p>
    <w:p w14:paraId="24A996C9" w14:textId="7A68F976"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Golden Great Borneo. (2019). </w:t>
      </w:r>
      <w:r w:rsidR="0094211C">
        <w:rPr>
          <w:rFonts w:ascii="Book Antiqua" w:hAnsi="Book Antiqua" w:cs="Times New Roman"/>
          <w:noProof/>
          <w:sz w:val="24"/>
          <w:szCs w:val="24"/>
        </w:rPr>
        <w:t>Corporate</w:t>
      </w:r>
      <w:r w:rsidRPr="001B7838">
        <w:rPr>
          <w:rFonts w:ascii="Book Antiqua" w:hAnsi="Book Antiqua" w:cs="Times New Roman"/>
          <w:noProof/>
          <w:sz w:val="24"/>
          <w:szCs w:val="24"/>
        </w:rPr>
        <w:t xml:space="preserve"> Social Responsibility (CSR). Retrieved from Golden Great Borneo website: https://www.ggbcoal.com/?p=csr</w:t>
      </w:r>
    </w:p>
    <w:p w14:paraId="190A6481"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Goswami, S. (2015). Impact of Coal Mining on Environment. </w:t>
      </w:r>
      <w:r w:rsidRPr="001B7838">
        <w:rPr>
          <w:rFonts w:ascii="Book Antiqua" w:hAnsi="Book Antiqua" w:cs="Times New Roman"/>
          <w:i/>
          <w:iCs/>
          <w:noProof/>
          <w:sz w:val="24"/>
          <w:szCs w:val="24"/>
        </w:rPr>
        <w:t>European Researcher</w:t>
      </w:r>
      <w:r w:rsidRPr="001B7838">
        <w:rPr>
          <w:rFonts w:ascii="Book Antiqua" w:hAnsi="Book Antiqua" w:cs="Times New Roman"/>
          <w:noProof/>
          <w:sz w:val="24"/>
          <w:szCs w:val="24"/>
        </w:rPr>
        <w:t xml:space="preserve">, </w:t>
      </w:r>
      <w:r w:rsidRPr="001B7838">
        <w:rPr>
          <w:rFonts w:ascii="Book Antiqua" w:hAnsi="Book Antiqua" w:cs="Times New Roman"/>
          <w:i/>
          <w:iCs/>
          <w:noProof/>
          <w:sz w:val="24"/>
          <w:szCs w:val="24"/>
        </w:rPr>
        <w:t>92</w:t>
      </w:r>
      <w:r w:rsidRPr="001B7838">
        <w:rPr>
          <w:rFonts w:ascii="Book Antiqua" w:hAnsi="Book Antiqua" w:cs="Times New Roman"/>
          <w:noProof/>
          <w:sz w:val="24"/>
          <w:szCs w:val="24"/>
        </w:rPr>
        <w:t>(3), 185–196. https://doi.org/10.13187/er.2015.92.185</w:t>
      </w:r>
    </w:p>
    <w:p w14:paraId="3EBE6747" w14:textId="6558C4E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Howlett, Michael, M. Ramesh, A. P. (2020). </w:t>
      </w:r>
      <w:r w:rsidRPr="001B7838">
        <w:rPr>
          <w:rFonts w:ascii="Book Antiqua" w:hAnsi="Book Antiqua" w:cs="Times New Roman"/>
          <w:i/>
          <w:iCs/>
          <w:noProof/>
          <w:sz w:val="24"/>
          <w:szCs w:val="24"/>
        </w:rPr>
        <w:t xml:space="preserve">Studying Public </w:t>
      </w:r>
      <w:r w:rsidR="0094211C">
        <w:rPr>
          <w:rFonts w:ascii="Book Antiqua" w:hAnsi="Book Antiqua" w:cs="Times New Roman"/>
          <w:i/>
          <w:iCs/>
          <w:noProof/>
          <w:sz w:val="24"/>
          <w:szCs w:val="24"/>
        </w:rPr>
        <w:t>Policy</w:t>
      </w:r>
      <w:r w:rsidRPr="001B7838">
        <w:rPr>
          <w:rFonts w:ascii="Book Antiqua" w:hAnsi="Book Antiqua" w:cs="Times New Roman"/>
          <w:i/>
          <w:iCs/>
          <w:noProof/>
          <w:sz w:val="24"/>
          <w:szCs w:val="24"/>
        </w:rPr>
        <w:t xml:space="preserve"> Principles and Processes</w:t>
      </w:r>
      <w:r w:rsidRPr="001B7838">
        <w:rPr>
          <w:rFonts w:ascii="Book Antiqua" w:hAnsi="Book Antiqua" w:cs="Times New Roman"/>
          <w:noProof/>
          <w:sz w:val="24"/>
          <w:szCs w:val="24"/>
        </w:rPr>
        <w:t xml:space="preserve"> (Fourth). Oxford University Pers.</w:t>
      </w:r>
    </w:p>
    <w:p w14:paraId="298CF466"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Juarsa, Arya, Wibisono, Sigit Arso, Muhammad Abdurahman Ibrahim, Penny Oktaviani, Rahmat Hidayat, F. (2023). </w:t>
      </w:r>
      <w:r w:rsidRPr="001B7838">
        <w:rPr>
          <w:rFonts w:ascii="Book Antiqua" w:hAnsi="Book Antiqua" w:cs="Times New Roman"/>
          <w:i/>
          <w:iCs/>
          <w:noProof/>
          <w:sz w:val="24"/>
          <w:szCs w:val="24"/>
        </w:rPr>
        <w:t>Neraca Sumber Daya dan Cadangan Mineral, Batubara, dan Panas Bumi Indonesia Tahun 2022</w:t>
      </w:r>
      <w:r w:rsidRPr="001B7838">
        <w:rPr>
          <w:rFonts w:ascii="Book Antiqua" w:hAnsi="Book Antiqua" w:cs="Times New Roman"/>
          <w:noProof/>
          <w:sz w:val="24"/>
          <w:szCs w:val="24"/>
        </w:rPr>
        <w:t>. Jakrta: Kementrian Energi dan Sumber Daya Mineral Badan Geologi.</w:t>
      </w:r>
    </w:p>
    <w:p w14:paraId="1F88AC39"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Kementerian Perdagangan. (2014). </w:t>
      </w:r>
      <w:r w:rsidRPr="001B7838">
        <w:rPr>
          <w:rFonts w:ascii="Book Antiqua" w:hAnsi="Book Antiqua" w:cs="Times New Roman"/>
          <w:i/>
          <w:iCs/>
          <w:noProof/>
          <w:sz w:val="24"/>
          <w:szCs w:val="24"/>
        </w:rPr>
        <w:t>Peraturan Menteri Perdagangan Republik Indonesia No. 39/M-DAG/PER/7/2014</w:t>
      </w:r>
      <w:r w:rsidRPr="001B7838">
        <w:rPr>
          <w:rFonts w:ascii="Book Antiqua" w:hAnsi="Book Antiqua" w:cs="Times New Roman"/>
          <w:noProof/>
          <w:sz w:val="24"/>
          <w:szCs w:val="24"/>
        </w:rPr>
        <w:t>. Retrieved from https://jdih.kemendag.go.id/backendx/image/old/2014/07/15/ketentuan-ekspor-batubara-dan-produk-batubara-id-1405697041.pdf</w:t>
      </w:r>
    </w:p>
    <w:p w14:paraId="5943BEE7"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Kementerian Perdagangan. (2018). </w:t>
      </w:r>
      <w:r w:rsidRPr="001B7838">
        <w:rPr>
          <w:rFonts w:ascii="Book Antiqua" w:hAnsi="Book Antiqua" w:cs="Times New Roman"/>
          <w:i/>
          <w:iCs/>
          <w:noProof/>
          <w:sz w:val="24"/>
          <w:szCs w:val="24"/>
        </w:rPr>
        <w:t>Peraturan Menteri Perdagangan Republik Indonesia No. 52 Tahun 2018</w:t>
      </w:r>
      <w:r w:rsidRPr="001B7838">
        <w:rPr>
          <w:rFonts w:ascii="Book Antiqua" w:hAnsi="Book Antiqua" w:cs="Times New Roman"/>
          <w:noProof/>
          <w:sz w:val="24"/>
          <w:szCs w:val="24"/>
        </w:rPr>
        <w:t>. Retrieved from https://jdih.kemendag.go.id/backendx/image/regulasi/27010456_Permendag_No__52_Th__2018.PDF</w:t>
      </w:r>
    </w:p>
    <w:p w14:paraId="16FF869A" w14:textId="1986C95B"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Kementerian Perdagangan. (2020). </w:t>
      </w:r>
      <w:r w:rsidRPr="001B7838">
        <w:rPr>
          <w:rFonts w:ascii="Book Antiqua" w:hAnsi="Book Antiqua" w:cs="Times New Roman"/>
          <w:i/>
          <w:iCs/>
          <w:noProof/>
          <w:sz w:val="24"/>
          <w:szCs w:val="24"/>
        </w:rPr>
        <w:t>Peraturan Menteri Perdagangan Nomor 65 Tahun 2020</w:t>
      </w:r>
      <w:r w:rsidRPr="001B7838">
        <w:rPr>
          <w:rFonts w:ascii="Book Antiqua" w:hAnsi="Book Antiqua" w:cs="Times New Roman"/>
          <w:noProof/>
          <w:sz w:val="24"/>
          <w:szCs w:val="24"/>
        </w:rPr>
        <w:t>. Jakarta. Retrieved from https://peraturan.go.id/id/permendag-no-65-tahun-2020#:~:text=Peraturan Menteri Perdagangan Nomor 65,</w:t>
      </w:r>
      <w:r w:rsidR="0094211C">
        <w:rPr>
          <w:rFonts w:ascii="Book Antiqua" w:hAnsi="Book Antiqua" w:cs="Times New Roman"/>
          <w:noProof/>
          <w:sz w:val="24"/>
          <w:szCs w:val="24"/>
        </w:rPr>
        <w:t xml:space="preserve"> </w:t>
      </w:r>
      <w:r w:rsidRPr="001B7838">
        <w:rPr>
          <w:rFonts w:ascii="Book Antiqua" w:hAnsi="Book Antiqua" w:cs="Times New Roman"/>
          <w:noProof/>
          <w:sz w:val="24"/>
          <w:szCs w:val="24"/>
        </w:rPr>
        <w:t>Ekspor dan Impor Barang Tertentu</w:t>
      </w:r>
    </w:p>
    <w:p w14:paraId="63DB7DE3"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Kementrian Keuangan. (2023). Pengaplikasian Teknologi dalam Proyek KPBU Berbasis </w:t>
      </w:r>
      <w:r w:rsidRPr="001B7838">
        <w:rPr>
          <w:rFonts w:ascii="Book Antiqua" w:hAnsi="Book Antiqua" w:cs="Times New Roman"/>
          <w:noProof/>
          <w:sz w:val="24"/>
          <w:szCs w:val="24"/>
        </w:rPr>
        <w:lastRenderedPageBreak/>
        <w:t>Prinsip ESG. Retrieved from Kerja Sama Pemerintah Dengan badan usaha Kementerian keuangan Republik Indonesia website: https://kpbu.kemenkeu.go.id/read/1191-1546/umum/kajian-opini-publik/pengaplikasian-teknologi-dalam-proyek-kpbu-berbasis-prinsip-esg</w:t>
      </w:r>
    </w:p>
    <w:p w14:paraId="7679534A"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Kusnandar, V. B. (2022). Pertambangan Batu Bara dan Lignit Tumbuh 6,6% pada 2021. Retrieved from Databoks website: https://databoks.katadata.co.id/datapublish/2022/04/04/pertambangan-batu-bara-dan-lignit-tumbuh-66-pada-2021</w:t>
      </w:r>
    </w:p>
    <w:p w14:paraId="277D3851" w14:textId="63C30501"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MODI. (2023). Realisasi Produksi &amp; Penjualan Batubara. Retrieved from Kementrian Energi dan Sumber Daya </w:t>
      </w:r>
      <w:r w:rsidR="0094211C">
        <w:rPr>
          <w:rFonts w:ascii="Book Antiqua" w:hAnsi="Book Antiqua" w:cs="Times New Roman"/>
          <w:noProof/>
          <w:sz w:val="24"/>
          <w:szCs w:val="24"/>
        </w:rPr>
        <w:t>Mineral</w:t>
      </w:r>
      <w:r w:rsidRPr="001B7838">
        <w:rPr>
          <w:rFonts w:ascii="Book Antiqua" w:hAnsi="Book Antiqua" w:cs="Times New Roman"/>
          <w:noProof/>
          <w:sz w:val="24"/>
          <w:szCs w:val="24"/>
        </w:rPr>
        <w:t xml:space="preserve"> website: https://modi.esdm.go.id/produksi-batubara</w:t>
      </w:r>
    </w:p>
    <w:p w14:paraId="09E64DC7"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Natalia, D., Yoesgiantoro, D., &amp; Yusgiantoro, F. C. (2022). Analisis Kebijakan Domestic Market Obligation (DMO) Batu Bara Indonesia Untuk Ketahanan Neger Dan Mendukung Pertanahan. </w:t>
      </w:r>
      <w:r w:rsidRPr="001B7838">
        <w:rPr>
          <w:rFonts w:ascii="Book Antiqua" w:hAnsi="Book Antiqua" w:cs="Times New Roman"/>
          <w:i/>
          <w:iCs/>
          <w:noProof/>
          <w:sz w:val="24"/>
          <w:szCs w:val="24"/>
        </w:rPr>
        <w:t>Jurnal Kewarganegaran</w:t>
      </w:r>
      <w:r w:rsidRPr="001B7838">
        <w:rPr>
          <w:rFonts w:ascii="Book Antiqua" w:hAnsi="Book Antiqua" w:cs="Times New Roman"/>
          <w:noProof/>
          <w:sz w:val="24"/>
          <w:szCs w:val="24"/>
        </w:rPr>
        <w:t xml:space="preserve">, </w:t>
      </w:r>
      <w:r w:rsidRPr="001B7838">
        <w:rPr>
          <w:rFonts w:ascii="Book Antiqua" w:hAnsi="Book Antiqua" w:cs="Times New Roman"/>
          <w:i/>
          <w:iCs/>
          <w:noProof/>
          <w:sz w:val="24"/>
          <w:szCs w:val="24"/>
        </w:rPr>
        <w:t>6</w:t>
      </w:r>
      <w:r w:rsidRPr="001B7838">
        <w:rPr>
          <w:rFonts w:ascii="Book Antiqua" w:hAnsi="Book Antiqua" w:cs="Times New Roman"/>
          <w:noProof/>
          <w:sz w:val="24"/>
          <w:szCs w:val="24"/>
        </w:rPr>
        <w:t>(1), 1828. Retrieved from https://journal.upy.ac.id/index.php/pkn/article/view/2834</w:t>
      </w:r>
    </w:p>
    <w:p w14:paraId="6342704E" w14:textId="69CDE4D5"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Pemerintah Pusat. (2022). </w:t>
      </w:r>
      <w:r w:rsidRPr="001B7838">
        <w:rPr>
          <w:rFonts w:ascii="Book Antiqua" w:hAnsi="Book Antiqua" w:cs="Times New Roman"/>
          <w:i/>
          <w:iCs/>
          <w:noProof/>
          <w:sz w:val="24"/>
          <w:szCs w:val="24"/>
        </w:rPr>
        <w:t>Peraturan Pemerintah Republik Indonesia Nomor 26 Tahun 2022</w:t>
      </w:r>
      <w:r w:rsidRPr="001B7838">
        <w:rPr>
          <w:rFonts w:ascii="Book Antiqua" w:hAnsi="Book Antiqua" w:cs="Times New Roman"/>
          <w:noProof/>
          <w:sz w:val="24"/>
          <w:szCs w:val="24"/>
        </w:rPr>
        <w:t xml:space="preserve">. </w:t>
      </w:r>
      <w:r w:rsidR="0094211C">
        <w:rPr>
          <w:rFonts w:ascii="Book Antiqua" w:hAnsi="Book Antiqua" w:cs="Times New Roman"/>
          <w:noProof/>
          <w:sz w:val="24"/>
          <w:szCs w:val="24"/>
        </w:rPr>
        <w:t>Jakarta</w:t>
      </w:r>
      <w:r w:rsidRPr="001B7838">
        <w:rPr>
          <w:rFonts w:ascii="Book Antiqua" w:hAnsi="Book Antiqua" w:cs="Times New Roman"/>
          <w:noProof/>
          <w:sz w:val="24"/>
          <w:szCs w:val="24"/>
        </w:rPr>
        <w:t>. Retrieved from https://peraturan.go.id/id/pp-no-26-tahun-2022</w:t>
      </w:r>
    </w:p>
    <w:p w14:paraId="06DB5634"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Pribadi, A. (2023). Kuartal III 2023, Sumbangsih PNBP Sektor ESDM Tembus Rp224 Triliun. Retrieved from Kementerian Energi dan SUmber Daya Mineral Republik Indonesiamber Daya Mineral Republik Indonesia website: https://www.esdm.go.id/id/media-center/arsip-berita/kuartal-iii-2023-sumbangsih-pnbp-sektor-esdm-tembus-rp224-triliun</w:t>
      </w:r>
    </w:p>
    <w:p w14:paraId="2786B1A7"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Situmeang, D. P., &amp; Setiawan, A. (2022). Pengaruh Ekspor Dan Produksi Terhadap Harga Batubara Indonesia Pada Tahun 2018-2020. </w:t>
      </w:r>
      <w:r w:rsidRPr="001B7838">
        <w:rPr>
          <w:rFonts w:ascii="Book Antiqua" w:hAnsi="Book Antiqua" w:cs="Times New Roman"/>
          <w:i/>
          <w:iCs/>
          <w:noProof/>
          <w:sz w:val="24"/>
          <w:szCs w:val="24"/>
        </w:rPr>
        <w:t>INTAN Jurnal Penelitian Tambang</w:t>
      </w:r>
      <w:r w:rsidRPr="001B7838">
        <w:rPr>
          <w:rFonts w:ascii="Book Antiqua" w:hAnsi="Book Antiqua" w:cs="Times New Roman"/>
          <w:noProof/>
          <w:sz w:val="24"/>
          <w:szCs w:val="24"/>
        </w:rPr>
        <w:t xml:space="preserve">, </w:t>
      </w:r>
      <w:r w:rsidRPr="001B7838">
        <w:rPr>
          <w:rFonts w:ascii="Book Antiqua" w:hAnsi="Book Antiqua" w:cs="Times New Roman"/>
          <w:i/>
          <w:iCs/>
          <w:noProof/>
          <w:sz w:val="24"/>
          <w:szCs w:val="24"/>
        </w:rPr>
        <w:t>5</w:t>
      </w:r>
      <w:r w:rsidRPr="001B7838">
        <w:rPr>
          <w:rFonts w:ascii="Book Antiqua" w:hAnsi="Book Antiqua" w:cs="Times New Roman"/>
          <w:noProof/>
          <w:sz w:val="24"/>
          <w:szCs w:val="24"/>
        </w:rPr>
        <w:t>, 61–68. Retrieved from https://jurnal-intan.ac.id/index.php/intan/article/download/151/97/312</w:t>
      </w:r>
    </w:p>
    <w:p w14:paraId="755A2650"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 xml:space="preserve">Suseno, Triswan, H. H. (2013). Analisis Kebijakan Pengendalian produksi Batubara Nasional dalam Rangka Menjamin kebutuhan Energi Nasional. </w:t>
      </w:r>
      <w:r w:rsidRPr="001B7838">
        <w:rPr>
          <w:rFonts w:ascii="Book Antiqua" w:hAnsi="Book Antiqua" w:cs="Times New Roman"/>
          <w:i/>
          <w:iCs/>
          <w:noProof/>
          <w:sz w:val="24"/>
          <w:szCs w:val="24"/>
        </w:rPr>
        <w:t>Jurnal Teknologi Mineral Dan Batubara</w:t>
      </w:r>
      <w:r w:rsidRPr="001B7838">
        <w:rPr>
          <w:rFonts w:ascii="Book Antiqua" w:hAnsi="Book Antiqua" w:cs="Times New Roman"/>
          <w:noProof/>
          <w:sz w:val="24"/>
          <w:szCs w:val="24"/>
        </w:rPr>
        <w:t xml:space="preserve">, </w:t>
      </w:r>
      <w:r w:rsidRPr="001B7838">
        <w:rPr>
          <w:rFonts w:ascii="Book Antiqua" w:hAnsi="Book Antiqua" w:cs="Times New Roman"/>
          <w:i/>
          <w:iCs/>
          <w:noProof/>
          <w:sz w:val="24"/>
          <w:szCs w:val="24"/>
        </w:rPr>
        <w:t>9</w:t>
      </w:r>
      <w:r w:rsidRPr="001B7838">
        <w:rPr>
          <w:rFonts w:ascii="Book Antiqua" w:hAnsi="Book Antiqua" w:cs="Times New Roman"/>
          <w:noProof/>
          <w:sz w:val="24"/>
          <w:szCs w:val="24"/>
        </w:rPr>
        <w:t>(1), 23–34. Retrieved from www.esdm.go.id,</w:t>
      </w:r>
    </w:p>
    <w:p w14:paraId="1E7CB251"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Syahputra, E. (2022). Giliran Pengusaha Batubara Protes Larangan Ekspor Batu Bara. Retrieved from CNBC Indonesia website: https://www.cnbcindonesia.com/news/20220101193507-4-303799/giliran-pengusaha-batubara-protes-larangan-ekspor-batu-bara</w:t>
      </w:r>
    </w:p>
    <w:p w14:paraId="30D18C97"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cs="Times New Roman"/>
          <w:noProof/>
          <w:sz w:val="24"/>
          <w:szCs w:val="24"/>
        </w:rPr>
      </w:pPr>
      <w:r w:rsidRPr="001B7838">
        <w:rPr>
          <w:rFonts w:ascii="Book Antiqua" w:hAnsi="Book Antiqua" w:cs="Times New Roman"/>
          <w:noProof/>
          <w:sz w:val="24"/>
          <w:szCs w:val="24"/>
        </w:rPr>
        <w:t>Taufani, M. R. (2023). Durian Runtuh Masih Tersisa, Ekspor Batu Bara Tembus Rp400 T. Retrieved from CNBC Indonesia website: https://www.cnbcindonesia.com/research/20231120012256-128-490233/durian-runtuh-masih-tersisa-ekspor-batu-bara-tembus-rp400-t#:~:text=Secara keseluruhan%2C nilai ekspor batu,%2C87%25 (mtm).</w:t>
      </w:r>
    </w:p>
    <w:p w14:paraId="720B5B6A" w14:textId="77777777" w:rsidR="001B7838" w:rsidRPr="001B7838" w:rsidRDefault="001B7838" w:rsidP="000934C2">
      <w:pPr>
        <w:widowControl w:val="0"/>
        <w:autoSpaceDE w:val="0"/>
        <w:autoSpaceDN w:val="0"/>
        <w:adjustRightInd w:val="0"/>
        <w:spacing w:before="240" w:after="0" w:line="240" w:lineRule="auto"/>
        <w:ind w:left="480" w:hanging="480"/>
        <w:jc w:val="both"/>
        <w:rPr>
          <w:rFonts w:ascii="Book Antiqua" w:hAnsi="Book Antiqua"/>
          <w:noProof/>
          <w:sz w:val="24"/>
        </w:rPr>
      </w:pPr>
      <w:r w:rsidRPr="001B7838">
        <w:rPr>
          <w:rFonts w:ascii="Book Antiqua" w:hAnsi="Book Antiqua" w:cs="Times New Roman"/>
          <w:noProof/>
          <w:sz w:val="24"/>
          <w:szCs w:val="24"/>
        </w:rPr>
        <w:lastRenderedPageBreak/>
        <w:t xml:space="preserve">Yulia, S., &amp; Chandriyanti, I. (2021). Analisis Daya Saing Komparatif dan Kompetitif Ekspor Komoditas Batu Bara Tiga Negara Berkembang (Indonesia, Afrika Selatan dan Kolombia). </w:t>
      </w:r>
      <w:r w:rsidRPr="001B7838">
        <w:rPr>
          <w:rFonts w:ascii="Book Antiqua" w:hAnsi="Book Antiqua" w:cs="Times New Roman"/>
          <w:i/>
          <w:iCs/>
          <w:noProof/>
          <w:sz w:val="24"/>
          <w:szCs w:val="24"/>
        </w:rPr>
        <w:t>Ecoplan</w:t>
      </w:r>
      <w:r w:rsidRPr="001B7838">
        <w:rPr>
          <w:rFonts w:ascii="Book Antiqua" w:hAnsi="Book Antiqua" w:cs="Times New Roman"/>
          <w:noProof/>
          <w:sz w:val="24"/>
          <w:szCs w:val="24"/>
        </w:rPr>
        <w:t xml:space="preserve">, </w:t>
      </w:r>
      <w:r w:rsidRPr="001B7838">
        <w:rPr>
          <w:rFonts w:ascii="Book Antiqua" w:hAnsi="Book Antiqua" w:cs="Times New Roman"/>
          <w:i/>
          <w:iCs/>
          <w:noProof/>
          <w:sz w:val="24"/>
          <w:szCs w:val="24"/>
        </w:rPr>
        <w:t>4</w:t>
      </w:r>
      <w:r w:rsidRPr="001B7838">
        <w:rPr>
          <w:rFonts w:ascii="Book Antiqua" w:hAnsi="Book Antiqua" w:cs="Times New Roman"/>
          <w:noProof/>
          <w:sz w:val="24"/>
          <w:szCs w:val="24"/>
        </w:rPr>
        <w:t>(2), 99–110. https://doi.org/10.20527/ecoplan.v4i2.339</w:t>
      </w:r>
    </w:p>
    <w:p w14:paraId="5E3FD5AA" w14:textId="08A199BA" w:rsidR="001B7838" w:rsidRDefault="001B7838" w:rsidP="000934C2">
      <w:pPr>
        <w:spacing w:before="240"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fldChar w:fldCharType="end"/>
      </w:r>
    </w:p>
    <w:sectPr w:rsidR="001B7838" w:rsidSect="00B72164">
      <w:type w:val="continuous"/>
      <w:pgSz w:w="12240" w:h="15840"/>
      <w:pgMar w:top="993" w:right="1041" w:bottom="993" w:left="1418" w:header="1152" w:footer="426"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2E1C4" w14:textId="77777777" w:rsidR="00310A47" w:rsidRDefault="00310A47">
      <w:pPr>
        <w:spacing w:after="0" w:line="240" w:lineRule="auto"/>
      </w:pPr>
      <w:r>
        <w:separator/>
      </w:r>
    </w:p>
  </w:endnote>
  <w:endnote w:type="continuationSeparator" w:id="0">
    <w:p w14:paraId="4891E0F0" w14:textId="77777777" w:rsidR="00310A47" w:rsidRDefault="00310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29F90" w14:textId="77777777" w:rsidR="008B5BF3" w:rsidRDefault="00C47895">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DE2CCA">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5C7539B1" wp14:editId="183319F0">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4E904D53" w14:textId="77777777" w:rsidR="008B5BF3" w:rsidRDefault="00C47895">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xxxx; </w:t>
    </w:r>
    <w:r>
      <w:rPr>
        <w:rFonts w:ascii="Book Antiqua" w:eastAsia="Book Antiqua" w:hAnsi="Book Antiqua" w:cs="Book Antiqua"/>
        <w:i/>
        <w:color w:val="000000"/>
      </w:rPr>
      <w:t>………</w:t>
    </w:r>
  </w:p>
  <w:p w14:paraId="10F34637" w14:textId="77777777" w:rsidR="008B5BF3" w:rsidRDefault="008B5BF3">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F759A" w14:textId="77777777" w:rsidR="008B5BF3" w:rsidRDefault="00C47895">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DE2CCA">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7B76CF78" wp14:editId="18023325">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646F7347" w14:textId="77777777" w:rsidR="008B5BF3" w:rsidRDefault="00C47895">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xxxx;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81145" w14:textId="77777777" w:rsidR="00310A47" w:rsidRDefault="00310A47">
      <w:pPr>
        <w:spacing w:after="0" w:line="240" w:lineRule="auto"/>
      </w:pPr>
      <w:r>
        <w:separator/>
      </w:r>
    </w:p>
  </w:footnote>
  <w:footnote w:type="continuationSeparator" w:id="0">
    <w:p w14:paraId="24BFCE17" w14:textId="77777777" w:rsidR="00310A47" w:rsidRDefault="00310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F939D9"/>
    <w:multiLevelType w:val="multilevel"/>
    <w:tmpl w:val="07B0501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BF3"/>
    <w:rsid w:val="000934C2"/>
    <w:rsid w:val="001B7838"/>
    <w:rsid w:val="00302272"/>
    <w:rsid w:val="00310A47"/>
    <w:rsid w:val="008368C0"/>
    <w:rsid w:val="008B5BF3"/>
    <w:rsid w:val="0094211C"/>
    <w:rsid w:val="00B72164"/>
    <w:rsid w:val="00C47895"/>
    <w:rsid w:val="00DC29AA"/>
    <w:rsid w:val="00DE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2C494"/>
  <w15:docId w15:val="{29403C7E-9BF7-42F3-804B-14700F06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jurnal.unmer.ac.id/index.php/jkpp"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056231473530622E-2"/>
          <c:y val="5.5443548387096774E-2"/>
          <c:w val="0.90494376852646941"/>
          <c:h val="0.71233172466344929"/>
        </c:manualLayout>
      </c:layout>
      <c:barChart>
        <c:barDir val="col"/>
        <c:grouping val="clustered"/>
        <c:varyColors val="0"/>
        <c:ser>
          <c:idx val="0"/>
          <c:order val="0"/>
          <c:tx>
            <c:strRef>
              <c:f>Sheet1!$B$1</c:f>
              <c:strCache>
                <c:ptCount val="1"/>
                <c:pt idx="0">
                  <c:v>Production realization</c:v>
                </c:pt>
              </c:strCache>
            </c:strRef>
          </c:tx>
          <c:spPr>
            <a:solidFill>
              <a:schemeClr val="accent1"/>
            </a:solidFill>
            <a:ln>
              <a:noFill/>
            </a:ln>
            <a:effectLst/>
          </c:spPr>
          <c:invertIfNegative val="0"/>
          <c:dLbls>
            <c:dLbl>
              <c:idx val="0"/>
              <c:layout>
                <c:manualLayout>
                  <c:x val="2.4111510529141052E-3"/>
                  <c:y val="-1.10406877063754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0E-409B-BD23-AEE908FBB193}"/>
                </c:ext>
              </c:extLst>
            </c:dLbl>
            <c:dLbl>
              <c:idx val="1"/>
              <c:layout>
                <c:manualLayout>
                  <c:x val="2.4110910186859553E-3"/>
                  <c:y val="1.88812839273070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0E-409B-BD23-AEE908FBB193}"/>
                </c:ext>
              </c:extLst>
            </c:dLbl>
            <c:dLbl>
              <c:idx val="2"/>
              <c:layout>
                <c:manualLayout>
                  <c:x val="0"/>
                  <c:y val="9.440641963653528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0E-409B-BD23-AEE908FBB193}"/>
                </c:ext>
              </c:extLst>
            </c:dLbl>
            <c:dLbl>
              <c:idx val="3"/>
              <c:layout>
                <c:manualLayout>
                  <c:x val="0"/>
                  <c:y val="9.440641963653528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0E-409B-BD23-AEE908FBB193}"/>
                </c:ext>
              </c:extLst>
            </c:dLbl>
            <c:dLbl>
              <c:idx val="4"/>
              <c:layout>
                <c:manualLayout>
                  <c:x val="-1.768112988310914E-16"/>
                  <c:y val="9.44064196365351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0E-409B-BD23-AEE908FBB1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General</c:formatCode>
                <c:ptCount val="5"/>
                <c:pt idx="0">
                  <c:v>616.16</c:v>
                </c:pt>
                <c:pt idx="1">
                  <c:v>565.69000000000005</c:v>
                </c:pt>
                <c:pt idx="2">
                  <c:v>606.28</c:v>
                </c:pt>
                <c:pt idx="3">
                  <c:v>685.71</c:v>
                </c:pt>
                <c:pt idx="4">
                  <c:v>765.81</c:v>
                </c:pt>
              </c:numCache>
            </c:numRef>
          </c:val>
          <c:extLst>
            <c:ext xmlns:c16="http://schemas.microsoft.com/office/drawing/2014/chart" uri="{C3380CC4-5D6E-409C-BE32-E72D297353CC}">
              <c16:uniqueId val="{00000005-810E-409B-BD23-AEE908FBB193}"/>
            </c:ext>
          </c:extLst>
        </c:ser>
        <c:ser>
          <c:idx val="1"/>
          <c:order val="1"/>
          <c:tx>
            <c:strRef>
              <c:f>Sheet1!$C$1</c:f>
              <c:strCache>
                <c:ptCount val="1"/>
                <c:pt idx="0">
                  <c:v>Expor realization</c:v>
                </c:pt>
              </c:strCache>
            </c:strRef>
          </c:tx>
          <c:spPr>
            <a:solidFill>
              <a:schemeClr val="accent2"/>
            </a:solidFill>
            <a:ln>
              <a:noFill/>
            </a:ln>
            <a:effectLst/>
          </c:spPr>
          <c:invertIfNegative val="0"/>
          <c:dLbls>
            <c:dLbl>
              <c:idx val="0"/>
              <c:layout>
                <c:manualLayout>
                  <c:x val="1.2055455093429777E-2"/>
                  <c:y val="1.88812839273070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0E-409B-BD23-AEE908FBB193}"/>
                </c:ext>
              </c:extLst>
            </c:dLbl>
            <c:dLbl>
              <c:idx val="1"/>
              <c:layout>
                <c:manualLayout>
                  <c:x val="7.2332270850616418E-3"/>
                  <c:y val="2.4298547188643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0E-409B-BD23-AEE908FBB193}"/>
                </c:ext>
              </c:extLst>
            </c:dLbl>
            <c:dLbl>
              <c:idx val="2"/>
              <c:layout>
                <c:manualLayout>
                  <c:x val="1.2055443162026188E-2"/>
                  <c:y val="1.9577976642410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0E-409B-BD23-AEE908FBB193}"/>
                </c:ext>
              </c:extLst>
            </c:dLbl>
            <c:dLbl>
              <c:idx val="3"/>
              <c:layout>
                <c:manualLayout>
                  <c:x val="1.2055443162026188E-2"/>
                  <c:y val="1.95779766424104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0E-409B-BD23-AEE908FBB193}"/>
                </c:ext>
              </c:extLst>
            </c:dLbl>
            <c:dLbl>
              <c:idx val="4"/>
              <c:layout>
                <c:manualLayout>
                  <c:x val="1.2055443162026188E-2"/>
                  <c:y val="1.9577976642410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10E-409B-BD23-AEE908FBB1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Sheet1!$C$2:$C$6</c:f>
              <c:numCache>
                <c:formatCode>General</c:formatCode>
                <c:ptCount val="5"/>
                <c:pt idx="0">
                  <c:v>545.5</c:v>
                </c:pt>
                <c:pt idx="1">
                  <c:v>331.94</c:v>
                </c:pt>
                <c:pt idx="2">
                  <c:v>322.07</c:v>
                </c:pt>
                <c:pt idx="3">
                  <c:v>367.94</c:v>
                </c:pt>
                <c:pt idx="4">
                  <c:v>394.08</c:v>
                </c:pt>
              </c:numCache>
            </c:numRef>
          </c:val>
          <c:extLst>
            <c:ext xmlns:c16="http://schemas.microsoft.com/office/drawing/2014/chart" uri="{C3380CC4-5D6E-409C-BE32-E72D297353CC}">
              <c16:uniqueId val="{0000000B-810E-409B-BD23-AEE908FBB193}"/>
            </c:ext>
          </c:extLst>
        </c:ser>
        <c:ser>
          <c:idx val="2"/>
          <c:order val="2"/>
          <c:tx>
            <c:strRef>
              <c:f>Sheet1!$D$1</c:f>
              <c:strCache>
                <c:ptCount val="1"/>
                <c:pt idx="0">
                  <c:v>DMO realization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Sheet1!$D$2:$D$6</c:f>
              <c:numCache>
                <c:formatCode>General</c:formatCode>
                <c:ptCount val="5"/>
                <c:pt idx="0">
                  <c:v>138.41999999999999</c:v>
                </c:pt>
                <c:pt idx="1">
                  <c:v>131.88999999999999</c:v>
                </c:pt>
                <c:pt idx="2">
                  <c:v>133.04</c:v>
                </c:pt>
                <c:pt idx="3">
                  <c:v>215.81</c:v>
                </c:pt>
                <c:pt idx="4">
                  <c:v>71.06</c:v>
                </c:pt>
              </c:numCache>
            </c:numRef>
          </c:val>
          <c:extLst>
            <c:ext xmlns:c16="http://schemas.microsoft.com/office/drawing/2014/chart" uri="{C3380CC4-5D6E-409C-BE32-E72D297353CC}">
              <c16:uniqueId val="{0000000C-810E-409B-BD23-AEE908FBB193}"/>
            </c:ext>
          </c:extLst>
        </c:ser>
        <c:dLbls>
          <c:showLegendKey val="0"/>
          <c:showVal val="0"/>
          <c:showCatName val="0"/>
          <c:showSerName val="0"/>
          <c:showPercent val="0"/>
          <c:showBubbleSize val="0"/>
        </c:dLbls>
        <c:gapWidth val="219"/>
        <c:axId val="2037832751"/>
        <c:axId val="2935392"/>
      </c:barChart>
      <c:catAx>
        <c:axId val="203783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5392"/>
        <c:crosses val="autoZero"/>
        <c:auto val="1"/>
        <c:lblAlgn val="ctr"/>
        <c:lblOffset val="100"/>
        <c:noMultiLvlLbl val="0"/>
      </c:catAx>
      <c:valAx>
        <c:axId val="293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832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FADB3F-3AE6-43C8-99C0-BB8EA2B18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14310</Words>
  <Characters>81570</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USER</cp:lastModifiedBy>
  <cp:revision>5</cp:revision>
  <dcterms:created xsi:type="dcterms:W3CDTF">2024-02-05T04:39:00Z</dcterms:created>
  <dcterms:modified xsi:type="dcterms:W3CDTF">2024-02-20T03:03:00Z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5ddfe8380bca42143deede6502fc83830eb614cefd754d58fe7d0c21b01f41ca</vt:lpwstr>
  </property>
  <property fmtid="{D5CDD505-2E9C-101B-9397-08002B2CF9AE}" pid="3" name="Mendeley Recent Style Id 0_1">
    <vt:lpwstr>http://www.zotero.org/styles/american-physical-society-et-al</vt:lpwstr>
  </property>
  <property fmtid="{D5CDD505-2E9C-101B-9397-08002B2CF9AE}" pid="4" name="Mendeley Recent Style Name 0_1">
    <vt:lpwstr>American Physical Society - et al. (if more than 3 authors)</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http://www.zotero.org/styles/chicago-author-date-16th-edition</vt:lpwstr>
  </property>
  <property fmtid="{D5CDD505-2E9C-101B-9397-08002B2CF9AE}" pid="10" name="Mendeley Recent Style Name 3_1">
    <vt:lpwstr>Chicago Manual of Style 16th edition (author-date)</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Citation Style_1">
    <vt:lpwstr>http://www.zotero.org/styles/apa-6th-edition</vt:lpwstr>
  </property>
  <property fmtid="{D5CDD505-2E9C-101B-9397-08002B2CF9AE}" pid="24" name="Mendeley Document_1">
    <vt:lpwstr>True</vt:lpwstr>
  </property>
  <property fmtid="{D5CDD505-2E9C-101B-9397-08002B2CF9AE}" pid="25" name="Mendeley Unique User Id_1">
    <vt:lpwstr>06a42592-4539-39b3-9c7f-3884e9fc9d39</vt:lpwstr>
  </property>
</Properties>
</file>