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C312C" w14:textId="2F314B09" w:rsidR="005E7D0A" w:rsidRPr="004371B0" w:rsidRDefault="00AB605D" w:rsidP="00AB605D">
      <w:pPr>
        <w:spacing w:after="0"/>
        <w:jc w:val="center"/>
        <w:rPr>
          <w:rFonts w:ascii="Cambria" w:hAnsi="Cambria" w:cs="Times New Roman"/>
          <w:b/>
          <w:sz w:val="24"/>
          <w:szCs w:val="24"/>
          <w:lang w:val="id-ID"/>
        </w:rPr>
      </w:pPr>
      <w:bookmarkStart w:id="0" w:name="_Hlk108531475"/>
      <w:r w:rsidRPr="004371B0">
        <w:rPr>
          <w:rFonts w:ascii="Cambria" w:hAnsi="Cambria" w:cs="Times New Roman"/>
          <w:b/>
          <w:sz w:val="24"/>
          <w:szCs w:val="24"/>
          <w:lang w:val="id-ID"/>
        </w:rPr>
        <w:t>Kebijakan Eksistensi Peradilan Adat di Kabupaten Fakfak</w:t>
      </w:r>
    </w:p>
    <w:p w14:paraId="04122501" w14:textId="77777777" w:rsidR="00250ADC" w:rsidRPr="004371B0" w:rsidRDefault="00250ADC" w:rsidP="00AB605D">
      <w:pPr>
        <w:spacing w:after="0"/>
        <w:jc w:val="center"/>
        <w:rPr>
          <w:rFonts w:ascii="Cambria" w:hAnsi="Cambria" w:cs="Times New Roman"/>
          <w:b/>
          <w:sz w:val="24"/>
          <w:szCs w:val="24"/>
          <w:lang w:val="id-ID"/>
        </w:rPr>
      </w:pPr>
    </w:p>
    <w:p w14:paraId="1DC309DC" w14:textId="2575009E" w:rsidR="0042183E" w:rsidRPr="004371B0" w:rsidRDefault="00AB605D" w:rsidP="00AB605D">
      <w:pPr>
        <w:spacing w:after="0"/>
        <w:jc w:val="center"/>
        <w:rPr>
          <w:rFonts w:ascii="Cambria" w:hAnsi="Cambria" w:cs="Times New Roman"/>
          <w:bCs/>
          <w:sz w:val="24"/>
          <w:szCs w:val="24"/>
          <w:lang w:val="id-ID"/>
        </w:rPr>
      </w:pPr>
      <w:r w:rsidRPr="004371B0">
        <w:rPr>
          <w:rFonts w:ascii="Cambria" w:hAnsi="Cambria" w:cs="Times New Roman"/>
          <w:bCs/>
          <w:sz w:val="24"/>
          <w:szCs w:val="24"/>
          <w:lang w:val="id-ID"/>
        </w:rPr>
        <w:t>Suriadi, Kadek Wiwik Indrayanti</w:t>
      </w:r>
      <w:bookmarkEnd w:id="0"/>
    </w:p>
    <w:p w14:paraId="712955FD" w14:textId="3F6D9B4C" w:rsidR="00AB605D" w:rsidRPr="004371B0" w:rsidRDefault="00AB605D" w:rsidP="00AB605D">
      <w:pPr>
        <w:spacing w:after="0"/>
        <w:jc w:val="center"/>
        <w:rPr>
          <w:rFonts w:ascii="Cambria" w:hAnsi="Cambria" w:cs="Times New Roman"/>
          <w:bCs/>
          <w:sz w:val="24"/>
          <w:szCs w:val="24"/>
          <w:lang w:val="id-ID"/>
        </w:rPr>
      </w:pPr>
      <w:r w:rsidRPr="004371B0">
        <w:rPr>
          <w:rFonts w:ascii="Cambria" w:hAnsi="Cambria" w:cs="Times New Roman"/>
          <w:bCs/>
          <w:sz w:val="24"/>
          <w:szCs w:val="24"/>
          <w:lang w:val="id-ID"/>
        </w:rPr>
        <w:t xml:space="preserve">Program Pascasarjana Magister Ilmu Hukum Universitas Merdeka Malang </w:t>
      </w:r>
    </w:p>
    <w:p w14:paraId="68F0CF86" w14:textId="0D9FAEDB" w:rsidR="00AB605D" w:rsidRPr="004371B0" w:rsidRDefault="00AB605D" w:rsidP="00AB605D">
      <w:pPr>
        <w:spacing w:after="0"/>
        <w:jc w:val="center"/>
        <w:rPr>
          <w:rFonts w:ascii="Cambria" w:hAnsi="Cambria" w:cs="Times New Roman"/>
          <w:bCs/>
          <w:sz w:val="24"/>
          <w:szCs w:val="24"/>
          <w:lang w:val="id-ID"/>
        </w:rPr>
      </w:pPr>
      <w:r w:rsidRPr="004371B0">
        <w:rPr>
          <w:rFonts w:ascii="Cambria" w:hAnsi="Cambria" w:cs="Times New Roman"/>
          <w:bCs/>
          <w:sz w:val="24"/>
          <w:szCs w:val="24"/>
          <w:lang w:val="id-ID"/>
        </w:rPr>
        <w:t>Corresponding Author : Suriadi</w:t>
      </w:r>
    </w:p>
    <w:p w14:paraId="25280E90" w14:textId="4DE8A8EA" w:rsidR="00AB605D" w:rsidRDefault="00AB605D" w:rsidP="00AB605D">
      <w:pPr>
        <w:spacing w:after="0"/>
        <w:jc w:val="center"/>
        <w:rPr>
          <w:rFonts w:ascii="Cambria" w:hAnsi="Cambria" w:cs="Times New Roman"/>
          <w:bCs/>
          <w:sz w:val="24"/>
          <w:szCs w:val="24"/>
          <w:lang w:val="id-ID"/>
        </w:rPr>
      </w:pPr>
      <w:r w:rsidRPr="004371B0">
        <w:rPr>
          <w:rFonts w:ascii="Cambria" w:hAnsi="Cambria" w:cs="Times New Roman"/>
          <w:bCs/>
          <w:sz w:val="24"/>
          <w:szCs w:val="24"/>
          <w:lang w:val="id-ID"/>
        </w:rPr>
        <w:t xml:space="preserve">Email: </w:t>
      </w:r>
      <w:hyperlink r:id="rId8" w:history="1">
        <w:r w:rsidR="00FB5CA7" w:rsidRPr="00B1391F">
          <w:rPr>
            <w:rStyle w:val="Hyperlink"/>
            <w:rFonts w:ascii="Cambria" w:hAnsi="Cambria" w:cs="Times New Roman"/>
            <w:bCs/>
            <w:sz w:val="24"/>
            <w:szCs w:val="24"/>
            <w:lang w:val="id-ID"/>
          </w:rPr>
          <w:t>suriadi@gmail.com</w:t>
        </w:r>
      </w:hyperlink>
    </w:p>
    <w:p w14:paraId="465A3E55" w14:textId="77777777" w:rsidR="00FB5CA7" w:rsidRDefault="00FB5CA7" w:rsidP="00AB605D">
      <w:pPr>
        <w:spacing w:after="0"/>
        <w:jc w:val="center"/>
        <w:rPr>
          <w:rFonts w:ascii="Cambria" w:hAnsi="Cambria" w:cs="Times New Roman"/>
          <w:bCs/>
          <w:sz w:val="24"/>
          <w:szCs w:val="24"/>
          <w:lang w:val="id-ID"/>
        </w:rPr>
      </w:pPr>
    </w:p>
    <w:p w14:paraId="701D1CE4" w14:textId="7CAE0898" w:rsidR="00FB5CA7" w:rsidRPr="00D455EA" w:rsidRDefault="00FB5CA7" w:rsidP="00FB5CA7">
      <w:pPr>
        <w:rPr>
          <w:rFonts w:asciiTheme="majorHAnsi" w:hAnsiTheme="majorHAnsi" w:cs="Arial"/>
          <w:b/>
          <w:bCs/>
          <w:szCs w:val="24"/>
        </w:rPr>
      </w:pPr>
      <w:r w:rsidRPr="00D455EA">
        <w:rPr>
          <w:rFonts w:asciiTheme="majorHAnsi" w:hAnsiTheme="majorHAnsi" w:cs="Arial"/>
          <w:bCs/>
          <w:szCs w:val="24"/>
        </w:rPr>
        <w:t>Received</w:t>
      </w:r>
      <w:r w:rsidRPr="00D455EA">
        <w:rPr>
          <w:rFonts w:asciiTheme="majorHAnsi" w:hAnsiTheme="majorHAnsi" w:cs="Arial"/>
          <w:bCs/>
          <w:szCs w:val="24"/>
        </w:rPr>
        <w:tab/>
      </w:r>
      <w:r w:rsidRPr="00D455EA">
        <w:rPr>
          <w:rFonts w:asciiTheme="majorHAnsi" w:hAnsiTheme="majorHAnsi" w:cs="Arial"/>
          <w:bCs/>
          <w:szCs w:val="24"/>
        </w:rPr>
        <w:tab/>
      </w:r>
      <w:r w:rsidRPr="00D455EA">
        <w:rPr>
          <w:rFonts w:asciiTheme="majorHAnsi" w:hAnsiTheme="majorHAnsi" w:cs="Arial"/>
          <w:bCs/>
          <w:szCs w:val="24"/>
        </w:rPr>
        <w:tab/>
        <w:t>: 0</w:t>
      </w:r>
      <w:r>
        <w:rPr>
          <w:rFonts w:asciiTheme="majorHAnsi" w:hAnsiTheme="majorHAnsi" w:cs="Arial"/>
          <w:bCs/>
          <w:szCs w:val="24"/>
        </w:rPr>
        <w:t>6</w:t>
      </w:r>
      <w:r w:rsidRPr="00D455EA">
        <w:rPr>
          <w:rFonts w:asciiTheme="majorHAnsi" w:hAnsiTheme="majorHAnsi" w:cs="Arial"/>
          <w:bCs/>
          <w:szCs w:val="24"/>
        </w:rPr>
        <w:t>-05-2026</w:t>
      </w:r>
    </w:p>
    <w:p w14:paraId="27EA40DA" w14:textId="628FDB13" w:rsidR="00FB5CA7" w:rsidRPr="00D455EA" w:rsidRDefault="00FB5CA7" w:rsidP="00FB5CA7">
      <w:pPr>
        <w:rPr>
          <w:rFonts w:asciiTheme="majorHAnsi" w:hAnsiTheme="majorHAnsi" w:cs="Arial"/>
          <w:b/>
          <w:bCs/>
          <w:szCs w:val="24"/>
        </w:rPr>
      </w:pPr>
      <w:r w:rsidRPr="00D455EA">
        <w:rPr>
          <w:rFonts w:asciiTheme="majorHAnsi" w:hAnsiTheme="majorHAnsi" w:cs="Arial"/>
          <w:bCs/>
          <w:szCs w:val="24"/>
        </w:rPr>
        <w:t xml:space="preserve">Received in </w:t>
      </w:r>
      <w:proofErr w:type="spellStart"/>
      <w:r w:rsidRPr="00D455EA">
        <w:rPr>
          <w:rFonts w:asciiTheme="majorHAnsi" w:hAnsiTheme="majorHAnsi" w:cs="Arial"/>
          <w:bCs/>
          <w:szCs w:val="24"/>
        </w:rPr>
        <w:t>Revisied</w:t>
      </w:r>
      <w:proofErr w:type="spellEnd"/>
      <w:r w:rsidRPr="00D455EA">
        <w:rPr>
          <w:rFonts w:asciiTheme="majorHAnsi" w:hAnsiTheme="majorHAnsi" w:cs="Arial"/>
          <w:bCs/>
          <w:szCs w:val="24"/>
        </w:rPr>
        <w:t xml:space="preserve"> Form</w:t>
      </w:r>
      <w:r w:rsidRPr="00D455EA">
        <w:rPr>
          <w:rFonts w:asciiTheme="majorHAnsi" w:hAnsiTheme="majorHAnsi" w:cs="Arial"/>
          <w:bCs/>
          <w:szCs w:val="24"/>
        </w:rPr>
        <w:tab/>
        <w:t xml:space="preserve">: </w:t>
      </w:r>
      <w:r>
        <w:rPr>
          <w:rFonts w:asciiTheme="majorHAnsi" w:hAnsiTheme="majorHAnsi" w:cs="Arial"/>
          <w:bCs/>
          <w:szCs w:val="24"/>
        </w:rPr>
        <w:t>13</w:t>
      </w:r>
      <w:r w:rsidRPr="00D455EA">
        <w:rPr>
          <w:rFonts w:asciiTheme="majorHAnsi" w:hAnsiTheme="majorHAnsi" w:cs="Arial"/>
          <w:bCs/>
          <w:szCs w:val="24"/>
        </w:rPr>
        <w:t>-0</w:t>
      </w:r>
      <w:r>
        <w:rPr>
          <w:rFonts w:asciiTheme="majorHAnsi" w:hAnsiTheme="majorHAnsi" w:cs="Arial"/>
          <w:bCs/>
          <w:szCs w:val="24"/>
        </w:rPr>
        <w:t>7</w:t>
      </w:r>
      <w:r w:rsidRPr="00D455EA">
        <w:rPr>
          <w:rFonts w:asciiTheme="majorHAnsi" w:hAnsiTheme="majorHAnsi" w:cs="Arial"/>
          <w:bCs/>
          <w:szCs w:val="24"/>
        </w:rPr>
        <w:t>-2026</w:t>
      </w:r>
    </w:p>
    <w:p w14:paraId="60C6C5EF" w14:textId="3890668B" w:rsidR="00FB5CA7" w:rsidRPr="00D455EA" w:rsidRDefault="00FB5CA7" w:rsidP="00FB5CA7">
      <w:pPr>
        <w:rPr>
          <w:rFonts w:asciiTheme="majorHAnsi" w:hAnsiTheme="majorHAnsi" w:cs="Arial"/>
          <w:b/>
          <w:bCs/>
          <w:szCs w:val="24"/>
        </w:rPr>
      </w:pPr>
      <w:r w:rsidRPr="00D455EA">
        <w:rPr>
          <w:rFonts w:asciiTheme="majorHAnsi" w:hAnsiTheme="majorHAnsi" w:cs="Arial"/>
          <w:bCs/>
          <w:szCs w:val="24"/>
        </w:rPr>
        <w:t>Accepted</w:t>
      </w:r>
      <w:r w:rsidRPr="00D455EA">
        <w:rPr>
          <w:rFonts w:asciiTheme="majorHAnsi" w:hAnsiTheme="majorHAnsi" w:cs="Arial"/>
          <w:bCs/>
          <w:szCs w:val="24"/>
        </w:rPr>
        <w:tab/>
      </w:r>
      <w:r w:rsidRPr="00D455EA">
        <w:rPr>
          <w:rFonts w:asciiTheme="majorHAnsi" w:hAnsiTheme="majorHAnsi" w:cs="Arial"/>
          <w:bCs/>
          <w:szCs w:val="24"/>
        </w:rPr>
        <w:tab/>
      </w:r>
      <w:r w:rsidRPr="00D455EA">
        <w:rPr>
          <w:rFonts w:asciiTheme="majorHAnsi" w:hAnsiTheme="majorHAnsi" w:cs="Arial"/>
          <w:bCs/>
          <w:szCs w:val="24"/>
        </w:rPr>
        <w:tab/>
        <w:t xml:space="preserve">: </w:t>
      </w:r>
      <w:r>
        <w:rPr>
          <w:rFonts w:asciiTheme="majorHAnsi" w:hAnsiTheme="majorHAnsi" w:cs="Arial"/>
          <w:bCs/>
          <w:szCs w:val="24"/>
        </w:rPr>
        <w:t>20</w:t>
      </w:r>
      <w:r w:rsidRPr="00D455EA">
        <w:rPr>
          <w:rFonts w:asciiTheme="majorHAnsi" w:hAnsiTheme="majorHAnsi" w:cs="Arial"/>
          <w:bCs/>
          <w:szCs w:val="24"/>
        </w:rPr>
        <w:t>-07-2026</w:t>
      </w:r>
    </w:p>
    <w:p w14:paraId="44A43A64" w14:textId="0F1622B7" w:rsidR="00FB5CA7" w:rsidRPr="00D455EA" w:rsidRDefault="00FB5CA7" w:rsidP="00FB5CA7">
      <w:pPr>
        <w:rPr>
          <w:rFonts w:asciiTheme="majorHAnsi" w:hAnsiTheme="majorHAnsi" w:cs="Arial"/>
          <w:b/>
          <w:bCs/>
          <w:szCs w:val="24"/>
        </w:rPr>
      </w:pPr>
      <w:r w:rsidRPr="00D455EA">
        <w:rPr>
          <w:rFonts w:asciiTheme="majorHAnsi" w:hAnsiTheme="majorHAnsi" w:cs="Arial"/>
          <w:bCs/>
          <w:szCs w:val="24"/>
        </w:rPr>
        <w:t>Publish</w:t>
      </w:r>
      <w:r w:rsidRPr="00D455EA">
        <w:rPr>
          <w:rFonts w:asciiTheme="majorHAnsi" w:hAnsiTheme="majorHAnsi" w:cs="Arial"/>
          <w:bCs/>
          <w:szCs w:val="24"/>
        </w:rPr>
        <w:tab/>
      </w:r>
      <w:r w:rsidRPr="00D455EA">
        <w:rPr>
          <w:rFonts w:asciiTheme="majorHAnsi" w:hAnsiTheme="majorHAnsi" w:cs="Arial"/>
          <w:bCs/>
          <w:szCs w:val="24"/>
        </w:rPr>
        <w:tab/>
      </w:r>
      <w:r w:rsidRPr="00D455EA">
        <w:rPr>
          <w:rFonts w:asciiTheme="majorHAnsi" w:hAnsiTheme="majorHAnsi" w:cs="Arial"/>
          <w:bCs/>
          <w:szCs w:val="24"/>
        </w:rPr>
        <w:tab/>
      </w:r>
      <w:r>
        <w:rPr>
          <w:rFonts w:asciiTheme="majorHAnsi" w:hAnsiTheme="majorHAnsi" w:cs="Arial"/>
          <w:bCs/>
          <w:szCs w:val="24"/>
        </w:rPr>
        <w:tab/>
      </w:r>
      <w:r w:rsidRPr="00D455EA">
        <w:rPr>
          <w:rFonts w:asciiTheme="majorHAnsi" w:hAnsiTheme="majorHAnsi" w:cs="Arial"/>
          <w:bCs/>
          <w:szCs w:val="24"/>
        </w:rPr>
        <w:t>: 25-07-2026</w:t>
      </w:r>
    </w:p>
    <w:p w14:paraId="1C9400C5" w14:textId="77777777" w:rsidR="00FB5CA7" w:rsidRPr="004371B0" w:rsidRDefault="00FB5CA7" w:rsidP="00AB605D">
      <w:pPr>
        <w:spacing w:after="0"/>
        <w:jc w:val="center"/>
        <w:rPr>
          <w:rFonts w:ascii="Cambria" w:hAnsi="Cambria" w:cs="Times New Roman"/>
          <w:bCs/>
          <w:sz w:val="24"/>
          <w:szCs w:val="24"/>
          <w:lang w:val="id-ID"/>
        </w:rPr>
      </w:pPr>
    </w:p>
    <w:p w14:paraId="5213FA9B" w14:textId="77777777" w:rsidR="00AB605D" w:rsidRPr="004371B0" w:rsidRDefault="00AB605D" w:rsidP="00AB605D">
      <w:pPr>
        <w:spacing w:after="0"/>
        <w:jc w:val="center"/>
        <w:rPr>
          <w:rFonts w:ascii="Cambria" w:hAnsi="Cambria" w:cs="Times New Roman"/>
          <w:bCs/>
          <w:sz w:val="24"/>
          <w:szCs w:val="24"/>
          <w:lang w:val="id-ID"/>
        </w:rPr>
      </w:pPr>
    </w:p>
    <w:p w14:paraId="6301F401" w14:textId="77777777" w:rsidR="00250ADC" w:rsidRPr="004371B0" w:rsidRDefault="00250ADC" w:rsidP="00250ADC">
      <w:pPr>
        <w:spacing w:after="0" w:line="240" w:lineRule="auto"/>
        <w:jc w:val="center"/>
        <w:rPr>
          <w:rFonts w:ascii="Cambria" w:eastAsia="Times New Roman" w:hAnsi="Cambria" w:cs="Times New Roman"/>
          <w:b/>
          <w:bCs/>
          <w:sz w:val="24"/>
          <w:szCs w:val="24"/>
          <w:lang w:val="id-ID"/>
        </w:rPr>
      </w:pPr>
      <w:bookmarkStart w:id="1" w:name="_TOC_250018"/>
      <w:bookmarkStart w:id="2" w:name="_Toc108729158"/>
      <w:r w:rsidRPr="004371B0">
        <w:rPr>
          <w:rFonts w:ascii="Cambria" w:eastAsia="Times New Roman" w:hAnsi="Cambria" w:cs="Times New Roman"/>
          <w:b/>
          <w:bCs/>
          <w:sz w:val="24"/>
          <w:szCs w:val="24"/>
          <w:lang w:val="id-ID"/>
        </w:rPr>
        <w:t>Abstrak</w:t>
      </w:r>
    </w:p>
    <w:p w14:paraId="5CFAADDE" w14:textId="77777777" w:rsidR="00250ADC" w:rsidRPr="004371B0" w:rsidRDefault="00250ADC" w:rsidP="00250ADC">
      <w:pPr>
        <w:spacing w:after="0" w:line="240" w:lineRule="auto"/>
        <w:jc w:val="center"/>
        <w:rPr>
          <w:rFonts w:ascii="Cambria" w:eastAsia="Times New Roman" w:hAnsi="Cambria" w:cs="Times New Roman"/>
          <w:sz w:val="24"/>
          <w:szCs w:val="24"/>
          <w:lang w:val="id-ID"/>
        </w:rPr>
      </w:pPr>
    </w:p>
    <w:p w14:paraId="4192FB50" w14:textId="02FFA163" w:rsidR="00D7389A" w:rsidRPr="00D7389A" w:rsidRDefault="00250ADC" w:rsidP="00D7389A">
      <w:pPr>
        <w:spacing w:after="0" w:line="240" w:lineRule="auto"/>
        <w:jc w:val="both"/>
        <w:rPr>
          <w:rFonts w:ascii="Cambria" w:eastAsia="Times New Roman" w:hAnsi="Cambria"/>
          <w:sz w:val="24"/>
          <w:szCs w:val="24"/>
          <w:lang w:val="id-ID"/>
        </w:rPr>
      </w:pPr>
      <w:r w:rsidRPr="004371B0">
        <w:rPr>
          <w:rFonts w:ascii="Cambria" w:eastAsia="Times New Roman" w:hAnsi="Cambria" w:cs="Times New Roman"/>
          <w:sz w:val="24"/>
          <w:szCs w:val="24"/>
          <w:lang w:val="id-ID"/>
        </w:rPr>
        <w:t xml:space="preserve">Penelitian ini bertujuan untuk mengkaji keberadaan Pengadilan Adat di Kabupaten Fakfak dari perspektif Hukum Nasional dan menganalisis peran lembaga hukum adat dalam menyelesaikan sengketa adat setelah diberlakukannya Undang-Undang Nomor 2 Tahun 2021 tentang Perubahan Kedua Undang-Undang Nomor 21 Tahun 2001 tentang Otonomi Khusus Provinsi Papua. Meskipun Pengadilan Adat telah lama ada dan berkembang di dalam masyarakat adat, keberadaannya belum didukung oleh kerangka kebijakan yang kuat, baik di tingkat nasional maupun regional. Tidak adanya Peraturan Daerah Khusus di Provinsi Papua Barat yang secara eksplisit mengatur Pengadilan Adat telah mengakibatkan lemahnya kepastian hukum dan tidak efektifnya implementasi kebijakan hukum adat, meskipun praktik penyelesaian sengketa adat terus terjadi di Kabupaten Fakfak. Penelitian ini menggunakan metode yuridis normatif dengan pendekatan hukum dan konseptual, melalui tinjauan norma hukum positif yang mengatur Pengadilan Adat, khususnya Undang-Undang Otonomi Khusus Papua dan peraturan terkait lainnya. Hasil penelitian menunjukkan bahwa </w:t>
      </w:r>
      <w:r w:rsidR="00D7389A" w:rsidRPr="00D7389A">
        <w:rPr>
          <w:rFonts w:ascii="Cambria" w:eastAsia="Times New Roman" w:hAnsi="Cambria"/>
          <w:sz w:val="24"/>
          <w:szCs w:val="24"/>
          <w:lang w:val="id-ID"/>
        </w:rPr>
        <w:t>Peradilan Adat secara normatif telah diakui dalam sistem hukum Indonesia sebagai mekanisme penyelesaian sengketa masyarakat adat, namun kedudukannya belum terintegrasi secara kuat dalam sistem peradilan negara dan masih bersifat parsial. Dalam kerangka Otonomi Khusus Papua, kebijakan eksistensi Peradilan Adat mencerminkan pengakuan terhadap pluralisme hukum dan peran penting hukum adat, tetapi masih memerlukan penguatan regulasi dan integrasi kelembagaan agar lebih efektif serta mampu memberikan kepastian hukum.</w:t>
      </w:r>
    </w:p>
    <w:p w14:paraId="20D94914" w14:textId="3EC0042E" w:rsidR="00250ADC" w:rsidRPr="004371B0" w:rsidRDefault="00250ADC" w:rsidP="00250ADC">
      <w:pPr>
        <w:spacing w:after="0" w:line="240" w:lineRule="auto"/>
        <w:jc w:val="both"/>
        <w:rPr>
          <w:rFonts w:ascii="Cambria" w:eastAsia="Times New Roman" w:hAnsi="Cambria" w:cs="Times New Roman"/>
          <w:sz w:val="24"/>
          <w:szCs w:val="24"/>
          <w:lang w:val="id-ID"/>
        </w:rPr>
      </w:pPr>
    </w:p>
    <w:p w14:paraId="226E4157" w14:textId="4AD55A95" w:rsidR="00250ADC" w:rsidRPr="004371B0" w:rsidRDefault="00250ADC" w:rsidP="00250ADC">
      <w:pPr>
        <w:spacing w:after="0" w:line="240" w:lineRule="auto"/>
        <w:jc w:val="both"/>
        <w:rPr>
          <w:rFonts w:ascii="Cambria" w:eastAsia="Times New Roman" w:hAnsi="Cambria" w:cs="Times New Roman"/>
          <w:sz w:val="24"/>
          <w:szCs w:val="24"/>
          <w:lang w:val="id-ID"/>
        </w:rPr>
      </w:pPr>
      <w:r w:rsidRPr="004371B0">
        <w:rPr>
          <w:rFonts w:ascii="Cambria" w:eastAsia="Times New Roman" w:hAnsi="Cambria" w:cs="Times New Roman"/>
          <w:sz w:val="24"/>
          <w:szCs w:val="24"/>
          <w:lang w:val="id-ID"/>
        </w:rPr>
        <w:t>Kata kunci: Pengadilan Adat; Hukum Adat; Otonomi Khusus Papua; Kepastian Hukum; Kabupaten Fakfak; Penelitian Hukum Normatif.</w:t>
      </w:r>
    </w:p>
    <w:p w14:paraId="0B13924D" w14:textId="77777777" w:rsidR="00250ADC" w:rsidRPr="004371B0" w:rsidRDefault="00250ADC" w:rsidP="00250ADC">
      <w:pPr>
        <w:spacing w:after="0" w:line="240" w:lineRule="auto"/>
        <w:jc w:val="both"/>
        <w:rPr>
          <w:rFonts w:ascii="Cambria" w:eastAsia="Times New Roman" w:hAnsi="Cambria" w:cs="Times New Roman"/>
          <w:sz w:val="24"/>
          <w:szCs w:val="24"/>
          <w:lang w:val="id-ID"/>
        </w:rPr>
      </w:pPr>
    </w:p>
    <w:p w14:paraId="118CC7EB" w14:textId="2962DDC6" w:rsidR="0065707C" w:rsidRPr="00C90943" w:rsidRDefault="0065707C" w:rsidP="00D167E2">
      <w:pPr>
        <w:spacing w:after="0" w:line="240" w:lineRule="auto"/>
        <w:jc w:val="center"/>
        <w:rPr>
          <w:rFonts w:ascii="Cambria" w:eastAsia="Times New Roman" w:hAnsi="Cambria" w:cs="Times New Roman"/>
          <w:b/>
          <w:bCs/>
          <w:i/>
          <w:iCs/>
          <w:sz w:val="24"/>
          <w:szCs w:val="24"/>
          <w:lang w:val="id-ID"/>
        </w:rPr>
      </w:pPr>
      <w:r w:rsidRPr="00C90943">
        <w:rPr>
          <w:rFonts w:ascii="Cambria" w:eastAsia="Times New Roman" w:hAnsi="Cambria" w:cs="Times New Roman"/>
          <w:b/>
          <w:bCs/>
          <w:i/>
          <w:iCs/>
          <w:sz w:val="24"/>
          <w:szCs w:val="24"/>
          <w:lang w:val="id-ID"/>
        </w:rPr>
        <w:lastRenderedPageBreak/>
        <w:t>Abstract</w:t>
      </w:r>
    </w:p>
    <w:p w14:paraId="2326E6A9" w14:textId="77777777" w:rsidR="00D167E2" w:rsidRPr="004371B0" w:rsidRDefault="00D167E2" w:rsidP="00D167E2">
      <w:pPr>
        <w:spacing w:after="0" w:line="240" w:lineRule="auto"/>
        <w:jc w:val="center"/>
        <w:rPr>
          <w:rFonts w:ascii="Cambria" w:eastAsia="Times New Roman" w:hAnsi="Cambria" w:cs="Times New Roman"/>
          <w:b/>
          <w:bCs/>
          <w:sz w:val="24"/>
          <w:szCs w:val="24"/>
          <w:lang w:val="id-ID"/>
        </w:rPr>
      </w:pPr>
    </w:p>
    <w:p w14:paraId="39EA8B5A" w14:textId="2D1EB19F" w:rsidR="0065707C" w:rsidRPr="00C90943" w:rsidRDefault="0065707C" w:rsidP="00250ADC">
      <w:pPr>
        <w:spacing w:after="0" w:line="240" w:lineRule="auto"/>
        <w:jc w:val="both"/>
        <w:rPr>
          <w:rFonts w:ascii="Cambria" w:eastAsia="Times New Roman" w:hAnsi="Cambria" w:cs="Times New Roman"/>
          <w:i/>
          <w:iCs/>
          <w:sz w:val="24"/>
          <w:szCs w:val="24"/>
        </w:rPr>
      </w:pPr>
      <w:r w:rsidRPr="00C90943">
        <w:rPr>
          <w:rFonts w:ascii="Cambria" w:eastAsia="Times New Roman" w:hAnsi="Cambria" w:cs="Times New Roman"/>
          <w:i/>
          <w:iCs/>
          <w:sz w:val="24"/>
          <w:szCs w:val="24"/>
          <w:lang w:val="id-ID"/>
        </w:rPr>
        <w:t xml:space="preserve">This research aims to examine the existence of Customary Courts in Fakfak Regency from a National Law perspective and to analyze the role of customary law institutions in resolving customary disputes following the enactment of Law Number 2 of 2021 concerning the Second Amendment to Law Number 21 of 2001 concerning Special Autonomy for Papua Province. Although Customary Courts have long existed and developed within indigenous communities, their existence has not been supported by a strong policy framework, either at the national or regional levels. The absence of a Special Regional Regulation in West Papua Province that explicitly regulates Customary Courts has resulted in weak legal certainty and the ineffectiveness of customary law policy implementation, even though customary dispute resolution practices continue to occur in Fakfak Regency. </w:t>
      </w:r>
      <w:r w:rsidRPr="00C90943">
        <w:rPr>
          <w:rFonts w:ascii="Cambria" w:eastAsia="Times New Roman" w:hAnsi="Cambria" w:cs="Times New Roman"/>
          <w:i/>
          <w:iCs/>
          <w:sz w:val="24"/>
          <w:szCs w:val="24"/>
        </w:rPr>
        <w:t xml:space="preserve">This research employs a normative juridical method with a statutory and conceptual approach, through a review of positive legal norms governing Customary Courts, specifically the Papuan Special Autonomy Law and other related regulations. The results indicate that </w:t>
      </w:r>
      <w:r w:rsidR="00D7389A" w:rsidRPr="00C90943">
        <w:rPr>
          <w:rFonts w:ascii="Cambria" w:eastAsia="Times New Roman" w:hAnsi="Cambria" w:cs="Times New Roman"/>
          <w:i/>
          <w:iCs/>
          <w:sz w:val="24"/>
          <w:szCs w:val="24"/>
        </w:rPr>
        <w:t>Customary justice has been normatively recognized in the Indonesian legal system as a dispute resolution mechanism for indigenous communities. However, its status has not been firmly integrated into the state justice system and remains partial. Within the framework of Papua's Special Autonomy, the policy on the existence of customary justice reflects recognition of legal pluralism and the important role of customary law, but it still requires regulatory strengthening and institutional integration to be more effective and able to provide legal certainty.</w:t>
      </w:r>
    </w:p>
    <w:p w14:paraId="0983EA51" w14:textId="77777777" w:rsidR="00D7389A" w:rsidRPr="00C90943" w:rsidRDefault="00D7389A" w:rsidP="00250ADC">
      <w:pPr>
        <w:spacing w:after="0" w:line="240" w:lineRule="auto"/>
        <w:jc w:val="both"/>
        <w:rPr>
          <w:rFonts w:ascii="Cambria" w:eastAsia="Times New Roman" w:hAnsi="Cambria" w:cs="Times New Roman"/>
          <w:i/>
          <w:iCs/>
          <w:sz w:val="24"/>
          <w:szCs w:val="24"/>
        </w:rPr>
      </w:pPr>
    </w:p>
    <w:p w14:paraId="68D19E53" w14:textId="75F0BC21" w:rsidR="00B31AD3" w:rsidRPr="00C90943" w:rsidRDefault="0065707C" w:rsidP="00250ADC">
      <w:pPr>
        <w:spacing w:after="0" w:line="240" w:lineRule="auto"/>
        <w:jc w:val="both"/>
        <w:rPr>
          <w:rFonts w:ascii="Cambria" w:eastAsia="Times New Roman" w:hAnsi="Cambria" w:cs="Times New Roman"/>
          <w:i/>
          <w:iCs/>
          <w:sz w:val="24"/>
          <w:szCs w:val="24"/>
        </w:rPr>
      </w:pPr>
      <w:r w:rsidRPr="00C90943">
        <w:rPr>
          <w:rFonts w:ascii="Cambria" w:eastAsia="Times New Roman" w:hAnsi="Cambria" w:cs="Times New Roman"/>
          <w:i/>
          <w:iCs/>
          <w:sz w:val="24"/>
          <w:szCs w:val="24"/>
        </w:rPr>
        <w:t>Keywords: Customary Courts; Customary Law; Papuan Special Autonomy; Legal Certainty; Fakfak Regency; Normative Legal Research.</w:t>
      </w:r>
    </w:p>
    <w:p w14:paraId="2544F5E1" w14:textId="77777777" w:rsidR="004371B0" w:rsidRPr="004371B0" w:rsidRDefault="004371B0" w:rsidP="00250ADC">
      <w:pPr>
        <w:spacing w:after="0" w:line="240" w:lineRule="auto"/>
        <w:jc w:val="both"/>
        <w:rPr>
          <w:rStyle w:val="Strong"/>
          <w:rFonts w:ascii="Cambria" w:hAnsi="Cambria"/>
          <w:b w:val="0"/>
          <w:bCs w:val="0"/>
          <w:sz w:val="24"/>
          <w:szCs w:val="24"/>
        </w:rPr>
      </w:pPr>
    </w:p>
    <w:p w14:paraId="566A4670" w14:textId="0AB06969" w:rsidR="004E6DC0" w:rsidRPr="004371B0" w:rsidRDefault="002B22A5" w:rsidP="00360CC7">
      <w:pPr>
        <w:pStyle w:val="Subtitle"/>
        <w:numPr>
          <w:ilvl w:val="0"/>
          <w:numId w:val="48"/>
        </w:numPr>
        <w:spacing w:after="0"/>
        <w:rPr>
          <w:rFonts w:ascii="Cambria" w:hAnsi="Cambria" w:cs="Times New Roman"/>
          <w:b/>
          <w:sz w:val="24"/>
          <w:szCs w:val="24"/>
          <w:lang w:val="id-ID"/>
        </w:rPr>
      </w:pPr>
      <w:bookmarkStart w:id="3" w:name="_Toc108729160"/>
      <w:bookmarkEnd w:id="1"/>
      <w:bookmarkEnd w:id="2"/>
      <w:r w:rsidRPr="004371B0">
        <w:rPr>
          <w:rFonts w:ascii="Cambria" w:hAnsi="Cambria" w:cs="Times New Roman"/>
          <w:b/>
          <w:color w:val="auto"/>
          <w:sz w:val="24"/>
          <w:szCs w:val="24"/>
          <w:lang w:val="id-ID"/>
        </w:rPr>
        <w:t>L</w:t>
      </w:r>
      <w:r w:rsidR="004E6DC0" w:rsidRPr="004371B0">
        <w:rPr>
          <w:rFonts w:ascii="Cambria" w:hAnsi="Cambria" w:cs="Times New Roman"/>
          <w:b/>
          <w:color w:val="auto"/>
          <w:sz w:val="24"/>
          <w:szCs w:val="24"/>
          <w:lang w:val="id-ID"/>
        </w:rPr>
        <w:t>atar Belakang</w:t>
      </w:r>
      <w:bookmarkEnd w:id="3"/>
    </w:p>
    <w:p w14:paraId="7FBB089F" w14:textId="77777777" w:rsidR="004371B0" w:rsidRDefault="004A4A57" w:rsidP="004371B0">
      <w:pPr>
        <w:spacing w:after="0"/>
        <w:ind w:firstLine="360"/>
        <w:jc w:val="both"/>
        <w:rPr>
          <w:rFonts w:ascii="Cambria" w:hAnsi="Cambria"/>
          <w:sz w:val="24"/>
          <w:szCs w:val="24"/>
          <w:lang w:val="id-ID"/>
        </w:rPr>
      </w:pPr>
      <w:r w:rsidRPr="004371B0">
        <w:rPr>
          <w:rFonts w:ascii="Cambria" w:hAnsi="Cambria"/>
          <w:sz w:val="24"/>
          <w:szCs w:val="24"/>
          <w:lang w:val="id-ID"/>
        </w:rPr>
        <w:t>Bagi orang Papua umumnya dan di Kabupaten Fakfak pada khususnya telah mengenal batasan-batasan wilayah mereka secara turun-temurun melalui kebiasaan bertutur cerita sejarah dan budaya sejak nenek moyang mereka hingga diera sekarang ini.  Pembagian Tanah Papua ke dalam 7 Wilayah Adat antara lain dilandasi oleh kesamaan dalam beberapa aspek yaitu; hubungan kekerabatan, perkawinan, hak ulayat, tipe kepemimpinan, ciri-ciri fisik, geografis, dan lainnya. Adapun 7</w:t>
      </w:r>
      <w:r w:rsidRPr="004371B0">
        <w:rPr>
          <w:rFonts w:ascii="Cambria" w:hAnsi="Cambria"/>
          <w:sz w:val="24"/>
          <w:szCs w:val="24"/>
          <w:shd w:val="clear" w:color="auto" w:fill="FFFFFF"/>
          <w:lang w:val="id-ID"/>
        </w:rPr>
        <w:t xml:space="preserve"> wilayah adat/budaya di Tanah Papua terdiri dari :  Wilayah Adat Mamta (Mamberamo-Tami atau sekarang dikenal dengan wilayah Tabi), Wilayah Adat Saereri, Wilayah Adat Ha Anim, Wilayah Adat La Pago, Wilayah Adat Mee Pago (kelimanya di wilayah Papua) dan Wilayah Adat Domberai serta Wilayah Adat Bomberai di Papua Barat.</w:t>
      </w:r>
    </w:p>
    <w:p w14:paraId="63ADBB59" w14:textId="77777777" w:rsidR="004371B0" w:rsidRDefault="004A4A57" w:rsidP="004371B0">
      <w:pPr>
        <w:spacing w:after="0"/>
        <w:ind w:firstLine="360"/>
        <w:jc w:val="both"/>
        <w:rPr>
          <w:rFonts w:ascii="Cambria" w:hAnsi="Cambria"/>
          <w:sz w:val="24"/>
          <w:szCs w:val="24"/>
          <w:lang w:val="id-ID"/>
        </w:rPr>
      </w:pPr>
      <w:r w:rsidRPr="004371B0">
        <w:rPr>
          <w:rFonts w:ascii="Cambria" w:hAnsi="Cambria"/>
          <w:sz w:val="24"/>
          <w:szCs w:val="24"/>
          <w:lang w:val="id-ID"/>
        </w:rPr>
        <w:t>Kabupaten Fakfak sendiri secara administrasi Pemerintahan berada di Provinsi Papua Barat yang secara kewilayahan Adat masuk pada wilayah Adat Bomberai yang juga mengenal terdapat adanya Hukum Adat dan</w:t>
      </w:r>
      <w:r w:rsidR="00D73322" w:rsidRPr="004371B0">
        <w:rPr>
          <w:rFonts w:ascii="Cambria" w:hAnsi="Cambria"/>
          <w:sz w:val="24"/>
          <w:szCs w:val="24"/>
          <w:lang w:val="id-ID"/>
        </w:rPr>
        <w:t xml:space="preserve"> Masyarakat Hukum adat. Adapun </w:t>
      </w:r>
      <w:r w:rsidRPr="004371B0">
        <w:rPr>
          <w:rFonts w:ascii="Cambria" w:hAnsi="Cambria"/>
          <w:sz w:val="24"/>
          <w:szCs w:val="24"/>
          <w:lang w:val="id-ID"/>
        </w:rPr>
        <w:t xml:space="preserve">sistem Kepemimpinan Adat di Fakfak yaitu sistem Kepemimpinan Raja, yang meliputi 7 (tujuh) wilayah Pemerintahan Raja yang </w:t>
      </w:r>
      <w:r w:rsidRPr="004371B0">
        <w:rPr>
          <w:rFonts w:ascii="Cambria" w:hAnsi="Cambria"/>
          <w:sz w:val="24"/>
          <w:szCs w:val="24"/>
          <w:lang w:val="id-ID"/>
        </w:rPr>
        <w:lastRenderedPageBreak/>
        <w:t xml:space="preserve">lebih dikenal dengan sebutan Petuanan. 7 </w:t>
      </w:r>
      <w:r w:rsidR="00D73322" w:rsidRPr="004371B0">
        <w:rPr>
          <w:rFonts w:ascii="Cambria" w:hAnsi="Cambria"/>
          <w:sz w:val="24"/>
          <w:szCs w:val="24"/>
          <w:lang w:val="id-ID"/>
        </w:rPr>
        <w:t xml:space="preserve">(tujuh) </w:t>
      </w:r>
      <w:r w:rsidRPr="004371B0">
        <w:rPr>
          <w:rFonts w:ascii="Cambria" w:hAnsi="Cambria"/>
          <w:sz w:val="24"/>
          <w:szCs w:val="24"/>
          <w:lang w:val="id-ID"/>
        </w:rPr>
        <w:t>Petuanan Kepemimpinan Raja terdiri dari: 1. Petuanan Raja Rumbati, 2. Petuanan Raja Pikpik Sekar, 3. Petuanan Raja Wertuar, 4. Petuanan Raja Arguni, 5. Petuanan Raja Atiati, Petuanan Raja Patipi, dan 7. Petuanan Raja Fatagar. Pada Sistem Kepemimpinan Raja tersebut juga didalammnya ada terdapat 1 suku besar yaitu suku Mbaham Matta dan suku-suku lain serta terdapat Marga-marga berjumlah 143 yang di Pimpin atau dikepalai oleh Tua-Tua Marga yang dalam bahasa daerahnya Fakfak/Mbaham disebut “Wudur”.</w:t>
      </w:r>
    </w:p>
    <w:p w14:paraId="478B5F68" w14:textId="77777777" w:rsidR="004371B0" w:rsidRDefault="004A4A57" w:rsidP="004371B0">
      <w:pPr>
        <w:spacing w:after="0"/>
        <w:ind w:firstLine="360"/>
        <w:jc w:val="both"/>
        <w:rPr>
          <w:rFonts w:ascii="Cambria" w:hAnsi="Cambria"/>
          <w:sz w:val="24"/>
          <w:szCs w:val="24"/>
          <w:lang w:val="id-ID"/>
        </w:rPr>
      </w:pPr>
      <w:r w:rsidRPr="004371B0">
        <w:rPr>
          <w:rFonts w:ascii="Cambria" w:hAnsi="Cambria"/>
          <w:sz w:val="24"/>
          <w:szCs w:val="24"/>
          <w:lang w:val="id-ID"/>
        </w:rPr>
        <w:t xml:space="preserve">Hukum adat dan peradilan adat di Tanah Papua pada Provinsi Papua dan Papua Barat yang secara khususnya di Daerah Fakfak yang dikenal sebagai Jazirah Onin atau Tanah Adat Mbaham Matta berada pada kewilayahan Adat Bomberai tersebut sudah sedari dulunya Hukum adat dan peradilan adat sudah ada jauh sebelumnya dan masih ada hingga saat ini. Hukum Adat terbentuk dalam proses yang panjang, yakni dari kebiasaaan yang terus menerus dan berulangkali ini manjadi tradisi, dan pada akhirnya tradisi tersebut dipercaya memiliki kekuatan religio magis sehingga mempunyai daya mengikat secara alami, pada saat itulah Hukum Adat menampakkan eksistensinya bagi komunitas Masyarakat Adat setempat. </w:t>
      </w:r>
    </w:p>
    <w:p w14:paraId="408E8282" w14:textId="441BBFFD" w:rsidR="004371B0" w:rsidRDefault="004A4A57" w:rsidP="004371B0">
      <w:pPr>
        <w:spacing w:after="0"/>
        <w:ind w:firstLine="360"/>
        <w:jc w:val="both"/>
        <w:rPr>
          <w:rFonts w:ascii="Cambria" w:hAnsi="Cambria"/>
          <w:sz w:val="24"/>
          <w:szCs w:val="24"/>
          <w:lang w:val="id-ID"/>
        </w:rPr>
      </w:pPr>
      <w:r w:rsidRPr="004371B0">
        <w:rPr>
          <w:rFonts w:ascii="Cambria" w:hAnsi="Cambria"/>
          <w:sz w:val="24"/>
          <w:szCs w:val="24"/>
          <w:lang w:val="id-ID"/>
        </w:rPr>
        <w:t>Peradilan Adat merupakan bagian dari penyangga Adat yang dipraktekkan secara turun–temurun sejak ada dan terbentukknya masyarakat Hukum Adat yang sesungguhnya secara empiris tidak begitu menghiraukan ada atau tidaknnya pengakuan (rekognisi) dari Negara, tetapi akan ada sepanjang masyarakat Hukum Adat masih butuh dan percaya, serta dipimpin oleh Pemuka Adat yang mumpuni (menguasai Hukum Adat dan Tegas dalam Menegakkan Hukum Adat)</w:t>
      </w:r>
      <w:r w:rsidR="005F1B86">
        <w:rPr>
          <w:rFonts w:ascii="Cambria" w:hAnsi="Cambria"/>
          <w:sz w:val="24"/>
          <w:szCs w:val="24"/>
          <w:lang w:val="id-ID"/>
        </w:rPr>
        <w:t xml:space="preserve"> </w:t>
      </w:r>
      <w:r w:rsidR="005F1B86" w:rsidRPr="00FB5CA7">
        <w:rPr>
          <w:rFonts w:ascii="-webkit-standard" w:hAnsi="-webkit-standard"/>
          <w:color w:val="000000"/>
          <w:sz w:val="24"/>
          <w:szCs w:val="24"/>
          <w:lang w:val="id-ID"/>
        </w:rPr>
        <w:t xml:space="preserve">(Utama &amp; Aristya, 2015). </w:t>
      </w:r>
    </w:p>
    <w:p w14:paraId="2D5A7C2A" w14:textId="743CE602" w:rsidR="004371B0" w:rsidRDefault="004A4A57" w:rsidP="004371B0">
      <w:pPr>
        <w:spacing w:after="0"/>
        <w:ind w:firstLine="360"/>
        <w:jc w:val="both"/>
        <w:rPr>
          <w:rFonts w:ascii="Cambria" w:hAnsi="Cambria"/>
          <w:sz w:val="24"/>
          <w:szCs w:val="24"/>
          <w:lang w:val="id-ID"/>
        </w:rPr>
      </w:pPr>
      <w:r w:rsidRPr="004371B0">
        <w:rPr>
          <w:rFonts w:ascii="Cambria" w:hAnsi="Cambria"/>
          <w:sz w:val="24"/>
          <w:szCs w:val="24"/>
          <w:lang w:val="id-ID"/>
        </w:rPr>
        <w:t>Kebijakan eksistensi Hukum adat dan Peradilan Adat yang diakui keberadaannya dengan adanya Pengakuan Negara Kesatuan Republik Indonesia yang diatur pada beberapa</w:t>
      </w:r>
      <w:r w:rsidRPr="004371B0">
        <w:rPr>
          <w:rFonts w:ascii="Cambria" w:hAnsi="Cambria"/>
          <w:spacing w:val="1"/>
          <w:sz w:val="24"/>
          <w:szCs w:val="24"/>
          <w:lang w:val="id-ID"/>
        </w:rPr>
        <w:t xml:space="preserve"> </w:t>
      </w:r>
      <w:r w:rsidRPr="004371B0">
        <w:rPr>
          <w:rFonts w:ascii="Cambria" w:hAnsi="Cambria"/>
          <w:sz w:val="24"/>
          <w:szCs w:val="24"/>
          <w:lang w:val="id-ID"/>
        </w:rPr>
        <w:t>peraturan perundang-undangan sepertihalnya dalam Undang-Undang</w:t>
      </w:r>
      <w:r w:rsidRPr="004371B0">
        <w:rPr>
          <w:rFonts w:ascii="Cambria" w:hAnsi="Cambria"/>
          <w:spacing w:val="1"/>
          <w:sz w:val="24"/>
          <w:szCs w:val="24"/>
          <w:lang w:val="id-ID"/>
        </w:rPr>
        <w:t xml:space="preserve"> </w:t>
      </w:r>
      <w:r w:rsidRPr="004371B0">
        <w:rPr>
          <w:rFonts w:ascii="Cambria" w:hAnsi="Cambria"/>
          <w:sz w:val="24"/>
          <w:szCs w:val="24"/>
          <w:lang w:val="id-ID"/>
        </w:rPr>
        <w:t>Dasar 1945 Pasal 18B dikatakan bahwa “Negara juga mengakui dan menghormati</w:t>
      </w:r>
      <w:r w:rsidRPr="004371B0">
        <w:rPr>
          <w:rFonts w:ascii="Cambria" w:hAnsi="Cambria"/>
          <w:spacing w:val="1"/>
          <w:sz w:val="24"/>
          <w:szCs w:val="24"/>
          <w:lang w:val="id-ID"/>
        </w:rPr>
        <w:t xml:space="preserve"> </w:t>
      </w:r>
      <w:r w:rsidRPr="004371B0">
        <w:rPr>
          <w:rFonts w:ascii="Cambria" w:hAnsi="Cambria"/>
          <w:sz w:val="24"/>
          <w:szCs w:val="24"/>
          <w:lang w:val="id-ID"/>
        </w:rPr>
        <w:t>kesatuan-kesatuan</w:t>
      </w:r>
      <w:r w:rsidRPr="004371B0">
        <w:rPr>
          <w:rFonts w:ascii="Cambria" w:hAnsi="Cambria"/>
          <w:spacing w:val="1"/>
          <w:sz w:val="24"/>
          <w:szCs w:val="24"/>
          <w:lang w:val="id-ID"/>
        </w:rPr>
        <w:t xml:space="preserve"> </w:t>
      </w:r>
      <w:r w:rsidRPr="004371B0">
        <w:rPr>
          <w:rFonts w:ascii="Cambria" w:hAnsi="Cambria"/>
          <w:sz w:val="24"/>
          <w:szCs w:val="24"/>
          <w:lang w:val="id-ID"/>
        </w:rPr>
        <w:t>masyarakat</w:t>
      </w:r>
      <w:r w:rsidRPr="004371B0">
        <w:rPr>
          <w:rFonts w:ascii="Cambria" w:hAnsi="Cambria"/>
          <w:spacing w:val="1"/>
          <w:sz w:val="24"/>
          <w:szCs w:val="24"/>
          <w:lang w:val="id-ID"/>
        </w:rPr>
        <w:t xml:space="preserve"> </w:t>
      </w:r>
      <w:r w:rsidRPr="004371B0">
        <w:rPr>
          <w:rFonts w:ascii="Cambria" w:hAnsi="Cambria"/>
          <w:sz w:val="24"/>
          <w:szCs w:val="24"/>
          <w:lang w:val="id-ID"/>
        </w:rPr>
        <w:t>hukum</w:t>
      </w:r>
      <w:r w:rsidRPr="004371B0">
        <w:rPr>
          <w:rFonts w:ascii="Cambria" w:hAnsi="Cambria"/>
          <w:spacing w:val="1"/>
          <w:sz w:val="24"/>
          <w:szCs w:val="24"/>
          <w:lang w:val="id-ID"/>
        </w:rPr>
        <w:t xml:space="preserve"> </w:t>
      </w:r>
      <w:r w:rsidRPr="004371B0">
        <w:rPr>
          <w:rFonts w:ascii="Cambria" w:hAnsi="Cambria"/>
          <w:sz w:val="24"/>
          <w:szCs w:val="24"/>
          <w:lang w:val="id-ID"/>
        </w:rPr>
        <w:t>adat</w:t>
      </w:r>
      <w:r w:rsidRPr="004371B0">
        <w:rPr>
          <w:rFonts w:ascii="Cambria" w:hAnsi="Cambria"/>
          <w:spacing w:val="1"/>
          <w:sz w:val="24"/>
          <w:szCs w:val="24"/>
          <w:lang w:val="id-ID"/>
        </w:rPr>
        <w:t xml:space="preserve"> </w:t>
      </w:r>
      <w:r w:rsidRPr="004371B0">
        <w:rPr>
          <w:rFonts w:ascii="Cambria" w:hAnsi="Cambria"/>
          <w:sz w:val="24"/>
          <w:szCs w:val="24"/>
          <w:lang w:val="id-ID"/>
        </w:rPr>
        <w:t>beserta</w:t>
      </w:r>
      <w:r w:rsidRPr="004371B0">
        <w:rPr>
          <w:rFonts w:ascii="Cambria" w:hAnsi="Cambria"/>
          <w:spacing w:val="1"/>
          <w:sz w:val="24"/>
          <w:szCs w:val="24"/>
          <w:lang w:val="id-ID"/>
        </w:rPr>
        <w:t xml:space="preserve"> </w:t>
      </w:r>
      <w:r w:rsidRPr="004371B0">
        <w:rPr>
          <w:rFonts w:ascii="Cambria" w:hAnsi="Cambria"/>
          <w:sz w:val="24"/>
          <w:szCs w:val="24"/>
          <w:lang w:val="id-ID"/>
        </w:rPr>
        <w:t>hak-hak</w:t>
      </w:r>
      <w:r w:rsidRPr="004371B0">
        <w:rPr>
          <w:rFonts w:ascii="Cambria" w:hAnsi="Cambria"/>
          <w:spacing w:val="1"/>
          <w:sz w:val="24"/>
          <w:szCs w:val="24"/>
          <w:lang w:val="id-ID"/>
        </w:rPr>
        <w:t xml:space="preserve"> </w:t>
      </w:r>
      <w:r w:rsidRPr="004371B0">
        <w:rPr>
          <w:rFonts w:ascii="Cambria" w:hAnsi="Cambria"/>
          <w:sz w:val="24"/>
          <w:szCs w:val="24"/>
          <w:lang w:val="id-ID"/>
        </w:rPr>
        <w:t>tradisionalnya</w:t>
      </w:r>
      <w:r w:rsidRPr="004371B0">
        <w:rPr>
          <w:rFonts w:ascii="Cambria" w:hAnsi="Cambria"/>
          <w:spacing w:val="1"/>
          <w:sz w:val="24"/>
          <w:szCs w:val="24"/>
          <w:lang w:val="id-ID"/>
        </w:rPr>
        <w:t xml:space="preserve"> </w:t>
      </w:r>
      <w:r w:rsidRPr="004371B0">
        <w:rPr>
          <w:rFonts w:ascii="Cambria" w:hAnsi="Cambria"/>
          <w:sz w:val="24"/>
          <w:szCs w:val="24"/>
          <w:lang w:val="id-ID"/>
        </w:rPr>
        <w:t>sepanjang</w:t>
      </w:r>
      <w:r w:rsidRPr="004371B0">
        <w:rPr>
          <w:rFonts w:ascii="Cambria" w:hAnsi="Cambria"/>
          <w:spacing w:val="56"/>
          <w:sz w:val="24"/>
          <w:szCs w:val="24"/>
          <w:lang w:val="id-ID"/>
        </w:rPr>
        <w:t xml:space="preserve"> </w:t>
      </w:r>
      <w:r w:rsidRPr="004371B0">
        <w:rPr>
          <w:rFonts w:ascii="Cambria" w:hAnsi="Cambria"/>
          <w:sz w:val="24"/>
          <w:szCs w:val="24"/>
          <w:lang w:val="id-ID"/>
        </w:rPr>
        <w:t>masih  hidup</w:t>
      </w:r>
      <w:r w:rsidRPr="004371B0">
        <w:rPr>
          <w:rFonts w:ascii="Cambria" w:hAnsi="Cambria"/>
          <w:spacing w:val="2"/>
          <w:sz w:val="24"/>
          <w:szCs w:val="24"/>
          <w:lang w:val="id-ID"/>
        </w:rPr>
        <w:t xml:space="preserve"> </w:t>
      </w:r>
      <w:r w:rsidRPr="004371B0">
        <w:rPr>
          <w:rFonts w:ascii="Cambria" w:hAnsi="Cambria"/>
          <w:sz w:val="24"/>
          <w:szCs w:val="24"/>
          <w:lang w:val="id-ID"/>
        </w:rPr>
        <w:t>dan</w:t>
      </w:r>
      <w:r w:rsidRPr="004371B0">
        <w:rPr>
          <w:rFonts w:ascii="Cambria" w:hAnsi="Cambria"/>
          <w:spacing w:val="59"/>
          <w:sz w:val="24"/>
          <w:szCs w:val="24"/>
          <w:lang w:val="id-ID"/>
        </w:rPr>
        <w:t xml:space="preserve"> </w:t>
      </w:r>
      <w:r w:rsidRPr="004371B0">
        <w:rPr>
          <w:rFonts w:ascii="Cambria" w:hAnsi="Cambria"/>
          <w:sz w:val="24"/>
          <w:szCs w:val="24"/>
          <w:lang w:val="id-ID"/>
        </w:rPr>
        <w:t>sesuai  dengan  perkembangan</w:t>
      </w:r>
      <w:r w:rsidRPr="004371B0">
        <w:rPr>
          <w:rFonts w:ascii="Cambria" w:hAnsi="Cambria"/>
          <w:spacing w:val="59"/>
          <w:sz w:val="24"/>
          <w:szCs w:val="24"/>
          <w:lang w:val="id-ID"/>
        </w:rPr>
        <w:t xml:space="preserve"> </w:t>
      </w:r>
      <w:r w:rsidRPr="004371B0">
        <w:rPr>
          <w:rFonts w:ascii="Cambria" w:hAnsi="Cambria"/>
          <w:sz w:val="24"/>
          <w:szCs w:val="24"/>
          <w:lang w:val="id-ID"/>
        </w:rPr>
        <w:t>masyarakat  dan prinsip Negara</w:t>
      </w:r>
      <w:r w:rsidRPr="004371B0">
        <w:rPr>
          <w:rFonts w:ascii="Cambria" w:hAnsi="Cambria"/>
          <w:spacing w:val="1"/>
          <w:sz w:val="24"/>
          <w:szCs w:val="24"/>
          <w:lang w:val="id-ID"/>
        </w:rPr>
        <w:t xml:space="preserve"> </w:t>
      </w:r>
      <w:r w:rsidRPr="004371B0">
        <w:rPr>
          <w:rFonts w:ascii="Cambria" w:hAnsi="Cambria"/>
          <w:sz w:val="24"/>
          <w:szCs w:val="24"/>
          <w:lang w:val="id-ID"/>
        </w:rPr>
        <w:t>Kesatuan Republik</w:t>
      </w:r>
      <w:r w:rsidRPr="004371B0">
        <w:rPr>
          <w:rFonts w:ascii="Cambria" w:hAnsi="Cambria"/>
          <w:spacing w:val="1"/>
          <w:sz w:val="24"/>
          <w:szCs w:val="24"/>
          <w:lang w:val="id-ID"/>
        </w:rPr>
        <w:t xml:space="preserve"> </w:t>
      </w:r>
      <w:r w:rsidRPr="004371B0">
        <w:rPr>
          <w:rFonts w:ascii="Cambria" w:hAnsi="Cambria"/>
          <w:sz w:val="24"/>
          <w:szCs w:val="24"/>
          <w:lang w:val="id-ID"/>
        </w:rPr>
        <w:t>Indonesia,</w:t>
      </w:r>
      <w:r w:rsidRPr="004371B0">
        <w:rPr>
          <w:rFonts w:ascii="Cambria" w:hAnsi="Cambria"/>
          <w:spacing w:val="1"/>
          <w:sz w:val="24"/>
          <w:szCs w:val="24"/>
          <w:lang w:val="id-ID"/>
        </w:rPr>
        <w:t xml:space="preserve"> </w:t>
      </w:r>
      <w:r w:rsidRPr="004371B0">
        <w:rPr>
          <w:rFonts w:ascii="Cambria" w:hAnsi="Cambria"/>
          <w:sz w:val="24"/>
          <w:szCs w:val="24"/>
          <w:lang w:val="id-ID"/>
        </w:rPr>
        <w:t>yang diatur</w:t>
      </w:r>
      <w:r w:rsidRPr="004371B0">
        <w:rPr>
          <w:rFonts w:ascii="Cambria" w:hAnsi="Cambria"/>
          <w:spacing w:val="1"/>
          <w:sz w:val="24"/>
          <w:szCs w:val="24"/>
          <w:lang w:val="id-ID"/>
        </w:rPr>
        <w:t xml:space="preserve"> </w:t>
      </w:r>
      <w:r w:rsidRPr="004371B0">
        <w:rPr>
          <w:rFonts w:ascii="Cambria" w:hAnsi="Cambria"/>
          <w:sz w:val="24"/>
          <w:szCs w:val="24"/>
          <w:lang w:val="id-ID"/>
        </w:rPr>
        <w:t>dalam</w:t>
      </w:r>
      <w:r w:rsidRPr="004371B0">
        <w:rPr>
          <w:rFonts w:ascii="Cambria" w:hAnsi="Cambria"/>
          <w:spacing w:val="1"/>
          <w:sz w:val="24"/>
          <w:szCs w:val="24"/>
          <w:lang w:val="id-ID"/>
        </w:rPr>
        <w:t xml:space="preserve"> </w:t>
      </w:r>
      <w:r w:rsidRPr="004371B0">
        <w:rPr>
          <w:rFonts w:ascii="Cambria" w:hAnsi="Cambria"/>
          <w:sz w:val="24"/>
          <w:szCs w:val="24"/>
          <w:lang w:val="id-ID"/>
        </w:rPr>
        <w:t>Undang-Undang”</w:t>
      </w:r>
      <w:r w:rsidR="005F1B86">
        <w:rPr>
          <w:rFonts w:ascii="Cambria" w:hAnsi="Cambria"/>
          <w:sz w:val="24"/>
          <w:szCs w:val="24"/>
          <w:lang w:val="id-ID"/>
        </w:rPr>
        <w:t xml:space="preserve"> </w:t>
      </w:r>
      <w:r w:rsidR="005F1B86" w:rsidRPr="005F1B86">
        <w:rPr>
          <w:rFonts w:ascii="Cambria" w:hAnsi="Cambria"/>
          <w:sz w:val="24"/>
          <w:szCs w:val="24"/>
          <w:lang w:val="id-ID"/>
        </w:rPr>
        <w:t>(Suhariyanto, 2018)</w:t>
      </w:r>
      <w:r w:rsidR="005F1B86">
        <w:rPr>
          <w:rFonts w:ascii="Cambria" w:hAnsi="Cambria"/>
          <w:sz w:val="24"/>
          <w:szCs w:val="24"/>
          <w:lang w:val="id-ID"/>
        </w:rPr>
        <w:t>.</w:t>
      </w:r>
      <w:r w:rsidRPr="004371B0">
        <w:rPr>
          <w:rFonts w:ascii="Cambria" w:hAnsi="Cambria"/>
          <w:sz w:val="24"/>
          <w:szCs w:val="24"/>
          <w:lang w:val="id-ID"/>
        </w:rPr>
        <w:t xml:space="preserve"> Mengenai Peradilan dan Kekuasaan Kehakiman di Indonesia sehubungan pelaksanaan atau penegakan hukumnya dituangkan dalam Undang-Undang</w:t>
      </w:r>
      <w:r w:rsidRPr="004371B0">
        <w:rPr>
          <w:rFonts w:ascii="Cambria" w:hAnsi="Cambria"/>
          <w:spacing w:val="1"/>
          <w:sz w:val="24"/>
          <w:szCs w:val="24"/>
          <w:lang w:val="id-ID"/>
        </w:rPr>
        <w:t xml:space="preserve"> </w:t>
      </w:r>
      <w:r w:rsidRPr="004371B0">
        <w:rPr>
          <w:rFonts w:ascii="Cambria" w:hAnsi="Cambria"/>
          <w:sz w:val="24"/>
          <w:szCs w:val="24"/>
          <w:lang w:val="id-ID"/>
        </w:rPr>
        <w:t>Dasar 1945 Pasal 24 ayat (2)</w:t>
      </w:r>
      <w:r w:rsidRPr="004371B0">
        <w:rPr>
          <w:rFonts w:ascii="Cambria" w:hAnsi="Cambria"/>
          <w:spacing w:val="1"/>
          <w:sz w:val="24"/>
          <w:szCs w:val="24"/>
          <w:lang w:val="id-ID"/>
        </w:rPr>
        <w:t xml:space="preserve"> </w:t>
      </w:r>
      <w:r w:rsidRPr="004371B0">
        <w:rPr>
          <w:rFonts w:ascii="Cambria" w:hAnsi="Cambria"/>
          <w:sz w:val="24"/>
          <w:szCs w:val="24"/>
          <w:lang w:val="id-ID"/>
        </w:rPr>
        <w:t>menegaskan bahwa “kekuasaan kehakiman dilakukan oleh</w:t>
      </w:r>
      <w:r w:rsidRPr="004371B0">
        <w:rPr>
          <w:rFonts w:ascii="Cambria" w:hAnsi="Cambria"/>
          <w:spacing w:val="1"/>
          <w:sz w:val="24"/>
          <w:szCs w:val="24"/>
          <w:lang w:val="id-ID"/>
        </w:rPr>
        <w:t xml:space="preserve"> </w:t>
      </w:r>
      <w:r w:rsidRPr="004371B0">
        <w:rPr>
          <w:rFonts w:ascii="Cambria" w:hAnsi="Cambria"/>
          <w:sz w:val="24"/>
          <w:szCs w:val="24"/>
          <w:lang w:val="id-ID"/>
        </w:rPr>
        <w:t>Mahkamah</w:t>
      </w:r>
      <w:r w:rsidRPr="004371B0">
        <w:rPr>
          <w:rFonts w:ascii="Cambria" w:hAnsi="Cambria"/>
          <w:spacing w:val="1"/>
          <w:sz w:val="24"/>
          <w:szCs w:val="24"/>
          <w:lang w:val="id-ID"/>
        </w:rPr>
        <w:t xml:space="preserve"> </w:t>
      </w:r>
      <w:r w:rsidRPr="004371B0">
        <w:rPr>
          <w:rFonts w:ascii="Cambria" w:hAnsi="Cambria"/>
          <w:sz w:val="24"/>
          <w:szCs w:val="24"/>
          <w:lang w:val="id-ID"/>
        </w:rPr>
        <w:t>Agung</w:t>
      </w:r>
      <w:r w:rsidRPr="004371B0">
        <w:rPr>
          <w:rFonts w:ascii="Cambria" w:hAnsi="Cambria"/>
          <w:spacing w:val="1"/>
          <w:sz w:val="24"/>
          <w:szCs w:val="24"/>
          <w:lang w:val="id-ID"/>
        </w:rPr>
        <w:t xml:space="preserve"> </w:t>
      </w:r>
      <w:r w:rsidRPr="004371B0">
        <w:rPr>
          <w:rFonts w:ascii="Cambria" w:hAnsi="Cambria"/>
          <w:sz w:val="24"/>
          <w:szCs w:val="24"/>
          <w:lang w:val="id-ID"/>
        </w:rPr>
        <w:t>dan</w:t>
      </w:r>
      <w:r w:rsidRPr="004371B0">
        <w:rPr>
          <w:rFonts w:ascii="Cambria" w:hAnsi="Cambria"/>
          <w:spacing w:val="1"/>
          <w:sz w:val="24"/>
          <w:szCs w:val="24"/>
          <w:lang w:val="id-ID"/>
        </w:rPr>
        <w:t xml:space="preserve"> </w:t>
      </w:r>
      <w:r w:rsidRPr="004371B0">
        <w:rPr>
          <w:rFonts w:ascii="Cambria" w:hAnsi="Cambria"/>
          <w:sz w:val="24"/>
          <w:szCs w:val="24"/>
          <w:lang w:val="id-ID"/>
        </w:rPr>
        <w:t>badan</w:t>
      </w:r>
      <w:r w:rsidRPr="004371B0">
        <w:rPr>
          <w:rFonts w:ascii="Cambria" w:hAnsi="Cambria"/>
          <w:spacing w:val="1"/>
          <w:sz w:val="24"/>
          <w:szCs w:val="24"/>
          <w:lang w:val="id-ID"/>
        </w:rPr>
        <w:t xml:space="preserve"> </w:t>
      </w:r>
      <w:r w:rsidRPr="004371B0">
        <w:rPr>
          <w:rFonts w:ascii="Cambria" w:hAnsi="Cambria"/>
          <w:sz w:val="24"/>
          <w:szCs w:val="24"/>
          <w:lang w:val="id-ID"/>
        </w:rPr>
        <w:t>peradilan</w:t>
      </w:r>
      <w:r w:rsidRPr="004371B0">
        <w:rPr>
          <w:rFonts w:ascii="Cambria" w:hAnsi="Cambria"/>
          <w:spacing w:val="1"/>
          <w:sz w:val="24"/>
          <w:szCs w:val="24"/>
          <w:lang w:val="id-ID"/>
        </w:rPr>
        <w:t xml:space="preserve"> </w:t>
      </w:r>
      <w:r w:rsidRPr="004371B0">
        <w:rPr>
          <w:rFonts w:ascii="Cambria" w:hAnsi="Cambria"/>
          <w:sz w:val="24"/>
          <w:szCs w:val="24"/>
          <w:lang w:val="id-ID"/>
        </w:rPr>
        <w:t>yang</w:t>
      </w:r>
      <w:r w:rsidRPr="004371B0">
        <w:rPr>
          <w:rFonts w:ascii="Cambria" w:hAnsi="Cambria"/>
          <w:spacing w:val="1"/>
          <w:sz w:val="24"/>
          <w:szCs w:val="24"/>
          <w:lang w:val="id-ID"/>
        </w:rPr>
        <w:t xml:space="preserve"> </w:t>
      </w:r>
      <w:r w:rsidRPr="004371B0">
        <w:rPr>
          <w:rFonts w:ascii="Cambria" w:hAnsi="Cambria"/>
          <w:sz w:val="24"/>
          <w:szCs w:val="24"/>
          <w:lang w:val="id-ID"/>
        </w:rPr>
        <w:t>berada</w:t>
      </w:r>
      <w:r w:rsidRPr="004371B0">
        <w:rPr>
          <w:rFonts w:ascii="Cambria" w:hAnsi="Cambria"/>
          <w:spacing w:val="1"/>
          <w:sz w:val="24"/>
          <w:szCs w:val="24"/>
          <w:lang w:val="id-ID"/>
        </w:rPr>
        <w:t xml:space="preserve"> </w:t>
      </w:r>
      <w:r w:rsidRPr="004371B0">
        <w:rPr>
          <w:rFonts w:ascii="Cambria" w:hAnsi="Cambria"/>
          <w:sz w:val="24"/>
          <w:szCs w:val="24"/>
          <w:lang w:val="id-ID"/>
        </w:rPr>
        <w:t>di</w:t>
      </w:r>
      <w:r w:rsidRPr="004371B0">
        <w:rPr>
          <w:rFonts w:ascii="Cambria" w:hAnsi="Cambria"/>
          <w:spacing w:val="1"/>
          <w:sz w:val="24"/>
          <w:szCs w:val="24"/>
          <w:lang w:val="id-ID"/>
        </w:rPr>
        <w:t xml:space="preserve"> </w:t>
      </w:r>
      <w:r w:rsidRPr="004371B0">
        <w:rPr>
          <w:rFonts w:ascii="Cambria" w:hAnsi="Cambria"/>
          <w:sz w:val="24"/>
          <w:szCs w:val="24"/>
          <w:lang w:val="id-ID"/>
        </w:rPr>
        <w:t>bawahnya</w:t>
      </w:r>
      <w:r w:rsidRPr="004371B0">
        <w:rPr>
          <w:rFonts w:ascii="Cambria" w:hAnsi="Cambria"/>
          <w:spacing w:val="1"/>
          <w:sz w:val="24"/>
          <w:szCs w:val="24"/>
          <w:lang w:val="id-ID"/>
        </w:rPr>
        <w:t xml:space="preserve"> </w:t>
      </w:r>
      <w:r w:rsidRPr="004371B0">
        <w:rPr>
          <w:rFonts w:ascii="Cambria" w:hAnsi="Cambria"/>
          <w:sz w:val="24"/>
          <w:szCs w:val="24"/>
          <w:lang w:val="id-ID"/>
        </w:rPr>
        <w:t>dalam</w:t>
      </w:r>
      <w:r w:rsidRPr="004371B0">
        <w:rPr>
          <w:rFonts w:ascii="Cambria" w:hAnsi="Cambria"/>
          <w:spacing w:val="-57"/>
          <w:sz w:val="24"/>
          <w:szCs w:val="24"/>
          <w:lang w:val="id-ID"/>
        </w:rPr>
        <w:t xml:space="preserve"> </w:t>
      </w:r>
      <w:r w:rsidRPr="004371B0">
        <w:rPr>
          <w:rFonts w:ascii="Cambria" w:hAnsi="Cambria"/>
          <w:sz w:val="24"/>
          <w:szCs w:val="24"/>
          <w:lang w:val="id-ID"/>
        </w:rPr>
        <w:t>lingkungan</w:t>
      </w:r>
      <w:r w:rsidRPr="004371B0">
        <w:rPr>
          <w:rFonts w:ascii="Cambria" w:hAnsi="Cambria"/>
          <w:spacing w:val="1"/>
          <w:sz w:val="24"/>
          <w:szCs w:val="24"/>
          <w:lang w:val="id-ID"/>
        </w:rPr>
        <w:t xml:space="preserve"> </w:t>
      </w:r>
      <w:r w:rsidRPr="004371B0">
        <w:rPr>
          <w:rFonts w:ascii="Cambria" w:hAnsi="Cambria"/>
          <w:sz w:val="24"/>
          <w:szCs w:val="24"/>
          <w:lang w:val="id-ID"/>
        </w:rPr>
        <w:t>peradilan</w:t>
      </w:r>
      <w:r w:rsidRPr="004371B0">
        <w:rPr>
          <w:rFonts w:ascii="Cambria" w:hAnsi="Cambria"/>
          <w:spacing w:val="1"/>
          <w:sz w:val="24"/>
          <w:szCs w:val="24"/>
          <w:lang w:val="id-ID"/>
        </w:rPr>
        <w:t xml:space="preserve"> </w:t>
      </w:r>
      <w:r w:rsidRPr="004371B0">
        <w:rPr>
          <w:rFonts w:ascii="Cambria" w:hAnsi="Cambria"/>
          <w:sz w:val="24"/>
          <w:szCs w:val="24"/>
          <w:lang w:val="id-ID"/>
        </w:rPr>
        <w:t>umum,</w:t>
      </w:r>
      <w:r w:rsidRPr="004371B0">
        <w:rPr>
          <w:rFonts w:ascii="Cambria" w:hAnsi="Cambria"/>
          <w:spacing w:val="1"/>
          <w:sz w:val="24"/>
          <w:szCs w:val="24"/>
          <w:lang w:val="id-ID"/>
        </w:rPr>
        <w:t xml:space="preserve"> </w:t>
      </w:r>
      <w:r w:rsidRPr="004371B0">
        <w:rPr>
          <w:rFonts w:ascii="Cambria" w:hAnsi="Cambria"/>
          <w:sz w:val="24"/>
          <w:szCs w:val="24"/>
          <w:lang w:val="id-ID"/>
        </w:rPr>
        <w:t>lingkungan</w:t>
      </w:r>
      <w:r w:rsidRPr="004371B0">
        <w:rPr>
          <w:rFonts w:ascii="Cambria" w:hAnsi="Cambria"/>
          <w:spacing w:val="1"/>
          <w:sz w:val="24"/>
          <w:szCs w:val="24"/>
          <w:lang w:val="id-ID"/>
        </w:rPr>
        <w:t xml:space="preserve"> </w:t>
      </w:r>
      <w:r w:rsidRPr="004371B0">
        <w:rPr>
          <w:rFonts w:ascii="Cambria" w:hAnsi="Cambria"/>
          <w:sz w:val="24"/>
          <w:szCs w:val="24"/>
          <w:lang w:val="id-ID"/>
        </w:rPr>
        <w:t>peradilan</w:t>
      </w:r>
      <w:r w:rsidRPr="004371B0">
        <w:rPr>
          <w:rFonts w:ascii="Cambria" w:hAnsi="Cambria"/>
          <w:spacing w:val="1"/>
          <w:sz w:val="24"/>
          <w:szCs w:val="24"/>
          <w:lang w:val="id-ID"/>
        </w:rPr>
        <w:t xml:space="preserve"> </w:t>
      </w:r>
      <w:r w:rsidRPr="004371B0">
        <w:rPr>
          <w:rFonts w:ascii="Cambria" w:hAnsi="Cambria"/>
          <w:sz w:val="24"/>
          <w:szCs w:val="24"/>
          <w:lang w:val="id-ID"/>
        </w:rPr>
        <w:t>agama,</w:t>
      </w:r>
      <w:r w:rsidRPr="004371B0">
        <w:rPr>
          <w:rFonts w:ascii="Cambria" w:hAnsi="Cambria"/>
          <w:spacing w:val="1"/>
          <w:sz w:val="24"/>
          <w:szCs w:val="24"/>
          <w:lang w:val="id-ID"/>
        </w:rPr>
        <w:t xml:space="preserve"> </w:t>
      </w:r>
      <w:r w:rsidRPr="004371B0">
        <w:rPr>
          <w:rFonts w:ascii="Cambria" w:hAnsi="Cambria"/>
          <w:sz w:val="24"/>
          <w:szCs w:val="24"/>
          <w:lang w:val="id-ID"/>
        </w:rPr>
        <w:t>lingkungan</w:t>
      </w:r>
      <w:r w:rsidRPr="004371B0">
        <w:rPr>
          <w:rFonts w:ascii="Cambria" w:hAnsi="Cambria"/>
          <w:spacing w:val="1"/>
          <w:sz w:val="24"/>
          <w:szCs w:val="24"/>
          <w:lang w:val="id-ID"/>
        </w:rPr>
        <w:t xml:space="preserve"> </w:t>
      </w:r>
      <w:r w:rsidRPr="004371B0">
        <w:rPr>
          <w:rFonts w:ascii="Cambria" w:hAnsi="Cambria"/>
          <w:sz w:val="24"/>
          <w:szCs w:val="24"/>
          <w:lang w:val="id-ID"/>
        </w:rPr>
        <w:t>peradilan</w:t>
      </w:r>
      <w:r w:rsidRPr="004371B0">
        <w:rPr>
          <w:rFonts w:ascii="Cambria" w:hAnsi="Cambria"/>
          <w:spacing w:val="1"/>
          <w:sz w:val="24"/>
          <w:szCs w:val="24"/>
          <w:lang w:val="id-ID"/>
        </w:rPr>
        <w:t xml:space="preserve"> </w:t>
      </w:r>
      <w:r w:rsidRPr="004371B0">
        <w:rPr>
          <w:rFonts w:ascii="Cambria" w:hAnsi="Cambria"/>
          <w:sz w:val="24"/>
          <w:szCs w:val="24"/>
          <w:lang w:val="id-ID"/>
        </w:rPr>
        <w:t>militer</w:t>
      </w:r>
      <w:r w:rsidRPr="004371B0">
        <w:rPr>
          <w:rFonts w:ascii="Cambria" w:hAnsi="Cambria"/>
          <w:spacing w:val="1"/>
          <w:sz w:val="24"/>
          <w:szCs w:val="24"/>
          <w:lang w:val="id-ID"/>
        </w:rPr>
        <w:t xml:space="preserve"> </w:t>
      </w:r>
      <w:r w:rsidRPr="004371B0">
        <w:rPr>
          <w:rFonts w:ascii="Cambria" w:hAnsi="Cambria"/>
          <w:sz w:val="24"/>
          <w:szCs w:val="24"/>
          <w:lang w:val="id-ID"/>
        </w:rPr>
        <w:t>dan</w:t>
      </w:r>
      <w:r w:rsidRPr="004371B0">
        <w:rPr>
          <w:rFonts w:ascii="Cambria" w:hAnsi="Cambria"/>
          <w:spacing w:val="1"/>
          <w:sz w:val="24"/>
          <w:szCs w:val="24"/>
          <w:lang w:val="id-ID"/>
        </w:rPr>
        <w:t xml:space="preserve"> </w:t>
      </w:r>
      <w:r w:rsidRPr="004371B0">
        <w:rPr>
          <w:rFonts w:ascii="Cambria" w:hAnsi="Cambria"/>
          <w:sz w:val="24"/>
          <w:szCs w:val="24"/>
          <w:lang w:val="id-ID"/>
        </w:rPr>
        <w:t>lingkungan</w:t>
      </w:r>
      <w:r w:rsidRPr="004371B0">
        <w:rPr>
          <w:rFonts w:ascii="Cambria" w:hAnsi="Cambria"/>
          <w:spacing w:val="1"/>
          <w:sz w:val="24"/>
          <w:szCs w:val="24"/>
          <w:lang w:val="id-ID"/>
        </w:rPr>
        <w:t xml:space="preserve"> </w:t>
      </w:r>
      <w:r w:rsidRPr="004371B0">
        <w:rPr>
          <w:rFonts w:ascii="Cambria" w:hAnsi="Cambria"/>
          <w:sz w:val="24"/>
          <w:szCs w:val="24"/>
          <w:lang w:val="id-ID"/>
        </w:rPr>
        <w:t>peradilan</w:t>
      </w:r>
      <w:r w:rsidRPr="004371B0">
        <w:rPr>
          <w:rFonts w:ascii="Cambria" w:hAnsi="Cambria"/>
          <w:spacing w:val="1"/>
          <w:sz w:val="24"/>
          <w:szCs w:val="24"/>
          <w:lang w:val="id-ID"/>
        </w:rPr>
        <w:t xml:space="preserve"> </w:t>
      </w:r>
      <w:r w:rsidRPr="004371B0">
        <w:rPr>
          <w:rFonts w:ascii="Cambria" w:hAnsi="Cambria"/>
          <w:sz w:val="24"/>
          <w:szCs w:val="24"/>
          <w:lang w:val="id-ID"/>
        </w:rPr>
        <w:t>tata</w:t>
      </w:r>
      <w:r w:rsidRPr="004371B0">
        <w:rPr>
          <w:rFonts w:ascii="Cambria" w:hAnsi="Cambria"/>
          <w:spacing w:val="1"/>
          <w:sz w:val="24"/>
          <w:szCs w:val="24"/>
          <w:lang w:val="id-ID"/>
        </w:rPr>
        <w:t xml:space="preserve"> </w:t>
      </w:r>
      <w:r w:rsidRPr="004371B0">
        <w:rPr>
          <w:rFonts w:ascii="Cambria" w:hAnsi="Cambria"/>
          <w:sz w:val="24"/>
          <w:szCs w:val="24"/>
          <w:lang w:val="id-ID"/>
        </w:rPr>
        <w:t>usaha</w:t>
      </w:r>
      <w:r w:rsidRPr="004371B0">
        <w:rPr>
          <w:rFonts w:ascii="Cambria" w:hAnsi="Cambria"/>
          <w:spacing w:val="1"/>
          <w:sz w:val="24"/>
          <w:szCs w:val="24"/>
          <w:lang w:val="id-ID"/>
        </w:rPr>
        <w:t xml:space="preserve"> </w:t>
      </w:r>
      <w:r w:rsidRPr="004371B0">
        <w:rPr>
          <w:rFonts w:ascii="Cambria" w:hAnsi="Cambria"/>
          <w:sz w:val="24"/>
          <w:szCs w:val="24"/>
          <w:lang w:val="id-ID"/>
        </w:rPr>
        <w:t>Negara”</w:t>
      </w:r>
      <w:r w:rsidR="005F1B86">
        <w:rPr>
          <w:rFonts w:ascii="Cambria" w:hAnsi="Cambria"/>
          <w:sz w:val="24"/>
          <w:szCs w:val="24"/>
          <w:lang w:val="id-ID"/>
        </w:rPr>
        <w:t xml:space="preserve"> </w:t>
      </w:r>
      <w:r w:rsidR="005F1B86" w:rsidRPr="005F1B86">
        <w:rPr>
          <w:rFonts w:ascii="Cambria" w:hAnsi="Cambria"/>
          <w:sz w:val="24"/>
          <w:szCs w:val="24"/>
          <w:lang w:val="id-ID"/>
        </w:rPr>
        <w:t>(Stella, 2023)</w:t>
      </w:r>
      <w:r w:rsidR="005F1B86">
        <w:rPr>
          <w:rFonts w:ascii="Cambria" w:hAnsi="Cambria"/>
          <w:sz w:val="24"/>
          <w:szCs w:val="24"/>
          <w:lang w:val="id-ID"/>
        </w:rPr>
        <w:t xml:space="preserve">. </w:t>
      </w:r>
      <w:r w:rsidRPr="004371B0">
        <w:rPr>
          <w:rFonts w:ascii="Cambria" w:hAnsi="Cambria"/>
          <w:spacing w:val="1"/>
          <w:sz w:val="24"/>
          <w:szCs w:val="24"/>
          <w:lang w:val="id-ID"/>
        </w:rPr>
        <w:t xml:space="preserve">Kebijakan Eksistensi Peradilan Adat telah Secara Khusus diakui dan berlaku </w:t>
      </w:r>
      <w:r w:rsidRPr="004371B0">
        <w:rPr>
          <w:rFonts w:ascii="Cambria" w:hAnsi="Cambria"/>
          <w:sz w:val="24"/>
          <w:szCs w:val="24"/>
          <w:lang w:val="id-ID"/>
        </w:rPr>
        <w:t>selain</w:t>
      </w:r>
      <w:r w:rsidRPr="004371B0">
        <w:rPr>
          <w:rFonts w:ascii="Cambria" w:hAnsi="Cambria"/>
          <w:spacing w:val="1"/>
          <w:sz w:val="24"/>
          <w:szCs w:val="24"/>
          <w:lang w:val="id-ID"/>
        </w:rPr>
        <w:t xml:space="preserve"> </w:t>
      </w:r>
      <w:r w:rsidRPr="004371B0">
        <w:rPr>
          <w:rFonts w:ascii="Cambria" w:hAnsi="Cambria"/>
          <w:sz w:val="24"/>
          <w:szCs w:val="24"/>
          <w:lang w:val="id-ID"/>
        </w:rPr>
        <w:t>dari</w:t>
      </w:r>
      <w:r w:rsidRPr="004371B0">
        <w:rPr>
          <w:rFonts w:ascii="Cambria" w:hAnsi="Cambria"/>
          <w:spacing w:val="1"/>
          <w:sz w:val="24"/>
          <w:szCs w:val="24"/>
          <w:lang w:val="id-ID"/>
        </w:rPr>
        <w:t xml:space="preserve"> </w:t>
      </w:r>
      <w:r w:rsidRPr="004371B0">
        <w:rPr>
          <w:rFonts w:ascii="Cambria" w:hAnsi="Cambria"/>
          <w:sz w:val="24"/>
          <w:szCs w:val="24"/>
          <w:lang w:val="id-ID"/>
        </w:rPr>
        <w:t>keempat</w:t>
      </w:r>
      <w:r w:rsidRPr="004371B0">
        <w:rPr>
          <w:rFonts w:ascii="Cambria" w:hAnsi="Cambria"/>
          <w:spacing w:val="1"/>
          <w:sz w:val="24"/>
          <w:szCs w:val="24"/>
          <w:lang w:val="id-ID"/>
        </w:rPr>
        <w:t xml:space="preserve"> </w:t>
      </w:r>
      <w:r w:rsidRPr="004371B0">
        <w:rPr>
          <w:rFonts w:ascii="Cambria" w:hAnsi="Cambria"/>
          <w:sz w:val="24"/>
          <w:szCs w:val="24"/>
          <w:lang w:val="id-ID"/>
        </w:rPr>
        <w:t>peradilan</w:t>
      </w:r>
      <w:r w:rsidRPr="004371B0">
        <w:rPr>
          <w:rFonts w:ascii="Cambria" w:hAnsi="Cambria"/>
          <w:spacing w:val="1"/>
          <w:sz w:val="24"/>
          <w:szCs w:val="24"/>
          <w:lang w:val="id-ID"/>
        </w:rPr>
        <w:t xml:space="preserve"> </w:t>
      </w:r>
      <w:r w:rsidRPr="004371B0">
        <w:rPr>
          <w:rFonts w:ascii="Cambria" w:hAnsi="Cambria"/>
          <w:sz w:val="24"/>
          <w:szCs w:val="24"/>
          <w:lang w:val="id-ID"/>
        </w:rPr>
        <w:t>tersebut untuk di</w:t>
      </w:r>
      <w:r w:rsidRPr="004371B0">
        <w:rPr>
          <w:rFonts w:ascii="Cambria" w:hAnsi="Cambria"/>
          <w:spacing w:val="1"/>
          <w:sz w:val="24"/>
          <w:szCs w:val="24"/>
          <w:lang w:val="id-ID"/>
        </w:rPr>
        <w:t xml:space="preserve"> Tanah Papua </w:t>
      </w:r>
      <w:r w:rsidRPr="004371B0">
        <w:rPr>
          <w:rFonts w:ascii="Cambria" w:hAnsi="Cambria"/>
          <w:spacing w:val="1"/>
          <w:sz w:val="24"/>
          <w:szCs w:val="24"/>
          <w:lang w:val="id-ID"/>
        </w:rPr>
        <w:lastRenderedPageBreak/>
        <w:t xml:space="preserve">pada </w:t>
      </w:r>
      <w:r w:rsidRPr="004371B0">
        <w:rPr>
          <w:rFonts w:ascii="Cambria" w:hAnsi="Cambria"/>
          <w:sz w:val="24"/>
          <w:szCs w:val="24"/>
          <w:lang w:val="id-ID"/>
        </w:rPr>
        <w:t>Provinsi</w:t>
      </w:r>
      <w:r w:rsidRPr="004371B0">
        <w:rPr>
          <w:rFonts w:ascii="Cambria" w:hAnsi="Cambria"/>
          <w:spacing w:val="1"/>
          <w:sz w:val="24"/>
          <w:szCs w:val="24"/>
          <w:lang w:val="id-ID"/>
        </w:rPr>
        <w:t xml:space="preserve"> </w:t>
      </w:r>
      <w:r w:rsidRPr="004371B0">
        <w:rPr>
          <w:rFonts w:ascii="Cambria" w:hAnsi="Cambria"/>
          <w:sz w:val="24"/>
          <w:szCs w:val="24"/>
          <w:lang w:val="id-ID"/>
        </w:rPr>
        <w:t>Papua</w:t>
      </w:r>
      <w:r w:rsidRPr="004371B0">
        <w:rPr>
          <w:rFonts w:ascii="Cambria" w:hAnsi="Cambria"/>
          <w:spacing w:val="1"/>
          <w:sz w:val="24"/>
          <w:szCs w:val="24"/>
          <w:lang w:val="id-ID"/>
        </w:rPr>
        <w:t xml:space="preserve"> dan Papua Barat.  </w:t>
      </w:r>
      <w:r w:rsidRPr="004371B0">
        <w:rPr>
          <w:rFonts w:ascii="Cambria" w:hAnsi="Cambria"/>
          <w:sz w:val="24"/>
          <w:szCs w:val="24"/>
          <w:lang w:val="id-ID"/>
        </w:rPr>
        <w:t>Ketentuan lembaga</w:t>
      </w:r>
      <w:r w:rsidRPr="004371B0">
        <w:rPr>
          <w:rFonts w:ascii="Cambria" w:hAnsi="Cambria"/>
          <w:spacing w:val="1"/>
          <w:sz w:val="24"/>
          <w:szCs w:val="24"/>
          <w:lang w:val="id-ID"/>
        </w:rPr>
        <w:t xml:space="preserve"> </w:t>
      </w:r>
      <w:r w:rsidRPr="004371B0">
        <w:rPr>
          <w:rFonts w:ascii="Cambria" w:hAnsi="Cambria"/>
          <w:sz w:val="24"/>
          <w:szCs w:val="24"/>
          <w:lang w:val="id-ID"/>
        </w:rPr>
        <w:t>peradilan adat di</w:t>
      </w:r>
      <w:r w:rsidRPr="004371B0">
        <w:rPr>
          <w:rFonts w:ascii="Cambria" w:hAnsi="Cambria"/>
          <w:spacing w:val="1"/>
          <w:sz w:val="24"/>
          <w:szCs w:val="24"/>
          <w:lang w:val="id-ID"/>
        </w:rPr>
        <w:t xml:space="preserve"> </w:t>
      </w:r>
      <w:r w:rsidRPr="004371B0">
        <w:rPr>
          <w:rFonts w:ascii="Cambria" w:hAnsi="Cambria"/>
          <w:sz w:val="24"/>
          <w:szCs w:val="24"/>
          <w:lang w:val="id-ID"/>
        </w:rPr>
        <w:t>Provinsi</w:t>
      </w:r>
      <w:r w:rsidRPr="004371B0">
        <w:rPr>
          <w:rFonts w:ascii="Cambria" w:hAnsi="Cambria"/>
          <w:spacing w:val="1"/>
          <w:sz w:val="24"/>
          <w:szCs w:val="24"/>
          <w:lang w:val="id-ID"/>
        </w:rPr>
        <w:t xml:space="preserve"> </w:t>
      </w:r>
      <w:r w:rsidRPr="004371B0">
        <w:rPr>
          <w:rFonts w:ascii="Cambria" w:hAnsi="Cambria"/>
          <w:sz w:val="24"/>
          <w:szCs w:val="24"/>
          <w:lang w:val="id-ID"/>
        </w:rPr>
        <w:t>Papua</w:t>
      </w:r>
      <w:r w:rsidRPr="004371B0">
        <w:rPr>
          <w:rFonts w:ascii="Cambria" w:hAnsi="Cambria"/>
          <w:spacing w:val="1"/>
          <w:sz w:val="24"/>
          <w:szCs w:val="24"/>
          <w:lang w:val="id-ID"/>
        </w:rPr>
        <w:t xml:space="preserve"> dan Papua Barat</w:t>
      </w:r>
      <w:r w:rsidRPr="004371B0">
        <w:rPr>
          <w:rFonts w:ascii="Cambria" w:hAnsi="Cambria"/>
          <w:sz w:val="24"/>
          <w:szCs w:val="24"/>
          <w:lang w:val="id-ID"/>
        </w:rPr>
        <w:t xml:space="preserve"> sebagaimana diatur dalam Pasal</w:t>
      </w:r>
      <w:r w:rsidRPr="004371B0">
        <w:rPr>
          <w:rFonts w:ascii="Cambria" w:hAnsi="Cambria"/>
          <w:spacing w:val="-1"/>
          <w:sz w:val="24"/>
          <w:szCs w:val="24"/>
          <w:lang w:val="id-ID"/>
        </w:rPr>
        <w:t xml:space="preserve"> 50 dan </w:t>
      </w:r>
      <w:r w:rsidRPr="004371B0">
        <w:rPr>
          <w:rFonts w:ascii="Cambria" w:hAnsi="Cambria"/>
          <w:sz w:val="24"/>
          <w:szCs w:val="24"/>
          <w:lang w:val="id-ID"/>
        </w:rPr>
        <w:t xml:space="preserve">51 Undang-Undang </w:t>
      </w:r>
      <w:r w:rsidR="009760A1" w:rsidRPr="004371B0">
        <w:rPr>
          <w:rFonts w:ascii="Cambria" w:hAnsi="Cambria"/>
          <w:sz w:val="24"/>
          <w:szCs w:val="24"/>
          <w:lang w:val="id-ID"/>
        </w:rPr>
        <w:t xml:space="preserve">Republik Indonesia </w:t>
      </w:r>
      <w:r w:rsidRPr="004371B0">
        <w:rPr>
          <w:rFonts w:ascii="Cambria" w:hAnsi="Cambria"/>
          <w:sz w:val="24"/>
          <w:szCs w:val="24"/>
          <w:lang w:val="id-ID"/>
        </w:rPr>
        <w:t>Nomor 21</w:t>
      </w:r>
      <w:r w:rsidRPr="004371B0">
        <w:rPr>
          <w:rFonts w:ascii="Cambria" w:hAnsi="Cambria"/>
          <w:spacing w:val="1"/>
          <w:sz w:val="24"/>
          <w:szCs w:val="24"/>
          <w:lang w:val="id-ID"/>
        </w:rPr>
        <w:t xml:space="preserve"> </w:t>
      </w:r>
      <w:r w:rsidRPr="004371B0">
        <w:rPr>
          <w:rFonts w:ascii="Cambria" w:hAnsi="Cambria"/>
          <w:sz w:val="24"/>
          <w:szCs w:val="24"/>
          <w:lang w:val="id-ID"/>
        </w:rPr>
        <w:t>Tahun</w:t>
      </w:r>
      <w:r w:rsidRPr="004371B0">
        <w:rPr>
          <w:rFonts w:ascii="Cambria" w:hAnsi="Cambria"/>
          <w:spacing w:val="-1"/>
          <w:sz w:val="24"/>
          <w:szCs w:val="24"/>
          <w:lang w:val="id-ID"/>
        </w:rPr>
        <w:t xml:space="preserve"> </w:t>
      </w:r>
      <w:r w:rsidRPr="004371B0">
        <w:rPr>
          <w:rFonts w:ascii="Cambria" w:hAnsi="Cambria"/>
          <w:sz w:val="24"/>
          <w:szCs w:val="24"/>
          <w:lang w:val="id-ID"/>
        </w:rPr>
        <w:t>2001 tentang</w:t>
      </w:r>
      <w:r w:rsidRPr="004371B0">
        <w:rPr>
          <w:rFonts w:ascii="Cambria" w:hAnsi="Cambria"/>
          <w:spacing w:val="-3"/>
          <w:sz w:val="24"/>
          <w:szCs w:val="24"/>
          <w:lang w:val="id-ID"/>
        </w:rPr>
        <w:t xml:space="preserve"> </w:t>
      </w:r>
      <w:r w:rsidRPr="004371B0">
        <w:rPr>
          <w:rFonts w:ascii="Cambria" w:hAnsi="Cambria"/>
          <w:sz w:val="24"/>
          <w:szCs w:val="24"/>
          <w:lang w:val="id-ID"/>
        </w:rPr>
        <w:t>Otonomi Khusus</w:t>
      </w:r>
      <w:r w:rsidRPr="004371B0">
        <w:rPr>
          <w:rFonts w:ascii="Cambria" w:hAnsi="Cambria"/>
          <w:spacing w:val="-1"/>
          <w:sz w:val="24"/>
          <w:szCs w:val="24"/>
          <w:lang w:val="id-ID"/>
        </w:rPr>
        <w:t xml:space="preserve"> </w:t>
      </w:r>
      <w:r w:rsidRPr="004371B0">
        <w:rPr>
          <w:rFonts w:ascii="Cambria" w:hAnsi="Cambria"/>
          <w:sz w:val="24"/>
          <w:szCs w:val="24"/>
          <w:lang w:val="id-ID"/>
        </w:rPr>
        <w:t>Provinsi Papua.</w:t>
      </w:r>
    </w:p>
    <w:p w14:paraId="019BEF24" w14:textId="77777777" w:rsidR="004371B0" w:rsidRDefault="00E36298" w:rsidP="004371B0">
      <w:pPr>
        <w:spacing w:after="0"/>
        <w:ind w:firstLine="360"/>
        <w:jc w:val="both"/>
        <w:rPr>
          <w:rFonts w:ascii="Cambria" w:hAnsi="Cambria"/>
          <w:sz w:val="24"/>
          <w:szCs w:val="24"/>
          <w:lang w:val="id-ID"/>
        </w:rPr>
      </w:pPr>
      <w:r w:rsidRPr="004371B0">
        <w:rPr>
          <w:rFonts w:ascii="Cambria" w:hAnsi="Cambria"/>
          <w:sz w:val="24"/>
          <w:szCs w:val="24"/>
          <w:lang w:val="id-ID"/>
        </w:rPr>
        <w:t>Kebijakan eksistensi Peradilan Adat merupakan bagian dari kekhususan Otonomi Khusus Papua yang berlaku di Provinsi Papua dan Papua Barat, dengan dua peran strategis, yaitu sebagai pelaksana fungsi kekuasaan kehakiman melalui kelembagaan Peradilan Adat dan sebagai sarana peradilan perdamaian dalam masyarakat hukum adat yang berwenang memeriksa serta mengadili sengketa perdata dan perkara pidana adat. Namun, pelaksanaannya masih menghadapi berbagai kelemahan, terutama terkait kepastian hukum kelembagaan, tata kelola administrasi dan tata acara persidangan, peningkatan kapasitas hakim adat, serta keterbatasan sarana, prasarana, dan pembiayaan. Selain itu, kekuatan putusan Peradilan Adat juga belum optimal karena masih terbuka ruang keberatan bagi para pihak untuk mengajukan pemeriksaan ulang ke Pengadilan Negeri atau Pengadilan Agama, sehingga diperlukan penguatan regulasi dan kelembagaan guna menjamin efektivitas dan kepastian hukum Peradilan Adat di Kabupaten Fakfak.</w:t>
      </w:r>
      <w:bookmarkStart w:id="4" w:name="_Toc108729164"/>
      <w:r w:rsidR="00482F7B" w:rsidRPr="004371B0">
        <w:rPr>
          <w:rFonts w:ascii="Cambria" w:hAnsi="Cambria"/>
          <w:sz w:val="24"/>
          <w:szCs w:val="24"/>
          <w:lang w:val="id-ID"/>
        </w:rPr>
        <w:t xml:space="preserve"> </w:t>
      </w:r>
    </w:p>
    <w:p w14:paraId="36B15F25" w14:textId="33C75887" w:rsidR="00482F7B" w:rsidRPr="004371B0" w:rsidRDefault="00482F7B" w:rsidP="004371B0">
      <w:pPr>
        <w:spacing w:after="0"/>
        <w:ind w:firstLine="360"/>
        <w:jc w:val="both"/>
        <w:rPr>
          <w:rFonts w:ascii="Cambria" w:hAnsi="Cambria"/>
          <w:sz w:val="24"/>
          <w:szCs w:val="24"/>
          <w:lang w:val="id-ID"/>
        </w:rPr>
      </w:pPr>
      <w:r w:rsidRPr="004371B0">
        <w:rPr>
          <w:rFonts w:ascii="Cambria" w:hAnsi="Cambria"/>
          <w:sz w:val="24"/>
          <w:szCs w:val="24"/>
          <w:lang w:val="id-ID"/>
        </w:rPr>
        <w:t>Seiring dengan perkembangan peradaban pasca reformasi 1998 dan diberlakukannya Otonomi Khusus Papua sejak tahun 2001, terjadi dinamika dan penyesuaian dalam kehidupan masyarakat hukum adat, termasuk dalam kelembagaan adat di Kabupaten Fakfak. Selain keberadaan lembaga adat yang telah lama hidup, berkembang pula institusi seperti Lembaga Masyarakat Adat (LMA) dan Dewan Adat Papua, yang di Fakfak dikenal sebagai Lembaga Masyarakat Adat Mbaham Matta, yang memiliki peran dalam penyelesaian sengketa perdata dan pidana adat di kalangan masyarakat hukum adat. Kondisi tersebut menimbulkan pertanyaan mendasar mengenai bagaimana kedudukan Peradilan Adat dalam sistem hukum nasional serta bagaimana kebijakan eksistensi Peradilan Adat di Kabupaten Fakfak dalam kerangka hukum positif Indonesia. Atas dasar itu, penelitian ini diarahkan untuk mengkaji secara komprehensif posisi, legitimasi, dan pengaturan Peradilan Adat dalam sistem hukum nasional, sekaligus menganalisis kebijakan yang mengatur dan mempengaruhi keberlangsungan Peradilan Adat di Kabupaten Fakfak.</w:t>
      </w:r>
    </w:p>
    <w:p w14:paraId="469E9A94" w14:textId="00BBE5E6" w:rsidR="00BF0885" w:rsidRPr="00C90943" w:rsidRDefault="00C90943" w:rsidP="00C90943">
      <w:pPr>
        <w:pStyle w:val="TOC2"/>
        <w:rPr>
          <w:b/>
          <w:bCs/>
        </w:rPr>
      </w:pPr>
      <w:r w:rsidRPr="00C90943">
        <w:rPr>
          <w:b/>
          <w:bCs/>
        </w:rPr>
        <w:t xml:space="preserve">2. </w:t>
      </w:r>
      <w:r w:rsidR="006C5B20" w:rsidRPr="00C90943">
        <w:rPr>
          <w:b/>
          <w:bCs/>
        </w:rPr>
        <w:t xml:space="preserve">Metode </w:t>
      </w:r>
    </w:p>
    <w:p w14:paraId="040FBE7C" w14:textId="77777777" w:rsidR="00576298" w:rsidRPr="00C90943" w:rsidRDefault="00BF0885" w:rsidP="00C90943">
      <w:pPr>
        <w:pStyle w:val="TOC2"/>
        <w:ind w:firstLine="567"/>
        <w:rPr>
          <w:lang w:val="sv-SE"/>
        </w:rPr>
      </w:pPr>
      <w:r w:rsidRPr="00C90943">
        <w:t xml:space="preserve">Penelitian ini menggunakan jenis penelitian hukum normatif </w:t>
      </w:r>
      <w:r w:rsidRPr="00C90943">
        <w:rPr>
          <w:i/>
          <w:iCs/>
        </w:rPr>
        <w:t>(doctrinal research)</w:t>
      </w:r>
      <w:r w:rsidRPr="00C90943">
        <w:t>, yaitu penelitian yang berfokus pada pengkajian norma-norma hukum positif yang mengatur Peradilan Adat dalam sistem hukum nasional. Pendekatan ini digunakan untuk menganalisis keberadaan dan kedudukan Peradilan Adat di Kabupaten Fakfak berdasarkan peraturan perundang-</w:t>
      </w:r>
      <w:r w:rsidRPr="00C90943">
        <w:lastRenderedPageBreak/>
        <w:t xml:space="preserve">undangan yang berlaku, khususnya Undang-Undang Nomor 2 Tahun 2021 tentang Perubahan Kedua atas Undang-Undang Nomor 21 Tahun 2001 tentang Otonomi Khusus Provinsi Papua, serta ketentuan hukum lain yang relevan. </w:t>
      </w:r>
      <w:r w:rsidRPr="00C90943">
        <w:rPr>
          <w:lang w:val="sv-SE"/>
        </w:rPr>
        <w:t xml:space="preserve">Pendekatan yang digunakan dalam penelitian ini meliputi pendekatan perundang-undangan </w:t>
      </w:r>
      <w:r w:rsidRPr="00C90943">
        <w:rPr>
          <w:i/>
          <w:iCs/>
          <w:lang w:val="sv-SE"/>
        </w:rPr>
        <w:t>(statute approach)</w:t>
      </w:r>
      <w:r w:rsidRPr="00C90943">
        <w:rPr>
          <w:lang w:val="sv-SE"/>
        </w:rPr>
        <w:t xml:space="preserve"> dan pendekatan konseptual </w:t>
      </w:r>
      <w:r w:rsidRPr="00C90943">
        <w:rPr>
          <w:i/>
          <w:iCs/>
          <w:lang w:val="sv-SE"/>
        </w:rPr>
        <w:t>(conceptual approach).</w:t>
      </w:r>
      <w:r w:rsidRPr="00C90943">
        <w:rPr>
          <w:lang w:val="sv-SE"/>
        </w:rPr>
        <w:t xml:space="preserve"> Pendekatan perundang-undangan dilakukan dengan menelaah secara sistematis pengaturan Peradilan Adat dalam peraturan perundang-undangan, termasuk kekosongan hukum akibat belum adanya Peraturan Daerah Khusus (Perdasus) di Provinsi Papua Barat. Sementara itu, pendekatan konseptual digunakan untuk mengkaji konsep Peradilan Adat, hukum adat, dan pluralisme hukum dalam perspektif doktrin dan pandangan para ahli.</w:t>
      </w:r>
      <w:bookmarkEnd w:id="4"/>
    </w:p>
    <w:p w14:paraId="45044AA1" w14:textId="7E52973F" w:rsidR="00576298" w:rsidRPr="00C90943" w:rsidRDefault="00C90943" w:rsidP="00C90943">
      <w:pPr>
        <w:pStyle w:val="TOC2"/>
        <w:rPr>
          <w:b/>
          <w:bCs/>
          <w:lang w:val="sv-SE"/>
        </w:rPr>
      </w:pPr>
      <w:r>
        <w:rPr>
          <w:b/>
          <w:bCs/>
        </w:rPr>
        <w:t xml:space="preserve">3. </w:t>
      </w:r>
      <w:r w:rsidR="00576298" w:rsidRPr="00C90943">
        <w:rPr>
          <w:b/>
          <w:bCs/>
        </w:rPr>
        <w:t>Hasil dan Pembahasan</w:t>
      </w:r>
    </w:p>
    <w:p w14:paraId="26CC3692" w14:textId="0A129747" w:rsidR="00110629" w:rsidRPr="00C90943" w:rsidRDefault="00C90943" w:rsidP="00C90943">
      <w:pPr>
        <w:pStyle w:val="TOC2"/>
        <w:rPr>
          <w:b/>
          <w:bCs/>
          <w:lang w:val="sv-SE"/>
        </w:rPr>
      </w:pPr>
      <w:r>
        <w:rPr>
          <w:b/>
          <w:bCs/>
        </w:rPr>
        <w:t xml:space="preserve">3.1 </w:t>
      </w:r>
      <w:r w:rsidR="00576298" w:rsidRPr="00C90943">
        <w:rPr>
          <w:b/>
          <w:bCs/>
        </w:rPr>
        <w:t>Kedudukan Peradilan Adat Dalam Sistem Hukum Nasional</w:t>
      </w:r>
    </w:p>
    <w:p w14:paraId="5D5A975F" w14:textId="2B10B752" w:rsidR="00C90943" w:rsidRDefault="00110629" w:rsidP="00C90943">
      <w:pPr>
        <w:pStyle w:val="TOC2"/>
        <w:ind w:firstLine="426"/>
      </w:pPr>
      <w:r w:rsidRPr="004371B0">
        <w:t>Sejak kemerdekaan tahun 1945, pengaturan peradilan adat dalam sistem hukum Indonesia relatif terbatas, kecuali melalui Undang-Undang Darurat Nomor 1 Tahun 1951 yang mengakui keberlakuan hukum adat dalam bidang pidana beserta sanksinya</w:t>
      </w:r>
      <w:r w:rsidR="005F1B86">
        <w:t xml:space="preserve"> </w:t>
      </w:r>
      <w:r w:rsidR="005F1B86" w:rsidRPr="005F1B86">
        <w:t>(Rosy et al., 2021)</w:t>
      </w:r>
      <w:r w:rsidR="005F1B86">
        <w:t>.</w:t>
      </w:r>
      <w:r w:rsidRPr="004371B0">
        <w:t xml:space="preserve"> Hukum adat merupakan hukum tidak tertulis yang lahir dan berkembang dari masyarakat </w:t>
      </w:r>
      <w:r w:rsidRPr="00C90943">
        <w:rPr>
          <w:i/>
          <w:iCs/>
        </w:rPr>
        <w:t xml:space="preserve">(bottom up), </w:t>
      </w:r>
      <w:r w:rsidRPr="004371B0">
        <w:t>berfungsi sebagai pedoman perilaku serta mengandung sanksi bagi setiap pelanggaran norma adat.</w:t>
      </w:r>
      <w:r w:rsidR="0033773E">
        <w:t xml:space="preserve"> </w:t>
      </w:r>
      <w:r w:rsidRPr="004371B0">
        <w:t>Dalam praktiknya, peradilan adat kerap berhadapan dengan sistem hukum formal yang didominasi oleh warisan hukum kolonial Eropa</w:t>
      </w:r>
      <w:r w:rsidR="005F1B86">
        <w:t xml:space="preserve"> </w:t>
      </w:r>
      <w:r w:rsidR="005F1B86" w:rsidRPr="005F1B86">
        <w:t>(Rasyid, 2017)</w:t>
      </w:r>
      <w:r w:rsidR="005F1B86">
        <w:t xml:space="preserve">. </w:t>
      </w:r>
      <w:r w:rsidRPr="004371B0">
        <w:t>Meskipun tidak sepenuhnya diakui secara formal, peradilan adat tetap hidup dan dipraktikkan sebagai mekanisme penyelesaian sengketa alternatif, terutama di masyarakat yang masih berpegang pada nilai-nilai tradisional. Ketika rasa keadilan tidak terpenuhi melalui peradilan negara, peradilan adat sering menjadi pilihan karena lebih sesuai dengan nilai, norma, dan rasa keadilan masyarakat setempat</w:t>
      </w:r>
      <w:r w:rsidR="005F1B86">
        <w:t xml:space="preserve"> </w:t>
      </w:r>
      <w:r w:rsidR="005F1B86" w:rsidRPr="005F1B86">
        <w:t>(Pradhani, 2021)</w:t>
      </w:r>
      <w:r w:rsidR="005F1B86">
        <w:t>.</w:t>
      </w:r>
      <w:r w:rsidRPr="004371B0">
        <w:t xml:space="preserve"> Hal ini menegaskan pandangan bahwa peradilan adat merupakan realitas sosial yang masih hidup dan berfungsi dalam kehidupan masyarakat, meskipun berada dalam kerangka peradilan informal.</w:t>
      </w:r>
    </w:p>
    <w:p w14:paraId="3F5A1A65" w14:textId="2567CDF1" w:rsidR="00C90943" w:rsidRDefault="00D84AAB" w:rsidP="00C90943">
      <w:pPr>
        <w:pStyle w:val="TOC2"/>
        <w:ind w:firstLine="426"/>
      </w:pPr>
      <w:r w:rsidRPr="007B021C">
        <w:t>Namun realita tersebut tidak mendapat pengakuan yang semestinya dalam hukum negara, khususnya dalam undang-undang yang mengatur masalah peradilan. Kebutuhan akan mekanisme peradilan adat bukan hanya disebabkan bahwa untuk menjangkau sistem formal sebagaimana yang digariskan aturan perundang-undangan terdapat kendala geografis (misalnya bagi masyarakat pedalaman) akan tetapi juga alasan normatif mekanisme penyelesaian dan sanksi yang kadang tidak atau belum bisa dinyatakan berkeadilan, belum lagi panjangnya proses yang harus dilalui</w:t>
      </w:r>
      <w:r w:rsidR="005F1B86">
        <w:t xml:space="preserve"> </w:t>
      </w:r>
      <w:r w:rsidR="005F1B86" w:rsidRPr="005F1B86">
        <w:t xml:space="preserve">(Pradhani, </w:t>
      </w:r>
      <w:r w:rsidR="005F1B86" w:rsidRPr="005F1B86">
        <w:lastRenderedPageBreak/>
        <w:t>2020)</w:t>
      </w:r>
      <w:r w:rsidR="005F1B86">
        <w:t xml:space="preserve">. </w:t>
      </w:r>
    </w:p>
    <w:p w14:paraId="4CB6C112" w14:textId="57CD28C1" w:rsidR="00C90943" w:rsidRDefault="00D84AAB" w:rsidP="00C90943">
      <w:pPr>
        <w:pStyle w:val="TOC2"/>
        <w:ind w:firstLine="426"/>
      </w:pPr>
      <w:r w:rsidRPr="007B021C">
        <w:t>Dalam perjalanan sejarah kemudian mengubah posisi lembaga adat dan peradilan adat melalui Perubahan kedua Undang-undang Dasar Republik Indonesia Tahun 1945 pada tahun 2000 pada Pasal 18B ayat (2) dan Pasal 28I ayat (3) yang pada intinya menyatakan: pertama, mengakui dan menghormati eksistensi kesatuan-kesatuan masyarakat hukum adat beserta hak-hak tradisionalnya; kedua, menghormati identitas budaya dan hak masyarakat tradisional sebagai bagian dari hak azasi manusia yang harus mendapat perlindungan, pemajuan, penegakan, dan pemenuhan dari negara, terutama pemerintah</w:t>
      </w:r>
      <w:r w:rsidR="005F1B86">
        <w:t xml:space="preserve"> </w:t>
      </w:r>
      <w:r w:rsidR="005F1B86" w:rsidRPr="005F1B86">
        <w:t>(Nalle, 2018)</w:t>
      </w:r>
      <w:r w:rsidR="005F1B86">
        <w:t xml:space="preserve">. </w:t>
      </w:r>
      <w:r w:rsidRPr="007B021C">
        <w:t>Adanya pengakuan dan penghormatan terhadap hak–hak kesatuan-kesatuan masyarakat hukum adat dalam UUD 1945 dapat dimaknai secara filosofis dan yuridis. Secara filosofis, pengakuan dan penghormatan tersebut merupakan penghargaan dari negara terhadap nilai-nilai kemanusiaan dan hak asasi manusia. Secara yuridis, ketentuan tersebut memberikan landasan konstitusional bagi arah politik hukum pengakuan hak-hak tradisional kesatuan masyarakat hukum adat.</w:t>
      </w:r>
      <w:r w:rsidR="00C90943">
        <w:t xml:space="preserve"> </w:t>
      </w:r>
    </w:p>
    <w:p w14:paraId="25A23177" w14:textId="5AD1EE97" w:rsidR="00C90943" w:rsidRDefault="00D84AAB" w:rsidP="00C90943">
      <w:pPr>
        <w:pStyle w:val="TOC2"/>
        <w:ind w:firstLine="426"/>
      </w:pPr>
      <w:r w:rsidRPr="007B021C">
        <w:t>Akan tetapi hak konstitusional ini tidak serta merta ditindak lanjuti dengan aturan perundnag-undangan lainnya. Meskipun Di sisi lain Pasal 28 Undang-undang RI Nomor 04 Tahun 2004 jo. Pasal 5 ayat (1) Undang-undang RI Nomor 48 Tahun 2009 tentang Kekuasaan Kehakiman, memberikan kewajiban kepada Hakim untuk menggali, mengikuti, dan memahami nilai-nilai hukum dan rasa keadilan yang hidup dalam masyarakat</w:t>
      </w:r>
      <w:r w:rsidR="005F1B86">
        <w:t xml:space="preserve"> </w:t>
      </w:r>
      <w:r w:rsidR="005F1B86" w:rsidRPr="005F1B86">
        <w:t>(Masril &amp; Kosasih, 2019)</w:t>
      </w:r>
      <w:r w:rsidR="005F1B86">
        <w:t>.</w:t>
      </w:r>
      <w:r w:rsidRPr="007B021C">
        <w:t xml:space="preserve"> Namun ketentuan ini tidak serta merta mengakui keberadaan lembaga Pengadilan adat. </w:t>
      </w:r>
    </w:p>
    <w:p w14:paraId="3FEFC80F" w14:textId="77777777" w:rsidR="00C90943" w:rsidRDefault="009F30FB" w:rsidP="00C90943">
      <w:pPr>
        <w:pStyle w:val="TOC2"/>
        <w:ind w:firstLine="426"/>
      </w:pPr>
      <w:r w:rsidRPr="007B021C">
        <w:t>Dalam perkembangannya, upaya penguatan Peradilan Adat tercermin dalam Rancangan Undang-Undang Perlindungan Masyarakat Hukum Adat tahun 2013, yang memuat ketentuan mengenai kedudukan dan kewenangan Peradilan Adat. RUU tersebut menegaskan bahwa peradilan adat merupakan bagian dari lembaga adat yang berwenang mengadili seluruh perkara yang melibatkan anggota masyarakat adat dan terjadi di wilayah adatnya, dengan putusan yang bersifat mengikat dan final. Namun, apabila suatu perkara melibatkan pihak di luar masyarakat adat setempat, penyelesaiannya diserahkan kepada lembaga peradilan negara sesuai dengan ketentuan peraturan perundang-undangan. Ketentuan ini mencerminkan kehendak pembentuk undang-undang untuk merevitalisasi Peradilan Adat sebagai bagian dari sistem hukum nasional, meskipun dalam kerangka hukum formal yang berlaku masih diperlukan pengaturan lebih lanjut agar keberadaannya dapat terintegrasi secara jelas dan memberikan kepastian hukum.</w:t>
      </w:r>
    </w:p>
    <w:p w14:paraId="5E354004" w14:textId="36FF006E" w:rsidR="005F1B86" w:rsidRDefault="009F30FB" w:rsidP="00C90943">
      <w:pPr>
        <w:pStyle w:val="TOC2"/>
        <w:ind w:firstLine="426"/>
      </w:pPr>
      <w:r w:rsidRPr="007B021C">
        <w:t xml:space="preserve">Keberadaan Peradilan Adat dalam sistem hukum Indonesia dapat </w:t>
      </w:r>
      <w:r w:rsidRPr="007B021C">
        <w:lastRenderedPageBreak/>
        <w:t>ditelusuri melalui berbagai peraturan perundang-undangan. Secara konstitusional, pengakuan terhadap hukum adat berlandaskan Pasal 18B ayat (2) Undang-Undang Dasar Negara Republik Indonesia Tahun 1945 yang menegaskan pengakuan dan penghormatan negara terhadap masyarakat hukum adat beserta hak-hak tradisionalnya, serta Pasal 5 ayat (1) Undang-Undang Nomor 48 Tahun 2009 tentang Kekuasaan Kehakiman yang mewajibkan hakim untuk menggali dan memahami nilai-nilai hukum serta rasa keadilan yang hidup dalam masyarakat. Selanjutnya, Undang-Undang Darurat Nomor 1 Tahun 1951 memberikan ruang keberlakuan hukum adat, khususnya dalam bidang pidana dan sanksi adat</w:t>
      </w:r>
      <w:r w:rsidR="005F1B86" w:rsidRPr="005F1B86">
        <w:t xml:space="preserve"> (Makassar &amp; Salim, 2016)</w:t>
      </w:r>
      <w:r w:rsidR="005F1B86">
        <w:t xml:space="preserve">.  </w:t>
      </w:r>
      <w:r w:rsidRPr="007B021C">
        <w:t xml:space="preserve"> Pengaturan yang lebih spesifik mengenai hukum adat dan peradilan adat terdapat dalam Undang-Undang Nomor 21 Tahun 2001 tentang Otonomi Khusus bagi Provinsi Papua, yang mendefinisikan hukum adat sebagai norma tidak tertulis yang hidup dan mengikat masyarakat adat, serta mewajibkan pemerintah daerah untuk mengakui, melindungi, dan memberdayakan hak-hak masyarakat adat. Lebih lanjut, Pasal 51 ayat (1) undang-undang tersebut menegaskan Peradilan Adat sebagai peradilan perdamaian yang berwenang memeriksa dan mengadili sengketa perdata adat dan perkara pidana di lingkungan masyarakat hukum adat. Keseluruhan pengaturan ini menunjukkan bahwa secara normatif, Peradilan Adat telah memperoleh dasar hukum dalam sistem hukum nasional, meskipun implementasinya masih memerlukan penguatan lebih lanjut</w:t>
      </w:r>
      <w:r w:rsidR="005F1B86">
        <w:t xml:space="preserve"> </w:t>
      </w:r>
      <w:r w:rsidR="005F1B86" w:rsidRPr="005F1B86">
        <w:t>(Kurdi &amp; Alamudi, 2022)</w:t>
      </w:r>
      <w:r w:rsidR="005F1B86">
        <w:t xml:space="preserve">. </w:t>
      </w:r>
    </w:p>
    <w:p w14:paraId="645F61DF" w14:textId="0E6545D9" w:rsidR="00C90943" w:rsidRDefault="0043625F" w:rsidP="00C90943">
      <w:pPr>
        <w:pStyle w:val="TOC2"/>
        <w:ind w:firstLine="426"/>
      </w:pPr>
      <w:r w:rsidRPr="007B021C">
        <w:t>Pengaturan yang lebih spesifik mengenai Peradilan Adat di Papua terdapat dalam Peraturan Daerah Khusus Papua Nomor 20 Tahun 2008 tentang Peradilan Adat di Papua. Peraturan ini mengatur secara komprehensif kedudukan, kewenangan, tata cara pemeriksaan perkara, hingga putusan Peradilan Adat. Pasal 4 menegaskan bahwa Peradilan Adat bukan merupakan bagian dari peradilan negara, melainkan lembaga peradilan masyarakat adat Papua. Selanjutnya, Pasal 8 ayat (1) memberikan kewenangan kepada Pengadilan Adat untuk menerima dan menyelesaikan perkara perdata adat dan perkara pidana adat di antara warga masyarakat adat di Papua. Ketentuan ini menegaskan pengakuan normatif terhadap Peradilan Adat sebagai mekanisme penyelesaian sengketa berbasis nilai dan norma adat.</w:t>
      </w:r>
    </w:p>
    <w:p w14:paraId="01A9FF5D" w14:textId="215A1D81" w:rsidR="0038090F" w:rsidRPr="004371B0" w:rsidRDefault="0043625F" w:rsidP="00C90943">
      <w:pPr>
        <w:pStyle w:val="TOC2"/>
        <w:ind w:firstLine="426"/>
      </w:pPr>
      <w:r w:rsidRPr="007B021C">
        <w:t>Selain pengaturan normatif tersebut, eksistensi hukum adat juga diperkuat melalui yurisprudensi Mahkamah Agung Republik Indonesia, khususnya terkait penerapan sifat melawan hukum secara materiil. Putusan Mahkamah Agung RI Nomor 42 K/Kr/1966 atas nama Machroes Effendi menegaskan bahwa suatu perbuatan dapat kehilangan sifat melawan hukum tidak hanya berdasarkan ketentuan tertulis, tetapi juga berdasarkan asas keadilan dan hukum yang hidup dalam masyarakat</w:t>
      </w:r>
      <w:r w:rsidR="005F1B86">
        <w:t xml:space="preserve"> </w:t>
      </w:r>
      <w:r w:rsidR="005F1B86" w:rsidRPr="005F1B86">
        <w:t>(Jushendri, 2019)</w:t>
      </w:r>
      <w:r w:rsidR="005F1B86">
        <w:t>.</w:t>
      </w:r>
      <w:r w:rsidRPr="007B021C">
        <w:t xml:space="preserve"> Putusan </w:t>
      </w:r>
      <w:r w:rsidRPr="007B021C">
        <w:lastRenderedPageBreak/>
        <w:t>ini memperlihatkan pengakuan peradilan negara terhadap nilai-nilai hukum tidak tertulis, termasuk hukum adat, sebagai dasar pertimbangan dalam penegakan hukum, sehingga semakin memperkuat legitimasi Peradilan Adat dalam sistem hukum Indonesia.</w:t>
      </w:r>
      <w:bookmarkStart w:id="5" w:name="_Toc108729169"/>
    </w:p>
    <w:p w14:paraId="71B65625" w14:textId="77777777" w:rsidR="0038090F" w:rsidRPr="004371B0" w:rsidRDefault="0038090F" w:rsidP="008206B6">
      <w:pPr>
        <w:spacing w:after="0"/>
        <w:ind w:firstLine="720"/>
        <w:jc w:val="both"/>
        <w:rPr>
          <w:rFonts w:ascii="Cambria" w:hAnsi="Cambria" w:cs="Times New Roman"/>
          <w:sz w:val="24"/>
          <w:szCs w:val="24"/>
          <w:lang w:val="id-ID"/>
        </w:rPr>
      </w:pPr>
      <w:r w:rsidRPr="004371B0">
        <w:rPr>
          <w:rFonts w:ascii="Cambria" w:hAnsi="Cambria" w:cs="Times New Roman"/>
          <w:sz w:val="24"/>
          <w:szCs w:val="24"/>
          <w:lang w:val="id-ID"/>
        </w:rPr>
        <w:t xml:space="preserve">Sebagai akibat dari berbagai undang-undang dan peraturan di Indonesia, pengadilan adat diakui dalam sistem hukum Indonesia, yang sangat penting untuk menyelesaikan masalah hukum umum yang berkaitan dengan kepentingan masyarakat adat.: Pasal 18 B ayat (2) UndangUndang Dasar Negara Republik Indonesia tahun 1945, Pasal 5 ayat (3) sub b Undang-Undang Darurat Nomor 1 Tahun 1951, Pasal 5 ayat (1) UndangUndang Nomor 48 Tahun 2009 tentang Kekuasaan Kehakiman, Pasal 51 ayat (1) Undang-Undang Nomor 21 Tahun 2001 tentang Otonomi Khusus bagi Provinsi Papua, Pasal 8 Ayat (1) Peraturan Daerah Khusus Papua Nomor 20 Tahun 2008 Tentang Peradilan Adat di Papua, dan Yurisprudensi Mahkamah Agung RI. </w:t>
      </w:r>
    </w:p>
    <w:p w14:paraId="5F3F779A" w14:textId="77777777" w:rsidR="008F036C" w:rsidRDefault="008F036C" w:rsidP="00AB605D">
      <w:pPr>
        <w:pStyle w:val="Heading1"/>
        <w:spacing w:before="0" w:line="276" w:lineRule="auto"/>
        <w:jc w:val="center"/>
        <w:rPr>
          <w:rFonts w:ascii="Cambria" w:hAnsi="Cambria" w:cs="Times New Roman"/>
          <w:b/>
          <w:color w:val="auto"/>
          <w:sz w:val="24"/>
          <w:szCs w:val="24"/>
          <w:lang w:val="id-ID"/>
        </w:rPr>
      </w:pPr>
    </w:p>
    <w:p w14:paraId="5DD82E38" w14:textId="73F51574" w:rsidR="00301F6F" w:rsidRPr="007F4423" w:rsidRDefault="00C90943" w:rsidP="00C90943">
      <w:pPr>
        <w:pStyle w:val="Heading1"/>
        <w:spacing w:before="0" w:line="276" w:lineRule="auto"/>
        <w:jc w:val="both"/>
        <w:rPr>
          <w:rFonts w:ascii="Cambria" w:hAnsi="Cambria" w:cs="Times New Roman"/>
          <w:b/>
          <w:bCs/>
          <w:color w:val="auto"/>
          <w:sz w:val="24"/>
          <w:szCs w:val="24"/>
          <w:lang w:val="id-ID"/>
        </w:rPr>
      </w:pPr>
      <w:bookmarkStart w:id="6" w:name="_Toc108729176"/>
      <w:bookmarkEnd w:id="5"/>
      <w:r>
        <w:rPr>
          <w:rFonts w:ascii="Cambria" w:hAnsi="Cambria" w:cs="Times New Roman"/>
          <w:b/>
          <w:bCs/>
          <w:color w:val="auto"/>
          <w:sz w:val="24"/>
          <w:szCs w:val="24"/>
          <w:lang w:val="id-ID"/>
        </w:rPr>
        <w:t>3.</w:t>
      </w:r>
      <w:r w:rsidR="00F014BC">
        <w:rPr>
          <w:rFonts w:ascii="Cambria" w:hAnsi="Cambria" w:cs="Times New Roman"/>
          <w:b/>
          <w:bCs/>
          <w:color w:val="auto"/>
          <w:sz w:val="24"/>
          <w:szCs w:val="24"/>
          <w:lang w:val="id-ID"/>
        </w:rPr>
        <w:t xml:space="preserve">2 </w:t>
      </w:r>
      <w:r>
        <w:rPr>
          <w:rFonts w:ascii="Cambria" w:hAnsi="Cambria" w:cs="Times New Roman"/>
          <w:b/>
          <w:bCs/>
          <w:color w:val="auto"/>
          <w:sz w:val="24"/>
          <w:szCs w:val="24"/>
          <w:lang w:val="id-ID"/>
        </w:rPr>
        <w:t xml:space="preserve">Analisis </w:t>
      </w:r>
      <w:r w:rsidR="00D7389A" w:rsidRPr="004371B0">
        <w:rPr>
          <w:rFonts w:ascii="Cambria" w:hAnsi="Cambria" w:cs="Times New Roman"/>
          <w:b/>
          <w:bCs/>
          <w:color w:val="auto"/>
          <w:sz w:val="24"/>
          <w:szCs w:val="24"/>
          <w:lang w:val="id-ID"/>
        </w:rPr>
        <w:t xml:space="preserve">Kebijakan </w:t>
      </w:r>
      <w:r w:rsidR="00D7389A" w:rsidRPr="004371B0">
        <w:rPr>
          <w:rFonts w:ascii="Cambria" w:hAnsi="Cambria"/>
          <w:b/>
          <w:bCs/>
          <w:color w:val="auto"/>
          <w:sz w:val="24"/>
          <w:szCs w:val="24"/>
          <w:lang w:val="id-ID"/>
        </w:rPr>
        <w:t>Eksistensi</w:t>
      </w:r>
      <w:r w:rsidR="00D7389A">
        <w:rPr>
          <w:rFonts w:ascii="Cambria" w:hAnsi="Cambria" w:cs="Times New Roman"/>
          <w:b/>
          <w:bCs/>
          <w:color w:val="auto"/>
          <w:sz w:val="24"/>
          <w:szCs w:val="24"/>
          <w:lang w:val="id-ID"/>
        </w:rPr>
        <w:t xml:space="preserve"> </w:t>
      </w:r>
      <w:r w:rsidR="00D7389A" w:rsidRPr="00D7389A">
        <w:rPr>
          <w:rFonts w:ascii="Cambria" w:hAnsi="Cambria" w:cs="Times New Roman"/>
          <w:b/>
          <w:bCs/>
          <w:color w:val="auto"/>
          <w:sz w:val="24"/>
          <w:szCs w:val="24"/>
          <w:lang w:val="id-ID"/>
        </w:rPr>
        <w:t xml:space="preserve">Peradilan Adat </w:t>
      </w:r>
      <w:r w:rsidR="00D7389A">
        <w:rPr>
          <w:rFonts w:ascii="Cambria" w:hAnsi="Cambria" w:cs="Times New Roman"/>
          <w:b/>
          <w:bCs/>
          <w:color w:val="auto"/>
          <w:sz w:val="24"/>
          <w:szCs w:val="24"/>
          <w:lang w:val="id-ID"/>
        </w:rPr>
        <w:t>d</w:t>
      </w:r>
      <w:r w:rsidR="00D7389A" w:rsidRPr="00D7389A">
        <w:rPr>
          <w:rFonts w:ascii="Cambria" w:hAnsi="Cambria" w:cs="Times New Roman"/>
          <w:b/>
          <w:bCs/>
          <w:color w:val="auto"/>
          <w:sz w:val="24"/>
          <w:szCs w:val="24"/>
          <w:lang w:val="id-ID"/>
        </w:rPr>
        <w:t>i Kabupaten Fakfak</w:t>
      </w:r>
    </w:p>
    <w:p w14:paraId="77AF6CC7" w14:textId="73032B87" w:rsidR="00C90943" w:rsidRDefault="00AB7E8D" w:rsidP="00C90943">
      <w:pPr>
        <w:spacing w:after="0"/>
        <w:ind w:firstLine="360"/>
        <w:jc w:val="both"/>
        <w:rPr>
          <w:rFonts w:ascii="Cambria" w:hAnsi="Cambria" w:cs="Times New Roman"/>
          <w:sz w:val="24"/>
          <w:szCs w:val="24"/>
          <w:lang w:val="id-ID"/>
        </w:rPr>
      </w:pPr>
      <w:r w:rsidRPr="007F4423">
        <w:rPr>
          <w:rFonts w:ascii="Cambria" w:hAnsi="Cambria" w:cs="Times New Roman"/>
          <w:sz w:val="24"/>
          <w:szCs w:val="24"/>
          <w:lang w:val="id-ID"/>
        </w:rPr>
        <w:t>Keberadaan peradilan adat di Indonesia berperan besar sebagai mekanisme untuk mengontrol perilaku masyarakat atau community justice system secara informal dan otonom dalam suatu wilayah adat, berdasarkan budaya setempat serta berfungsi sebagai penyelesai masalah dan pemulihan ketertiban masyarakat</w:t>
      </w:r>
      <w:r w:rsidR="005F1B86">
        <w:rPr>
          <w:rFonts w:ascii="Cambria" w:hAnsi="Cambria" w:cs="Times New Roman"/>
          <w:sz w:val="24"/>
          <w:szCs w:val="24"/>
          <w:lang w:val="id-ID"/>
        </w:rPr>
        <w:t xml:space="preserve"> </w:t>
      </w:r>
      <w:r w:rsidR="005F1B86" w:rsidRPr="005F1B86">
        <w:rPr>
          <w:rFonts w:ascii="Cambria" w:hAnsi="Cambria" w:cs="Times New Roman"/>
          <w:sz w:val="24"/>
          <w:szCs w:val="24"/>
          <w:lang w:val="id-ID"/>
        </w:rPr>
        <w:t>(Jayus, 2019)</w:t>
      </w:r>
      <w:r w:rsidR="005F1B86">
        <w:rPr>
          <w:rFonts w:ascii="Cambria" w:hAnsi="Cambria" w:cs="Times New Roman"/>
          <w:sz w:val="24"/>
          <w:szCs w:val="24"/>
          <w:lang w:val="id-ID"/>
        </w:rPr>
        <w:t>.</w:t>
      </w:r>
      <w:r w:rsidR="00B53DB1" w:rsidRPr="007F4423">
        <w:rPr>
          <w:rFonts w:ascii="Cambria" w:hAnsi="Cambria" w:cs="Times New Roman"/>
          <w:sz w:val="24"/>
          <w:szCs w:val="24"/>
          <w:lang w:val="id-ID"/>
        </w:rPr>
        <w:t xml:space="preserve"> </w:t>
      </w:r>
      <w:r w:rsidR="001258D2" w:rsidRPr="007F4423">
        <w:rPr>
          <w:rFonts w:ascii="Cambria" w:hAnsi="Cambria" w:cs="Times New Roman"/>
          <w:sz w:val="24"/>
          <w:szCs w:val="24"/>
          <w:lang w:val="id-ID"/>
        </w:rPr>
        <w:t>Upaya menggabungkan peradilan adat kedalam sistem peradilan negara dilakukan pemerintah sejak tahun 1951, namun sampai sekarang tidak berhasil karena hampir disemua wilayah, peradilan adat masih dipergunakan Masyarakat adat</w:t>
      </w:r>
      <w:r w:rsidR="005F1B86">
        <w:rPr>
          <w:rFonts w:ascii="Cambria" w:hAnsi="Cambria" w:cs="Times New Roman"/>
          <w:sz w:val="24"/>
          <w:szCs w:val="24"/>
          <w:lang w:val="id-ID"/>
        </w:rPr>
        <w:t xml:space="preserve"> </w:t>
      </w:r>
      <w:r w:rsidR="005F1B86" w:rsidRPr="005F1B86">
        <w:rPr>
          <w:rFonts w:ascii="Cambria" w:hAnsi="Cambria" w:cs="Times New Roman"/>
          <w:sz w:val="24"/>
          <w:szCs w:val="24"/>
          <w:lang w:val="id-ID"/>
        </w:rPr>
        <w:t>(Febriawanti &amp; Mansur, 2020)</w:t>
      </w:r>
      <w:r w:rsidR="005F1B86">
        <w:rPr>
          <w:rFonts w:ascii="Cambria" w:hAnsi="Cambria" w:cs="Times New Roman"/>
          <w:sz w:val="24"/>
          <w:szCs w:val="24"/>
          <w:lang w:val="id-ID"/>
        </w:rPr>
        <w:t xml:space="preserve">. </w:t>
      </w:r>
      <w:r w:rsidR="001258D2" w:rsidRPr="007F4423">
        <w:rPr>
          <w:rFonts w:ascii="Cambria" w:hAnsi="Cambria" w:cs="Times New Roman"/>
          <w:sz w:val="24"/>
          <w:szCs w:val="24"/>
          <w:lang w:val="id-ID"/>
        </w:rPr>
        <w:t>Setelah reformasi pada tahun 1998 secara yuridis keberadaan peradilan adat dihidupkan kembali dan diatur dalam UUD RI 1945, pasal 18 A ayat 1, 18 B ayat 2 dan pasal 24 ayat 3; Undang-undang Nomor. 6 Tahun 2014 Tentang Desa pasal 103; Undang-undang Nomor. 11 Tahun 2006 Tentang Pemerintahan Aceh serta Undang-undang Nomor. 21 Tahun 2001 Tentang Otonomi Khusus Provinsi Papua.</w:t>
      </w:r>
    </w:p>
    <w:p w14:paraId="0C0D05AB" w14:textId="38147E90" w:rsidR="00C90943" w:rsidRDefault="001258D2" w:rsidP="00C90943">
      <w:pPr>
        <w:spacing w:after="0"/>
        <w:ind w:firstLine="360"/>
        <w:jc w:val="both"/>
        <w:rPr>
          <w:rFonts w:ascii="Cambria" w:hAnsi="Cambria" w:cs="Times New Roman"/>
          <w:sz w:val="24"/>
          <w:szCs w:val="24"/>
          <w:lang w:val="id-ID"/>
        </w:rPr>
      </w:pPr>
      <w:r w:rsidRPr="00C90943">
        <w:rPr>
          <w:rFonts w:ascii="Cambria" w:hAnsi="Cambria" w:cs="Times New Roman"/>
          <w:sz w:val="24"/>
          <w:szCs w:val="24"/>
          <w:lang w:val="id-ID"/>
        </w:rPr>
        <w:t>Negara kesatuan Republik Indonesia mengakui dan menghormati adanya satuan satuan pemerintah daerah yang bersifat khusus atau bersifat istimewa serta masyarakat hukum adat beserta hak hak tradisonalnya, beberapa provinsi yang bersifat khusus dan istimewa antara lain adalah provinsi aceh, DKI Jakarta, Yogyakarta dan Papua. sedang eksistensi peradilan adat tersirat pada pasal 18 B ayat (2) dinyatakan bahwa “Negara mengakui dan menghormati kesatuan-kesatuan masyarakat hukum adat serta hak-hak tradisonalnya sepanjang masih hidup dan sesuai dengan perkembangan masyarakat dan prinsip Negara Kesatuan Republik Indonesia, yang diatur dalam undangundang”</w:t>
      </w:r>
      <w:r w:rsidR="005F1B86" w:rsidRPr="00FB5CA7">
        <w:rPr>
          <w:lang w:val="id-ID"/>
        </w:rPr>
        <w:t xml:space="preserve"> </w:t>
      </w:r>
      <w:r w:rsidR="005F1B86" w:rsidRPr="005F1B86">
        <w:rPr>
          <w:rFonts w:ascii="Cambria" w:hAnsi="Cambria" w:cs="Times New Roman"/>
          <w:sz w:val="24"/>
          <w:szCs w:val="24"/>
          <w:lang w:val="id-ID"/>
        </w:rPr>
        <w:t>(Ansori, 2018)</w:t>
      </w:r>
      <w:r w:rsidR="005F1B86">
        <w:rPr>
          <w:rFonts w:ascii="Cambria" w:hAnsi="Cambria" w:cs="Times New Roman"/>
          <w:sz w:val="24"/>
          <w:szCs w:val="24"/>
          <w:lang w:val="id-ID"/>
        </w:rPr>
        <w:t xml:space="preserve">.  </w:t>
      </w:r>
      <w:r w:rsidRPr="00C90943">
        <w:rPr>
          <w:rFonts w:ascii="Cambria" w:hAnsi="Cambria" w:cs="Times New Roman"/>
          <w:sz w:val="24"/>
          <w:szCs w:val="24"/>
          <w:lang w:val="id-ID"/>
        </w:rPr>
        <w:t>Pasal ini merupakan pengakuan negara terhadap adanya hak hak tradisional masyarakat hukum adat</w:t>
      </w:r>
      <w:r w:rsidR="00C23DCA" w:rsidRPr="00C90943">
        <w:rPr>
          <w:rFonts w:ascii="Cambria" w:hAnsi="Cambria" w:cs="Times New Roman"/>
          <w:sz w:val="24"/>
          <w:szCs w:val="24"/>
          <w:lang w:val="id-ID"/>
        </w:rPr>
        <w:t>.</w:t>
      </w:r>
      <w:r w:rsidRPr="00C90943">
        <w:rPr>
          <w:rFonts w:ascii="Cambria" w:hAnsi="Cambria" w:cs="Times New Roman"/>
          <w:sz w:val="24"/>
          <w:szCs w:val="24"/>
          <w:lang w:val="id-ID"/>
        </w:rPr>
        <w:t xml:space="preserve"> menurut Ismi </w:t>
      </w:r>
      <w:r w:rsidRPr="00C90943">
        <w:rPr>
          <w:rFonts w:ascii="Cambria" w:hAnsi="Cambria" w:cs="Times New Roman"/>
          <w:sz w:val="24"/>
          <w:szCs w:val="24"/>
          <w:lang w:val="id-ID"/>
        </w:rPr>
        <w:lastRenderedPageBreak/>
        <w:t>Chandra dalam Mohamad Yamin peradilan adat adalah salah satu hak Masyarakat hukum adat.</w:t>
      </w:r>
    </w:p>
    <w:p w14:paraId="3452493B" w14:textId="77777777" w:rsidR="003D6C63" w:rsidRDefault="00C90943" w:rsidP="003D6C63">
      <w:pPr>
        <w:spacing w:after="0"/>
        <w:ind w:firstLine="360"/>
        <w:jc w:val="both"/>
        <w:rPr>
          <w:rFonts w:ascii="Cambria" w:hAnsi="Cambria" w:cs="Times New Roman"/>
          <w:sz w:val="24"/>
          <w:szCs w:val="24"/>
          <w:lang w:val="id-ID"/>
        </w:rPr>
      </w:pPr>
      <w:r w:rsidRPr="00C90943">
        <w:rPr>
          <w:rFonts w:ascii="Cambria" w:hAnsi="Cambria" w:cs="Times New Roman"/>
          <w:sz w:val="24"/>
          <w:szCs w:val="24"/>
          <w:lang w:val="id-ID"/>
        </w:rPr>
        <w:t>Beberapa contoh peradilan adat yang ada di Indonesia antara lain adalah peradilan adat di Aceh, Bali, dan Soe. Peradilan adat di Aceh pada dasarnya merupakan peradilan perdamaian; penyelesaian masalahnya tidak bertujuan mencari pihak mana yang salah atau benar, melainkan mengusahakan agar pihak yang bermasalah dapat berdamai dan rukun kembali. Pendekatan ini menjamin keseimbangan serta kedamaian masyarakat karena tidak ada yang merasa menang atau kalah, meskipun sanksi adat tetap diberikan. Dalam proses pelaksanaannya, tidak terdapat perangkat maupun hakim peradilan yang pasti karena proses peradilan ini memang tidak memiliki aturan yang baku.</w:t>
      </w:r>
    </w:p>
    <w:p w14:paraId="07908D60" w14:textId="77777777" w:rsidR="003D6C63" w:rsidRDefault="00C90943" w:rsidP="003D6C63">
      <w:pPr>
        <w:spacing w:after="0"/>
        <w:ind w:firstLine="360"/>
        <w:jc w:val="both"/>
        <w:rPr>
          <w:rFonts w:ascii="Cambria" w:hAnsi="Cambria" w:cs="Times New Roman"/>
          <w:sz w:val="24"/>
          <w:szCs w:val="24"/>
          <w:lang w:val="id-ID"/>
        </w:rPr>
      </w:pPr>
      <w:r w:rsidRPr="003D6C63">
        <w:rPr>
          <w:rFonts w:ascii="Cambria" w:hAnsi="Cambria" w:cs="Times New Roman"/>
          <w:sz w:val="24"/>
          <w:szCs w:val="24"/>
          <w:lang w:val="id-ID"/>
        </w:rPr>
        <w:t>Secara struktural, peradilan adat di Aceh dibagi menjadi dua tingkatan, yaitu tingkat desa (gampong) dan tingkat kecamatan (mukim). Peradilan gampong menyelesaikan sengketa di tingkat desa dengan susunan perangkat: keuchik (kepala desa) sebagai ketua, sekretaris gampong sebagai panitera, serta imum meunasah, tuha peut, ulama, dan tokoh adat setempat sebagai anggota. Sementara itu, peradilan tingkat mukim berfungsi sebagai peradilan banding dari tingkat gampong. Perangkat peradilan mukim diketuai oleh imum mukim, dibantu oleh sekretaris mukim sebagai panitera, serta anggota yang terdiri dari tuha peut mukim, ulama, dan tokoh adat sesuai dengan kebutuhan.</w:t>
      </w:r>
    </w:p>
    <w:p w14:paraId="7296C4B9" w14:textId="77777777" w:rsidR="003D6C63" w:rsidRDefault="00C90943" w:rsidP="003D6C63">
      <w:pPr>
        <w:spacing w:after="0"/>
        <w:ind w:firstLine="360"/>
        <w:jc w:val="both"/>
        <w:rPr>
          <w:rFonts w:ascii="Cambria" w:hAnsi="Cambria" w:cs="Times New Roman"/>
          <w:sz w:val="24"/>
          <w:szCs w:val="24"/>
          <w:lang w:val="id-ID"/>
        </w:rPr>
      </w:pPr>
      <w:r w:rsidRPr="003D6C63">
        <w:rPr>
          <w:rFonts w:ascii="Cambria" w:hAnsi="Cambria" w:cs="Times New Roman"/>
          <w:sz w:val="24"/>
          <w:szCs w:val="24"/>
          <w:lang w:val="id-ID"/>
        </w:rPr>
        <w:t>Contoh selanjutnya adalah peradilan adat Bali di desa pakraman yang juga mengedepankan pendekatan perdamaian melalui perundingan atau mediasi guna mempertahankan harmoni sosial. Secara normatif, peradilan ini dipimpin oleh prajuru dan dibantu oleh pemuka adat serta unsur pemerintah desa dinas, di mana penyelesaian perkaranya dimulai dari tingkat banjar bersama kepala dusun. Dalam melaksanakan tugasnya, prajuru selalu berpedoman pada awig-awig (aturan hukum adat), pararem, atau adat kebiasaan masyarakat setempat (sima-dresta). Perkara yang ditangani sangat beragam, meliputi perkara adat murni, perkara campuran (sengketa adat sekaligus keperdataan/pelanggaran hukum negara), hingga perkara non-adat yang tidak memiliki kaitan dengan masalah adat.</w:t>
      </w:r>
    </w:p>
    <w:p w14:paraId="4C805939" w14:textId="77777777" w:rsidR="003D6C63" w:rsidRDefault="00A92B50" w:rsidP="003D6C63">
      <w:pPr>
        <w:spacing w:after="0"/>
        <w:ind w:firstLine="360"/>
        <w:jc w:val="both"/>
        <w:rPr>
          <w:rFonts w:ascii="Cambria" w:hAnsi="Cambria" w:cs="Times New Roman"/>
          <w:sz w:val="24"/>
          <w:szCs w:val="24"/>
          <w:lang w:val="id-ID"/>
        </w:rPr>
      </w:pPr>
      <w:r w:rsidRPr="003D6C63">
        <w:rPr>
          <w:rFonts w:ascii="Cambria" w:hAnsi="Cambria" w:cs="Times New Roman"/>
          <w:sz w:val="24"/>
          <w:szCs w:val="24"/>
          <w:lang w:val="id-ID"/>
        </w:rPr>
        <w:t xml:space="preserve">Kekhususan bagi provinsi papua diperkuat dengan diberlakukannya Undang-undang Nomor 21 Tahun 2001 Tentang Otonomi Khusus bagi Provinsi Papua, yang merupakan suatu kebijakan strategis dalam peningkatan Upaya pembangunan dan pemberdayaan seluruh masyarakat yang hidup di provinsi papua, terutama bagi orang asli papua. Dengan kebijakan tersebut pemerintah berharap bisa mengurangi kesenjangan antara provinsi- provinsi di Tanah Papua, dengan provinsi lainnya di Indonesia. Kebijakan ini </w:t>
      </w:r>
      <w:r w:rsidRPr="003D6C63">
        <w:rPr>
          <w:rFonts w:ascii="Cambria" w:hAnsi="Cambria" w:cs="Times New Roman"/>
          <w:sz w:val="24"/>
          <w:szCs w:val="24"/>
          <w:lang w:val="id-ID"/>
        </w:rPr>
        <w:lastRenderedPageBreak/>
        <w:t>diharapkan memberikan peluang besar bagi putra Daerah Papua untuk berperan sebagai subjek sekaligus objek dalam pembangunan di tanah Papua.</w:t>
      </w:r>
      <w:r w:rsidR="003D6C63">
        <w:rPr>
          <w:rFonts w:ascii="Cambria" w:hAnsi="Cambria" w:cs="Times New Roman"/>
          <w:sz w:val="24"/>
          <w:szCs w:val="24"/>
          <w:lang w:val="id-ID"/>
        </w:rPr>
        <w:t xml:space="preserve"> </w:t>
      </w:r>
    </w:p>
    <w:p w14:paraId="2E61EE00" w14:textId="5FA80979" w:rsidR="00A92B50" w:rsidRPr="003D6C63" w:rsidRDefault="00A92B50" w:rsidP="003D6C63">
      <w:pPr>
        <w:spacing w:after="0"/>
        <w:ind w:firstLine="360"/>
        <w:jc w:val="both"/>
        <w:rPr>
          <w:rFonts w:ascii="Cambria" w:hAnsi="Cambria" w:cs="Times New Roman"/>
          <w:sz w:val="24"/>
          <w:szCs w:val="24"/>
          <w:lang w:val="id-ID"/>
        </w:rPr>
      </w:pPr>
      <w:r w:rsidRPr="003D6C63">
        <w:rPr>
          <w:rFonts w:ascii="Cambria" w:hAnsi="Cambria" w:cs="Times New Roman"/>
          <w:sz w:val="24"/>
          <w:szCs w:val="24"/>
          <w:lang w:val="id-ID"/>
        </w:rPr>
        <w:t>Dengan otonomi khusus pemerintah daerah Provinsi Papua mempunyai kewenangan yang lebih luas untuk mengatur dan mengurus kepentingan masyarakat setempat sesuai aspirasi dan hak-hak dasar masyarakat Papua, kewenangan tersebut meliputi seluruh bidang pemerintahan (kecuali politik luar negeri, keamanan, moneter dan fiskal, agama, keuangan, perekonomian, Hak asasi manusia, kepolisian, peradilan). perlindungan masyarakat hukum adat, kesehatan, pendidikan dan kebudayaan, kependudukan dan ketenagakerjaan, lingkungan hidup, kerja sama dan penyelesaian perselisihan. Satu hal baru dan istimewa dalam undang-undang Otsus adalah adanya pengakuan terhadap Peradilan Adat bagi masyarakat hukum adat di Provinsi Papua. Pengakuan tersebut diatur pada Pasal 50 dan 51 Undang - undang Nomor. 21 Tahun 2001 Tentang Otonomi Khusus Bagi Provinsi Papua menyatakan:</w:t>
      </w:r>
    </w:p>
    <w:p w14:paraId="1F714ABF" w14:textId="03C34863" w:rsidR="00A92B50" w:rsidRPr="004371B0" w:rsidRDefault="00A92B50" w:rsidP="00AB605D">
      <w:pPr>
        <w:pStyle w:val="ListParagraph"/>
        <w:spacing w:after="0"/>
        <w:ind w:left="709" w:hanging="425"/>
        <w:jc w:val="both"/>
        <w:rPr>
          <w:rFonts w:ascii="Cambria" w:hAnsi="Cambria" w:cs="Times New Roman"/>
          <w:sz w:val="24"/>
          <w:szCs w:val="24"/>
          <w:lang w:val="id-ID"/>
        </w:rPr>
      </w:pPr>
      <w:r w:rsidRPr="004371B0">
        <w:rPr>
          <w:rFonts w:ascii="Cambria" w:hAnsi="Cambria" w:cs="Times New Roman"/>
          <w:sz w:val="24"/>
          <w:szCs w:val="24"/>
          <w:lang w:val="id-ID"/>
        </w:rPr>
        <w:t xml:space="preserve">(1) </w:t>
      </w:r>
      <w:r w:rsidRPr="004371B0">
        <w:rPr>
          <w:rFonts w:ascii="Cambria" w:hAnsi="Cambria" w:cs="Times New Roman"/>
          <w:sz w:val="24"/>
          <w:szCs w:val="24"/>
          <w:lang w:val="id-ID"/>
        </w:rPr>
        <w:tab/>
        <w:t>Kekuasaan kehakiman di Provinsi Papua dilaksanakan oleh Badan Peradilan sesuai dengan peraturan perundang-undangan.</w:t>
      </w:r>
    </w:p>
    <w:p w14:paraId="2ACAA674" w14:textId="77777777" w:rsidR="003D6C63" w:rsidRDefault="00A92B50" w:rsidP="003D6C63">
      <w:pPr>
        <w:pStyle w:val="ListParagraph"/>
        <w:spacing w:after="0"/>
        <w:ind w:left="709" w:hanging="425"/>
        <w:jc w:val="both"/>
        <w:rPr>
          <w:rFonts w:ascii="Cambria" w:hAnsi="Cambria" w:cs="Times New Roman"/>
          <w:sz w:val="24"/>
          <w:szCs w:val="24"/>
          <w:lang w:val="id-ID"/>
        </w:rPr>
      </w:pPr>
      <w:r w:rsidRPr="004371B0">
        <w:rPr>
          <w:rFonts w:ascii="Cambria" w:hAnsi="Cambria" w:cs="Times New Roman"/>
          <w:sz w:val="24"/>
          <w:szCs w:val="24"/>
          <w:lang w:val="id-ID"/>
        </w:rPr>
        <w:t>(2) Di samping kekuasaan kehakiman sebagaimana dimaksud pada ayat (1), diakui adanya peradilan adat di dalam masyarakat hukum adat tertentu.</w:t>
      </w:r>
    </w:p>
    <w:p w14:paraId="557867D0" w14:textId="77777777" w:rsidR="003D6C63" w:rsidRDefault="00A92B50" w:rsidP="003D6C63">
      <w:pPr>
        <w:spacing w:after="0"/>
        <w:jc w:val="both"/>
        <w:rPr>
          <w:rFonts w:ascii="Cambria" w:hAnsi="Cambria" w:cs="Times New Roman"/>
          <w:sz w:val="24"/>
          <w:szCs w:val="24"/>
          <w:lang w:val="id-ID"/>
        </w:rPr>
      </w:pPr>
      <w:r w:rsidRPr="003D6C63">
        <w:rPr>
          <w:rFonts w:ascii="Cambria" w:hAnsi="Cambria" w:cs="Times New Roman"/>
          <w:sz w:val="24"/>
          <w:szCs w:val="24"/>
          <w:lang w:val="id-ID"/>
        </w:rPr>
        <w:t>Pengakuan hak-hak masyarakat dan hukum adat tersebut terdapat pada Pasal 43 ayat 1 sampai 3 Undang-undang Nomor 21 Tahun 2001 Tentang Otonomi Khusus Papua, antara lain adalah pemerintah provinsi papua wajib mengakui, melindungi, dan mengembangkan hak masyarakat adat dan hukum adat. kemudian dalam penjelasan ayat (5) dinyatakan bahwa Penyelesaian sengketa antara para warga masyarakat adat diselesaikan melalui mediasi atau peradilan adat sebagaimana dimaksud dalam undang-undang otsus. Pasal tersebut sekaligus menunjukkan tugas Pemerintah Provinsi dan Kabupaten/Kota harus mendukung penguatan peradilan adat di wilayahnya.</w:t>
      </w:r>
    </w:p>
    <w:p w14:paraId="6E98CC22" w14:textId="77777777" w:rsidR="003D6C63" w:rsidRDefault="006B1FB8" w:rsidP="003D6C63">
      <w:pPr>
        <w:spacing w:after="0"/>
        <w:ind w:firstLine="426"/>
        <w:jc w:val="both"/>
        <w:rPr>
          <w:rFonts w:ascii="Cambria" w:hAnsi="Cambria" w:cs="Times New Roman"/>
          <w:sz w:val="24"/>
          <w:szCs w:val="24"/>
          <w:lang w:val="id-ID"/>
        </w:rPr>
      </w:pPr>
      <w:r w:rsidRPr="003D6C63">
        <w:rPr>
          <w:rFonts w:ascii="Cambria" w:hAnsi="Cambria" w:cs="Times New Roman"/>
          <w:sz w:val="24"/>
          <w:szCs w:val="24"/>
          <w:lang w:val="id-ID"/>
        </w:rPr>
        <w:t>Adapun Penanganan Perkara Pada Peradilan Adat selama ini cukup banyak</w:t>
      </w:r>
      <w:r w:rsidRPr="003D6C63">
        <w:rPr>
          <w:rStyle w:val="Strong"/>
          <w:rFonts w:ascii="Cambria" w:hAnsi="Cambria" w:cs="Times New Roman"/>
          <w:sz w:val="24"/>
          <w:szCs w:val="24"/>
          <w:lang w:val="id-ID"/>
        </w:rPr>
        <w:t xml:space="preserve"> </w:t>
      </w:r>
      <w:r w:rsidRPr="003D6C63">
        <w:rPr>
          <w:rStyle w:val="Strong"/>
          <w:rFonts w:ascii="Cambria" w:hAnsi="Cambria" w:cs="Times New Roman"/>
          <w:b w:val="0"/>
          <w:sz w:val="24"/>
          <w:szCs w:val="24"/>
          <w:lang w:val="id-ID"/>
        </w:rPr>
        <w:t xml:space="preserve">terkait perkara perdata dan pidana yang secara eksplisit diputus atau diselesaikan oleh </w:t>
      </w:r>
      <w:r w:rsidRPr="003D6C63">
        <w:rPr>
          <w:rStyle w:val="Emphasis"/>
          <w:rFonts w:ascii="Cambria" w:hAnsi="Cambria" w:cs="Times New Roman"/>
          <w:i w:val="0"/>
          <w:iCs w:val="0"/>
          <w:sz w:val="24"/>
          <w:szCs w:val="24"/>
          <w:lang w:val="id-ID"/>
        </w:rPr>
        <w:t>Peradilan Adat</w:t>
      </w:r>
      <w:r w:rsidR="00C90943" w:rsidRPr="003D6C63">
        <w:rPr>
          <w:rStyle w:val="Strong"/>
          <w:rFonts w:ascii="Cambria" w:hAnsi="Cambria" w:cs="Times New Roman"/>
          <w:sz w:val="24"/>
          <w:szCs w:val="24"/>
          <w:lang w:val="id-ID"/>
        </w:rPr>
        <w:t xml:space="preserve"> </w:t>
      </w:r>
      <w:r w:rsidRPr="003D6C63">
        <w:rPr>
          <w:rStyle w:val="Strong"/>
          <w:rFonts w:ascii="Cambria" w:hAnsi="Cambria" w:cs="Times New Roman"/>
          <w:b w:val="0"/>
          <w:sz w:val="24"/>
          <w:szCs w:val="24"/>
          <w:lang w:val="id-ID"/>
        </w:rPr>
        <w:t>Dewan Adat Mbaham Matta, Petuanan dan Lembaga Masyarakat Adat (LMA)</w:t>
      </w:r>
      <w:r w:rsidRPr="003D6C63">
        <w:rPr>
          <w:rFonts w:ascii="Cambria" w:hAnsi="Cambria" w:cs="Times New Roman"/>
          <w:sz w:val="24"/>
          <w:szCs w:val="24"/>
          <w:lang w:val="id-ID"/>
        </w:rPr>
        <w:t xml:space="preserve"> sepanjang tahun </w:t>
      </w:r>
      <w:r w:rsidRPr="003D6C63">
        <w:rPr>
          <w:rStyle w:val="Strong"/>
          <w:rFonts w:ascii="Cambria" w:hAnsi="Cambria" w:cs="Times New Roman"/>
          <w:b w:val="0"/>
          <w:sz w:val="24"/>
          <w:szCs w:val="24"/>
          <w:lang w:val="id-ID"/>
        </w:rPr>
        <w:t>2024</w:t>
      </w:r>
      <w:r w:rsidRPr="003D6C63">
        <w:rPr>
          <w:rFonts w:ascii="Cambria" w:hAnsi="Cambria" w:cs="Times New Roman"/>
          <w:sz w:val="24"/>
          <w:szCs w:val="24"/>
          <w:lang w:val="id-ID"/>
        </w:rPr>
        <w:t>. Namun belum terdokumentasi atau teradministrasi secara baik. Tidak ada pemberitaan resmi yang memuat nama kasus, uraian fakta sengketa, atau hasil putusan adat yang dipublikasikan secara luas di media daring sampai saat ini.</w:t>
      </w:r>
    </w:p>
    <w:p w14:paraId="7DFD485A" w14:textId="77777777" w:rsidR="003D6C63" w:rsidRDefault="006B1FB8" w:rsidP="003D6C63">
      <w:pPr>
        <w:spacing w:after="0"/>
        <w:ind w:firstLine="426"/>
        <w:jc w:val="both"/>
        <w:rPr>
          <w:rFonts w:ascii="Cambria" w:hAnsi="Cambria" w:cs="Times New Roman"/>
          <w:sz w:val="24"/>
          <w:szCs w:val="24"/>
          <w:lang w:val="id-ID"/>
        </w:rPr>
      </w:pPr>
      <w:r w:rsidRPr="003D6C63">
        <w:rPr>
          <w:rFonts w:ascii="Cambria" w:hAnsi="Cambria" w:cs="Times New Roman"/>
          <w:sz w:val="24"/>
          <w:szCs w:val="24"/>
          <w:lang w:val="id-ID"/>
        </w:rPr>
        <w:t xml:space="preserve">Hal ini </w:t>
      </w:r>
      <w:r w:rsidRPr="003D6C63">
        <w:rPr>
          <w:rStyle w:val="Strong"/>
          <w:rFonts w:ascii="Cambria" w:hAnsi="Cambria" w:cs="Times New Roman"/>
          <w:b w:val="0"/>
          <w:sz w:val="24"/>
          <w:szCs w:val="24"/>
          <w:lang w:val="id-ID"/>
        </w:rPr>
        <w:t xml:space="preserve">bukan berarti </w:t>
      </w:r>
      <w:r w:rsidR="00DB371A" w:rsidRPr="003D6C63">
        <w:rPr>
          <w:rStyle w:val="Strong"/>
          <w:rFonts w:ascii="Cambria" w:hAnsi="Cambria" w:cs="Times New Roman"/>
          <w:b w:val="0"/>
          <w:sz w:val="24"/>
          <w:szCs w:val="24"/>
          <w:lang w:val="id-ID"/>
        </w:rPr>
        <w:t>Peradilan A</w:t>
      </w:r>
      <w:r w:rsidRPr="003D6C63">
        <w:rPr>
          <w:rStyle w:val="Strong"/>
          <w:rFonts w:ascii="Cambria" w:hAnsi="Cambria" w:cs="Times New Roman"/>
          <w:b w:val="0"/>
          <w:sz w:val="24"/>
          <w:szCs w:val="24"/>
          <w:lang w:val="id-ID"/>
        </w:rPr>
        <w:t>dat tidak berjalan sama sekali</w:t>
      </w:r>
      <w:r w:rsidRPr="003D6C63">
        <w:rPr>
          <w:rFonts w:ascii="Cambria" w:hAnsi="Cambria" w:cs="Times New Roman"/>
          <w:b/>
          <w:sz w:val="24"/>
          <w:szCs w:val="24"/>
          <w:lang w:val="id-ID"/>
        </w:rPr>
        <w:t xml:space="preserve"> </w:t>
      </w:r>
      <w:r w:rsidR="00DB371A" w:rsidRPr="003D6C63">
        <w:rPr>
          <w:rFonts w:ascii="Cambria" w:hAnsi="Cambria" w:cs="Times New Roman"/>
          <w:sz w:val="24"/>
          <w:szCs w:val="24"/>
          <w:lang w:val="id-ID"/>
        </w:rPr>
        <w:t xml:space="preserve">pada lingkup </w:t>
      </w:r>
      <w:r w:rsidRPr="003D6C63">
        <w:rPr>
          <w:rFonts w:ascii="Cambria" w:hAnsi="Cambria" w:cs="Times New Roman"/>
          <w:sz w:val="24"/>
          <w:szCs w:val="24"/>
          <w:lang w:val="id-ID"/>
        </w:rPr>
        <w:t xml:space="preserve">struktur </w:t>
      </w:r>
      <w:r w:rsidR="00DB371A" w:rsidRPr="003D6C63">
        <w:rPr>
          <w:rFonts w:ascii="Cambria" w:hAnsi="Cambria" w:cs="Times New Roman"/>
          <w:sz w:val="24"/>
          <w:szCs w:val="24"/>
          <w:lang w:val="id-ID"/>
        </w:rPr>
        <w:t xml:space="preserve">Lembaga Adat yang ada yakni </w:t>
      </w:r>
      <w:r w:rsidRPr="003D6C63">
        <w:rPr>
          <w:rStyle w:val="Emphasis"/>
          <w:rFonts w:ascii="Cambria" w:hAnsi="Cambria" w:cs="Times New Roman"/>
          <w:i w:val="0"/>
          <w:iCs w:val="0"/>
          <w:sz w:val="24"/>
          <w:szCs w:val="24"/>
          <w:lang w:val="id-ID"/>
        </w:rPr>
        <w:t>Dewan Adat Mbaham Matta</w:t>
      </w:r>
      <w:r w:rsidR="00DB371A" w:rsidRPr="003D6C63">
        <w:rPr>
          <w:rStyle w:val="Emphasis"/>
          <w:rFonts w:ascii="Cambria" w:hAnsi="Cambria" w:cs="Times New Roman"/>
          <w:i w:val="0"/>
          <w:iCs w:val="0"/>
          <w:sz w:val="24"/>
          <w:szCs w:val="24"/>
          <w:lang w:val="id-ID"/>
        </w:rPr>
        <w:t>, Petuanan dan Lembaga Masyarakat Adat (LMA)</w:t>
      </w:r>
      <w:r w:rsidR="00DB371A" w:rsidRPr="003D6C63">
        <w:rPr>
          <w:rFonts w:ascii="Cambria" w:hAnsi="Cambria" w:cs="Times New Roman"/>
          <w:sz w:val="24"/>
          <w:szCs w:val="24"/>
          <w:lang w:val="id-ID"/>
        </w:rPr>
        <w:t>,</w:t>
      </w:r>
      <w:r w:rsidRPr="003D6C63">
        <w:rPr>
          <w:rFonts w:ascii="Cambria" w:hAnsi="Cambria" w:cs="Times New Roman"/>
          <w:sz w:val="24"/>
          <w:szCs w:val="24"/>
          <w:lang w:val="id-ID"/>
        </w:rPr>
        <w:t xml:space="preserve"> justru di dalam </w:t>
      </w:r>
      <w:r w:rsidRPr="003D6C63">
        <w:rPr>
          <w:rStyle w:val="Strong"/>
          <w:rFonts w:ascii="Cambria" w:hAnsi="Cambria" w:cs="Times New Roman"/>
          <w:b w:val="0"/>
          <w:sz w:val="24"/>
          <w:szCs w:val="24"/>
          <w:lang w:val="id-ID"/>
        </w:rPr>
        <w:t>Peraturan Daerah Kabupaten Fakfak Nomor 3 Tahun 2023</w:t>
      </w:r>
      <w:r w:rsidRPr="003D6C63">
        <w:rPr>
          <w:rFonts w:ascii="Cambria" w:hAnsi="Cambria" w:cs="Times New Roman"/>
          <w:sz w:val="24"/>
          <w:szCs w:val="24"/>
          <w:lang w:val="id-ID"/>
        </w:rPr>
        <w:t xml:space="preserve"> tentang Pengakuan, Perlindungan, dan Pemberdayaan Masyarakat Hukum Adat Mbaham Matta, </w:t>
      </w:r>
      <w:r w:rsidRPr="003D6C63">
        <w:rPr>
          <w:rStyle w:val="Strong"/>
          <w:rFonts w:ascii="Cambria" w:hAnsi="Cambria" w:cs="Times New Roman"/>
          <w:b w:val="0"/>
          <w:sz w:val="24"/>
          <w:szCs w:val="24"/>
          <w:lang w:val="id-ID"/>
        </w:rPr>
        <w:lastRenderedPageBreak/>
        <w:t>fungsi penyelesaian sengketa termasuk medi</w:t>
      </w:r>
      <w:r w:rsidRPr="003D6C63">
        <w:rPr>
          <w:rStyle w:val="Strong"/>
          <w:rFonts w:ascii="Cambria" w:hAnsi="Cambria" w:cs="Times New Roman"/>
          <w:b w:val="0"/>
          <w:sz w:val="24"/>
          <w:szCs w:val="24"/>
          <w:lang w:val="id-ID"/>
        </w:rPr>
        <w:softHyphen/>
        <w:t>asi perdata maupun perkara adat secara tradisional diakui dan didorong</w:t>
      </w:r>
      <w:r w:rsidRPr="003D6C63">
        <w:rPr>
          <w:rFonts w:ascii="Cambria" w:hAnsi="Cambria" w:cs="Times New Roman"/>
          <w:b/>
          <w:sz w:val="24"/>
          <w:szCs w:val="24"/>
          <w:lang w:val="id-ID"/>
        </w:rPr>
        <w:t>.</w:t>
      </w:r>
      <w:r w:rsidRPr="003D6C63">
        <w:rPr>
          <w:rFonts w:ascii="Cambria" w:hAnsi="Cambria" w:cs="Times New Roman"/>
          <w:sz w:val="24"/>
          <w:szCs w:val="24"/>
          <w:lang w:val="id-ID"/>
        </w:rPr>
        <w:t xml:space="preserve"> Perda tersebut secara tegas menyebutkan bahwa forum musyawarah adat (yang melibatkan Dewan Adat, lembaga adat, dan petuanan) </w:t>
      </w:r>
      <w:r w:rsidRPr="003D6C63">
        <w:rPr>
          <w:rStyle w:val="Strong"/>
          <w:rFonts w:ascii="Cambria" w:hAnsi="Cambria" w:cs="Times New Roman"/>
          <w:b w:val="0"/>
          <w:sz w:val="24"/>
          <w:szCs w:val="24"/>
          <w:lang w:val="id-ID"/>
        </w:rPr>
        <w:t>berwenang memfasilitasi penyelesaian konflik antar warga adat maupun antara warga adat dengan pihak luar</w:t>
      </w:r>
      <w:r w:rsidRPr="003D6C63">
        <w:rPr>
          <w:rFonts w:ascii="Cambria" w:hAnsi="Cambria" w:cs="Times New Roman"/>
          <w:sz w:val="24"/>
          <w:szCs w:val="24"/>
          <w:lang w:val="id-ID"/>
        </w:rPr>
        <w:t xml:space="preserve"> apabila tidak dapat ditangani secara internal. Forum ini menjadi </w:t>
      </w:r>
      <w:r w:rsidRPr="003D6C63">
        <w:rPr>
          <w:rStyle w:val="Strong"/>
          <w:rFonts w:ascii="Cambria" w:hAnsi="Cambria" w:cs="Times New Roman"/>
          <w:b w:val="0"/>
          <w:sz w:val="24"/>
          <w:szCs w:val="24"/>
          <w:lang w:val="id-ID"/>
        </w:rPr>
        <w:t>mekanisme mediasi dan musyawarah adat</w:t>
      </w:r>
      <w:r w:rsidRPr="003D6C63">
        <w:rPr>
          <w:rFonts w:ascii="Cambria" w:hAnsi="Cambria" w:cs="Times New Roman"/>
          <w:sz w:val="24"/>
          <w:szCs w:val="24"/>
          <w:lang w:val="id-ID"/>
        </w:rPr>
        <w:t xml:space="preserve"> untuk menyelesaikan sengketa tanpa masuk ke ranah peradilan negara formal</w:t>
      </w:r>
      <w:r w:rsidR="00DB371A" w:rsidRPr="003D6C63">
        <w:rPr>
          <w:rFonts w:ascii="Cambria" w:hAnsi="Cambria" w:cs="Times New Roman"/>
          <w:sz w:val="24"/>
          <w:szCs w:val="24"/>
          <w:lang w:val="id-ID"/>
        </w:rPr>
        <w:t>.</w:t>
      </w:r>
    </w:p>
    <w:p w14:paraId="61711648" w14:textId="7449D870" w:rsidR="0039725D" w:rsidRPr="003D6C63" w:rsidRDefault="0039725D" w:rsidP="003D6C63">
      <w:pPr>
        <w:spacing w:after="0"/>
        <w:ind w:firstLine="426"/>
        <w:jc w:val="both"/>
        <w:rPr>
          <w:rFonts w:ascii="Cambria" w:hAnsi="Cambria" w:cs="Times New Roman"/>
          <w:sz w:val="24"/>
          <w:szCs w:val="24"/>
          <w:lang w:val="id-ID"/>
        </w:rPr>
      </w:pPr>
      <w:r w:rsidRPr="003D6C63">
        <w:rPr>
          <w:rFonts w:ascii="Cambria" w:hAnsi="Cambria" w:cs="Times New Roman"/>
          <w:sz w:val="24"/>
          <w:szCs w:val="24"/>
          <w:lang w:val="id-ID"/>
        </w:rPr>
        <w:t>Adapun secara umum perkara yang ditangani oleh Peradilan Adat antara lain menyakut:</w:t>
      </w:r>
      <w:r w:rsidR="003D6C63">
        <w:rPr>
          <w:rFonts w:ascii="Cambria" w:hAnsi="Cambria" w:cs="Times New Roman"/>
          <w:sz w:val="24"/>
          <w:szCs w:val="24"/>
          <w:lang w:val="id-ID"/>
        </w:rPr>
        <w:t xml:space="preserve"> </w:t>
      </w:r>
      <w:r w:rsidRPr="003D6C63">
        <w:rPr>
          <w:rFonts w:ascii="Cambria" w:hAnsi="Cambria" w:cs="Times New Roman"/>
          <w:sz w:val="24"/>
          <w:szCs w:val="24"/>
          <w:lang w:val="id-ID"/>
        </w:rPr>
        <w:t>Konflik Hak atas Tanah Ulayat maupun Perorangan, Perkelahian, Miras, Kekerasan Dalam Rumah Tangga (KDRT), Pencabulan, Persetubuhan, Penetapan Marga, Pengangkatan dan Pengakuan Anak, Penetapan ahli Waris dan Pembagian Harta Warisan.</w:t>
      </w:r>
    </w:p>
    <w:p w14:paraId="439032B5" w14:textId="77777777" w:rsidR="00A92B50" w:rsidRPr="004371B0" w:rsidRDefault="00A92B50" w:rsidP="00AB605D">
      <w:pPr>
        <w:pStyle w:val="ListParagraph"/>
        <w:spacing w:after="0"/>
        <w:ind w:left="284"/>
        <w:jc w:val="both"/>
        <w:rPr>
          <w:rFonts w:ascii="Cambria" w:hAnsi="Cambria" w:cs="Times New Roman"/>
          <w:sz w:val="24"/>
          <w:szCs w:val="24"/>
          <w:lang w:val="id-ID"/>
        </w:rPr>
      </w:pPr>
    </w:p>
    <w:p w14:paraId="220C2743" w14:textId="77777777" w:rsidR="00A91C30" w:rsidRPr="004371B0" w:rsidRDefault="00A91C30" w:rsidP="00AB605D">
      <w:pPr>
        <w:pStyle w:val="ListParagraph"/>
        <w:spacing w:after="0"/>
        <w:ind w:left="284"/>
        <w:jc w:val="both"/>
        <w:rPr>
          <w:rFonts w:ascii="Cambria" w:hAnsi="Cambria" w:cs="Times New Roman"/>
          <w:sz w:val="24"/>
          <w:szCs w:val="24"/>
          <w:lang w:val="id-ID"/>
        </w:rPr>
      </w:pPr>
    </w:p>
    <w:p w14:paraId="0B9333A4" w14:textId="3FE5FD7E" w:rsidR="00AC03E9" w:rsidRPr="00F014BC" w:rsidRDefault="00F014BC" w:rsidP="00F014BC">
      <w:pPr>
        <w:spacing w:after="0"/>
        <w:ind w:left="426" w:hanging="426"/>
        <w:rPr>
          <w:rFonts w:ascii="Cambria" w:hAnsi="Cambria" w:cs="Times New Roman"/>
          <w:b/>
          <w:bCs/>
          <w:sz w:val="24"/>
          <w:szCs w:val="24"/>
          <w:lang w:val="id-ID"/>
        </w:rPr>
      </w:pPr>
      <w:r>
        <w:rPr>
          <w:rFonts w:ascii="Cambria" w:hAnsi="Cambria" w:cs="Times New Roman"/>
          <w:b/>
          <w:bCs/>
          <w:sz w:val="24"/>
          <w:szCs w:val="24"/>
          <w:lang w:val="id-ID"/>
        </w:rPr>
        <w:t xml:space="preserve">3.3 </w:t>
      </w:r>
      <w:r w:rsidR="00AC03E9" w:rsidRPr="00F014BC">
        <w:rPr>
          <w:rFonts w:ascii="Cambria" w:hAnsi="Cambria" w:cs="Times New Roman"/>
          <w:b/>
          <w:bCs/>
          <w:sz w:val="24"/>
          <w:szCs w:val="24"/>
          <w:lang w:val="id-ID"/>
        </w:rPr>
        <w:t>Analisis</w:t>
      </w:r>
      <w:r w:rsidRPr="00F014BC">
        <w:rPr>
          <w:rFonts w:ascii="Cambria" w:hAnsi="Cambria" w:cs="Times New Roman"/>
          <w:b/>
          <w:bCs/>
          <w:sz w:val="24"/>
          <w:szCs w:val="24"/>
          <w:lang w:val="id-ID"/>
        </w:rPr>
        <w:t xml:space="preserve"> Pengaruh Keberlangsungan Peradilan Adat Di Kabupaten Fakfak.</w:t>
      </w:r>
    </w:p>
    <w:p w14:paraId="28685B63" w14:textId="77777777" w:rsidR="00B53DB1" w:rsidRPr="004371B0" w:rsidRDefault="00B53DB1"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Setelah era reformasi tahun 1998, oleh pemerintah melalui kebijakan desentralisasi dengan pemberian Undang-Undang Nomor 21 Tahun 2001 tentang Otonomi Khusus Bagi Provinsi Papua (UU Otsus Papua 2001), diharapkan menjadi jalan tengah dan dapat berperan sebagai suatu kebijakan pemerintah dan pemerintah Provinsi Papua yang strategis afirmasi dalam rangka pelayanan publik yang memadai, meningkatkan pembagunan di segala bidang, serta pemberdayaan bagi seluruh masyarakat, masyarakat hukum adat dan aparatur pemerintah terintegrasi dalam pembagunan daerah mulai dari Provinsi, Kabupaten/Kota, Distrik dan Kampung di Provinsi Papua, sebagaimana perjalan pertama Otsus Papua selama 25 tahun 2001 sampai dengan akhir tahun 2021. Setelah perubahan adanya UU Nomor 2 Tahun 2021 tentang Perubahan Kedua Atas UU Nomor 21 Tahun 2001 tentang Otonomi Khusus Bagi Proviinsi Papua (Otsus Papua 2021).</w:t>
      </w:r>
    </w:p>
    <w:p w14:paraId="7F0969D1" w14:textId="20B6B5B5" w:rsidR="00E10413" w:rsidRPr="004371B0" w:rsidRDefault="00B53DB1" w:rsidP="00F014BC">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Melalui kebijakan perubahan kedua UU Otsus Papua 2021 dapat mengurangi kesenjangan antara Provinsi-provinsi di Tanah Papua dengan daerah Provinsi lain di Indonesia dalam hal penataan kelembagaan adat sebagai lembaga peradilan adat yang hidup didalamnya tujuh wiilayah adat yaitu:</w:t>
      </w:r>
      <w:r w:rsidR="00F014BC">
        <w:rPr>
          <w:rFonts w:ascii="Cambria" w:hAnsi="Cambria" w:cs="Times New Roman"/>
          <w:sz w:val="24"/>
          <w:szCs w:val="24"/>
          <w:lang w:val="id-ID"/>
        </w:rPr>
        <w:t xml:space="preserve"> </w:t>
      </w:r>
      <w:r w:rsidRPr="004371B0">
        <w:rPr>
          <w:rFonts w:ascii="Cambria" w:hAnsi="Cambria" w:cs="Times New Roman"/>
          <w:sz w:val="24"/>
          <w:szCs w:val="24"/>
          <w:lang w:val="id-ID"/>
        </w:rPr>
        <w:t>La Pago,</w:t>
      </w:r>
      <w:r w:rsidR="00F014BC">
        <w:rPr>
          <w:rFonts w:ascii="Cambria" w:hAnsi="Cambria" w:cs="Times New Roman"/>
          <w:sz w:val="24"/>
          <w:szCs w:val="24"/>
          <w:lang w:val="id-ID"/>
        </w:rPr>
        <w:t xml:space="preserve"> </w:t>
      </w:r>
      <w:r w:rsidRPr="004371B0">
        <w:rPr>
          <w:rFonts w:ascii="Cambria" w:hAnsi="Cambria" w:cs="Times New Roman"/>
          <w:sz w:val="24"/>
          <w:szCs w:val="24"/>
          <w:lang w:val="id-ID"/>
        </w:rPr>
        <w:t>Mee Pago,</w:t>
      </w:r>
      <w:r w:rsidR="00F014BC">
        <w:rPr>
          <w:rFonts w:ascii="Cambria" w:hAnsi="Cambria" w:cs="Times New Roman"/>
          <w:sz w:val="24"/>
          <w:szCs w:val="24"/>
          <w:lang w:val="id-ID"/>
        </w:rPr>
        <w:t xml:space="preserve"> </w:t>
      </w:r>
      <w:r w:rsidRPr="004371B0">
        <w:rPr>
          <w:rFonts w:ascii="Cambria" w:hAnsi="Cambria" w:cs="Times New Roman"/>
          <w:sz w:val="24"/>
          <w:szCs w:val="24"/>
          <w:lang w:val="id-ID"/>
        </w:rPr>
        <w:t>Anim Ha,</w:t>
      </w:r>
      <w:r w:rsidR="00F014BC">
        <w:rPr>
          <w:rFonts w:ascii="Cambria" w:hAnsi="Cambria" w:cs="Times New Roman"/>
          <w:sz w:val="24"/>
          <w:szCs w:val="24"/>
          <w:lang w:val="id-ID"/>
        </w:rPr>
        <w:t xml:space="preserve"> </w:t>
      </w:r>
      <w:r w:rsidRPr="004371B0">
        <w:rPr>
          <w:rFonts w:ascii="Cambria" w:hAnsi="Cambria" w:cs="Times New Roman"/>
          <w:sz w:val="24"/>
          <w:szCs w:val="24"/>
          <w:lang w:val="id-ID"/>
        </w:rPr>
        <w:t>Tabi/Mamta dan</w:t>
      </w:r>
      <w:r w:rsidR="00F014BC">
        <w:rPr>
          <w:rFonts w:ascii="Cambria" w:hAnsi="Cambria" w:cs="Times New Roman"/>
          <w:sz w:val="24"/>
          <w:szCs w:val="24"/>
          <w:lang w:val="id-ID"/>
        </w:rPr>
        <w:t xml:space="preserve"> </w:t>
      </w:r>
      <w:r w:rsidRPr="004371B0">
        <w:rPr>
          <w:rFonts w:ascii="Cambria" w:hAnsi="Cambria" w:cs="Times New Roman"/>
          <w:sz w:val="24"/>
          <w:szCs w:val="24"/>
          <w:lang w:val="id-ID"/>
        </w:rPr>
        <w:t>Saireri, Provinsi Papua,</w:t>
      </w:r>
      <w:r w:rsidR="00F014BC">
        <w:rPr>
          <w:rFonts w:ascii="Cambria" w:hAnsi="Cambria" w:cs="Times New Roman"/>
          <w:sz w:val="24"/>
          <w:szCs w:val="24"/>
          <w:lang w:val="id-ID"/>
        </w:rPr>
        <w:t xml:space="preserve"> </w:t>
      </w:r>
      <w:r w:rsidRPr="004371B0">
        <w:rPr>
          <w:rFonts w:ascii="Cambria" w:hAnsi="Cambria" w:cs="Times New Roman"/>
          <w:sz w:val="24"/>
          <w:szCs w:val="24"/>
          <w:lang w:val="id-ID"/>
        </w:rPr>
        <w:t>Domberai dan</w:t>
      </w:r>
      <w:r w:rsidR="00F014BC">
        <w:rPr>
          <w:rFonts w:ascii="Cambria" w:hAnsi="Cambria" w:cs="Times New Roman"/>
          <w:sz w:val="24"/>
          <w:szCs w:val="24"/>
          <w:lang w:val="id-ID"/>
        </w:rPr>
        <w:t xml:space="preserve"> </w:t>
      </w:r>
      <w:r w:rsidRPr="004371B0">
        <w:rPr>
          <w:rFonts w:ascii="Cambria" w:hAnsi="Cambria" w:cs="Times New Roman"/>
          <w:sz w:val="24"/>
          <w:szCs w:val="24"/>
          <w:lang w:val="id-ID"/>
        </w:rPr>
        <w:t>Bomberai Provinsi Papua Barat sebelum pemekaran.</w:t>
      </w:r>
      <w:r w:rsidR="00F014BC">
        <w:rPr>
          <w:rFonts w:ascii="Cambria" w:hAnsi="Cambria" w:cs="Times New Roman"/>
          <w:sz w:val="24"/>
          <w:szCs w:val="24"/>
          <w:lang w:val="id-ID"/>
        </w:rPr>
        <w:t xml:space="preserve"> </w:t>
      </w:r>
      <w:r w:rsidRPr="004371B0">
        <w:rPr>
          <w:rFonts w:ascii="Cambria" w:hAnsi="Cambria" w:cs="Times New Roman"/>
          <w:sz w:val="24"/>
          <w:szCs w:val="24"/>
          <w:lang w:val="id-ID"/>
        </w:rPr>
        <w:t xml:space="preserve">Dari tujuh wilayah adat hidupnya Masyarakat Hukum Adat dengan lembaga-lembaga adat sebagai lembaga peradilan dengan sistem kepemimpinan adat dengan menjalankan teori trias politika adat (eksekutif, legislatif, dan </w:t>
      </w:r>
      <w:r w:rsidRPr="004371B0">
        <w:rPr>
          <w:rFonts w:ascii="Cambria" w:hAnsi="Cambria" w:cs="Times New Roman"/>
          <w:sz w:val="24"/>
          <w:szCs w:val="24"/>
          <w:lang w:val="id-ID"/>
        </w:rPr>
        <w:lastRenderedPageBreak/>
        <w:t>yudikatif) oleh seorang pimpinan adat sesuai sistem kepemimpinan adat yang dianut.</w:t>
      </w:r>
    </w:p>
    <w:p w14:paraId="712C01EC" w14:textId="3933F97D" w:rsidR="00E10413" w:rsidRPr="004371B0" w:rsidRDefault="00B53DB1"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Menurut J.R. Mamsoben</w:t>
      </w:r>
      <w:r w:rsidR="00F014BC">
        <w:rPr>
          <w:rFonts w:ascii="Cambria" w:hAnsi="Cambria" w:cs="Times New Roman"/>
          <w:sz w:val="24"/>
          <w:szCs w:val="24"/>
          <w:lang w:val="id-ID"/>
        </w:rPr>
        <w:t xml:space="preserve"> </w:t>
      </w:r>
      <w:r w:rsidRPr="004371B0">
        <w:rPr>
          <w:rFonts w:ascii="Cambria" w:hAnsi="Cambria" w:cs="Times New Roman"/>
          <w:sz w:val="24"/>
          <w:szCs w:val="24"/>
          <w:lang w:val="id-ID"/>
        </w:rPr>
        <w:t>Masyarakat Hukum Adat Papua mengenal sistem kepemimpinan tradisional yang masih eksis di tujuh wilayah tersebut di atas, disebut:</w:t>
      </w:r>
    </w:p>
    <w:p w14:paraId="71696F40" w14:textId="1082D925" w:rsidR="00F014BC" w:rsidRDefault="00F014BC" w:rsidP="00F014BC">
      <w:pPr>
        <w:pStyle w:val="ListParagraph"/>
        <w:numPr>
          <w:ilvl w:val="0"/>
          <w:numId w:val="50"/>
        </w:numPr>
        <w:spacing w:after="0"/>
        <w:jc w:val="both"/>
        <w:rPr>
          <w:rFonts w:ascii="Cambria" w:hAnsi="Cambria" w:cs="Times New Roman"/>
          <w:sz w:val="24"/>
          <w:szCs w:val="24"/>
          <w:lang w:val="id-ID"/>
        </w:rPr>
      </w:pPr>
      <w:r w:rsidRPr="00F014BC">
        <w:rPr>
          <w:rFonts w:ascii="Cambria" w:hAnsi="Cambria" w:cs="Times New Roman"/>
          <w:sz w:val="24"/>
          <w:szCs w:val="24"/>
          <w:lang w:val="id-ID"/>
        </w:rPr>
        <w:t xml:space="preserve">Sistem Kepemimpinan </w:t>
      </w:r>
      <w:r w:rsidR="00B53DB1" w:rsidRPr="00F014BC">
        <w:rPr>
          <w:rFonts w:ascii="Cambria" w:hAnsi="Cambria" w:cs="Times New Roman"/>
          <w:sz w:val="24"/>
          <w:szCs w:val="24"/>
          <w:lang w:val="id-ID"/>
        </w:rPr>
        <w:t xml:space="preserve">Big Man </w:t>
      </w:r>
      <w:r w:rsidRPr="00F014BC">
        <w:rPr>
          <w:rFonts w:ascii="Cambria" w:hAnsi="Cambria" w:cs="Times New Roman"/>
          <w:sz w:val="24"/>
          <w:szCs w:val="24"/>
          <w:lang w:val="id-ID"/>
        </w:rPr>
        <w:t>(</w:t>
      </w:r>
      <w:r w:rsidR="00B53DB1" w:rsidRPr="00F014BC">
        <w:rPr>
          <w:rFonts w:ascii="Cambria" w:hAnsi="Cambria" w:cs="Times New Roman"/>
          <w:sz w:val="24"/>
          <w:szCs w:val="24"/>
          <w:lang w:val="id-ID"/>
        </w:rPr>
        <w:t>Pria Berwibawa</w:t>
      </w:r>
      <w:r w:rsidRPr="00F014BC">
        <w:rPr>
          <w:rFonts w:ascii="Cambria" w:hAnsi="Cambria" w:cs="Times New Roman"/>
          <w:sz w:val="24"/>
          <w:szCs w:val="24"/>
          <w:lang w:val="id-ID"/>
        </w:rPr>
        <w:t>),</w:t>
      </w:r>
    </w:p>
    <w:p w14:paraId="05330B42" w14:textId="4C80883A" w:rsidR="00F014BC" w:rsidRDefault="00F014BC" w:rsidP="00F014BC">
      <w:pPr>
        <w:pStyle w:val="ListParagraph"/>
        <w:numPr>
          <w:ilvl w:val="0"/>
          <w:numId w:val="50"/>
        </w:numPr>
        <w:spacing w:after="0"/>
        <w:jc w:val="both"/>
        <w:rPr>
          <w:rFonts w:ascii="Cambria" w:hAnsi="Cambria" w:cs="Times New Roman"/>
          <w:sz w:val="24"/>
          <w:szCs w:val="24"/>
          <w:lang w:val="id-ID"/>
        </w:rPr>
      </w:pPr>
      <w:r w:rsidRPr="00F014BC">
        <w:rPr>
          <w:rFonts w:ascii="Cambria" w:hAnsi="Cambria" w:cs="Times New Roman"/>
          <w:sz w:val="24"/>
          <w:szCs w:val="24"/>
          <w:lang w:val="id-ID"/>
        </w:rPr>
        <w:t xml:space="preserve">Sistem Kepemimpinan </w:t>
      </w:r>
      <w:r w:rsidR="00B53DB1" w:rsidRPr="00F014BC">
        <w:rPr>
          <w:rFonts w:ascii="Cambria" w:hAnsi="Cambria" w:cs="Times New Roman"/>
          <w:sz w:val="24"/>
          <w:szCs w:val="24"/>
          <w:lang w:val="id-ID"/>
        </w:rPr>
        <w:t>Klen</w:t>
      </w:r>
      <w:r w:rsidRPr="00F014BC">
        <w:rPr>
          <w:rFonts w:ascii="Cambria" w:hAnsi="Cambria" w:cs="Times New Roman"/>
          <w:sz w:val="24"/>
          <w:szCs w:val="24"/>
          <w:lang w:val="id-ID"/>
        </w:rPr>
        <w:t>/</w:t>
      </w:r>
      <w:r w:rsidR="00B53DB1" w:rsidRPr="00F014BC">
        <w:rPr>
          <w:rFonts w:ascii="Cambria" w:hAnsi="Cambria" w:cs="Times New Roman"/>
          <w:sz w:val="24"/>
          <w:szCs w:val="24"/>
          <w:lang w:val="id-ID"/>
        </w:rPr>
        <w:t xml:space="preserve">Suku </w:t>
      </w:r>
      <w:r w:rsidRPr="00F014BC">
        <w:rPr>
          <w:rFonts w:ascii="Cambria" w:hAnsi="Cambria" w:cs="Times New Roman"/>
          <w:sz w:val="24"/>
          <w:szCs w:val="24"/>
          <w:lang w:val="id-ID"/>
        </w:rPr>
        <w:t>(</w:t>
      </w:r>
      <w:r w:rsidR="00B53DB1" w:rsidRPr="00F014BC">
        <w:rPr>
          <w:rFonts w:ascii="Cambria" w:hAnsi="Cambria" w:cs="Times New Roman"/>
          <w:sz w:val="24"/>
          <w:szCs w:val="24"/>
          <w:lang w:val="id-ID"/>
        </w:rPr>
        <w:t>Keondoafian</w:t>
      </w:r>
      <w:r w:rsidRPr="00F014BC">
        <w:rPr>
          <w:rFonts w:ascii="Cambria" w:hAnsi="Cambria" w:cs="Times New Roman"/>
          <w:sz w:val="24"/>
          <w:szCs w:val="24"/>
          <w:lang w:val="id-ID"/>
        </w:rPr>
        <w:t>),</w:t>
      </w:r>
    </w:p>
    <w:p w14:paraId="731FAB8F" w14:textId="1AD9AD30" w:rsidR="00F014BC" w:rsidRDefault="00F014BC" w:rsidP="00F014BC">
      <w:pPr>
        <w:pStyle w:val="ListParagraph"/>
        <w:numPr>
          <w:ilvl w:val="0"/>
          <w:numId w:val="50"/>
        </w:numPr>
        <w:spacing w:after="0"/>
        <w:jc w:val="both"/>
        <w:rPr>
          <w:rFonts w:ascii="Cambria" w:hAnsi="Cambria" w:cs="Times New Roman"/>
          <w:sz w:val="24"/>
          <w:szCs w:val="24"/>
          <w:lang w:val="id-ID"/>
        </w:rPr>
      </w:pPr>
      <w:r w:rsidRPr="00F014BC">
        <w:rPr>
          <w:rFonts w:ascii="Cambria" w:hAnsi="Cambria" w:cs="Times New Roman"/>
          <w:sz w:val="24"/>
          <w:szCs w:val="24"/>
          <w:lang w:val="id-ID"/>
        </w:rPr>
        <w:t xml:space="preserve">System Kepemimpinan </w:t>
      </w:r>
      <w:r w:rsidR="00B53DB1" w:rsidRPr="00F014BC">
        <w:rPr>
          <w:rFonts w:ascii="Cambria" w:hAnsi="Cambria" w:cs="Times New Roman"/>
          <w:sz w:val="24"/>
          <w:szCs w:val="24"/>
          <w:lang w:val="id-ID"/>
        </w:rPr>
        <w:t xml:space="preserve">Raja </w:t>
      </w:r>
      <w:r w:rsidRPr="00F014BC">
        <w:rPr>
          <w:rFonts w:ascii="Cambria" w:hAnsi="Cambria" w:cs="Times New Roman"/>
          <w:sz w:val="24"/>
          <w:szCs w:val="24"/>
          <w:lang w:val="id-ID"/>
        </w:rPr>
        <w:t>(</w:t>
      </w:r>
      <w:r w:rsidR="00B53DB1" w:rsidRPr="00F014BC">
        <w:rPr>
          <w:rFonts w:ascii="Cambria" w:hAnsi="Cambria" w:cs="Times New Roman"/>
          <w:sz w:val="24"/>
          <w:szCs w:val="24"/>
          <w:lang w:val="id-ID"/>
        </w:rPr>
        <w:t>Fun</w:t>
      </w:r>
      <w:r w:rsidRPr="00F014BC">
        <w:rPr>
          <w:rFonts w:ascii="Cambria" w:hAnsi="Cambria" w:cs="Times New Roman"/>
          <w:sz w:val="24"/>
          <w:szCs w:val="24"/>
          <w:lang w:val="id-ID"/>
        </w:rPr>
        <w:t>/</w:t>
      </w:r>
      <w:r w:rsidR="00B53DB1" w:rsidRPr="00F014BC">
        <w:rPr>
          <w:rFonts w:ascii="Cambria" w:hAnsi="Cambria" w:cs="Times New Roman"/>
          <w:sz w:val="24"/>
          <w:szCs w:val="24"/>
          <w:lang w:val="id-ID"/>
        </w:rPr>
        <w:t>Bobot</w:t>
      </w:r>
      <w:r w:rsidRPr="00F014BC">
        <w:rPr>
          <w:rFonts w:ascii="Cambria" w:hAnsi="Cambria" w:cs="Times New Roman"/>
          <w:sz w:val="24"/>
          <w:szCs w:val="24"/>
          <w:lang w:val="id-ID"/>
        </w:rPr>
        <w:t>), Dan</w:t>
      </w:r>
    </w:p>
    <w:p w14:paraId="0254FF7E" w14:textId="4369283B" w:rsidR="00E10413" w:rsidRPr="00F014BC" w:rsidRDefault="00F014BC" w:rsidP="00F014BC">
      <w:pPr>
        <w:pStyle w:val="ListParagraph"/>
        <w:numPr>
          <w:ilvl w:val="0"/>
          <w:numId w:val="50"/>
        </w:numPr>
        <w:spacing w:after="0"/>
        <w:jc w:val="both"/>
        <w:rPr>
          <w:rFonts w:ascii="Cambria" w:hAnsi="Cambria" w:cs="Times New Roman"/>
          <w:sz w:val="24"/>
          <w:szCs w:val="24"/>
          <w:lang w:val="id-ID"/>
        </w:rPr>
      </w:pPr>
      <w:r w:rsidRPr="00F014BC">
        <w:rPr>
          <w:rFonts w:ascii="Cambria" w:hAnsi="Cambria" w:cs="Times New Roman"/>
          <w:sz w:val="24"/>
          <w:szCs w:val="24"/>
          <w:lang w:val="id-ID"/>
        </w:rPr>
        <w:t xml:space="preserve">Sistem Kepemimpinan </w:t>
      </w:r>
      <w:r w:rsidR="00B53DB1" w:rsidRPr="00F014BC">
        <w:rPr>
          <w:rFonts w:ascii="Cambria" w:hAnsi="Cambria" w:cs="Times New Roman"/>
          <w:sz w:val="24"/>
          <w:szCs w:val="24"/>
          <w:lang w:val="id-ID"/>
        </w:rPr>
        <w:t xml:space="preserve">Campuran </w:t>
      </w:r>
      <w:r w:rsidRPr="00F014BC">
        <w:rPr>
          <w:rFonts w:ascii="Cambria" w:hAnsi="Cambria" w:cs="Times New Roman"/>
          <w:sz w:val="24"/>
          <w:szCs w:val="24"/>
          <w:lang w:val="id-ID"/>
        </w:rPr>
        <w:t>(</w:t>
      </w:r>
      <w:r w:rsidR="00B53DB1" w:rsidRPr="00F014BC">
        <w:rPr>
          <w:rFonts w:ascii="Cambria" w:hAnsi="Cambria" w:cs="Times New Roman"/>
          <w:sz w:val="24"/>
          <w:szCs w:val="24"/>
          <w:lang w:val="id-ID"/>
        </w:rPr>
        <w:t>Mananwir</w:t>
      </w:r>
      <w:r w:rsidRPr="00F014BC">
        <w:rPr>
          <w:rFonts w:ascii="Cambria" w:hAnsi="Cambria" w:cs="Times New Roman"/>
          <w:sz w:val="24"/>
          <w:szCs w:val="24"/>
          <w:lang w:val="id-ID"/>
        </w:rPr>
        <w:t>/</w:t>
      </w:r>
      <w:r w:rsidR="00B53DB1" w:rsidRPr="00F014BC">
        <w:rPr>
          <w:rFonts w:ascii="Cambria" w:hAnsi="Cambria" w:cs="Times New Roman"/>
          <w:sz w:val="24"/>
          <w:szCs w:val="24"/>
          <w:lang w:val="id-ID"/>
        </w:rPr>
        <w:t>Sera</w:t>
      </w:r>
      <w:r w:rsidRPr="00F014BC">
        <w:rPr>
          <w:rFonts w:ascii="Cambria" w:hAnsi="Cambria" w:cs="Times New Roman"/>
          <w:sz w:val="24"/>
          <w:szCs w:val="24"/>
          <w:lang w:val="id-ID"/>
        </w:rPr>
        <w:t>).</w:t>
      </w:r>
    </w:p>
    <w:p w14:paraId="4686B1FE" w14:textId="50F2813E" w:rsidR="00B53DB1" w:rsidRPr="004371B0" w:rsidRDefault="00B53DB1" w:rsidP="00F014BC">
      <w:pPr>
        <w:spacing w:after="0"/>
        <w:ind w:left="284"/>
        <w:jc w:val="both"/>
        <w:rPr>
          <w:rFonts w:ascii="Cambria" w:hAnsi="Cambria" w:cs="Times New Roman"/>
          <w:sz w:val="24"/>
          <w:szCs w:val="24"/>
          <w:lang w:val="id-ID"/>
        </w:rPr>
      </w:pPr>
      <w:r w:rsidRPr="004371B0">
        <w:rPr>
          <w:rFonts w:ascii="Cambria" w:hAnsi="Cambria" w:cs="Times New Roman"/>
          <w:sz w:val="24"/>
          <w:szCs w:val="24"/>
          <w:lang w:val="id-ID"/>
        </w:rPr>
        <w:t>Empat tipe kepemimpinan tradisional, didalamnya berlaku Lembaga adat sebagai lembaga peradilan adat atau dengan penyebutan nama lain. Dalam menjalan fungsi kehakiman menyelesaikan kasus-kasus pelanggaran adat dan sengketa adat diluar peradilan negara.</w:t>
      </w:r>
    </w:p>
    <w:p w14:paraId="386743A0" w14:textId="177F1BA9" w:rsidR="00B53DB1" w:rsidRPr="004371B0" w:rsidRDefault="00B53DB1"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Hakikat pelaksanaan peradilan adat dalam masyarakat hukum adat di Papua merupakan salah satu fungsi yang dijalankan oleh Lembaga Adat yang disebut dengan empat tipe atau tipologi kepemimpinan tradisional (Big Man, Ondoafi, Raja, dan Campuran). Keberadaan peradilan adat dapat menjadi sebuah jalan untuk mewujudkan otonomi masyarakat hukum adat, setidaknya secara internal peradilan adat akan memperkuat otonomi pemerintahan Masyarakat hukum adat setempat melalui otoritasnya untuk menjaga dan menegakkan hukum adat. Perkembangan keberadaan peradilan adat idealnya dapat menjadi bentuk penyelesaian pelanggaraan adat dan atau sengketa adat dilingkungan Masyarakat Hukum Adat yang bebas intervensi sistem hukum dan peradilan negara.</w:t>
      </w:r>
    </w:p>
    <w:p w14:paraId="6C9A2F9B" w14:textId="77777777" w:rsidR="00B53DB1" w:rsidRPr="004371B0" w:rsidRDefault="00B53DB1"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Campur tangan negara boleh saja terjadi, sejauh ada permintaan dari pihak Masyarakat Hukum Adat melalui sistem kelembagaannya yang representatif. Peradilan adat sebagai kelembagaan dalam kesatuan masyarakat hukum adat dan community justice sistem yang bersifat informal dan otonom yang menjalankan fungsi kekuasaan kehakiman untuk menyelesaikan dan memutuskan perkara berupa sengketa adat dan atau pelanggaran adat dalam hukum adat yang dijalankan oleh kepala suku, klen dan atau tokoh-tokoh adat dan agama tertentu. Oleh karena itu, hubunngan pengakuan hukum peradilan adat dalam UU Otsus Papua 2021 secara resmi menjadi bagian dari sistem penyelenggaraan negara melalui perubahan kedua UUD NRI 1945.</w:t>
      </w:r>
    </w:p>
    <w:p w14:paraId="02EF4908" w14:textId="29B4E49C" w:rsidR="00B53DB1" w:rsidRPr="004371B0" w:rsidRDefault="00B53DB1" w:rsidP="00F014BC">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 xml:space="preserve">Keberadaan UU Otsus Papua 2021 merupakan salah satu bagian dari pembalikan sejarah politik hukum penyelenggaraan negara yang semula bersifat sentralistis dan seragam menuju kepada desentralisasi dan penghargaan kepada keberagaman Masyarakat Hukum Adat. Pengakuan, perlindungan dan pengaturan dari negara pada hakikatnya Adalah pedang dengan dua sisi yang sangat tajam. Pengakuan terhadap hukum adat dan </w:t>
      </w:r>
      <w:r w:rsidRPr="004371B0">
        <w:rPr>
          <w:rFonts w:ascii="Cambria" w:hAnsi="Cambria" w:cs="Times New Roman"/>
          <w:sz w:val="24"/>
          <w:szCs w:val="24"/>
          <w:lang w:val="id-ID"/>
        </w:rPr>
        <w:lastRenderedPageBreak/>
        <w:t>peradilan adat oleh kekuasaan resmi negara selalu terjadi dengan harga mahal, yaitu permintaan untuk tunduk secara menyeluruh pada otoritas negara.</w:t>
      </w:r>
      <w:r w:rsidR="00F014BC" w:rsidRPr="004371B0">
        <w:rPr>
          <w:rFonts w:ascii="Cambria" w:hAnsi="Cambria" w:cs="Times New Roman"/>
          <w:sz w:val="24"/>
          <w:szCs w:val="24"/>
          <w:lang w:val="id-ID"/>
        </w:rPr>
        <w:t xml:space="preserve"> </w:t>
      </w:r>
      <w:r w:rsidRPr="004371B0">
        <w:rPr>
          <w:rFonts w:ascii="Cambria" w:hAnsi="Cambria" w:cs="Times New Roman"/>
          <w:sz w:val="24"/>
          <w:szCs w:val="24"/>
          <w:lang w:val="id-ID"/>
        </w:rPr>
        <w:t xml:space="preserve">Penerimaan otoritas ini pasti akan menyebabkan gangguan lebih besar bagi urusan Masyarakat Hukum Adat dibandingkan dengan janji yang ditawarkan oleh konsep “kedaulatan yang bergantung” </w:t>
      </w:r>
      <w:r w:rsidRPr="00F014BC">
        <w:rPr>
          <w:rFonts w:ascii="Cambria" w:hAnsi="Cambria" w:cs="Times New Roman"/>
          <w:i/>
          <w:iCs/>
          <w:sz w:val="24"/>
          <w:szCs w:val="24"/>
          <w:lang w:val="id-ID"/>
        </w:rPr>
        <w:t>(nested sovereignty)</w:t>
      </w:r>
      <w:r w:rsidRPr="004371B0">
        <w:rPr>
          <w:rFonts w:ascii="Cambria" w:hAnsi="Cambria" w:cs="Times New Roman"/>
          <w:sz w:val="24"/>
          <w:szCs w:val="24"/>
          <w:lang w:val="id-ID"/>
        </w:rPr>
        <w:t>.</w:t>
      </w:r>
      <w:r w:rsidR="00F014BC">
        <w:rPr>
          <w:rFonts w:ascii="Cambria" w:hAnsi="Cambria" w:cs="Times New Roman"/>
          <w:sz w:val="24"/>
          <w:szCs w:val="24"/>
          <w:lang w:val="id-ID"/>
        </w:rPr>
        <w:t xml:space="preserve"> </w:t>
      </w:r>
      <w:r w:rsidRPr="004371B0">
        <w:rPr>
          <w:rFonts w:ascii="Cambria" w:hAnsi="Cambria" w:cs="Times New Roman"/>
          <w:sz w:val="24"/>
          <w:szCs w:val="24"/>
          <w:lang w:val="id-ID"/>
        </w:rPr>
        <w:t>Pengakuan, perlindungan dan pengaturan peradilan adat Papua sebagaimana uraian di atas secara konstitusional dari aspek de fakto dan de jure merupakan hak kekhususan dalam kerangka implementasi UU Otsus Papua 2001 dan perubahan kedua UU Otsus Papua 2021 tidak merubah atau menggantikan Pasal 50, Pasal 51, dan Pasal 52.</w:t>
      </w:r>
    </w:p>
    <w:p w14:paraId="30D17712" w14:textId="77777777" w:rsidR="00B53DB1" w:rsidRPr="004371B0" w:rsidRDefault="00B53DB1"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Sehingga sekaligus mengembalikan rasa kepercayaan Masyarakat Hukum Adat terhadap pemerintah dan negara, serta menumbuhkan rasa semangat nasionalisme sesama anak bangsa Indonesia dalam membangun daerah khusus di wilayah Provinsi Papua, termasuk kelembagaan adat dibidang peradilan adat (yudikatif adat) sebagai salah satu komponen utama karakteristik masyarakat hukum adat Papua menjadi hak kekhususan (hak harga diri) dalam UU Otsus 2021 di bidang peradilan adat yang masih eksis dalam menjalankan fungsi kehakiman menyelesaikan kasus-kasus pelanggaran adat dan atau sengketa adat secara turun temurun masing-masing masyarakat hukum adat tertentu di Papua yang multikultural. Jadi, issu hukumnya adalah apa yang menjadi prinsip hukum landasan filosofis, sosiologis dan yuridis terhadap pengakuan, perlindungan dan pengaturan peradilan adat sebagai hak kekhususan Masyarakat Hukum Adat dalam kerangka UU Otonomi Khusus Papua.</w:t>
      </w:r>
    </w:p>
    <w:p w14:paraId="6ED1CC19" w14:textId="38DE3677" w:rsidR="00B53DB1" w:rsidRPr="004371B0" w:rsidRDefault="00B53DB1"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Kajian objektif hukum menunjukkan bahwa peradilan adat tetap eksis di Papua, walaupun telah bersentuhan dengan dunia luar yang menyebabkan terjadinya perubahan sosial, budaya, politik dan hukum dalam kehidupan Masyarakat Hukum Adat Papua. Artinya peradilan adat berlaku sesuai empat struktur masyarakat adat di Papua yaitu masyarakat yang berstruktur keondoafian,</w:t>
      </w:r>
      <w:r w:rsidR="00E10413" w:rsidRPr="004371B0">
        <w:rPr>
          <w:rFonts w:ascii="Cambria" w:hAnsi="Cambria" w:cs="Times New Roman"/>
          <w:sz w:val="24"/>
          <w:szCs w:val="24"/>
          <w:lang w:val="id-ID"/>
        </w:rPr>
        <w:t xml:space="preserve"> </w:t>
      </w:r>
      <w:r w:rsidRPr="004371B0">
        <w:rPr>
          <w:rFonts w:ascii="Cambria" w:hAnsi="Cambria" w:cs="Times New Roman"/>
          <w:sz w:val="24"/>
          <w:szCs w:val="24"/>
          <w:lang w:val="id-ID"/>
        </w:rPr>
        <w:t>kerajaan,</w:t>
      </w:r>
      <w:r w:rsidR="00E10413" w:rsidRPr="004371B0">
        <w:rPr>
          <w:rFonts w:ascii="Cambria" w:hAnsi="Cambria" w:cs="Times New Roman"/>
          <w:sz w:val="24"/>
          <w:szCs w:val="24"/>
          <w:lang w:val="id-ID"/>
        </w:rPr>
        <w:t xml:space="preserve"> </w:t>
      </w:r>
      <w:r w:rsidRPr="004371B0">
        <w:rPr>
          <w:rFonts w:ascii="Cambria" w:hAnsi="Cambria" w:cs="Times New Roman"/>
          <w:sz w:val="24"/>
          <w:szCs w:val="24"/>
          <w:lang w:val="id-ID"/>
        </w:rPr>
        <w:t xml:space="preserve">masyarakat egalitarian dan mamsyarakat campuran. Peradilan adat yang cukup menonjol di Papua </w:t>
      </w:r>
      <w:r w:rsidR="008E0D33" w:rsidRPr="004371B0">
        <w:rPr>
          <w:rFonts w:ascii="Cambria" w:hAnsi="Cambria" w:cs="Times New Roman"/>
          <w:sz w:val="24"/>
          <w:szCs w:val="24"/>
          <w:lang w:val="id-ID"/>
        </w:rPr>
        <w:t>a</w:t>
      </w:r>
      <w:r w:rsidRPr="004371B0">
        <w:rPr>
          <w:rFonts w:ascii="Cambria" w:hAnsi="Cambria" w:cs="Times New Roman"/>
          <w:sz w:val="24"/>
          <w:szCs w:val="24"/>
          <w:lang w:val="id-ID"/>
        </w:rPr>
        <w:t>dalah peradilan masyarakat campuran yaitu Biak. Orang Biak tersebar di ha</w:t>
      </w:r>
      <w:r w:rsidR="008E0D33" w:rsidRPr="004371B0">
        <w:rPr>
          <w:rFonts w:ascii="Cambria" w:hAnsi="Cambria" w:cs="Times New Roman"/>
          <w:sz w:val="24"/>
          <w:szCs w:val="24"/>
          <w:lang w:val="id-ID"/>
        </w:rPr>
        <w:t>m</w:t>
      </w:r>
      <w:r w:rsidRPr="004371B0">
        <w:rPr>
          <w:rFonts w:ascii="Cambria" w:hAnsi="Cambria" w:cs="Times New Roman"/>
          <w:sz w:val="24"/>
          <w:szCs w:val="24"/>
          <w:lang w:val="id-ID"/>
        </w:rPr>
        <w:t>pir semua Papua dan dalam kehidupannya tetap memperaktikkan peradilan adatnya, bahkan bekerjasama dengan pihak pemerintah seperti kepolisian; dan keputusan peradilan adat dipertimbangkan dalam pengadilan negara (peradilan negara).</w:t>
      </w:r>
    </w:p>
    <w:p w14:paraId="018FD4C5" w14:textId="52E0F4DA" w:rsidR="00B53DB1" w:rsidRPr="004371B0" w:rsidRDefault="00B53DB1"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 xml:space="preserve">Masyarakat Hukum Adat yang berstruktur keondoafian juga mempunyai peradilan adat yang selalu eksis dan mempunyai hubungan kerjasama dengan pemerintah dalam menyelesaiakan perkara-perkara besar seperti pembunuhan. Hampir semua warga Masyarakat Hukum Adat Nusantara dan Masyarakat Hukum Adat Papua yang ada di Indonesia dalam </w:t>
      </w:r>
      <w:r w:rsidRPr="004371B0">
        <w:rPr>
          <w:rFonts w:ascii="Cambria" w:hAnsi="Cambria" w:cs="Times New Roman"/>
          <w:sz w:val="24"/>
          <w:szCs w:val="24"/>
          <w:lang w:val="id-ID"/>
        </w:rPr>
        <w:lastRenderedPageBreak/>
        <w:t>perantauan di berbagai daerah, termasuk Papua membentuk ikatan-ikatan keluarga (paguyuban</w:t>
      </w:r>
      <w:r w:rsidR="008E0D33" w:rsidRPr="004371B0">
        <w:rPr>
          <w:rFonts w:ascii="Cambria" w:hAnsi="Cambria" w:cs="Times New Roman"/>
          <w:sz w:val="24"/>
          <w:szCs w:val="24"/>
          <w:lang w:val="id-ID"/>
        </w:rPr>
        <w:t>-</w:t>
      </w:r>
      <w:r w:rsidRPr="004371B0">
        <w:rPr>
          <w:rFonts w:ascii="Cambria" w:hAnsi="Cambria" w:cs="Times New Roman"/>
          <w:sz w:val="24"/>
          <w:szCs w:val="24"/>
          <w:lang w:val="id-ID"/>
        </w:rPr>
        <w:t>paguyuban) untuk tujuan-tujuan ekonomi dan ikatan emosional, tetapi juga sebagai wadah dalam penyelesaian masalah hukum antara Masyarakat Hukum Adat. Beberapa masalah dasar sebagaimana diuraikan di atas telah dijadikan acuan untuk menyusun Perdasus Peradilan Adat Papua. Perdasus Nomor 20 Tahun 2008 ini mengatur tentang: asas dan tujuan; kedudukan dan tempat kedudukan; tugas, fungsi, dan kewenangan pengadilan; susunan, mekanisme, dan putusan peradilan; hubungan pengadilan adat dengan pemerintah dan lembaga penegak hukum; serta larangan dan sanksi, sebagai materi muatan Perdasus yang belum maksimal. Hubungan pengakuan hukum peradilan adat dalam UU Otsus Papua 2021 secara resmi menjadi bagian dari sistem penyelenggaraan negara. Walaupun masih terasa bahwa peradilan negara mengabaikan peradilan adat, tetapi peradilan adat telah eksis sebelum lahirnya negara ini sehingga dalam praktik peradilan negara terutama peradilan umum dalam perkara-perkara tertentu harus bekerjasama dalam penegakkannya dengan peradilan adat. Sebaliknya, dalam peradilan adat tidak berdiri sendiri, tetapi dalam perkara-perkara tertentu, peradilan adat memberi konstribusi terhadap peradilan umum atau aparat penegak hukum dari peradilan negara jika diperlukan dalam peradilan adat. Dengan demikian, meskipun peradilan adat tidak diakui eksplisit secara hukum oleh beberapa peraturan perundang-undangan, tetapi dalam praktik biasanya terjadi kerjasama atau saling memberi kontribusi dalam penegakkan dan kesadaran hukum untuk mencapai kepastian hukum, keadilan dan kemanfaatan hukum bagi Masyarakat Hukum Adat Papua yang multikultural.</w:t>
      </w:r>
    </w:p>
    <w:p w14:paraId="650CA51A" w14:textId="3E48B62B" w:rsidR="008E0D33" w:rsidRPr="004371B0" w:rsidRDefault="008E0D33"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Pengakuan, perlindungan dan pengatuan Paradilan Adat Papua dilihat secara kualitatif didalam UU Otsus Papua sebagai hak dasar orang Papua, antara lain tertulis dalam Bab XI Pasal 43 UU Otsus Papua tentang “Perlindungan Hak-Hak Masyarakat Adat” termasuk hak ulayat. Secara khusus Bab XIV dalam Pasal 50, Pasal 51 dan Pasal 52 UU Otsus Papua 2001 tentang ”Kekuasaan Peradilan”.</w:t>
      </w:r>
    </w:p>
    <w:p w14:paraId="3126BED2" w14:textId="77777777" w:rsidR="008E0D33" w:rsidRPr="00F014BC" w:rsidRDefault="008E0D33" w:rsidP="00AB605D">
      <w:pPr>
        <w:spacing w:after="0"/>
        <w:ind w:left="284"/>
        <w:jc w:val="both"/>
        <w:rPr>
          <w:rFonts w:ascii="Cambria" w:hAnsi="Cambria" w:cs="Times New Roman"/>
          <w:sz w:val="24"/>
          <w:szCs w:val="24"/>
          <w:lang w:val="id-ID"/>
        </w:rPr>
      </w:pPr>
      <w:r w:rsidRPr="00F014BC">
        <w:rPr>
          <w:rFonts w:ascii="Cambria" w:hAnsi="Cambria" w:cs="Times New Roman"/>
          <w:sz w:val="24"/>
          <w:szCs w:val="24"/>
          <w:lang w:val="id-ID"/>
        </w:rPr>
        <w:t>Pasal 50:</w:t>
      </w:r>
    </w:p>
    <w:p w14:paraId="022E19FC" w14:textId="10F33EE3" w:rsidR="008E0D33" w:rsidRPr="00F014BC" w:rsidRDefault="00F014BC" w:rsidP="00AB605D">
      <w:pPr>
        <w:spacing w:after="0"/>
        <w:ind w:left="709" w:hanging="425"/>
        <w:jc w:val="both"/>
        <w:rPr>
          <w:rFonts w:ascii="Cambria" w:hAnsi="Cambria" w:cs="Times New Roman"/>
          <w:sz w:val="24"/>
          <w:szCs w:val="24"/>
          <w:lang w:val="id-ID"/>
        </w:rPr>
      </w:pPr>
      <w:r>
        <w:rPr>
          <w:rFonts w:ascii="Cambria" w:hAnsi="Cambria" w:cs="Times New Roman"/>
          <w:sz w:val="24"/>
          <w:szCs w:val="24"/>
          <w:lang w:val="id-ID"/>
        </w:rPr>
        <w:t>“</w:t>
      </w:r>
      <w:r w:rsidR="008E0D33" w:rsidRPr="00F014BC">
        <w:rPr>
          <w:rFonts w:ascii="Cambria" w:hAnsi="Cambria" w:cs="Times New Roman"/>
          <w:sz w:val="24"/>
          <w:szCs w:val="24"/>
          <w:lang w:val="id-ID"/>
        </w:rPr>
        <w:t>(1) Kekuasaan kehakiman di Provinsi Papua dilaksanakan oleh Badan Peradilan sesuai dengan peraturan Perundang-undangan</w:t>
      </w:r>
    </w:p>
    <w:p w14:paraId="5D5ACEE2" w14:textId="39C9EBE6" w:rsidR="008E0D33" w:rsidRPr="00F014BC" w:rsidRDefault="008E0D33" w:rsidP="00AB605D">
      <w:pPr>
        <w:spacing w:after="0"/>
        <w:ind w:left="709" w:hanging="425"/>
        <w:jc w:val="both"/>
        <w:rPr>
          <w:rFonts w:ascii="Cambria" w:hAnsi="Cambria" w:cs="Times New Roman"/>
          <w:sz w:val="24"/>
          <w:szCs w:val="24"/>
          <w:lang w:val="id-ID"/>
        </w:rPr>
      </w:pPr>
      <w:r w:rsidRPr="00F014BC">
        <w:rPr>
          <w:rFonts w:ascii="Cambria" w:hAnsi="Cambria" w:cs="Times New Roman"/>
          <w:sz w:val="24"/>
          <w:szCs w:val="24"/>
          <w:lang w:val="id-ID"/>
        </w:rPr>
        <w:t>(2) Disamping Kekuasaan kehakiman sebagaimana dimaksudkan pada ayat (1), diakui adanya peradilan adat didalam masyarakat hukum adat tertentu.</w:t>
      </w:r>
      <w:r w:rsidR="00F014BC">
        <w:rPr>
          <w:rFonts w:ascii="Cambria" w:hAnsi="Cambria" w:cs="Times New Roman"/>
          <w:sz w:val="24"/>
          <w:szCs w:val="24"/>
          <w:lang w:val="id-ID"/>
        </w:rPr>
        <w:t>”</w:t>
      </w:r>
    </w:p>
    <w:p w14:paraId="7FBF8F70" w14:textId="77777777" w:rsidR="008E0D33" w:rsidRPr="00F014BC" w:rsidRDefault="008E0D33" w:rsidP="00AB605D">
      <w:pPr>
        <w:spacing w:after="0"/>
        <w:ind w:left="284"/>
        <w:jc w:val="both"/>
        <w:rPr>
          <w:rFonts w:ascii="Cambria" w:hAnsi="Cambria" w:cs="Times New Roman"/>
          <w:sz w:val="24"/>
          <w:szCs w:val="24"/>
          <w:lang w:val="id-ID"/>
        </w:rPr>
      </w:pPr>
      <w:r w:rsidRPr="00F014BC">
        <w:rPr>
          <w:rFonts w:ascii="Cambria" w:hAnsi="Cambria" w:cs="Times New Roman"/>
          <w:sz w:val="24"/>
          <w:szCs w:val="24"/>
          <w:lang w:val="id-ID"/>
        </w:rPr>
        <w:t>Pasal 51:</w:t>
      </w:r>
    </w:p>
    <w:p w14:paraId="076E4D2F" w14:textId="0A3C36EC" w:rsidR="008E0D33" w:rsidRPr="004371B0" w:rsidRDefault="00F014BC" w:rsidP="00AB605D">
      <w:pPr>
        <w:spacing w:after="0"/>
        <w:ind w:left="709" w:hanging="425"/>
        <w:jc w:val="both"/>
        <w:rPr>
          <w:rFonts w:ascii="Cambria" w:hAnsi="Cambria" w:cs="Times New Roman"/>
          <w:sz w:val="24"/>
          <w:szCs w:val="24"/>
          <w:lang w:val="id-ID"/>
        </w:rPr>
      </w:pPr>
      <w:r>
        <w:rPr>
          <w:rFonts w:ascii="Cambria" w:hAnsi="Cambria" w:cs="Times New Roman"/>
          <w:sz w:val="24"/>
          <w:szCs w:val="24"/>
          <w:lang w:val="id-ID"/>
        </w:rPr>
        <w:t>“</w:t>
      </w:r>
      <w:r w:rsidR="008E0D33" w:rsidRPr="004371B0">
        <w:rPr>
          <w:rFonts w:ascii="Cambria" w:hAnsi="Cambria" w:cs="Times New Roman"/>
          <w:sz w:val="24"/>
          <w:szCs w:val="24"/>
          <w:lang w:val="id-ID"/>
        </w:rPr>
        <w:t xml:space="preserve">(1) Peradilan adat adalah peradilan perdamaian di lingkungan masyarakat hukum adat, yang mempunyai kewenangan memeriksa dan mengadili </w:t>
      </w:r>
      <w:r w:rsidR="008E0D33" w:rsidRPr="004371B0">
        <w:rPr>
          <w:rFonts w:ascii="Cambria" w:hAnsi="Cambria" w:cs="Times New Roman"/>
          <w:sz w:val="24"/>
          <w:szCs w:val="24"/>
          <w:lang w:val="id-ID"/>
        </w:rPr>
        <w:lastRenderedPageBreak/>
        <w:t>sengketa perdata adat dan perkara pidana di antara para warga masyarakat hukum adat yang bersangkutan.</w:t>
      </w:r>
    </w:p>
    <w:p w14:paraId="15999D8C" w14:textId="405352FB" w:rsidR="008E0D33" w:rsidRPr="004371B0" w:rsidRDefault="008E0D33" w:rsidP="00AB605D">
      <w:pPr>
        <w:spacing w:after="0"/>
        <w:ind w:left="709" w:hanging="425"/>
        <w:jc w:val="both"/>
        <w:rPr>
          <w:rFonts w:ascii="Cambria" w:hAnsi="Cambria" w:cs="Times New Roman"/>
          <w:sz w:val="24"/>
          <w:szCs w:val="24"/>
          <w:lang w:val="id-ID"/>
        </w:rPr>
      </w:pPr>
      <w:r w:rsidRPr="004371B0">
        <w:rPr>
          <w:rFonts w:ascii="Cambria" w:hAnsi="Cambria" w:cs="Times New Roman"/>
          <w:sz w:val="24"/>
          <w:szCs w:val="24"/>
          <w:lang w:val="id-ID"/>
        </w:rPr>
        <w:t>(2) Pengadilan adat disusun menurut ketentuan hukum adat masyarakat hukum adat yang bersangkutan.</w:t>
      </w:r>
    </w:p>
    <w:p w14:paraId="12E1182A" w14:textId="1B1E38EC" w:rsidR="008E0D33" w:rsidRPr="004371B0" w:rsidRDefault="008E0D33" w:rsidP="00AB605D">
      <w:pPr>
        <w:spacing w:after="0"/>
        <w:ind w:left="709" w:hanging="425"/>
        <w:jc w:val="both"/>
        <w:rPr>
          <w:rFonts w:ascii="Cambria" w:hAnsi="Cambria" w:cs="Times New Roman"/>
          <w:sz w:val="24"/>
          <w:szCs w:val="24"/>
          <w:lang w:val="id-ID"/>
        </w:rPr>
      </w:pPr>
      <w:r w:rsidRPr="004371B0">
        <w:rPr>
          <w:rFonts w:ascii="Cambria" w:hAnsi="Cambria" w:cs="Times New Roman"/>
          <w:sz w:val="24"/>
          <w:szCs w:val="24"/>
          <w:lang w:val="id-ID"/>
        </w:rPr>
        <w:t>(3) Pengadilan adat memeriksa dan mengadili sengketa perdata adat dan perkara pidana sebagaimana dimaksud pada ayat (1) berdasarkan hukum adat masyarakat hukum adat yang bersangkutan.</w:t>
      </w:r>
    </w:p>
    <w:p w14:paraId="3067B5BD" w14:textId="51859BA3" w:rsidR="008E0D33" w:rsidRPr="004371B0" w:rsidRDefault="008E0D33" w:rsidP="00AB605D">
      <w:pPr>
        <w:spacing w:after="0"/>
        <w:ind w:left="709" w:hanging="425"/>
        <w:jc w:val="both"/>
        <w:rPr>
          <w:rFonts w:ascii="Cambria" w:hAnsi="Cambria" w:cs="Times New Roman"/>
          <w:sz w:val="24"/>
          <w:szCs w:val="24"/>
          <w:lang w:val="id-ID"/>
        </w:rPr>
      </w:pPr>
      <w:r w:rsidRPr="004371B0">
        <w:rPr>
          <w:rFonts w:ascii="Cambria" w:hAnsi="Cambria" w:cs="Times New Roman"/>
          <w:sz w:val="24"/>
          <w:szCs w:val="24"/>
          <w:lang w:val="id-ID"/>
        </w:rPr>
        <w:t>(4) Dalam hal salah satu pihak yang bersengketa atau yang berperkara berkeberatan atas putusan yang telah diambil oleh pengadilan adat yang memeriksanya sebagaimana dimaksud pada ayat (3), pihak yang berkeberatan tersebut berhak meminta kepada pengadilan tingkat pertama di lingkungan badan peradilan yang berwenang untuk memeriksa dan mengadili ulang sengketa atau perkara yang bersangkutan.</w:t>
      </w:r>
    </w:p>
    <w:p w14:paraId="3074D2A6" w14:textId="4B7EFCFD" w:rsidR="008E0D33" w:rsidRPr="004371B0" w:rsidRDefault="008E0D33" w:rsidP="00AB605D">
      <w:pPr>
        <w:spacing w:after="0"/>
        <w:ind w:left="709" w:hanging="425"/>
        <w:jc w:val="both"/>
        <w:rPr>
          <w:rFonts w:ascii="Cambria" w:hAnsi="Cambria" w:cs="Times New Roman"/>
          <w:sz w:val="24"/>
          <w:szCs w:val="24"/>
          <w:lang w:val="id-ID"/>
        </w:rPr>
      </w:pPr>
      <w:r w:rsidRPr="004371B0">
        <w:rPr>
          <w:rFonts w:ascii="Cambria" w:hAnsi="Cambria" w:cs="Times New Roman"/>
          <w:sz w:val="24"/>
          <w:szCs w:val="24"/>
          <w:lang w:val="id-ID"/>
        </w:rPr>
        <w:t>(5) Pengadilan adat tidak berwenang menjatuhkan hukuman pidana penjara atau kurungan.</w:t>
      </w:r>
    </w:p>
    <w:p w14:paraId="1301F882" w14:textId="7FE6F073" w:rsidR="008E0D33" w:rsidRPr="004371B0" w:rsidRDefault="008E0D33" w:rsidP="00AB605D">
      <w:pPr>
        <w:spacing w:after="0"/>
        <w:ind w:left="709" w:hanging="425"/>
        <w:jc w:val="both"/>
        <w:rPr>
          <w:rFonts w:ascii="Cambria" w:hAnsi="Cambria" w:cs="Times New Roman"/>
          <w:sz w:val="24"/>
          <w:szCs w:val="24"/>
          <w:lang w:val="id-ID"/>
        </w:rPr>
      </w:pPr>
      <w:r w:rsidRPr="004371B0">
        <w:rPr>
          <w:rFonts w:ascii="Cambria" w:hAnsi="Cambria" w:cs="Times New Roman"/>
          <w:sz w:val="24"/>
          <w:szCs w:val="24"/>
          <w:lang w:val="id-ID"/>
        </w:rPr>
        <w:t>(6) Putusan pengadilan adat mengenai delik pidana yang perkaranya tidak dimintakan pemeriksaan ulang sebagaimana yang dimaksud pada ayat (4), menjadi putusan akhir dan berkekuatan hukum tetap.</w:t>
      </w:r>
    </w:p>
    <w:p w14:paraId="5858F285" w14:textId="5FBA286B" w:rsidR="008E0D33" w:rsidRPr="004371B0" w:rsidRDefault="008E0D33" w:rsidP="00AB605D">
      <w:pPr>
        <w:spacing w:after="0"/>
        <w:ind w:left="709" w:hanging="425"/>
        <w:jc w:val="both"/>
        <w:rPr>
          <w:rFonts w:ascii="Cambria" w:hAnsi="Cambria" w:cs="Times New Roman"/>
          <w:sz w:val="24"/>
          <w:szCs w:val="24"/>
          <w:lang w:val="id-ID"/>
        </w:rPr>
      </w:pPr>
      <w:r w:rsidRPr="004371B0">
        <w:rPr>
          <w:rFonts w:ascii="Cambria" w:hAnsi="Cambria" w:cs="Times New Roman"/>
          <w:sz w:val="24"/>
          <w:szCs w:val="24"/>
          <w:lang w:val="id-ID"/>
        </w:rPr>
        <w:t>(7) Untuk membebaskan pelaku pidana dari tuntutan pidana menurut ketentuan hukum pidana yang berlaku, diperlukan pernyataan persetujuan untuk dilaksanakan dari Ketua Pengadilan Negeri yang mewilayahinya yang diperoleh melalui Kepala Kejaksaan Negeri yang bersangkutan dengan tempat terjadinya peristiwa pidana sebagaimana dimaksud pada ayat (3).</w:t>
      </w:r>
    </w:p>
    <w:p w14:paraId="31940E11" w14:textId="67707BD6" w:rsidR="008E0D33" w:rsidRDefault="008E0D33" w:rsidP="00AB605D">
      <w:pPr>
        <w:spacing w:after="0"/>
        <w:ind w:left="709" w:hanging="425"/>
        <w:jc w:val="both"/>
        <w:rPr>
          <w:rFonts w:ascii="Cambria" w:hAnsi="Cambria" w:cs="Times New Roman"/>
          <w:sz w:val="24"/>
          <w:szCs w:val="24"/>
          <w:lang w:val="id-ID"/>
        </w:rPr>
      </w:pPr>
      <w:r w:rsidRPr="004371B0">
        <w:rPr>
          <w:rFonts w:ascii="Cambria" w:hAnsi="Cambria" w:cs="Times New Roman"/>
          <w:sz w:val="24"/>
          <w:szCs w:val="24"/>
          <w:lang w:val="id-ID"/>
        </w:rPr>
        <w:t>(8) Dalam hal permintaan pernyataan persetujuan untuk dilaksanakan bagi putusan pengadilan adat sebagaimana dimaksud pada ayat (7) ditolak oleh Pengadilan Negeri, maka putusan pengadilan adat sebagaimana dimaksud pada ayat (6) menjadi bahan pertimbangan hukum Pengadilan Negeri dalam memutuskan perkara yang bersangkutan.</w:t>
      </w:r>
      <w:r w:rsidR="00F014BC">
        <w:rPr>
          <w:rFonts w:ascii="Cambria" w:hAnsi="Cambria" w:cs="Times New Roman"/>
          <w:sz w:val="24"/>
          <w:szCs w:val="24"/>
          <w:lang w:val="id-ID"/>
        </w:rPr>
        <w:t>”</w:t>
      </w:r>
    </w:p>
    <w:p w14:paraId="2E7E7766" w14:textId="77777777" w:rsidR="00F014BC" w:rsidRPr="004371B0" w:rsidRDefault="00F014BC" w:rsidP="00AB605D">
      <w:pPr>
        <w:spacing w:after="0"/>
        <w:ind w:left="709" w:hanging="425"/>
        <w:jc w:val="both"/>
        <w:rPr>
          <w:rFonts w:ascii="Cambria" w:hAnsi="Cambria" w:cs="Times New Roman"/>
          <w:sz w:val="24"/>
          <w:szCs w:val="24"/>
          <w:lang w:val="id-ID"/>
        </w:rPr>
      </w:pPr>
    </w:p>
    <w:p w14:paraId="5473E9DD" w14:textId="33B8849D" w:rsidR="00CC1258" w:rsidRPr="004371B0" w:rsidRDefault="00CC1258"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 xml:space="preserve">Prinsip hukum secara eksplisit ketentuan dalam Pasal 50 ayat (2) mengatur tentang pengakuan negara terhadap keberadaan Peradilan Adat Papua. Dalam Pasal 51 pada intinya mengatur tentang pengertian peradilan adat, sasaran (adressat); wewenangnya; susunan pengadilan adat; kerjasama dengan peradilan umum. Kedudukan peradilan adat malah diatur dalam penjelasan Pasal 51 ayat (2) yang menegaskan: “Pengadilan adat bukan badan peradilan negara, melainkan lembaga peradilan masyarakat hukum adat”. Mekanisme penyelesaian perkara atau hukum acaranya juga diuraikan pada penjelasan. Semua materi ini harus diatur </w:t>
      </w:r>
      <w:r w:rsidRPr="004371B0">
        <w:rPr>
          <w:rFonts w:ascii="Cambria" w:hAnsi="Cambria" w:cs="Times New Roman"/>
          <w:sz w:val="24"/>
          <w:szCs w:val="24"/>
          <w:lang w:val="id-ID"/>
        </w:rPr>
        <w:lastRenderedPageBreak/>
        <w:t>lebih lanjut dengan Peraturan Daerah Khusus (Perdasus). Pasal 52 ayat (2) “Pengangkatan Kepala Kejaksaan dilakukan oleh</w:t>
      </w:r>
    </w:p>
    <w:p w14:paraId="4B55BC15" w14:textId="77777777" w:rsidR="00CC1258" w:rsidRPr="004371B0" w:rsidRDefault="00CC1258" w:rsidP="00AB605D">
      <w:pPr>
        <w:spacing w:after="0"/>
        <w:ind w:left="284"/>
        <w:jc w:val="both"/>
        <w:rPr>
          <w:rFonts w:ascii="Cambria" w:hAnsi="Cambria" w:cs="Times New Roman"/>
          <w:sz w:val="24"/>
          <w:szCs w:val="24"/>
          <w:lang w:val="id-ID"/>
        </w:rPr>
      </w:pPr>
      <w:r w:rsidRPr="004371B0">
        <w:rPr>
          <w:rFonts w:ascii="Cambria" w:hAnsi="Cambria" w:cs="Times New Roman"/>
          <w:sz w:val="24"/>
          <w:szCs w:val="24"/>
          <w:lang w:val="id-ID"/>
        </w:rPr>
        <w:t>Kejaksaan Agung Republik Indonesia dengan persetujuan Gubernur”.</w:t>
      </w:r>
    </w:p>
    <w:p w14:paraId="1BBC3B8D" w14:textId="40D28E32" w:rsidR="00CC1258" w:rsidRPr="004371B0" w:rsidRDefault="00CC1258"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Prinsip hukum pelaksanaan desentralisasi dalam bentuk “kewenangan” melalui UU Otsus Papua 2001 dibidang eksekutif juga memberikan landasan yang kuat bagi pemberlakuan Peradilan Adat, sebatas khususnya pelaksanaan peradilan adat dikalangan Masyarakat Hukum Adat Papua pada umumnya dan terlebih khusus di Kabupaten Fakfak tidak termasuk masyarakat hukum adat non-Papua (masyarakat nusantara). Hal tersebut dinyatakan tegas dalam Pasal 51 ayat (1) sampai dengan ayat (8). Akan tetapi praktek penyelenggaraan peradilan adat di kalangan Masyarakat Hukum Adat Papua dalam hal ini di Kabupaten Fakfak sudah berlangsung lama sebelum adanya ketentuan dalam Pasal 51. Peradilan adat di Kabupaten Fakfak Provinsi Papua Barat berfungsi menyelesaikan berbagai bentuk pelanggaran adat (delik adat) maupun sengketa adat (non litigasi) dengan sanksi atau denda adat (ganti rugi) yang terjadi di dalam lingkungan Masyarakat Hukum Adat Papua di Kabupaten Fakfak.</w:t>
      </w:r>
    </w:p>
    <w:p w14:paraId="0AC6D0A2" w14:textId="77777777" w:rsidR="00CC1258" w:rsidRPr="004371B0" w:rsidRDefault="00CC1258"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Konstruksi peradilan adat dalam UU Otsus Papua adalah bersifat kompetensi internal, maka tiap masyarakat hukum adat berwenang menyelenggarakan peradilan adat di dalam lingkungan masyarakat hukum adatnya sendiri. Misalnya, mengadili pelanggaran ada (perkara pidana adat) atau perkara perdata adat yang pelaku dan korbannya atau tergugat dan penggugat adalah berasal dari warga atau bukan warga dalam teritorial masyarakat hukum adat yang bersangkutan.</w:t>
      </w:r>
    </w:p>
    <w:p w14:paraId="0C9BF564" w14:textId="44B7435E" w:rsidR="00361F5A" w:rsidRPr="004371B0" w:rsidRDefault="00CC1258"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 xml:space="preserve">Perubahan UU Otsus dengan UU Nomor 2 Tahun 2021 dengan PP Nomor 106 tentang “Kewenangan dan Kelembagaan Pelaksanaan Kebijakan Otonomi Khusus Provinsi Papua”; dan PP Nomor 107 tentang “Penerimaan, Pengelolaan, Pengawasan, dan Rencana Induk Percepatan Pembangunan Dalam Ranggka Pelaksanaan Otonomi Khusus Provinsi Papua”, dan Peraturan Daerah Khusus (Perdasus) Nomor 20 Tahun 2008 Provisi Papua tentang “Peradilan Adat Di Papua” masih sebatas pengakuan perlindungan normatif saja tanpa implementasinya pada Masyarakat Hukum Adat Papua di Kabupaten Fakfak. Pengakuan Peradilan Adat dalam prinsip hukum sebagai pranata hukum adat secara holistik merupakan salah satu komponen kedaulatan masyarakat hukum adat Papua yang mememiliki kebhinnekaan suku bangsa dengan latar belakang etnografinya masing-masing, dan hukum adat sebagai hukum hidup (the living law). Secara normatif maupun empiris sebagai modal sosial dan politik hukum guna mendukung pembinaan pembangunan hukum nasional. Maka dalam rangka pengembangan Masyarakat Hukum Adat (MHA) di bidang peradilan </w:t>
      </w:r>
      <w:r w:rsidRPr="004371B0">
        <w:rPr>
          <w:rFonts w:ascii="Cambria" w:hAnsi="Cambria" w:cs="Times New Roman"/>
          <w:sz w:val="24"/>
          <w:szCs w:val="24"/>
          <w:lang w:val="id-ID"/>
        </w:rPr>
        <w:lastRenderedPageBreak/>
        <w:t xml:space="preserve">adat (yudikatif adat) tumbuh dan hidup berdampingan dan berinteraksi dengan sistem hukum negara, politik hukum dan peradilan negara secara berjenjang dengan asas desentralisasi. Secara normatif, dikhususkannya langkah-langkah kebijakan strategis khusus pemerintah Papua merupakan bentuk pengakuan, perlindungan, penghormatan dan keberpihakan terhadap hak-hak dasar yang hidup </w:t>
      </w:r>
      <w:r w:rsidRPr="00F014BC">
        <w:rPr>
          <w:rFonts w:ascii="Cambria" w:hAnsi="Cambria" w:cs="Times New Roman"/>
          <w:i/>
          <w:iCs/>
          <w:sz w:val="24"/>
          <w:szCs w:val="24"/>
          <w:lang w:val="id-ID"/>
        </w:rPr>
        <w:t>(the living law)</w:t>
      </w:r>
      <w:r w:rsidRPr="004371B0">
        <w:rPr>
          <w:rFonts w:ascii="Cambria" w:hAnsi="Cambria" w:cs="Times New Roman"/>
          <w:sz w:val="24"/>
          <w:szCs w:val="24"/>
          <w:lang w:val="id-ID"/>
        </w:rPr>
        <w:t xml:space="preserve"> dalam Masyarakat Hukum Adat Papua di Kabupaten Fakfak.</w:t>
      </w:r>
    </w:p>
    <w:p w14:paraId="34A391CB" w14:textId="77777777" w:rsidR="00361F5A" w:rsidRPr="004371B0" w:rsidRDefault="00361F5A"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Dalam konteks peradilan adat di Kabupaten Fakfak, kewenangan ini mencakup hak masyarakat adat untuk menyelesaikan sengketa di lingkungan mereka dengan menggunakan hukum adat yang sudah ada, yang didasarkan pada kearifan lokal dan norma yang hidup dalam masyarakat tersebut. Dengan adanya pengakuan terhadap hak-hak masyarakat adat yang tertuang dalam UUD 1945 dan berbagai peraturan perundang-undangan, seperti Undang-Undang Nomor 21 Tahun 2001 tentang Otonomi Khusus Provinsi Papua, kewenangan tersebut secara eksplisit diberikan kepada masyarakat adat di Papua untuk melaksanakan peradilan adat. Pengaturan ini menegaskan kewenangan yang diberikan kepada lembaga adat di Kabupaten Fakfak dalam menjalankan fungsi peradilan mereka, yang melibatkan musyawarah dan mufakat dalam penyelesaian sengketa.</w:t>
      </w:r>
    </w:p>
    <w:p w14:paraId="7916FEC7" w14:textId="77777777" w:rsidR="00361F5A" w:rsidRPr="004371B0" w:rsidRDefault="00361F5A"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Dalam hal ini, kewenangan yang dimiliki oleh lembaga adat bisa dibedakan menjadi kewenangan atribusi, di mana lembaga adat mendapatkan hak untuk memutuskan sengketa di dalam masyarakat adat mereka berdasarkan peraturan yang diberikan oleh negara. Kewenangan ini bersifat tetap, sepanjang peraturan yang berlaku memberikan ruang bagi masyarakat adat untuk melaksanakan peranannya.</w:t>
      </w:r>
    </w:p>
    <w:p w14:paraId="368CDA03" w14:textId="492CEA2D" w:rsidR="00361F5A" w:rsidRPr="004371B0" w:rsidRDefault="00361F5A"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Pada konteks di Kabupaten Fakfak, pengakuan terhadap peradilan adat sudah diberikan dalam berbagai undang-undang, terutama Undang-Undang Nomor 21 Tahun 2001 tentang Otonomi Khusus bagi Provinsi Papua, yang mengakui dan memberikan kewenangan terhadap peradilan adat di wilayah Papua. Dengan adanya pengakuan ini, peradilan adat di Kabupaten Fakfak dianggap sah dan memiliki legitimasi dalam masyarakat hukum adat, meskipun dalam praktiknya, keberadaan peradilan adat masih sering dipandang sebagai peradilan informal yang berjalan paralel dengan peradilan formal negara.</w:t>
      </w:r>
    </w:p>
    <w:p w14:paraId="1BE245B4" w14:textId="77777777" w:rsidR="00361F5A" w:rsidRPr="004371B0" w:rsidRDefault="00361F5A"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Selain itu, pengakuan terhadap peradilan adat di Kabupaten Fakfak menunjukkan bentuk pengakuan de jure dan de facto oleh negara terhadap kewenangan yang dimiliki oleh lembaga adat dalam menyelesaikan sengketa di kalangan masyarakat adat. Dalam hal ini, negara mengakui keberadaan hukum adat, tetapi pengakuan tersebut lebih bersifat terbatas dan perluasan pengakuan ini memerlukan regulasi lebih lanjut.</w:t>
      </w:r>
    </w:p>
    <w:p w14:paraId="64AF8B6A" w14:textId="77777777" w:rsidR="00361F5A" w:rsidRPr="004371B0" w:rsidRDefault="00361F5A"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lastRenderedPageBreak/>
        <w:t>Kemudian Dalam konteks peradilan adat di Kabupaten Fakfak, hukum adat yang hidup berfungsi sebagai dasar dalam menyelesaikan sengketa, di mana norma-norma adat dan tradisi menjadi landasan utama dalam memutuskan suatu perkara. Hukum adat di Fakfak tidak hanya berbicara mengenai peraturan yang tertulis, tetapi lebih kepada norma dan nilai yang berlaku dalam masyarakat adat yang bersangkutan. Dalam peradilan adat ini, penyelesaian sengketa lebih mengutamakan harmoni dan keseimbangan sosial, sehingga proses peradilan lebih bersifat restoratif dan mengarah pada perdamaian antar pihak yang bersengketa.</w:t>
      </w:r>
    </w:p>
    <w:p w14:paraId="0C137C42" w14:textId="77777777" w:rsidR="00361F5A" w:rsidRPr="004371B0" w:rsidRDefault="00361F5A"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Peradilan adat di Kabupaten Fakfak, meskipun belum sepenuhnya diakui dalam sistem hukum formal, memiliki daya tarik tersendiri bagi masyarakat adat karena dianggap lebih dekat dengan nilai-nilai budaya dan lebih efektif dalam menyelesaikan masalah dalam komunitas mereka. Dalam hal ini, teori living law menegaskan bahwa hukum adat di Fakfak berfungsi secara efektif karena ia hidup dalam interaksi sosial yang terus berkembang dan disesuaikan dengan kebutuhan masyarakat adat tersebut.</w:t>
      </w:r>
    </w:p>
    <w:p w14:paraId="7DFCC373" w14:textId="77777777" w:rsidR="00361F5A" w:rsidRPr="004371B0" w:rsidRDefault="00361F5A"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Hasil penelitian menunjukkan bahwa meskipun peradilan adat di Kabupaten Fakfak diakui dalam bentuk hukum adat yang berkembang di kalangan masyarakat, pengakuan formal terhadap peradilan adat masih terbatas. Meskipun UUD 1945 dan undang-undang lainnya memberikan dasar hukum bagi keberadaan hukum adat dan peradilan adat, pelaksanaannya masih terhambat oleh kekurangan regulasi yang mengatur secara rinci tentang bagaimana peradilan adat seharusnya beroperasi dalam sistem hukum Indonesia.</w:t>
      </w:r>
    </w:p>
    <w:p w14:paraId="3B8A7E1E" w14:textId="77777777" w:rsidR="00361F5A" w:rsidRPr="004371B0" w:rsidRDefault="00361F5A"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Pemerintah telah berusaha mengintegrasikan peradilan adat ke dalam sistem peradilan negara, namun pada kenyataannya, peradilan adat tetap berjalan secara paralel dengan peradilan formal negara, dan dalam banyak kasus, masyarakat lebih memilih menggunakan peradilan adat untuk menyelesaikan sengketa mereka. Hal ini disebabkan oleh beberapa faktor, seperti terbatasnya akses ke peradilan negara, keberadaan norma dan prosedur yang lebih sederhana dalam peradilan adat, serta rasa keadilan yang lebih diterima oleh masyarakat adat.</w:t>
      </w:r>
    </w:p>
    <w:p w14:paraId="60D7EBBC" w14:textId="77777777" w:rsidR="00361F5A" w:rsidRPr="004371B0" w:rsidRDefault="00361F5A"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Pengakuan terhadap peradilan adat dalam konteks Kabupaten Fakfak diatur dalam Pasal 18B ayat (2) UUD 1945 yang menyatakan bahwa negara mengakui dan menghormati kesatuan-kesatuan masyarakat hukum adat serta hak-hak tradisionalnya. Meskipun demikian, pengakuan tersebut masih memerlukan pengaturan lebih lanjut dalam bentuk peraturan daerah atau regulasi nasional yang lebih jelas agar peradilan adat dapat beroperasi dengan penuh legitimasi dalam sistem hukum Indonesia.</w:t>
      </w:r>
    </w:p>
    <w:p w14:paraId="01DC2645" w14:textId="3498B155" w:rsidR="00361F5A" w:rsidRPr="004371B0" w:rsidRDefault="00361F5A" w:rsidP="00AB605D">
      <w:pPr>
        <w:spacing w:after="0"/>
        <w:ind w:left="284" w:firstLine="567"/>
        <w:jc w:val="both"/>
        <w:rPr>
          <w:rFonts w:ascii="Cambria" w:hAnsi="Cambria" w:cs="Times New Roman"/>
          <w:sz w:val="24"/>
          <w:szCs w:val="24"/>
          <w:lang w:val="id-ID"/>
        </w:rPr>
      </w:pPr>
      <w:r w:rsidRPr="004371B0">
        <w:rPr>
          <w:rFonts w:ascii="Cambria" w:hAnsi="Cambria" w:cs="Times New Roman"/>
          <w:sz w:val="24"/>
          <w:szCs w:val="24"/>
          <w:lang w:val="id-ID"/>
        </w:rPr>
        <w:t xml:space="preserve">Kebijakan eksistensi peradilan adat di Kabupaten Fakfak menunjukkan adanya pengakuan terhadap keberadaan sistem hukum adat </w:t>
      </w:r>
      <w:r w:rsidRPr="004371B0">
        <w:rPr>
          <w:rFonts w:ascii="Cambria" w:hAnsi="Cambria" w:cs="Times New Roman"/>
          <w:sz w:val="24"/>
          <w:szCs w:val="24"/>
          <w:lang w:val="id-ID"/>
        </w:rPr>
        <w:lastRenderedPageBreak/>
        <w:t>sebagai bagian dari pluralisme hukum Indonesia. Meskipun peradilan adat memiliki kedudukan yang kuat dalam masyarakat adat, integrasi dan pengakuan lebih lanjut dari sistem hukum negara masih diperlukan untuk memberikan kepastian hukum. Dalam hal ini, teori kewenangan, teori pengakuan, dan teori living law memberikan dasar teoretis yang kuat untuk menganalisis keberadaan dan fungsi peradilan adat dalam konteks Kabupaten Fakfak, namun tantangan tetap ada dalam hal penerapan hukum adat dalam kerangka hukum positif Indonesia.</w:t>
      </w:r>
    </w:p>
    <w:p w14:paraId="6B98A914" w14:textId="77777777" w:rsidR="00F014BC" w:rsidRDefault="00F014BC" w:rsidP="00F014BC">
      <w:pPr>
        <w:spacing w:before="100" w:beforeAutospacing="1" w:after="100" w:afterAutospacing="1" w:line="240" w:lineRule="auto"/>
        <w:jc w:val="both"/>
        <w:rPr>
          <w:rFonts w:ascii="Cambria" w:eastAsia="Times New Roman" w:hAnsi="Cambria" w:cs="Times New Roman"/>
          <w:sz w:val="24"/>
          <w:szCs w:val="24"/>
          <w:lang w:val="sv-SE"/>
        </w:rPr>
      </w:pPr>
    </w:p>
    <w:p w14:paraId="1325A6E7" w14:textId="77777777" w:rsidR="00F014BC" w:rsidRDefault="00F014BC" w:rsidP="00F014BC">
      <w:pPr>
        <w:spacing w:before="100" w:beforeAutospacing="1" w:after="100" w:afterAutospacing="1" w:line="240" w:lineRule="auto"/>
        <w:jc w:val="both"/>
        <w:rPr>
          <w:rFonts w:ascii="Cambria" w:eastAsia="Times New Roman" w:hAnsi="Cambria" w:cs="Times New Roman"/>
          <w:sz w:val="24"/>
          <w:szCs w:val="24"/>
          <w:lang w:val="sv-SE"/>
        </w:rPr>
      </w:pPr>
    </w:p>
    <w:p w14:paraId="30DCC6F1" w14:textId="68CAFD84" w:rsidR="00F014BC" w:rsidRPr="00F014BC" w:rsidRDefault="00F014BC" w:rsidP="00F014BC">
      <w:pPr>
        <w:spacing w:before="100" w:beforeAutospacing="1" w:after="100" w:afterAutospacing="1" w:line="240" w:lineRule="auto"/>
        <w:jc w:val="both"/>
        <w:rPr>
          <w:rFonts w:ascii="Cambria" w:eastAsia="Times New Roman" w:hAnsi="Cambria" w:cs="Times New Roman"/>
          <w:b/>
          <w:bCs/>
          <w:sz w:val="24"/>
          <w:szCs w:val="24"/>
          <w:lang w:val="sv-SE"/>
        </w:rPr>
      </w:pPr>
      <w:r w:rsidRPr="00F014BC">
        <w:rPr>
          <w:rFonts w:ascii="Cambria" w:eastAsia="Times New Roman" w:hAnsi="Cambria" w:cs="Times New Roman"/>
          <w:b/>
          <w:bCs/>
          <w:sz w:val="24"/>
          <w:szCs w:val="24"/>
          <w:lang w:val="sv-SE"/>
        </w:rPr>
        <w:t xml:space="preserve">4. Simpulan </w:t>
      </w:r>
    </w:p>
    <w:p w14:paraId="19895C2A" w14:textId="77777777" w:rsidR="00D410F6" w:rsidRDefault="00F014BC" w:rsidP="00F014BC">
      <w:pPr>
        <w:spacing w:before="100" w:beforeAutospacing="1" w:after="100" w:afterAutospacing="1" w:line="240" w:lineRule="auto"/>
        <w:ind w:left="284" w:firstLine="425"/>
        <w:jc w:val="both"/>
        <w:rPr>
          <w:rFonts w:ascii="Cambria" w:eastAsia="Times New Roman" w:hAnsi="Cambria" w:cs="Times New Roman"/>
          <w:sz w:val="24"/>
          <w:szCs w:val="24"/>
          <w:lang w:val="sv-SE"/>
        </w:rPr>
      </w:pPr>
      <w:r w:rsidRPr="004371B0">
        <w:rPr>
          <w:rFonts w:ascii="Cambria" w:eastAsia="Times New Roman" w:hAnsi="Cambria" w:cs="Times New Roman"/>
          <w:sz w:val="24"/>
          <w:szCs w:val="24"/>
          <w:lang w:val="sv-SE"/>
        </w:rPr>
        <w:t xml:space="preserve">Peradilan Adat dalam sistem hukum Indonesia berfungsi sebagai mekanisme alternatif penyelesaian sengketa yang berkaitan dengan kepentingan masyarakat adat. Eksistensinya diakui dalam berbagai peraturan perundang-undangan, mulai dari UUD 1945 Pasal 18B ayat (2), Undang-Undang Kekuasaan Kehakiman, Undang-Undang Otonomi Khusus Papua, hingga Peraturan Daerah Khusus Papua, serta diperkuat oleh yurisprudensi Mahkamah Agung yang mengakui hukum adat sebagai sumber hukum. Meskipun demikian, pengakuan tersebut belum sepenuhnya memperkuat Peradilan Adat secara nasional dan masih bersifat parsial pada komunitas adat tertentu. Otonomi Khusus Papua memiliki cakupan yang luas dan berlaku bagi seluruh provinsi di wilayah Tanah Papua, termasuk Papua Barat dan daerah hasil pemekaran lainnya, sebagaimana ditegaskan dalam Undang-Undang Nomor 2 Tahun 2021. </w:t>
      </w:r>
    </w:p>
    <w:p w14:paraId="2F310A3D" w14:textId="523A16CB" w:rsidR="00F014BC" w:rsidRPr="004371B0" w:rsidRDefault="00F014BC" w:rsidP="00F014BC">
      <w:pPr>
        <w:spacing w:before="100" w:beforeAutospacing="1" w:after="100" w:afterAutospacing="1" w:line="240" w:lineRule="auto"/>
        <w:ind w:left="284" w:firstLine="425"/>
        <w:jc w:val="both"/>
        <w:rPr>
          <w:rFonts w:ascii="Cambria" w:eastAsia="Times New Roman" w:hAnsi="Cambria" w:cs="Times New Roman"/>
          <w:sz w:val="24"/>
          <w:szCs w:val="24"/>
          <w:lang w:val="sv-SE"/>
        </w:rPr>
      </w:pPr>
      <w:r w:rsidRPr="004371B0">
        <w:rPr>
          <w:rFonts w:ascii="Cambria" w:eastAsia="Times New Roman" w:hAnsi="Cambria" w:cs="Times New Roman"/>
          <w:sz w:val="24"/>
          <w:szCs w:val="24"/>
          <w:lang w:val="sv-SE"/>
        </w:rPr>
        <w:t>Kebijakan ini memberikan dasar konstitusional bagi pengakuan dan pengembangan kelembagaan hukum adat. Dalam praktiknya, peradilan adat masih berjalan secara paralel dengan peradilan negara. Keterbatasan akses terhadap peradilan formal, prosedur yang sederhana, serta rasa keadilan yang lebih sesuai dengan nilai lokal menjadikan peradilan adat tetap menjadi pilihan utama masyarakat adat. Di Kabupaten Fakfak, eksistensi Peradilan Adat mencerminkan pluralisme hukum, namun tetap memerlukan integrasi dan penguatan dalam sistem hukum nasional guna menjamin kepastian hukum. Pendekatan teori kewenangan, teori pengakuan, dan living law menjadi landasan analitis penting dalam menata Peradilan Adat dalam kerangka hukum positif Indonesia.</w:t>
      </w:r>
    </w:p>
    <w:p w14:paraId="5BC0ECC3" w14:textId="547B12CC" w:rsidR="00AC03E9" w:rsidRPr="004371B0" w:rsidRDefault="00AC03E9" w:rsidP="00AB605D">
      <w:pPr>
        <w:spacing w:after="0"/>
        <w:jc w:val="both"/>
        <w:rPr>
          <w:rFonts w:ascii="Cambria" w:hAnsi="Cambria" w:cs="Times New Roman"/>
          <w:b/>
          <w:bCs/>
          <w:sz w:val="24"/>
          <w:szCs w:val="24"/>
          <w:lang w:val="id-ID"/>
        </w:rPr>
        <w:sectPr w:rsidR="00AC03E9" w:rsidRPr="004371B0" w:rsidSect="008F036C">
          <w:headerReference w:type="default" r:id="rId9"/>
          <w:footerReference w:type="default" r:id="rId10"/>
          <w:pgSz w:w="11907" w:h="16840" w:code="9"/>
          <w:pgMar w:top="1701" w:right="1701" w:bottom="1701" w:left="2268" w:header="709" w:footer="709" w:gutter="0"/>
          <w:cols w:space="708"/>
          <w:titlePg/>
          <w:docGrid w:linePitch="360"/>
        </w:sectPr>
      </w:pPr>
    </w:p>
    <w:bookmarkEnd w:id="6"/>
    <w:p w14:paraId="1347E875" w14:textId="3F12E145" w:rsidR="00C0014E" w:rsidRDefault="005F1B86" w:rsidP="00AB605D">
      <w:pPr>
        <w:spacing w:after="0"/>
        <w:jc w:val="center"/>
        <w:rPr>
          <w:rFonts w:ascii="Cambria" w:hAnsi="Cambria" w:cs="Times New Roman"/>
          <w:b/>
          <w:sz w:val="24"/>
          <w:szCs w:val="24"/>
          <w:lang w:val="id-ID"/>
        </w:rPr>
      </w:pPr>
      <w:r w:rsidRPr="004371B0">
        <w:rPr>
          <w:rFonts w:ascii="Cambria" w:hAnsi="Cambria" w:cs="Times New Roman"/>
          <w:b/>
          <w:sz w:val="24"/>
          <w:szCs w:val="24"/>
          <w:lang w:val="id-ID"/>
        </w:rPr>
        <w:lastRenderedPageBreak/>
        <w:t>Daftar Pustaka</w:t>
      </w:r>
    </w:p>
    <w:p w14:paraId="6100FE66" w14:textId="77777777" w:rsidR="00035B0B" w:rsidRDefault="00035B0B" w:rsidP="003D6C63">
      <w:pPr>
        <w:spacing w:after="0"/>
        <w:rPr>
          <w:rFonts w:ascii="Cambria" w:hAnsi="Cambria" w:cs="Times New Roman"/>
          <w:b/>
          <w:sz w:val="24"/>
          <w:szCs w:val="24"/>
          <w:lang w:val="id-ID"/>
        </w:rPr>
      </w:pPr>
    </w:p>
    <w:p w14:paraId="096CAAEC" w14:textId="2BFA07DB" w:rsidR="003D6C63" w:rsidRDefault="003D6C63" w:rsidP="000B58BA">
      <w:pPr>
        <w:spacing w:after="0" w:line="240" w:lineRule="auto"/>
        <w:ind w:left="720" w:hanging="720"/>
        <w:jc w:val="both"/>
        <w:rPr>
          <w:rFonts w:ascii="Times New Roman" w:eastAsia="Times New Roman" w:hAnsi="Times New Roman" w:cs="Times New Roman"/>
          <w:color w:val="000000"/>
          <w:sz w:val="24"/>
          <w:szCs w:val="24"/>
          <w:lang w:val="sv-SE"/>
        </w:rPr>
      </w:pPr>
      <w:r w:rsidRPr="00FB5CA7">
        <w:rPr>
          <w:rFonts w:ascii="Times New Roman" w:eastAsia="Times New Roman" w:hAnsi="Times New Roman" w:cs="Times New Roman"/>
          <w:color w:val="000000"/>
          <w:sz w:val="24"/>
          <w:szCs w:val="24"/>
          <w:lang w:val="sv-SE"/>
        </w:rPr>
        <w:t xml:space="preserve">Ansori, L. (2018). </w:t>
      </w:r>
      <w:r w:rsidR="000B58BA" w:rsidRPr="00FB5CA7">
        <w:rPr>
          <w:rFonts w:ascii="Times New Roman" w:eastAsia="Times New Roman" w:hAnsi="Times New Roman" w:cs="Times New Roman"/>
          <w:color w:val="000000"/>
          <w:sz w:val="24"/>
          <w:szCs w:val="24"/>
          <w:lang w:val="sv-SE"/>
        </w:rPr>
        <w:t>Reformasi Penegakan Hukum Perspektif Hukum Progresif</w:t>
      </w:r>
      <w:r w:rsidRPr="00FB5CA7">
        <w:rPr>
          <w:rFonts w:ascii="Times New Roman" w:eastAsia="Times New Roman" w:hAnsi="Times New Roman" w:cs="Times New Roman"/>
          <w:color w:val="000000"/>
          <w:sz w:val="24"/>
          <w:szCs w:val="24"/>
          <w:lang w:val="sv-SE"/>
        </w:rPr>
        <w:t>. </w:t>
      </w:r>
      <w:r w:rsidRPr="00FB5CA7">
        <w:rPr>
          <w:rFonts w:ascii="Times New Roman" w:eastAsia="Times New Roman" w:hAnsi="Times New Roman" w:cs="Times New Roman"/>
          <w:i/>
          <w:iCs/>
          <w:color w:val="000000"/>
          <w:sz w:val="24"/>
          <w:szCs w:val="24"/>
          <w:lang w:val="sv-SE"/>
        </w:rPr>
        <w:t>Jurnal Yuridis</w:t>
      </w:r>
      <w:r w:rsidRPr="00FB5CA7">
        <w:rPr>
          <w:rFonts w:ascii="Times New Roman" w:eastAsia="Times New Roman" w:hAnsi="Times New Roman" w:cs="Times New Roman"/>
          <w:color w:val="000000"/>
          <w:sz w:val="24"/>
          <w:szCs w:val="24"/>
          <w:lang w:val="sv-SE"/>
        </w:rPr>
        <w:t>, </w:t>
      </w:r>
      <w:r w:rsidRPr="00FB5CA7">
        <w:rPr>
          <w:rFonts w:ascii="Times New Roman" w:eastAsia="Times New Roman" w:hAnsi="Times New Roman" w:cs="Times New Roman"/>
          <w:i/>
          <w:iCs/>
          <w:color w:val="000000"/>
          <w:sz w:val="24"/>
          <w:szCs w:val="24"/>
          <w:lang w:val="sv-SE"/>
        </w:rPr>
        <w:t>4</w:t>
      </w:r>
      <w:r w:rsidRPr="00FB5CA7">
        <w:rPr>
          <w:rFonts w:ascii="Times New Roman" w:eastAsia="Times New Roman" w:hAnsi="Times New Roman" w:cs="Times New Roman"/>
          <w:color w:val="000000"/>
          <w:sz w:val="24"/>
          <w:szCs w:val="24"/>
          <w:lang w:val="sv-SE"/>
        </w:rPr>
        <w:t>(2), 148. </w:t>
      </w:r>
      <w:hyperlink r:id="rId11" w:history="1">
        <w:r w:rsidR="000B58BA" w:rsidRPr="00066962">
          <w:rPr>
            <w:rStyle w:val="Hyperlink"/>
            <w:rFonts w:ascii="Times New Roman" w:eastAsia="Times New Roman" w:hAnsi="Times New Roman" w:cs="Times New Roman"/>
            <w:sz w:val="24"/>
            <w:szCs w:val="24"/>
            <w:lang w:val="sv-SE"/>
          </w:rPr>
          <w:t>https://doi.org/10.35586/.v4i2.244</w:t>
        </w:r>
      </w:hyperlink>
    </w:p>
    <w:p w14:paraId="04376ABF" w14:textId="77777777" w:rsidR="000B58BA" w:rsidRPr="00FB5CA7" w:rsidRDefault="000B58BA" w:rsidP="000B58BA">
      <w:pPr>
        <w:spacing w:after="0" w:line="240" w:lineRule="auto"/>
        <w:ind w:left="720" w:hanging="720"/>
        <w:jc w:val="both"/>
        <w:rPr>
          <w:rFonts w:ascii="Times New Roman" w:eastAsia="Times New Roman" w:hAnsi="Times New Roman" w:cs="Times New Roman"/>
          <w:color w:val="000000"/>
          <w:sz w:val="24"/>
          <w:szCs w:val="24"/>
          <w:lang w:val="sv-SE"/>
        </w:rPr>
      </w:pPr>
    </w:p>
    <w:p w14:paraId="28E5E1E6" w14:textId="3A67F80A" w:rsidR="003D6C63" w:rsidRDefault="003D6C63" w:rsidP="000B58BA">
      <w:pPr>
        <w:spacing w:after="0" w:line="240" w:lineRule="auto"/>
        <w:ind w:left="720" w:hanging="720"/>
        <w:jc w:val="both"/>
        <w:rPr>
          <w:rFonts w:ascii="Times New Roman" w:eastAsia="Times New Roman" w:hAnsi="Times New Roman" w:cs="Times New Roman"/>
          <w:color w:val="000000"/>
          <w:sz w:val="24"/>
          <w:szCs w:val="24"/>
          <w:lang w:val="en-ID"/>
        </w:rPr>
      </w:pPr>
      <w:r w:rsidRPr="00FB5CA7">
        <w:rPr>
          <w:rFonts w:ascii="Times New Roman" w:eastAsia="Times New Roman" w:hAnsi="Times New Roman" w:cs="Times New Roman"/>
          <w:color w:val="000000"/>
          <w:sz w:val="24"/>
          <w:szCs w:val="24"/>
          <w:lang w:val="sv-SE"/>
        </w:rPr>
        <w:t>Febriawanti, D., &amp; Mansur, I. A. (2020). Dinamika Hukum Waris Adat di Masyarakat Bali Pada Masa Sekarang. </w:t>
      </w:r>
      <w:r w:rsidRPr="003D6C63">
        <w:rPr>
          <w:rFonts w:ascii="Times New Roman" w:eastAsia="Times New Roman" w:hAnsi="Times New Roman" w:cs="Times New Roman"/>
          <w:i/>
          <w:iCs/>
          <w:color w:val="000000"/>
          <w:sz w:val="24"/>
          <w:szCs w:val="24"/>
          <w:lang w:val="en-ID"/>
        </w:rPr>
        <w:t xml:space="preserve">Media </w:t>
      </w:r>
      <w:proofErr w:type="spellStart"/>
      <w:r w:rsidRPr="003D6C63">
        <w:rPr>
          <w:rFonts w:ascii="Times New Roman" w:eastAsia="Times New Roman" w:hAnsi="Times New Roman" w:cs="Times New Roman"/>
          <w:i/>
          <w:iCs/>
          <w:color w:val="000000"/>
          <w:sz w:val="24"/>
          <w:szCs w:val="24"/>
          <w:lang w:val="en-ID"/>
        </w:rPr>
        <w:t>Iuris</w:t>
      </w:r>
      <w:proofErr w:type="spellEnd"/>
      <w:r w:rsidRPr="003D6C63">
        <w:rPr>
          <w:rFonts w:ascii="Times New Roman" w:eastAsia="Times New Roman" w:hAnsi="Times New Roman" w:cs="Times New Roman"/>
          <w:color w:val="000000"/>
          <w:sz w:val="24"/>
          <w:szCs w:val="24"/>
          <w:lang w:val="en-ID"/>
        </w:rPr>
        <w:t>, </w:t>
      </w:r>
      <w:r w:rsidRPr="003D6C63">
        <w:rPr>
          <w:rFonts w:ascii="Times New Roman" w:eastAsia="Times New Roman" w:hAnsi="Times New Roman" w:cs="Times New Roman"/>
          <w:i/>
          <w:iCs/>
          <w:color w:val="000000"/>
          <w:sz w:val="24"/>
          <w:szCs w:val="24"/>
          <w:lang w:val="en-ID"/>
        </w:rPr>
        <w:t>3</w:t>
      </w:r>
      <w:r w:rsidRPr="003D6C63">
        <w:rPr>
          <w:rFonts w:ascii="Times New Roman" w:eastAsia="Times New Roman" w:hAnsi="Times New Roman" w:cs="Times New Roman"/>
          <w:color w:val="000000"/>
          <w:sz w:val="24"/>
          <w:szCs w:val="24"/>
          <w:lang w:val="en-ID"/>
        </w:rPr>
        <w:t>(2), 119. </w:t>
      </w:r>
      <w:hyperlink r:id="rId12" w:history="1">
        <w:r w:rsidR="000B58BA" w:rsidRPr="00066962">
          <w:rPr>
            <w:rStyle w:val="Hyperlink"/>
            <w:rFonts w:ascii="Times New Roman" w:eastAsia="Times New Roman" w:hAnsi="Times New Roman" w:cs="Times New Roman"/>
            <w:sz w:val="24"/>
            <w:szCs w:val="24"/>
            <w:lang w:val="en-ID"/>
          </w:rPr>
          <w:t>https://doi.org/10.20473/mi.v3i2.18754</w:t>
        </w:r>
      </w:hyperlink>
    </w:p>
    <w:p w14:paraId="1656BDD9" w14:textId="77777777" w:rsidR="000B58BA" w:rsidRPr="003D6C63" w:rsidRDefault="000B58BA" w:rsidP="000B58BA">
      <w:pPr>
        <w:spacing w:after="0" w:line="240" w:lineRule="auto"/>
        <w:ind w:left="720" w:hanging="720"/>
        <w:jc w:val="both"/>
        <w:rPr>
          <w:rFonts w:ascii="Times New Roman" w:eastAsia="Times New Roman" w:hAnsi="Times New Roman" w:cs="Times New Roman"/>
          <w:color w:val="000000"/>
          <w:sz w:val="24"/>
          <w:szCs w:val="24"/>
          <w:lang w:val="en-ID"/>
        </w:rPr>
      </w:pPr>
    </w:p>
    <w:p w14:paraId="1617F6F2" w14:textId="0EF92678" w:rsidR="003D6C63" w:rsidRDefault="003D6C63" w:rsidP="000B58BA">
      <w:pPr>
        <w:spacing w:after="0" w:line="240" w:lineRule="auto"/>
        <w:ind w:left="720" w:hanging="720"/>
        <w:jc w:val="both"/>
        <w:rPr>
          <w:rFonts w:ascii="Times New Roman" w:eastAsia="Times New Roman" w:hAnsi="Times New Roman" w:cs="Times New Roman"/>
          <w:color w:val="000000"/>
          <w:sz w:val="24"/>
          <w:szCs w:val="24"/>
          <w:lang w:val="en-ID"/>
        </w:rPr>
      </w:pPr>
      <w:proofErr w:type="spellStart"/>
      <w:r w:rsidRPr="003D6C63">
        <w:rPr>
          <w:rFonts w:ascii="Times New Roman" w:eastAsia="Times New Roman" w:hAnsi="Times New Roman" w:cs="Times New Roman"/>
          <w:color w:val="000000"/>
          <w:sz w:val="24"/>
          <w:szCs w:val="24"/>
          <w:lang w:val="en-ID"/>
        </w:rPr>
        <w:t>Jayus</w:t>
      </w:r>
      <w:proofErr w:type="spellEnd"/>
      <w:r w:rsidRPr="003D6C63">
        <w:rPr>
          <w:rFonts w:ascii="Times New Roman" w:eastAsia="Times New Roman" w:hAnsi="Times New Roman" w:cs="Times New Roman"/>
          <w:color w:val="000000"/>
          <w:sz w:val="24"/>
          <w:szCs w:val="24"/>
          <w:lang w:val="en-ID"/>
        </w:rPr>
        <w:t xml:space="preserve">, J. A. (2019). </w:t>
      </w:r>
      <w:r w:rsidR="000B58BA" w:rsidRPr="00FB5CA7">
        <w:rPr>
          <w:rFonts w:ascii="Times New Roman" w:eastAsia="Times New Roman" w:hAnsi="Times New Roman" w:cs="Times New Roman"/>
          <w:color w:val="000000"/>
          <w:sz w:val="24"/>
          <w:szCs w:val="24"/>
          <w:lang w:val="sv-SE"/>
        </w:rPr>
        <w:t>Eksistensi Pewarisan Hukum Adat Batak</w:t>
      </w:r>
      <w:r w:rsidRPr="00FB5CA7">
        <w:rPr>
          <w:rFonts w:ascii="Times New Roman" w:eastAsia="Times New Roman" w:hAnsi="Times New Roman" w:cs="Times New Roman"/>
          <w:color w:val="000000"/>
          <w:sz w:val="24"/>
          <w:szCs w:val="24"/>
          <w:lang w:val="sv-SE"/>
        </w:rPr>
        <w:t>. </w:t>
      </w:r>
      <w:proofErr w:type="spellStart"/>
      <w:r w:rsidRPr="003D6C63">
        <w:rPr>
          <w:rFonts w:ascii="Times New Roman" w:eastAsia="Times New Roman" w:hAnsi="Times New Roman" w:cs="Times New Roman"/>
          <w:i/>
          <w:iCs/>
          <w:color w:val="000000"/>
          <w:sz w:val="24"/>
          <w:szCs w:val="24"/>
          <w:lang w:val="en-ID"/>
        </w:rPr>
        <w:t>Jurnal</w:t>
      </w:r>
      <w:proofErr w:type="spellEnd"/>
      <w:r w:rsidRPr="003D6C63">
        <w:rPr>
          <w:rFonts w:ascii="Times New Roman" w:eastAsia="Times New Roman" w:hAnsi="Times New Roman" w:cs="Times New Roman"/>
          <w:i/>
          <w:iCs/>
          <w:color w:val="000000"/>
          <w:sz w:val="24"/>
          <w:szCs w:val="24"/>
          <w:lang w:val="en-ID"/>
        </w:rPr>
        <w:t xml:space="preserve"> </w:t>
      </w:r>
      <w:proofErr w:type="spellStart"/>
      <w:r w:rsidRPr="003D6C63">
        <w:rPr>
          <w:rFonts w:ascii="Times New Roman" w:eastAsia="Times New Roman" w:hAnsi="Times New Roman" w:cs="Times New Roman"/>
          <w:i/>
          <w:iCs/>
          <w:color w:val="000000"/>
          <w:sz w:val="24"/>
          <w:szCs w:val="24"/>
          <w:lang w:val="en-ID"/>
        </w:rPr>
        <w:t>Yudisial</w:t>
      </w:r>
      <w:proofErr w:type="spellEnd"/>
      <w:r w:rsidRPr="003D6C63">
        <w:rPr>
          <w:rFonts w:ascii="Times New Roman" w:eastAsia="Times New Roman" w:hAnsi="Times New Roman" w:cs="Times New Roman"/>
          <w:color w:val="000000"/>
          <w:sz w:val="24"/>
          <w:szCs w:val="24"/>
          <w:lang w:val="en-ID"/>
        </w:rPr>
        <w:t>, </w:t>
      </w:r>
      <w:r w:rsidRPr="003D6C63">
        <w:rPr>
          <w:rFonts w:ascii="Times New Roman" w:eastAsia="Times New Roman" w:hAnsi="Times New Roman" w:cs="Times New Roman"/>
          <w:i/>
          <w:iCs/>
          <w:color w:val="000000"/>
          <w:sz w:val="24"/>
          <w:szCs w:val="24"/>
          <w:lang w:val="en-ID"/>
        </w:rPr>
        <w:t>12</w:t>
      </w:r>
      <w:r w:rsidRPr="003D6C63">
        <w:rPr>
          <w:rFonts w:ascii="Times New Roman" w:eastAsia="Times New Roman" w:hAnsi="Times New Roman" w:cs="Times New Roman"/>
          <w:color w:val="000000"/>
          <w:sz w:val="24"/>
          <w:szCs w:val="24"/>
          <w:lang w:val="en-ID"/>
        </w:rPr>
        <w:t>(2), 235. </w:t>
      </w:r>
      <w:hyperlink r:id="rId13" w:history="1">
        <w:r w:rsidR="000B58BA" w:rsidRPr="00066962">
          <w:rPr>
            <w:rStyle w:val="Hyperlink"/>
            <w:rFonts w:ascii="Times New Roman" w:eastAsia="Times New Roman" w:hAnsi="Times New Roman" w:cs="Times New Roman"/>
            <w:sz w:val="24"/>
            <w:szCs w:val="24"/>
            <w:lang w:val="en-ID"/>
          </w:rPr>
          <w:t>https://doi.org/10.29123/jy.v12i2.384</w:t>
        </w:r>
      </w:hyperlink>
    </w:p>
    <w:p w14:paraId="77D6FC4B" w14:textId="77777777" w:rsidR="000B58BA" w:rsidRPr="003D6C63" w:rsidRDefault="000B58BA" w:rsidP="000B58BA">
      <w:pPr>
        <w:spacing w:after="0" w:line="240" w:lineRule="auto"/>
        <w:ind w:left="720" w:hanging="720"/>
        <w:jc w:val="both"/>
        <w:rPr>
          <w:rFonts w:ascii="Times New Roman" w:eastAsia="Times New Roman" w:hAnsi="Times New Roman" w:cs="Times New Roman"/>
          <w:color w:val="000000"/>
          <w:sz w:val="24"/>
          <w:szCs w:val="24"/>
          <w:lang w:val="en-ID"/>
        </w:rPr>
      </w:pPr>
    </w:p>
    <w:p w14:paraId="306952D8" w14:textId="13ABE26C" w:rsidR="003D6C63" w:rsidRDefault="003D6C63" w:rsidP="000B58BA">
      <w:pPr>
        <w:spacing w:after="0" w:line="240" w:lineRule="auto"/>
        <w:ind w:left="720" w:hanging="720"/>
        <w:jc w:val="both"/>
        <w:rPr>
          <w:rFonts w:ascii="Times New Roman" w:eastAsia="Times New Roman" w:hAnsi="Times New Roman" w:cs="Times New Roman"/>
          <w:color w:val="000000"/>
          <w:sz w:val="24"/>
          <w:szCs w:val="24"/>
          <w:lang w:val="en-ID"/>
        </w:rPr>
      </w:pPr>
      <w:r w:rsidRPr="00FB5CA7">
        <w:rPr>
          <w:rFonts w:ascii="Times New Roman" w:eastAsia="Times New Roman" w:hAnsi="Times New Roman" w:cs="Times New Roman"/>
          <w:color w:val="000000"/>
          <w:sz w:val="24"/>
          <w:szCs w:val="24"/>
          <w:lang w:val="sv-SE"/>
        </w:rPr>
        <w:t xml:space="preserve">Jushendri, J. (2019). </w:t>
      </w:r>
      <w:r w:rsidR="000B58BA" w:rsidRPr="00FB5CA7">
        <w:rPr>
          <w:rFonts w:ascii="Times New Roman" w:eastAsia="Times New Roman" w:hAnsi="Times New Roman" w:cs="Times New Roman"/>
          <w:color w:val="000000"/>
          <w:sz w:val="24"/>
          <w:szCs w:val="24"/>
          <w:lang w:val="sv-SE"/>
        </w:rPr>
        <w:t>Kedudukan Pengadilan Adat Dalam Rangka Menyelesaikan Sengketa Tanah</w:t>
      </w:r>
      <w:r w:rsidRPr="00FB5CA7">
        <w:rPr>
          <w:rFonts w:ascii="Times New Roman" w:eastAsia="Times New Roman" w:hAnsi="Times New Roman" w:cs="Times New Roman"/>
          <w:color w:val="000000"/>
          <w:sz w:val="24"/>
          <w:szCs w:val="24"/>
          <w:lang w:val="sv-SE"/>
        </w:rPr>
        <w:t>. </w:t>
      </w:r>
      <w:r w:rsidRPr="003D6C63">
        <w:rPr>
          <w:rFonts w:ascii="Times New Roman" w:eastAsia="Times New Roman" w:hAnsi="Times New Roman" w:cs="Times New Roman"/>
          <w:i/>
          <w:iCs/>
          <w:color w:val="000000"/>
          <w:sz w:val="24"/>
          <w:szCs w:val="24"/>
          <w:lang w:val="en-ID"/>
        </w:rPr>
        <w:t>SOL JUSTICIA</w:t>
      </w:r>
      <w:r w:rsidRPr="003D6C63">
        <w:rPr>
          <w:rFonts w:ascii="Times New Roman" w:eastAsia="Times New Roman" w:hAnsi="Times New Roman" w:cs="Times New Roman"/>
          <w:color w:val="000000"/>
          <w:sz w:val="24"/>
          <w:szCs w:val="24"/>
          <w:lang w:val="en-ID"/>
        </w:rPr>
        <w:t>, </w:t>
      </w:r>
      <w:r w:rsidRPr="003D6C63">
        <w:rPr>
          <w:rFonts w:ascii="Times New Roman" w:eastAsia="Times New Roman" w:hAnsi="Times New Roman" w:cs="Times New Roman"/>
          <w:i/>
          <w:iCs/>
          <w:color w:val="000000"/>
          <w:sz w:val="24"/>
          <w:szCs w:val="24"/>
          <w:lang w:val="en-ID"/>
        </w:rPr>
        <w:t>2</w:t>
      </w:r>
      <w:r w:rsidRPr="003D6C63">
        <w:rPr>
          <w:rFonts w:ascii="Times New Roman" w:eastAsia="Times New Roman" w:hAnsi="Times New Roman" w:cs="Times New Roman"/>
          <w:color w:val="000000"/>
          <w:sz w:val="24"/>
          <w:szCs w:val="24"/>
          <w:lang w:val="en-ID"/>
        </w:rPr>
        <w:t>(2), 154–167. </w:t>
      </w:r>
      <w:hyperlink r:id="rId14" w:history="1">
        <w:r w:rsidR="000B58BA" w:rsidRPr="00066962">
          <w:rPr>
            <w:rStyle w:val="Hyperlink"/>
            <w:rFonts w:ascii="Times New Roman" w:eastAsia="Times New Roman" w:hAnsi="Times New Roman" w:cs="Times New Roman"/>
            <w:sz w:val="24"/>
            <w:szCs w:val="24"/>
            <w:lang w:val="en-ID"/>
          </w:rPr>
          <w:t>http://ojs.ukb.ac.id/index.php/sj/article/view/98</w:t>
        </w:r>
      </w:hyperlink>
    </w:p>
    <w:p w14:paraId="307DDBD0" w14:textId="77777777" w:rsidR="000B58BA" w:rsidRPr="003D6C63" w:rsidRDefault="000B58BA" w:rsidP="000B58BA">
      <w:pPr>
        <w:spacing w:after="0" w:line="240" w:lineRule="auto"/>
        <w:ind w:left="720" w:hanging="720"/>
        <w:jc w:val="both"/>
        <w:rPr>
          <w:rFonts w:ascii="Times New Roman" w:eastAsia="Times New Roman" w:hAnsi="Times New Roman" w:cs="Times New Roman"/>
          <w:color w:val="000000"/>
          <w:sz w:val="24"/>
          <w:szCs w:val="24"/>
          <w:lang w:val="en-ID"/>
        </w:rPr>
      </w:pPr>
    </w:p>
    <w:p w14:paraId="539BF365" w14:textId="4106FF07" w:rsidR="003D6C63" w:rsidRDefault="003D6C63" w:rsidP="000B58BA">
      <w:pPr>
        <w:spacing w:after="0" w:line="240" w:lineRule="auto"/>
        <w:ind w:left="720" w:hanging="720"/>
        <w:jc w:val="both"/>
        <w:rPr>
          <w:rFonts w:ascii="Times New Roman" w:eastAsia="Times New Roman" w:hAnsi="Times New Roman" w:cs="Times New Roman"/>
          <w:color w:val="000000"/>
          <w:sz w:val="24"/>
          <w:szCs w:val="24"/>
          <w:lang w:val="en-ID"/>
        </w:rPr>
      </w:pPr>
      <w:r w:rsidRPr="00FB5CA7">
        <w:rPr>
          <w:rFonts w:ascii="Times New Roman" w:eastAsia="Times New Roman" w:hAnsi="Times New Roman" w:cs="Times New Roman"/>
          <w:color w:val="000000"/>
          <w:sz w:val="24"/>
          <w:szCs w:val="24"/>
          <w:lang w:val="sv-SE"/>
        </w:rPr>
        <w:t>Kurdi, S., &amp; Alamudi, I. A. (2022). Hukum dan politik di Indonesia pasca Kemerdekaan: Studi kasus Pengadilan Agama dan Pengadilan adat. </w:t>
      </w:r>
      <w:r w:rsidRPr="003D6C63">
        <w:rPr>
          <w:rFonts w:ascii="Times New Roman" w:eastAsia="Times New Roman" w:hAnsi="Times New Roman" w:cs="Times New Roman"/>
          <w:i/>
          <w:iCs/>
          <w:color w:val="000000"/>
          <w:sz w:val="24"/>
          <w:szCs w:val="24"/>
          <w:lang w:val="en-ID"/>
        </w:rPr>
        <w:t>JOURNAL OF ISLAMIC AND LAW STUDIES</w:t>
      </w:r>
      <w:r w:rsidRPr="003D6C63">
        <w:rPr>
          <w:rFonts w:ascii="Times New Roman" w:eastAsia="Times New Roman" w:hAnsi="Times New Roman" w:cs="Times New Roman"/>
          <w:color w:val="000000"/>
          <w:sz w:val="24"/>
          <w:szCs w:val="24"/>
          <w:lang w:val="en-ID"/>
        </w:rPr>
        <w:t>, </w:t>
      </w:r>
      <w:r w:rsidRPr="003D6C63">
        <w:rPr>
          <w:rFonts w:ascii="Times New Roman" w:eastAsia="Times New Roman" w:hAnsi="Times New Roman" w:cs="Times New Roman"/>
          <w:i/>
          <w:iCs/>
          <w:color w:val="000000"/>
          <w:sz w:val="24"/>
          <w:szCs w:val="24"/>
          <w:lang w:val="en-ID"/>
        </w:rPr>
        <w:t>5</w:t>
      </w:r>
      <w:r w:rsidRPr="003D6C63">
        <w:rPr>
          <w:rFonts w:ascii="Times New Roman" w:eastAsia="Times New Roman" w:hAnsi="Times New Roman" w:cs="Times New Roman"/>
          <w:color w:val="000000"/>
          <w:sz w:val="24"/>
          <w:szCs w:val="24"/>
          <w:lang w:val="en-ID"/>
        </w:rPr>
        <w:t>(3). </w:t>
      </w:r>
      <w:hyperlink r:id="rId15" w:history="1">
        <w:r w:rsidR="000B58BA" w:rsidRPr="00066962">
          <w:rPr>
            <w:rStyle w:val="Hyperlink"/>
            <w:rFonts w:ascii="Times New Roman" w:eastAsia="Times New Roman" w:hAnsi="Times New Roman" w:cs="Times New Roman"/>
            <w:sz w:val="24"/>
            <w:szCs w:val="24"/>
            <w:lang w:val="en-ID"/>
          </w:rPr>
          <w:t>https://doi.org/10.18592/jils.v5i3.5816</w:t>
        </w:r>
      </w:hyperlink>
    </w:p>
    <w:p w14:paraId="525AD0EA" w14:textId="77777777" w:rsidR="000B58BA" w:rsidRPr="003D6C63" w:rsidRDefault="000B58BA" w:rsidP="000B58BA">
      <w:pPr>
        <w:spacing w:after="0" w:line="240" w:lineRule="auto"/>
        <w:ind w:left="720" w:hanging="720"/>
        <w:jc w:val="both"/>
        <w:rPr>
          <w:rFonts w:ascii="Times New Roman" w:eastAsia="Times New Roman" w:hAnsi="Times New Roman" w:cs="Times New Roman"/>
          <w:color w:val="000000"/>
          <w:sz w:val="24"/>
          <w:szCs w:val="24"/>
          <w:lang w:val="en-ID"/>
        </w:rPr>
      </w:pPr>
    </w:p>
    <w:p w14:paraId="20D55C1C" w14:textId="31626331" w:rsidR="003D6C63" w:rsidRDefault="003D6C63" w:rsidP="000B58BA">
      <w:pPr>
        <w:spacing w:after="0" w:line="240" w:lineRule="auto"/>
        <w:ind w:left="720" w:hanging="720"/>
        <w:jc w:val="both"/>
        <w:rPr>
          <w:rFonts w:ascii="Times New Roman" w:eastAsia="Times New Roman" w:hAnsi="Times New Roman" w:cs="Times New Roman"/>
          <w:color w:val="000000"/>
          <w:sz w:val="24"/>
          <w:szCs w:val="24"/>
          <w:lang w:val="sv-SE"/>
        </w:rPr>
      </w:pPr>
      <w:r w:rsidRPr="00FB5CA7">
        <w:rPr>
          <w:rFonts w:ascii="Times New Roman" w:eastAsia="Times New Roman" w:hAnsi="Times New Roman" w:cs="Times New Roman"/>
          <w:color w:val="000000"/>
          <w:sz w:val="24"/>
          <w:szCs w:val="24"/>
          <w:lang w:val="sv-SE"/>
        </w:rPr>
        <w:t xml:space="preserve">Makassar, U. I. N. A., &amp; Salim, M. (2016). </w:t>
      </w:r>
      <w:r w:rsidR="000B58BA" w:rsidRPr="00FB5CA7">
        <w:rPr>
          <w:rFonts w:ascii="Times New Roman" w:eastAsia="Times New Roman" w:hAnsi="Times New Roman" w:cs="Times New Roman"/>
          <w:color w:val="000000"/>
          <w:sz w:val="24"/>
          <w:szCs w:val="24"/>
          <w:lang w:val="sv-SE"/>
        </w:rPr>
        <w:t>Adat Sebagai Budaya Kearifan Lokal Untuk Memperkuat Eksistensi Adat Ke Depan.</w:t>
      </w:r>
      <w:r w:rsidRPr="00FB5CA7">
        <w:rPr>
          <w:rFonts w:ascii="Times New Roman" w:eastAsia="Times New Roman" w:hAnsi="Times New Roman" w:cs="Times New Roman"/>
          <w:color w:val="000000"/>
          <w:sz w:val="24"/>
          <w:szCs w:val="24"/>
          <w:lang w:val="sv-SE"/>
        </w:rPr>
        <w:t> </w:t>
      </w:r>
      <w:r w:rsidRPr="00FB5CA7">
        <w:rPr>
          <w:rFonts w:ascii="Times New Roman" w:eastAsia="Times New Roman" w:hAnsi="Times New Roman" w:cs="Times New Roman"/>
          <w:i/>
          <w:iCs/>
          <w:color w:val="000000"/>
          <w:sz w:val="24"/>
          <w:szCs w:val="24"/>
          <w:lang w:val="sv-SE"/>
        </w:rPr>
        <w:t>Al Daulah Jurnal Hukum Pidana Dan Ketatanegaraan</w:t>
      </w:r>
      <w:r w:rsidRPr="00FB5CA7">
        <w:rPr>
          <w:rFonts w:ascii="Times New Roman" w:eastAsia="Times New Roman" w:hAnsi="Times New Roman" w:cs="Times New Roman"/>
          <w:color w:val="000000"/>
          <w:sz w:val="24"/>
          <w:szCs w:val="24"/>
          <w:lang w:val="sv-SE"/>
        </w:rPr>
        <w:t>, </w:t>
      </w:r>
      <w:r w:rsidRPr="00FB5CA7">
        <w:rPr>
          <w:rFonts w:ascii="Times New Roman" w:eastAsia="Times New Roman" w:hAnsi="Times New Roman" w:cs="Times New Roman"/>
          <w:i/>
          <w:iCs/>
          <w:color w:val="000000"/>
          <w:sz w:val="24"/>
          <w:szCs w:val="24"/>
          <w:lang w:val="sv-SE"/>
        </w:rPr>
        <w:t>5</w:t>
      </w:r>
      <w:r w:rsidRPr="00FB5CA7">
        <w:rPr>
          <w:rFonts w:ascii="Times New Roman" w:eastAsia="Times New Roman" w:hAnsi="Times New Roman" w:cs="Times New Roman"/>
          <w:color w:val="000000"/>
          <w:sz w:val="24"/>
          <w:szCs w:val="24"/>
          <w:lang w:val="sv-SE"/>
        </w:rPr>
        <w:t>(2), 244–255. </w:t>
      </w:r>
      <w:hyperlink r:id="rId16" w:history="1">
        <w:r w:rsidR="000B58BA" w:rsidRPr="00066962">
          <w:rPr>
            <w:rStyle w:val="Hyperlink"/>
            <w:rFonts w:ascii="Times New Roman" w:eastAsia="Times New Roman" w:hAnsi="Times New Roman" w:cs="Times New Roman"/>
            <w:sz w:val="24"/>
            <w:szCs w:val="24"/>
            <w:lang w:val="sv-SE"/>
          </w:rPr>
          <w:t>https://doi.org/10.24252/ad.v5i2.4845</w:t>
        </w:r>
      </w:hyperlink>
    </w:p>
    <w:p w14:paraId="008F054C" w14:textId="77777777" w:rsidR="000B58BA" w:rsidRPr="00FB5CA7" w:rsidRDefault="000B58BA" w:rsidP="000B58BA">
      <w:pPr>
        <w:spacing w:after="0" w:line="240" w:lineRule="auto"/>
        <w:ind w:left="720" w:hanging="720"/>
        <w:jc w:val="both"/>
        <w:rPr>
          <w:rFonts w:ascii="Times New Roman" w:eastAsia="Times New Roman" w:hAnsi="Times New Roman" w:cs="Times New Roman"/>
          <w:color w:val="000000"/>
          <w:sz w:val="24"/>
          <w:szCs w:val="24"/>
          <w:lang w:val="sv-SE"/>
        </w:rPr>
      </w:pPr>
    </w:p>
    <w:p w14:paraId="343B5FA9" w14:textId="7D833C10" w:rsidR="003D6C63" w:rsidRDefault="003D6C63" w:rsidP="000B58BA">
      <w:pPr>
        <w:spacing w:after="0" w:line="240" w:lineRule="auto"/>
        <w:ind w:left="720" w:hanging="720"/>
        <w:jc w:val="both"/>
        <w:rPr>
          <w:rFonts w:ascii="Times New Roman" w:eastAsia="Times New Roman" w:hAnsi="Times New Roman" w:cs="Times New Roman"/>
          <w:color w:val="000000"/>
          <w:sz w:val="24"/>
          <w:szCs w:val="24"/>
          <w:lang w:val="sv-SE"/>
        </w:rPr>
      </w:pPr>
      <w:r w:rsidRPr="00FB5CA7">
        <w:rPr>
          <w:rFonts w:ascii="Times New Roman" w:eastAsia="Times New Roman" w:hAnsi="Times New Roman" w:cs="Times New Roman"/>
          <w:color w:val="000000"/>
          <w:sz w:val="24"/>
          <w:szCs w:val="24"/>
          <w:lang w:val="sv-SE"/>
        </w:rPr>
        <w:t xml:space="preserve">Masril, M., &amp; Kosasih, A. (2019). </w:t>
      </w:r>
      <w:r w:rsidR="000B58BA" w:rsidRPr="00FB5CA7">
        <w:rPr>
          <w:rFonts w:ascii="Times New Roman" w:eastAsia="Times New Roman" w:hAnsi="Times New Roman" w:cs="Times New Roman"/>
          <w:color w:val="000000"/>
          <w:sz w:val="24"/>
          <w:szCs w:val="24"/>
          <w:lang w:val="sv-SE"/>
        </w:rPr>
        <w:t>Keberlakuan Asas Ne Bis In Idem Terhadap Putusan Pengadilan Adat Dalam Tata Hukum Indonesia.</w:t>
      </w:r>
      <w:r w:rsidRPr="00FB5CA7">
        <w:rPr>
          <w:rFonts w:ascii="Times New Roman" w:eastAsia="Times New Roman" w:hAnsi="Times New Roman" w:cs="Times New Roman"/>
          <w:color w:val="000000"/>
          <w:sz w:val="24"/>
          <w:szCs w:val="24"/>
          <w:lang w:val="sv-SE"/>
        </w:rPr>
        <w:t> </w:t>
      </w:r>
      <w:r w:rsidRPr="00FB5CA7">
        <w:rPr>
          <w:rFonts w:ascii="Times New Roman" w:eastAsia="Times New Roman" w:hAnsi="Times New Roman" w:cs="Times New Roman"/>
          <w:i/>
          <w:iCs/>
          <w:color w:val="000000"/>
          <w:sz w:val="24"/>
          <w:szCs w:val="24"/>
          <w:lang w:val="sv-SE"/>
        </w:rPr>
        <w:t>AL IMARAH JURNAL PEMERINTAHAN DAN POLITIK ISLAM</w:t>
      </w:r>
      <w:r w:rsidRPr="00FB5CA7">
        <w:rPr>
          <w:rFonts w:ascii="Times New Roman" w:eastAsia="Times New Roman" w:hAnsi="Times New Roman" w:cs="Times New Roman"/>
          <w:color w:val="000000"/>
          <w:sz w:val="24"/>
          <w:szCs w:val="24"/>
          <w:lang w:val="sv-SE"/>
        </w:rPr>
        <w:t>, </w:t>
      </w:r>
      <w:r w:rsidRPr="00FB5CA7">
        <w:rPr>
          <w:rFonts w:ascii="Times New Roman" w:eastAsia="Times New Roman" w:hAnsi="Times New Roman" w:cs="Times New Roman"/>
          <w:i/>
          <w:iCs/>
          <w:color w:val="000000"/>
          <w:sz w:val="24"/>
          <w:szCs w:val="24"/>
          <w:lang w:val="sv-SE"/>
        </w:rPr>
        <w:t>4</w:t>
      </w:r>
      <w:r w:rsidRPr="00FB5CA7">
        <w:rPr>
          <w:rFonts w:ascii="Times New Roman" w:eastAsia="Times New Roman" w:hAnsi="Times New Roman" w:cs="Times New Roman"/>
          <w:color w:val="000000"/>
          <w:sz w:val="24"/>
          <w:szCs w:val="24"/>
          <w:lang w:val="sv-SE"/>
        </w:rPr>
        <w:t>(1), 49. </w:t>
      </w:r>
      <w:hyperlink r:id="rId17" w:history="1">
        <w:r w:rsidR="000B58BA" w:rsidRPr="00066962">
          <w:rPr>
            <w:rStyle w:val="Hyperlink"/>
            <w:rFonts w:ascii="Times New Roman" w:eastAsia="Times New Roman" w:hAnsi="Times New Roman" w:cs="Times New Roman"/>
            <w:sz w:val="24"/>
            <w:szCs w:val="24"/>
            <w:lang w:val="sv-SE"/>
          </w:rPr>
          <w:t>https://doi.org/10.29300/imr.v4i1.2167</w:t>
        </w:r>
      </w:hyperlink>
    </w:p>
    <w:p w14:paraId="5F8A9B7B" w14:textId="77777777" w:rsidR="000B58BA" w:rsidRPr="00FB5CA7" w:rsidRDefault="000B58BA" w:rsidP="000B58BA">
      <w:pPr>
        <w:spacing w:after="0" w:line="240" w:lineRule="auto"/>
        <w:ind w:left="720" w:hanging="720"/>
        <w:jc w:val="both"/>
        <w:rPr>
          <w:rFonts w:ascii="Times New Roman" w:eastAsia="Times New Roman" w:hAnsi="Times New Roman" w:cs="Times New Roman"/>
          <w:color w:val="000000"/>
          <w:sz w:val="24"/>
          <w:szCs w:val="24"/>
          <w:lang w:val="sv-SE"/>
        </w:rPr>
      </w:pPr>
    </w:p>
    <w:p w14:paraId="64D1A6CA" w14:textId="202F0E0A" w:rsidR="003D6C63" w:rsidRDefault="003D6C63" w:rsidP="000B58BA">
      <w:pPr>
        <w:spacing w:after="0" w:line="240" w:lineRule="auto"/>
        <w:ind w:left="720" w:hanging="720"/>
        <w:jc w:val="both"/>
        <w:rPr>
          <w:rFonts w:ascii="Times New Roman" w:eastAsia="Times New Roman" w:hAnsi="Times New Roman" w:cs="Times New Roman"/>
          <w:color w:val="000000"/>
          <w:sz w:val="24"/>
          <w:szCs w:val="24"/>
          <w:lang w:val="sv-SE"/>
        </w:rPr>
      </w:pPr>
      <w:r w:rsidRPr="00FB5CA7">
        <w:rPr>
          <w:rFonts w:ascii="Times New Roman" w:eastAsia="Times New Roman" w:hAnsi="Times New Roman" w:cs="Times New Roman"/>
          <w:color w:val="000000"/>
          <w:sz w:val="24"/>
          <w:szCs w:val="24"/>
          <w:lang w:val="sv-SE"/>
        </w:rPr>
        <w:t>Nalle, V. I. W. (2018). Pembaharuan Hukum Waris Adat dalam Putusan Pengadilan (Penghormatan Identitas Budaya Vs Perkembangan Zaman). </w:t>
      </w:r>
      <w:r w:rsidRPr="00FB5CA7">
        <w:rPr>
          <w:rFonts w:ascii="Times New Roman" w:eastAsia="Times New Roman" w:hAnsi="Times New Roman" w:cs="Times New Roman"/>
          <w:i/>
          <w:iCs/>
          <w:color w:val="000000"/>
          <w:sz w:val="24"/>
          <w:szCs w:val="24"/>
          <w:lang w:val="sv-SE"/>
        </w:rPr>
        <w:t>Mimbar Hukum - Fakultas Hukum Universitas Gadjah Mada</w:t>
      </w:r>
      <w:r w:rsidRPr="00FB5CA7">
        <w:rPr>
          <w:rFonts w:ascii="Times New Roman" w:eastAsia="Times New Roman" w:hAnsi="Times New Roman" w:cs="Times New Roman"/>
          <w:color w:val="000000"/>
          <w:sz w:val="24"/>
          <w:szCs w:val="24"/>
          <w:lang w:val="sv-SE"/>
        </w:rPr>
        <w:t>, </w:t>
      </w:r>
      <w:r w:rsidRPr="00FB5CA7">
        <w:rPr>
          <w:rFonts w:ascii="Times New Roman" w:eastAsia="Times New Roman" w:hAnsi="Times New Roman" w:cs="Times New Roman"/>
          <w:i/>
          <w:iCs/>
          <w:color w:val="000000"/>
          <w:sz w:val="24"/>
          <w:szCs w:val="24"/>
          <w:lang w:val="sv-SE"/>
        </w:rPr>
        <w:t>30</w:t>
      </w:r>
      <w:r w:rsidRPr="00FB5CA7">
        <w:rPr>
          <w:rFonts w:ascii="Times New Roman" w:eastAsia="Times New Roman" w:hAnsi="Times New Roman" w:cs="Times New Roman"/>
          <w:color w:val="000000"/>
          <w:sz w:val="24"/>
          <w:szCs w:val="24"/>
          <w:lang w:val="sv-SE"/>
        </w:rPr>
        <w:t>(3), 436. </w:t>
      </w:r>
      <w:hyperlink r:id="rId18" w:history="1">
        <w:r w:rsidR="000B58BA" w:rsidRPr="00066962">
          <w:rPr>
            <w:rStyle w:val="Hyperlink"/>
            <w:rFonts w:ascii="Times New Roman" w:eastAsia="Times New Roman" w:hAnsi="Times New Roman" w:cs="Times New Roman"/>
            <w:sz w:val="24"/>
            <w:szCs w:val="24"/>
            <w:lang w:val="sv-SE"/>
          </w:rPr>
          <w:t>https://doi.org/10.22146/jmh.37201</w:t>
        </w:r>
      </w:hyperlink>
    </w:p>
    <w:p w14:paraId="30CA0EAE" w14:textId="77777777" w:rsidR="000B58BA" w:rsidRPr="00FB5CA7" w:rsidRDefault="000B58BA" w:rsidP="000B58BA">
      <w:pPr>
        <w:spacing w:after="0" w:line="240" w:lineRule="auto"/>
        <w:ind w:left="720" w:hanging="720"/>
        <w:jc w:val="both"/>
        <w:rPr>
          <w:rFonts w:ascii="Times New Roman" w:eastAsia="Times New Roman" w:hAnsi="Times New Roman" w:cs="Times New Roman"/>
          <w:color w:val="000000"/>
          <w:sz w:val="24"/>
          <w:szCs w:val="24"/>
          <w:lang w:val="sv-SE"/>
        </w:rPr>
      </w:pPr>
    </w:p>
    <w:p w14:paraId="59F88FC3" w14:textId="78FD1223" w:rsidR="003D6C63" w:rsidRDefault="003D6C63" w:rsidP="000B58BA">
      <w:pPr>
        <w:spacing w:after="0" w:line="240" w:lineRule="auto"/>
        <w:ind w:left="720" w:hanging="720"/>
        <w:jc w:val="both"/>
        <w:rPr>
          <w:rFonts w:ascii="Times New Roman" w:eastAsia="Times New Roman" w:hAnsi="Times New Roman" w:cs="Times New Roman"/>
          <w:color w:val="000000"/>
          <w:sz w:val="24"/>
          <w:szCs w:val="24"/>
          <w:lang w:val="sv-SE"/>
        </w:rPr>
      </w:pPr>
      <w:r w:rsidRPr="00FB5CA7">
        <w:rPr>
          <w:rFonts w:ascii="Times New Roman" w:eastAsia="Times New Roman" w:hAnsi="Times New Roman" w:cs="Times New Roman"/>
          <w:color w:val="000000"/>
          <w:sz w:val="24"/>
          <w:szCs w:val="24"/>
          <w:lang w:val="sv-SE"/>
        </w:rPr>
        <w:t>Pradhani, S. I. (2020). Perspektif Pemikiran Hukum Barat dalam Penemuan Hukum Adat oleh Hakim: Studi Kasus Putusan Sengketa Tanah Adat di Pengadilan Negeri Muara Teweh, Padang, Makale, dan Painan. </w:t>
      </w:r>
      <w:r w:rsidRPr="00FB5CA7">
        <w:rPr>
          <w:rFonts w:ascii="Times New Roman" w:eastAsia="Times New Roman" w:hAnsi="Times New Roman" w:cs="Times New Roman"/>
          <w:i/>
          <w:iCs/>
          <w:color w:val="000000"/>
          <w:sz w:val="24"/>
          <w:szCs w:val="24"/>
          <w:lang w:val="sv-SE"/>
        </w:rPr>
        <w:t>BHUMI Jurnal Agraria Dan Pertanahan</w:t>
      </w:r>
      <w:r w:rsidRPr="00FB5CA7">
        <w:rPr>
          <w:rFonts w:ascii="Times New Roman" w:eastAsia="Times New Roman" w:hAnsi="Times New Roman" w:cs="Times New Roman"/>
          <w:color w:val="000000"/>
          <w:sz w:val="24"/>
          <w:szCs w:val="24"/>
          <w:lang w:val="sv-SE"/>
        </w:rPr>
        <w:t>, </w:t>
      </w:r>
      <w:r w:rsidRPr="00FB5CA7">
        <w:rPr>
          <w:rFonts w:ascii="Times New Roman" w:eastAsia="Times New Roman" w:hAnsi="Times New Roman" w:cs="Times New Roman"/>
          <w:i/>
          <w:iCs/>
          <w:color w:val="000000"/>
          <w:sz w:val="24"/>
          <w:szCs w:val="24"/>
          <w:lang w:val="sv-SE"/>
        </w:rPr>
        <w:t>6</w:t>
      </w:r>
      <w:r w:rsidRPr="00FB5CA7">
        <w:rPr>
          <w:rFonts w:ascii="Times New Roman" w:eastAsia="Times New Roman" w:hAnsi="Times New Roman" w:cs="Times New Roman"/>
          <w:color w:val="000000"/>
          <w:sz w:val="24"/>
          <w:szCs w:val="24"/>
          <w:lang w:val="sv-SE"/>
        </w:rPr>
        <w:t>(1). </w:t>
      </w:r>
      <w:hyperlink r:id="rId19" w:history="1">
        <w:r w:rsidR="000B58BA" w:rsidRPr="00066962">
          <w:rPr>
            <w:rStyle w:val="Hyperlink"/>
            <w:rFonts w:ascii="Times New Roman" w:eastAsia="Times New Roman" w:hAnsi="Times New Roman" w:cs="Times New Roman"/>
            <w:sz w:val="24"/>
            <w:szCs w:val="24"/>
            <w:lang w:val="sv-SE"/>
          </w:rPr>
          <w:t>https://doi.org/10.31292/jb.v6i1.420</w:t>
        </w:r>
      </w:hyperlink>
    </w:p>
    <w:p w14:paraId="684E2241" w14:textId="77777777" w:rsidR="000B58BA" w:rsidRPr="00FB5CA7" w:rsidRDefault="000B58BA" w:rsidP="000B58BA">
      <w:pPr>
        <w:spacing w:after="0" w:line="240" w:lineRule="auto"/>
        <w:ind w:left="720" w:hanging="720"/>
        <w:jc w:val="both"/>
        <w:rPr>
          <w:rFonts w:ascii="Times New Roman" w:eastAsia="Times New Roman" w:hAnsi="Times New Roman" w:cs="Times New Roman"/>
          <w:color w:val="000000"/>
          <w:sz w:val="24"/>
          <w:szCs w:val="24"/>
          <w:lang w:val="sv-SE"/>
        </w:rPr>
      </w:pPr>
    </w:p>
    <w:p w14:paraId="2FB019C3" w14:textId="6683C508" w:rsidR="003D6C63" w:rsidRDefault="003D6C63" w:rsidP="000B58BA">
      <w:pPr>
        <w:spacing w:after="0" w:line="240" w:lineRule="auto"/>
        <w:ind w:left="720" w:hanging="720"/>
        <w:jc w:val="both"/>
        <w:rPr>
          <w:rFonts w:ascii="Times New Roman" w:eastAsia="Times New Roman" w:hAnsi="Times New Roman" w:cs="Times New Roman"/>
          <w:color w:val="000000"/>
          <w:sz w:val="24"/>
          <w:szCs w:val="24"/>
          <w:lang w:val="sv-SE"/>
        </w:rPr>
      </w:pPr>
      <w:r w:rsidRPr="00FB5CA7">
        <w:rPr>
          <w:rFonts w:ascii="Times New Roman" w:eastAsia="Times New Roman" w:hAnsi="Times New Roman" w:cs="Times New Roman"/>
          <w:color w:val="000000"/>
          <w:sz w:val="24"/>
          <w:szCs w:val="24"/>
          <w:lang w:val="sv-SE"/>
        </w:rPr>
        <w:t>Pradhani, S. I. (2021). Pendekatan Pluralisme Hukum dalam Studi Hukum Adat: Interaksi Hukum Adat dengan Hukum Nasional dan Internasional. </w:t>
      </w:r>
      <w:r w:rsidRPr="00FB5CA7">
        <w:rPr>
          <w:rFonts w:ascii="Times New Roman" w:eastAsia="Times New Roman" w:hAnsi="Times New Roman" w:cs="Times New Roman"/>
          <w:i/>
          <w:iCs/>
          <w:color w:val="000000"/>
          <w:sz w:val="24"/>
          <w:szCs w:val="24"/>
          <w:lang w:val="sv-SE"/>
        </w:rPr>
        <w:t>Undang Jurnal Hukum</w:t>
      </w:r>
      <w:r w:rsidRPr="00FB5CA7">
        <w:rPr>
          <w:rFonts w:ascii="Times New Roman" w:eastAsia="Times New Roman" w:hAnsi="Times New Roman" w:cs="Times New Roman"/>
          <w:color w:val="000000"/>
          <w:sz w:val="24"/>
          <w:szCs w:val="24"/>
          <w:lang w:val="sv-SE"/>
        </w:rPr>
        <w:t>, </w:t>
      </w:r>
      <w:r w:rsidRPr="00FB5CA7">
        <w:rPr>
          <w:rFonts w:ascii="Times New Roman" w:eastAsia="Times New Roman" w:hAnsi="Times New Roman" w:cs="Times New Roman"/>
          <w:i/>
          <w:iCs/>
          <w:color w:val="000000"/>
          <w:sz w:val="24"/>
          <w:szCs w:val="24"/>
          <w:lang w:val="sv-SE"/>
        </w:rPr>
        <w:t>4</w:t>
      </w:r>
      <w:r w:rsidRPr="00FB5CA7">
        <w:rPr>
          <w:rFonts w:ascii="Times New Roman" w:eastAsia="Times New Roman" w:hAnsi="Times New Roman" w:cs="Times New Roman"/>
          <w:color w:val="000000"/>
          <w:sz w:val="24"/>
          <w:szCs w:val="24"/>
          <w:lang w:val="sv-SE"/>
        </w:rPr>
        <w:t>(1), 81–124. </w:t>
      </w:r>
      <w:hyperlink r:id="rId20" w:history="1">
        <w:r w:rsidR="000B58BA" w:rsidRPr="00066962">
          <w:rPr>
            <w:rStyle w:val="Hyperlink"/>
            <w:rFonts w:ascii="Times New Roman" w:eastAsia="Times New Roman" w:hAnsi="Times New Roman" w:cs="Times New Roman"/>
            <w:sz w:val="24"/>
            <w:szCs w:val="24"/>
            <w:lang w:val="sv-SE"/>
          </w:rPr>
          <w:t>https://doi.org/10.22437/ujh.4.1.81-124</w:t>
        </w:r>
      </w:hyperlink>
    </w:p>
    <w:p w14:paraId="5E52FCE1" w14:textId="77777777" w:rsidR="000B58BA" w:rsidRPr="00FB5CA7" w:rsidRDefault="000B58BA" w:rsidP="000B58BA">
      <w:pPr>
        <w:spacing w:after="0" w:line="240" w:lineRule="auto"/>
        <w:ind w:left="720" w:hanging="720"/>
        <w:jc w:val="both"/>
        <w:rPr>
          <w:rFonts w:ascii="Times New Roman" w:eastAsia="Times New Roman" w:hAnsi="Times New Roman" w:cs="Times New Roman"/>
          <w:color w:val="000000"/>
          <w:sz w:val="24"/>
          <w:szCs w:val="24"/>
          <w:lang w:val="sv-SE"/>
        </w:rPr>
      </w:pPr>
    </w:p>
    <w:p w14:paraId="11D9133A" w14:textId="5A44D15A" w:rsidR="003D6C63" w:rsidRDefault="003D6C63" w:rsidP="000B58BA">
      <w:pPr>
        <w:spacing w:after="0" w:line="240" w:lineRule="auto"/>
        <w:ind w:left="720" w:hanging="720"/>
        <w:jc w:val="both"/>
        <w:rPr>
          <w:rFonts w:ascii="Times New Roman" w:eastAsia="Times New Roman" w:hAnsi="Times New Roman" w:cs="Times New Roman"/>
          <w:color w:val="000000"/>
          <w:sz w:val="24"/>
          <w:szCs w:val="24"/>
          <w:lang w:val="en-ID"/>
        </w:rPr>
      </w:pPr>
      <w:r w:rsidRPr="00FB5CA7">
        <w:rPr>
          <w:rFonts w:ascii="Times New Roman" w:eastAsia="Times New Roman" w:hAnsi="Times New Roman" w:cs="Times New Roman"/>
          <w:color w:val="000000"/>
          <w:sz w:val="24"/>
          <w:szCs w:val="24"/>
          <w:lang w:val="sv-SE"/>
        </w:rPr>
        <w:t xml:space="preserve">Rasyid, L. (2017). </w:t>
      </w:r>
      <w:r w:rsidR="000B58BA" w:rsidRPr="00FB5CA7">
        <w:rPr>
          <w:rFonts w:ascii="Times New Roman" w:eastAsia="Times New Roman" w:hAnsi="Times New Roman" w:cs="Times New Roman"/>
          <w:color w:val="000000"/>
          <w:sz w:val="24"/>
          <w:szCs w:val="24"/>
          <w:lang w:val="sv-SE"/>
        </w:rPr>
        <w:t xml:space="preserve">Pengakuan Terhadap Hukum Adat Dalam Kajian Putusan Kasus Tanah Hibah Adat </w:t>
      </w:r>
      <w:r w:rsidR="000B58BA">
        <w:rPr>
          <w:rFonts w:ascii="Times New Roman" w:eastAsia="Times New Roman" w:hAnsi="Times New Roman" w:cs="Times New Roman"/>
          <w:color w:val="000000"/>
          <w:sz w:val="24"/>
          <w:szCs w:val="24"/>
          <w:lang w:val="sv-SE"/>
        </w:rPr>
        <w:t>d</w:t>
      </w:r>
      <w:r w:rsidR="000B58BA" w:rsidRPr="00FB5CA7">
        <w:rPr>
          <w:rFonts w:ascii="Times New Roman" w:eastAsia="Times New Roman" w:hAnsi="Times New Roman" w:cs="Times New Roman"/>
          <w:color w:val="000000"/>
          <w:sz w:val="24"/>
          <w:szCs w:val="24"/>
          <w:lang w:val="sv-SE"/>
        </w:rPr>
        <w:t>i Pengadilan Sigli</w:t>
      </w:r>
      <w:r w:rsidRPr="00FB5CA7">
        <w:rPr>
          <w:rFonts w:ascii="Times New Roman" w:eastAsia="Times New Roman" w:hAnsi="Times New Roman" w:cs="Times New Roman"/>
          <w:color w:val="000000"/>
          <w:sz w:val="24"/>
          <w:szCs w:val="24"/>
          <w:lang w:val="sv-SE"/>
        </w:rPr>
        <w:t>. </w:t>
      </w:r>
      <w:r w:rsidRPr="003D6C63">
        <w:rPr>
          <w:rFonts w:ascii="Times New Roman" w:eastAsia="Times New Roman" w:hAnsi="Times New Roman" w:cs="Times New Roman"/>
          <w:i/>
          <w:iCs/>
          <w:color w:val="000000"/>
          <w:sz w:val="24"/>
          <w:szCs w:val="24"/>
          <w:lang w:val="en-ID"/>
        </w:rPr>
        <w:t>Riau Law Journal</w:t>
      </w:r>
      <w:r w:rsidRPr="003D6C63">
        <w:rPr>
          <w:rFonts w:ascii="Times New Roman" w:eastAsia="Times New Roman" w:hAnsi="Times New Roman" w:cs="Times New Roman"/>
          <w:color w:val="000000"/>
          <w:sz w:val="24"/>
          <w:szCs w:val="24"/>
          <w:lang w:val="en-ID"/>
        </w:rPr>
        <w:t>, </w:t>
      </w:r>
      <w:r w:rsidRPr="003D6C63">
        <w:rPr>
          <w:rFonts w:ascii="Times New Roman" w:eastAsia="Times New Roman" w:hAnsi="Times New Roman" w:cs="Times New Roman"/>
          <w:i/>
          <w:iCs/>
          <w:color w:val="000000"/>
          <w:sz w:val="24"/>
          <w:szCs w:val="24"/>
          <w:lang w:val="en-ID"/>
        </w:rPr>
        <w:t>1</w:t>
      </w:r>
      <w:r w:rsidRPr="003D6C63">
        <w:rPr>
          <w:rFonts w:ascii="Times New Roman" w:eastAsia="Times New Roman" w:hAnsi="Times New Roman" w:cs="Times New Roman"/>
          <w:color w:val="000000"/>
          <w:sz w:val="24"/>
          <w:szCs w:val="24"/>
          <w:lang w:val="en-ID"/>
        </w:rPr>
        <w:t>(1), 61. </w:t>
      </w:r>
      <w:hyperlink r:id="rId21" w:history="1">
        <w:r w:rsidR="000B58BA" w:rsidRPr="00066962">
          <w:rPr>
            <w:rStyle w:val="Hyperlink"/>
            <w:rFonts w:ascii="Times New Roman" w:eastAsia="Times New Roman" w:hAnsi="Times New Roman" w:cs="Times New Roman"/>
            <w:sz w:val="24"/>
            <w:szCs w:val="24"/>
            <w:lang w:val="en-ID"/>
          </w:rPr>
          <w:t>https://doi.org/10.30652/rlj.v1i1.4177</w:t>
        </w:r>
      </w:hyperlink>
    </w:p>
    <w:p w14:paraId="079420B0" w14:textId="77777777" w:rsidR="000B58BA" w:rsidRPr="003D6C63" w:rsidRDefault="000B58BA" w:rsidP="000B58BA">
      <w:pPr>
        <w:spacing w:after="0" w:line="240" w:lineRule="auto"/>
        <w:ind w:left="720" w:hanging="720"/>
        <w:jc w:val="both"/>
        <w:rPr>
          <w:rFonts w:ascii="Times New Roman" w:eastAsia="Times New Roman" w:hAnsi="Times New Roman" w:cs="Times New Roman"/>
          <w:color w:val="000000"/>
          <w:sz w:val="24"/>
          <w:szCs w:val="24"/>
          <w:lang w:val="en-ID"/>
        </w:rPr>
      </w:pPr>
    </w:p>
    <w:p w14:paraId="4FC35330" w14:textId="449A5D01" w:rsidR="003D6C63" w:rsidRDefault="003D6C63" w:rsidP="000B58BA">
      <w:pPr>
        <w:spacing w:after="0" w:line="240" w:lineRule="auto"/>
        <w:ind w:left="720" w:hanging="720"/>
        <w:jc w:val="both"/>
        <w:rPr>
          <w:rFonts w:ascii="Times New Roman" w:eastAsia="Times New Roman" w:hAnsi="Times New Roman" w:cs="Times New Roman"/>
          <w:color w:val="000000"/>
          <w:sz w:val="24"/>
          <w:szCs w:val="24"/>
          <w:lang w:val="en-ID"/>
        </w:rPr>
      </w:pPr>
      <w:r w:rsidRPr="003D6C63">
        <w:rPr>
          <w:rFonts w:ascii="Times New Roman" w:eastAsia="Times New Roman" w:hAnsi="Times New Roman" w:cs="Times New Roman"/>
          <w:color w:val="000000"/>
          <w:sz w:val="24"/>
          <w:szCs w:val="24"/>
          <w:lang w:val="en-ID"/>
        </w:rPr>
        <w:t xml:space="preserve">Rosy, K. O., </w:t>
      </w:r>
      <w:proofErr w:type="spellStart"/>
      <w:r w:rsidRPr="003D6C63">
        <w:rPr>
          <w:rFonts w:ascii="Times New Roman" w:eastAsia="Times New Roman" w:hAnsi="Times New Roman" w:cs="Times New Roman"/>
          <w:color w:val="000000"/>
          <w:sz w:val="24"/>
          <w:szCs w:val="24"/>
          <w:lang w:val="en-ID"/>
        </w:rPr>
        <w:t>Mangku</w:t>
      </w:r>
      <w:proofErr w:type="spellEnd"/>
      <w:r w:rsidRPr="003D6C63">
        <w:rPr>
          <w:rFonts w:ascii="Times New Roman" w:eastAsia="Times New Roman" w:hAnsi="Times New Roman" w:cs="Times New Roman"/>
          <w:color w:val="000000"/>
          <w:sz w:val="24"/>
          <w:szCs w:val="24"/>
          <w:lang w:val="en-ID"/>
        </w:rPr>
        <w:t xml:space="preserve">, D. G. S., &amp; </w:t>
      </w:r>
      <w:proofErr w:type="spellStart"/>
      <w:r w:rsidRPr="003D6C63">
        <w:rPr>
          <w:rFonts w:ascii="Times New Roman" w:eastAsia="Times New Roman" w:hAnsi="Times New Roman" w:cs="Times New Roman"/>
          <w:color w:val="000000"/>
          <w:sz w:val="24"/>
          <w:szCs w:val="24"/>
          <w:lang w:val="en-ID"/>
        </w:rPr>
        <w:t>Yuliartini</w:t>
      </w:r>
      <w:proofErr w:type="spellEnd"/>
      <w:r w:rsidRPr="003D6C63">
        <w:rPr>
          <w:rFonts w:ascii="Times New Roman" w:eastAsia="Times New Roman" w:hAnsi="Times New Roman" w:cs="Times New Roman"/>
          <w:color w:val="000000"/>
          <w:sz w:val="24"/>
          <w:szCs w:val="24"/>
          <w:lang w:val="en-ID"/>
        </w:rPr>
        <w:t xml:space="preserve">, N. P. R. (2021). </w:t>
      </w:r>
      <w:r w:rsidR="000B58BA" w:rsidRPr="00FB5CA7">
        <w:rPr>
          <w:rFonts w:ascii="Times New Roman" w:eastAsia="Times New Roman" w:hAnsi="Times New Roman" w:cs="Times New Roman"/>
          <w:color w:val="000000"/>
          <w:sz w:val="24"/>
          <w:szCs w:val="24"/>
          <w:lang w:val="sv-SE"/>
        </w:rPr>
        <w:t xml:space="preserve">Peran Mediasi Dalam Penyelesaian Sengketa Tanah Adat Setra Karang Rupit </w:t>
      </w:r>
      <w:r w:rsidR="000B58BA">
        <w:rPr>
          <w:rFonts w:ascii="Times New Roman" w:eastAsia="Times New Roman" w:hAnsi="Times New Roman" w:cs="Times New Roman"/>
          <w:color w:val="000000"/>
          <w:sz w:val="24"/>
          <w:szCs w:val="24"/>
          <w:lang w:val="sv-SE"/>
        </w:rPr>
        <w:t>d</w:t>
      </w:r>
      <w:r w:rsidR="000B58BA" w:rsidRPr="00FB5CA7">
        <w:rPr>
          <w:rFonts w:ascii="Times New Roman" w:eastAsia="Times New Roman" w:hAnsi="Times New Roman" w:cs="Times New Roman"/>
          <w:color w:val="000000"/>
          <w:sz w:val="24"/>
          <w:szCs w:val="24"/>
          <w:lang w:val="sv-SE"/>
        </w:rPr>
        <w:t xml:space="preserve">i Pengadilan Negeri Singaraja Kelas </w:t>
      </w:r>
      <w:r w:rsidRPr="00FB5CA7">
        <w:rPr>
          <w:rFonts w:ascii="Times New Roman" w:eastAsia="Times New Roman" w:hAnsi="Times New Roman" w:cs="Times New Roman"/>
          <w:color w:val="000000"/>
          <w:sz w:val="24"/>
          <w:szCs w:val="24"/>
          <w:lang w:val="sv-SE"/>
        </w:rPr>
        <w:t>1B. </w:t>
      </w:r>
      <w:r w:rsidRPr="003D6C63">
        <w:rPr>
          <w:rFonts w:ascii="Times New Roman" w:eastAsia="Times New Roman" w:hAnsi="Times New Roman" w:cs="Times New Roman"/>
          <w:i/>
          <w:iCs/>
          <w:color w:val="000000"/>
          <w:sz w:val="24"/>
          <w:szCs w:val="24"/>
          <w:lang w:val="en-ID"/>
        </w:rPr>
        <w:t>Ganesha Law Review</w:t>
      </w:r>
      <w:r w:rsidRPr="003D6C63">
        <w:rPr>
          <w:rFonts w:ascii="Times New Roman" w:eastAsia="Times New Roman" w:hAnsi="Times New Roman" w:cs="Times New Roman"/>
          <w:color w:val="000000"/>
          <w:sz w:val="24"/>
          <w:szCs w:val="24"/>
          <w:lang w:val="en-ID"/>
        </w:rPr>
        <w:t>, </w:t>
      </w:r>
      <w:r w:rsidRPr="003D6C63">
        <w:rPr>
          <w:rFonts w:ascii="Times New Roman" w:eastAsia="Times New Roman" w:hAnsi="Times New Roman" w:cs="Times New Roman"/>
          <w:i/>
          <w:iCs/>
          <w:color w:val="000000"/>
          <w:sz w:val="24"/>
          <w:szCs w:val="24"/>
          <w:lang w:val="en-ID"/>
        </w:rPr>
        <w:t>2</w:t>
      </w:r>
      <w:r w:rsidRPr="003D6C63">
        <w:rPr>
          <w:rFonts w:ascii="Times New Roman" w:eastAsia="Times New Roman" w:hAnsi="Times New Roman" w:cs="Times New Roman"/>
          <w:color w:val="000000"/>
          <w:sz w:val="24"/>
          <w:szCs w:val="24"/>
          <w:lang w:val="en-ID"/>
        </w:rPr>
        <w:t>(2), 155–166. </w:t>
      </w:r>
      <w:hyperlink r:id="rId22" w:history="1">
        <w:r w:rsidR="000B58BA" w:rsidRPr="00066962">
          <w:rPr>
            <w:rStyle w:val="Hyperlink"/>
            <w:rFonts w:ascii="Times New Roman" w:eastAsia="Times New Roman" w:hAnsi="Times New Roman" w:cs="Times New Roman"/>
            <w:sz w:val="24"/>
            <w:szCs w:val="24"/>
            <w:lang w:val="en-ID"/>
          </w:rPr>
          <w:t>https://doi.org/10.23887/glr.v2i2.207</w:t>
        </w:r>
      </w:hyperlink>
    </w:p>
    <w:p w14:paraId="05A08EAD" w14:textId="77777777" w:rsidR="000B58BA" w:rsidRPr="003D6C63" w:rsidRDefault="000B58BA" w:rsidP="000B58BA">
      <w:pPr>
        <w:spacing w:after="0" w:line="240" w:lineRule="auto"/>
        <w:ind w:left="720" w:hanging="720"/>
        <w:jc w:val="both"/>
        <w:rPr>
          <w:rFonts w:ascii="Times New Roman" w:eastAsia="Times New Roman" w:hAnsi="Times New Roman" w:cs="Times New Roman"/>
          <w:color w:val="000000"/>
          <w:sz w:val="24"/>
          <w:szCs w:val="24"/>
          <w:lang w:val="en-ID"/>
        </w:rPr>
      </w:pPr>
    </w:p>
    <w:p w14:paraId="135B3E58" w14:textId="0F8B8EA0" w:rsidR="003D6C63" w:rsidRDefault="003D6C63" w:rsidP="000B58BA">
      <w:pPr>
        <w:spacing w:after="0" w:line="240" w:lineRule="auto"/>
        <w:ind w:left="720" w:hanging="720"/>
        <w:jc w:val="both"/>
        <w:rPr>
          <w:rFonts w:ascii="Times New Roman" w:eastAsia="Times New Roman" w:hAnsi="Times New Roman" w:cs="Times New Roman"/>
          <w:color w:val="000000"/>
          <w:sz w:val="24"/>
          <w:szCs w:val="24"/>
          <w:lang w:val="sv-SE"/>
        </w:rPr>
      </w:pPr>
      <w:r w:rsidRPr="003D6C63">
        <w:rPr>
          <w:rFonts w:ascii="Times New Roman" w:eastAsia="Times New Roman" w:hAnsi="Times New Roman" w:cs="Times New Roman"/>
          <w:color w:val="000000"/>
          <w:sz w:val="24"/>
          <w:szCs w:val="24"/>
          <w:lang w:val="en-ID"/>
        </w:rPr>
        <w:t xml:space="preserve">Stella, S. (2023). </w:t>
      </w:r>
      <w:r w:rsidRPr="00FB5CA7">
        <w:rPr>
          <w:rFonts w:ascii="Times New Roman" w:eastAsia="Times New Roman" w:hAnsi="Times New Roman" w:cs="Times New Roman"/>
          <w:color w:val="000000"/>
          <w:sz w:val="24"/>
          <w:szCs w:val="24"/>
          <w:lang w:val="sv-SE"/>
        </w:rPr>
        <w:t>Pengaruh Hukum Adat Dalam Penyelesaian Sengketa Adat di Pengadilan Hukum Adat. </w:t>
      </w:r>
      <w:r w:rsidRPr="00FB5CA7">
        <w:rPr>
          <w:rFonts w:ascii="Times New Roman" w:eastAsia="Times New Roman" w:hAnsi="Times New Roman" w:cs="Times New Roman"/>
          <w:i/>
          <w:iCs/>
          <w:color w:val="000000"/>
          <w:sz w:val="24"/>
          <w:szCs w:val="24"/>
          <w:lang w:val="sv-SE"/>
        </w:rPr>
        <w:t>Jurnal Hukum Dan HAM Wara Sains</w:t>
      </w:r>
      <w:r w:rsidRPr="00FB5CA7">
        <w:rPr>
          <w:rFonts w:ascii="Times New Roman" w:eastAsia="Times New Roman" w:hAnsi="Times New Roman" w:cs="Times New Roman"/>
          <w:color w:val="000000"/>
          <w:sz w:val="24"/>
          <w:szCs w:val="24"/>
          <w:lang w:val="sv-SE"/>
        </w:rPr>
        <w:t>, </w:t>
      </w:r>
      <w:r w:rsidRPr="00FB5CA7">
        <w:rPr>
          <w:rFonts w:ascii="Times New Roman" w:eastAsia="Times New Roman" w:hAnsi="Times New Roman" w:cs="Times New Roman"/>
          <w:i/>
          <w:iCs/>
          <w:color w:val="000000"/>
          <w:sz w:val="24"/>
          <w:szCs w:val="24"/>
          <w:lang w:val="sv-SE"/>
        </w:rPr>
        <w:t>2</w:t>
      </w:r>
      <w:r w:rsidRPr="00FB5CA7">
        <w:rPr>
          <w:rFonts w:ascii="Times New Roman" w:eastAsia="Times New Roman" w:hAnsi="Times New Roman" w:cs="Times New Roman"/>
          <w:color w:val="000000"/>
          <w:sz w:val="24"/>
          <w:szCs w:val="24"/>
          <w:lang w:val="sv-SE"/>
        </w:rPr>
        <w:t>(09), 894–903. </w:t>
      </w:r>
      <w:hyperlink r:id="rId23" w:history="1">
        <w:r w:rsidR="000B58BA" w:rsidRPr="00066962">
          <w:rPr>
            <w:rStyle w:val="Hyperlink"/>
            <w:rFonts w:ascii="Times New Roman" w:eastAsia="Times New Roman" w:hAnsi="Times New Roman" w:cs="Times New Roman"/>
            <w:sz w:val="24"/>
            <w:szCs w:val="24"/>
            <w:lang w:val="sv-SE"/>
          </w:rPr>
          <w:t>https://doi.org/10.58812/jhhws.v2i09.658</w:t>
        </w:r>
      </w:hyperlink>
    </w:p>
    <w:p w14:paraId="6CBDF4B1" w14:textId="77777777" w:rsidR="000B58BA" w:rsidRPr="00FB5CA7" w:rsidRDefault="000B58BA" w:rsidP="000B58BA">
      <w:pPr>
        <w:spacing w:after="0" w:line="240" w:lineRule="auto"/>
        <w:ind w:left="720" w:hanging="720"/>
        <w:jc w:val="both"/>
        <w:rPr>
          <w:rFonts w:ascii="Times New Roman" w:eastAsia="Times New Roman" w:hAnsi="Times New Roman" w:cs="Times New Roman"/>
          <w:color w:val="000000"/>
          <w:sz w:val="24"/>
          <w:szCs w:val="24"/>
          <w:lang w:val="sv-SE"/>
        </w:rPr>
      </w:pPr>
    </w:p>
    <w:p w14:paraId="2E736AA5" w14:textId="362CC49F" w:rsidR="003D6C63" w:rsidRDefault="003D6C63" w:rsidP="000B58BA">
      <w:pPr>
        <w:spacing w:after="0" w:line="240" w:lineRule="auto"/>
        <w:ind w:left="720" w:hanging="720"/>
        <w:jc w:val="both"/>
        <w:rPr>
          <w:rFonts w:ascii="Times New Roman" w:eastAsia="Times New Roman" w:hAnsi="Times New Roman" w:cs="Times New Roman"/>
          <w:color w:val="000000"/>
          <w:sz w:val="24"/>
          <w:szCs w:val="24"/>
          <w:lang w:val="sv-SE"/>
        </w:rPr>
      </w:pPr>
      <w:r w:rsidRPr="00FB5CA7">
        <w:rPr>
          <w:rFonts w:ascii="Times New Roman" w:eastAsia="Times New Roman" w:hAnsi="Times New Roman" w:cs="Times New Roman"/>
          <w:color w:val="000000"/>
          <w:sz w:val="24"/>
          <w:szCs w:val="24"/>
          <w:lang w:val="sv-SE"/>
        </w:rPr>
        <w:t>Suhariyanto, B. (2018). Problema Penyerapan Adat oleh Pengadilan dan Pengaruhnya bagi Pembaruan Hukum Pidana Nasional. </w:t>
      </w:r>
      <w:r w:rsidRPr="00FB5CA7">
        <w:rPr>
          <w:rFonts w:ascii="Times New Roman" w:eastAsia="Times New Roman" w:hAnsi="Times New Roman" w:cs="Times New Roman"/>
          <w:i/>
          <w:iCs/>
          <w:color w:val="000000"/>
          <w:sz w:val="24"/>
          <w:szCs w:val="24"/>
          <w:lang w:val="sv-SE"/>
        </w:rPr>
        <w:t>Mimbar Hukum - Fakultas Hukum Universitas Gadjah Mada</w:t>
      </w:r>
      <w:r w:rsidRPr="00FB5CA7">
        <w:rPr>
          <w:rFonts w:ascii="Times New Roman" w:eastAsia="Times New Roman" w:hAnsi="Times New Roman" w:cs="Times New Roman"/>
          <w:color w:val="000000"/>
          <w:sz w:val="24"/>
          <w:szCs w:val="24"/>
          <w:lang w:val="sv-SE"/>
        </w:rPr>
        <w:t>, </w:t>
      </w:r>
      <w:r w:rsidRPr="00FB5CA7">
        <w:rPr>
          <w:rFonts w:ascii="Times New Roman" w:eastAsia="Times New Roman" w:hAnsi="Times New Roman" w:cs="Times New Roman"/>
          <w:i/>
          <w:iCs/>
          <w:color w:val="000000"/>
          <w:sz w:val="24"/>
          <w:szCs w:val="24"/>
          <w:lang w:val="sv-SE"/>
        </w:rPr>
        <w:t>30</w:t>
      </w:r>
      <w:r w:rsidRPr="00FB5CA7">
        <w:rPr>
          <w:rFonts w:ascii="Times New Roman" w:eastAsia="Times New Roman" w:hAnsi="Times New Roman" w:cs="Times New Roman"/>
          <w:color w:val="000000"/>
          <w:sz w:val="24"/>
          <w:szCs w:val="24"/>
          <w:lang w:val="sv-SE"/>
        </w:rPr>
        <w:t>(3), 421. </w:t>
      </w:r>
      <w:hyperlink r:id="rId24" w:history="1">
        <w:r w:rsidR="000B58BA" w:rsidRPr="00066962">
          <w:rPr>
            <w:rStyle w:val="Hyperlink"/>
            <w:rFonts w:ascii="Times New Roman" w:eastAsia="Times New Roman" w:hAnsi="Times New Roman" w:cs="Times New Roman"/>
            <w:sz w:val="24"/>
            <w:szCs w:val="24"/>
            <w:lang w:val="sv-SE"/>
          </w:rPr>
          <w:t>https://doi.org/10.22146/jmh.33227</w:t>
        </w:r>
      </w:hyperlink>
    </w:p>
    <w:p w14:paraId="4A755976" w14:textId="77777777" w:rsidR="000B58BA" w:rsidRPr="00FB5CA7" w:rsidRDefault="000B58BA" w:rsidP="000B58BA">
      <w:pPr>
        <w:spacing w:after="0" w:line="240" w:lineRule="auto"/>
        <w:ind w:left="720" w:hanging="720"/>
        <w:jc w:val="both"/>
        <w:rPr>
          <w:rFonts w:ascii="Times New Roman" w:eastAsia="Times New Roman" w:hAnsi="Times New Roman" w:cs="Times New Roman"/>
          <w:color w:val="000000"/>
          <w:sz w:val="24"/>
          <w:szCs w:val="24"/>
          <w:lang w:val="sv-SE"/>
        </w:rPr>
      </w:pPr>
    </w:p>
    <w:p w14:paraId="1CCF0A05" w14:textId="746A0715" w:rsidR="003D6C63" w:rsidRPr="00FB5CA7" w:rsidRDefault="003D6C63" w:rsidP="000B58BA">
      <w:pPr>
        <w:spacing w:after="0" w:line="240" w:lineRule="auto"/>
        <w:ind w:left="720" w:hanging="720"/>
        <w:jc w:val="both"/>
        <w:rPr>
          <w:rFonts w:ascii="Times New Roman" w:eastAsia="Times New Roman" w:hAnsi="Times New Roman" w:cs="Times New Roman"/>
          <w:color w:val="000000"/>
          <w:sz w:val="24"/>
          <w:szCs w:val="24"/>
          <w:lang w:val="sv-SE"/>
        </w:rPr>
      </w:pPr>
      <w:r w:rsidRPr="00FB5CA7">
        <w:rPr>
          <w:rFonts w:ascii="Times New Roman" w:eastAsia="Times New Roman" w:hAnsi="Times New Roman" w:cs="Times New Roman"/>
          <w:color w:val="000000"/>
          <w:sz w:val="24"/>
          <w:szCs w:val="24"/>
          <w:lang w:val="sv-SE"/>
        </w:rPr>
        <w:t xml:space="preserve">Utama, T. S. J., &amp; Aristya, S. D. F. (2015). </w:t>
      </w:r>
      <w:r w:rsidR="000B58BA" w:rsidRPr="00FB5CA7">
        <w:rPr>
          <w:rFonts w:ascii="Times New Roman" w:eastAsia="Times New Roman" w:hAnsi="Times New Roman" w:cs="Times New Roman"/>
          <w:color w:val="000000"/>
          <w:sz w:val="24"/>
          <w:szCs w:val="24"/>
          <w:lang w:val="sv-SE"/>
        </w:rPr>
        <w:t>Kajian Tentang Relevansi Peradilan Adat Terhadap Sistem Peradilan Perdata Indonesia</w:t>
      </w:r>
      <w:r w:rsidRPr="00FB5CA7">
        <w:rPr>
          <w:rFonts w:ascii="Times New Roman" w:eastAsia="Times New Roman" w:hAnsi="Times New Roman" w:cs="Times New Roman"/>
          <w:color w:val="000000"/>
          <w:sz w:val="24"/>
          <w:szCs w:val="24"/>
          <w:lang w:val="sv-SE"/>
        </w:rPr>
        <w:t>. </w:t>
      </w:r>
      <w:r w:rsidRPr="00FB5CA7">
        <w:rPr>
          <w:rFonts w:ascii="Times New Roman" w:eastAsia="Times New Roman" w:hAnsi="Times New Roman" w:cs="Times New Roman"/>
          <w:i/>
          <w:iCs/>
          <w:color w:val="000000"/>
          <w:sz w:val="24"/>
          <w:szCs w:val="24"/>
          <w:lang w:val="sv-SE"/>
        </w:rPr>
        <w:t>Mimbar Hukum - Fakultas Hukum Universitas Gadjah Mada</w:t>
      </w:r>
      <w:r w:rsidRPr="00FB5CA7">
        <w:rPr>
          <w:rFonts w:ascii="Times New Roman" w:eastAsia="Times New Roman" w:hAnsi="Times New Roman" w:cs="Times New Roman"/>
          <w:color w:val="000000"/>
          <w:sz w:val="24"/>
          <w:szCs w:val="24"/>
          <w:lang w:val="sv-SE"/>
        </w:rPr>
        <w:t>, </w:t>
      </w:r>
      <w:r w:rsidRPr="00FB5CA7">
        <w:rPr>
          <w:rFonts w:ascii="Times New Roman" w:eastAsia="Times New Roman" w:hAnsi="Times New Roman" w:cs="Times New Roman"/>
          <w:i/>
          <w:iCs/>
          <w:color w:val="000000"/>
          <w:sz w:val="24"/>
          <w:szCs w:val="24"/>
          <w:lang w:val="sv-SE"/>
        </w:rPr>
        <w:t>27</w:t>
      </w:r>
      <w:r w:rsidRPr="00FB5CA7">
        <w:rPr>
          <w:rFonts w:ascii="Times New Roman" w:eastAsia="Times New Roman" w:hAnsi="Times New Roman" w:cs="Times New Roman"/>
          <w:color w:val="000000"/>
          <w:sz w:val="24"/>
          <w:szCs w:val="24"/>
          <w:lang w:val="sv-SE"/>
        </w:rPr>
        <w:t>(1), 57. https://doi.org/10.22146/jmh.15910</w:t>
      </w:r>
    </w:p>
    <w:p w14:paraId="5AE9BF29" w14:textId="77777777" w:rsidR="003D6C63" w:rsidRDefault="003D6C63" w:rsidP="000B58BA">
      <w:pPr>
        <w:spacing w:after="0" w:line="240" w:lineRule="auto"/>
        <w:ind w:right="-284"/>
        <w:jc w:val="both"/>
        <w:rPr>
          <w:rFonts w:ascii="Cambria" w:hAnsi="Cambria" w:cs="Times New Roman"/>
          <w:b/>
          <w:sz w:val="24"/>
          <w:szCs w:val="24"/>
          <w:lang w:val="id-ID"/>
        </w:rPr>
      </w:pPr>
    </w:p>
    <w:p w14:paraId="08A9EBE7" w14:textId="77777777" w:rsidR="00035B0B" w:rsidRPr="004371B0" w:rsidRDefault="00035B0B" w:rsidP="000B58BA">
      <w:pPr>
        <w:spacing w:after="0" w:line="240" w:lineRule="auto"/>
        <w:jc w:val="both"/>
        <w:rPr>
          <w:rFonts w:ascii="Cambria" w:hAnsi="Cambria" w:cs="Times New Roman"/>
          <w:b/>
          <w:sz w:val="24"/>
          <w:szCs w:val="24"/>
          <w:lang w:val="id-ID"/>
        </w:rPr>
      </w:pPr>
    </w:p>
    <w:p w14:paraId="6258C680" w14:textId="77777777" w:rsidR="009A43E5" w:rsidRPr="004371B0" w:rsidRDefault="009A43E5" w:rsidP="000B58BA">
      <w:pPr>
        <w:pStyle w:val="ListParagraph"/>
        <w:spacing w:after="0" w:line="240" w:lineRule="auto"/>
        <w:ind w:left="1134" w:hanging="850"/>
        <w:jc w:val="both"/>
        <w:rPr>
          <w:rFonts w:ascii="Cambria" w:hAnsi="Cambria" w:cs="Times New Roman"/>
          <w:sz w:val="24"/>
          <w:szCs w:val="24"/>
          <w:lang w:val="id-ID"/>
        </w:rPr>
      </w:pPr>
    </w:p>
    <w:p w14:paraId="2A43ABF1" w14:textId="77777777" w:rsidR="009A43E5" w:rsidRPr="004371B0" w:rsidRDefault="009A43E5" w:rsidP="000B58BA">
      <w:pPr>
        <w:spacing w:after="0" w:line="240" w:lineRule="auto"/>
        <w:ind w:left="1134" w:hanging="850"/>
        <w:jc w:val="both"/>
        <w:rPr>
          <w:rFonts w:ascii="Cambria" w:hAnsi="Cambria" w:cs="Times New Roman"/>
          <w:sz w:val="24"/>
          <w:szCs w:val="24"/>
          <w:lang w:val="id-ID"/>
        </w:rPr>
      </w:pPr>
    </w:p>
    <w:p w14:paraId="3E25B458" w14:textId="77777777" w:rsidR="00893E6C" w:rsidRPr="004371B0" w:rsidRDefault="00893E6C" w:rsidP="000B58BA">
      <w:pPr>
        <w:spacing w:after="0" w:line="240" w:lineRule="auto"/>
        <w:ind w:left="1134" w:hanging="850"/>
        <w:jc w:val="both"/>
        <w:rPr>
          <w:rFonts w:ascii="Cambria" w:hAnsi="Cambria" w:cs="Times New Roman"/>
          <w:sz w:val="24"/>
          <w:szCs w:val="24"/>
          <w:lang w:val="id-ID"/>
        </w:rPr>
      </w:pPr>
    </w:p>
    <w:p w14:paraId="3E3BF275" w14:textId="77777777" w:rsidR="00893E6C" w:rsidRPr="004371B0" w:rsidRDefault="00893E6C" w:rsidP="000B58BA">
      <w:pPr>
        <w:spacing w:after="0" w:line="240" w:lineRule="auto"/>
        <w:ind w:left="1134" w:hanging="850"/>
        <w:jc w:val="both"/>
        <w:rPr>
          <w:rFonts w:ascii="Cambria" w:hAnsi="Cambria" w:cs="Times New Roman"/>
          <w:sz w:val="24"/>
          <w:szCs w:val="24"/>
          <w:lang w:val="id-ID"/>
        </w:rPr>
      </w:pPr>
    </w:p>
    <w:p w14:paraId="644BF2BA" w14:textId="77777777" w:rsidR="007050BF" w:rsidRPr="004371B0" w:rsidRDefault="007050BF" w:rsidP="000B58BA">
      <w:pPr>
        <w:spacing w:after="0" w:line="240" w:lineRule="auto"/>
        <w:jc w:val="both"/>
        <w:rPr>
          <w:rFonts w:ascii="Cambria" w:hAnsi="Cambria" w:cs="Times New Roman"/>
          <w:color w:val="000000" w:themeColor="text1"/>
          <w:sz w:val="24"/>
          <w:szCs w:val="24"/>
          <w:lang w:val="id-ID"/>
        </w:rPr>
      </w:pPr>
    </w:p>
    <w:p w14:paraId="356C235B" w14:textId="77777777" w:rsidR="00E770E3" w:rsidRPr="004371B0" w:rsidRDefault="00E770E3" w:rsidP="000B58BA">
      <w:pPr>
        <w:pStyle w:val="Heading1"/>
        <w:spacing w:before="0" w:line="240" w:lineRule="auto"/>
        <w:jc w:val="both"/>
        <w:rPr>
          <w:rStyle w:val="Emphasis"/>
          <w:rFonts w:ascii="Cambria" w:hAnsi="Cambria" w:cs="Times New Roman"/>
          <w:i w:val="0"/>
          <w:iCs w:val="0"/>
          <w:sz w:val="24"/>
          <w:szCs w:val="24"/>
          <w:bdr w:val="none" w:sz="0" w:space="0" w:color="auto" w:frame="1"/>
          <w:shd w:val="clear" w:color="auto" w:fill="FFFFFF"/>
          <w:lang w:val="id-ID"/>
        </w:rPr>
      </w:pPr>
    </w:p>
    <w:sectPr w:rsidR="00E770E3" w:rsidRPr="004371B0" w:rsidSect="00C0014E">
      <w:headerReference w:type="default" r:id="rId25"/>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9761B" w14:textId="77777777" w:rsidR="00D61FB2" w:rsidRDefault="00D61FB2" w:rsidP="00FC1AE6">
      <w:pPr>
        <w:spacing w:after="0" w:line="240" w:lineRule="auto"/>
      </w:pPr>
      <w:r>
        <w:separator/>
      </w:r>
    </w:p>
  </w:endnote>
  <w:endnote w:type="continuationSeparator" w:id="0">
    <w:p w14:paraId="5BF9205E" w14:textId="77777777" w:rsidR="00D61FB2" w:rsidRDefault="00D61FB2" w:rsidP="00FC1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kit-standar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A0D6A" w14:textId="77777777" w:rsidR="00A91C30" w:rsidRDefault="00A91C30">
    <w:pPr>
      <w:pStyle w:val="Footer"/>
      <w:jc w:val="center"/>
    </w:pPr>
  </w:p>
  <w:p w14:paraId="03117E58" w14:textId="77777777" w:rsidR="00A91C30" w:rsidRDefault="00A91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92E89" w14:textId="77777777" w:rsidR="00D61FB2" w:rsidRDefault="00D61FB2" w:rsidP="00FC1AE6">
      <w:pPr>
        <w:spacing w:after="0" w:line="240" w:lineRule="auto"/>
      </w:pPr>
      <w:r>
        <w:separator/>
      </w:r>
    </w:p>
  </w:footnote>
  <w:footnote w:type="continuationSeparator" w:id="0">
    <w:p w14:paraId="0C04CA81" w14:textId="77777777" w:rsidR="00D61FB2" w:rsidRDefault="00D61FB2" w:rsidP="00FC1A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7501065"/>
      <w:docPartObj>
        <w:docPartGallery w:val="Page Numbers (Top of Page)"/>
        <w:docPartUnique/>
      </w:docPartObj>
    </w:sdtPr>
    <w:sdtEndPr>
      <w:rPr>
        <w:rFonts w:ascii="Times New Roman" w:hAnsi="Times New Roman" w:cs="Times New Roman"/>
        <w:noProof/>
        <w:sz w:val="24"/>
      </w:rPr>
    </w:sdtEndPr>
    <w:sdtContent>
      <w:p w14:paraId="1726D3F4" w14:textId="77777777" w:rsidR="00A91C30" w:rsidRPr="00CC348C" w:rsidRDefault="00A91C30">
        <w:pPr>
          <w:pStyle w:val="Header"/>
          <w:jc w:val="right"/>
          <w:rPr>
            <w:rFonts w:ascii="Times New Roman" w:hAnsi="Times New Roman" w:cs="Times New Roman"/>
            <w:sz w:val="24"/>
          </w:rPr>
        </w:pPr>
        <w:r w:rsidRPr="00CC348C">
          <w:rPr>
            <w:rFonts w:ascii="Times New Roman" w:hAnsi="Times New Roman" w:cs="Times New Roman"/>
            <w:sz w:val="24"/>
          </w:rPr>
          <w:fldChar w:fldCharType="begin"/>
        </w:r>
        <w:r w:rsidRPr="00CC348C">
          <w:rPr>
            <w:rFonts w:ascii="Times New Roman" w:hAnsi="Times New Roman" w:cs="Times New Roman"/>
            <w:sz w:val="24"/>
          </w:rPr>
          <w:instrText xml:space="preserve"> PAGE   \* MERGEFORMAT </w:instrText>
        </w:r>
        <w:r w:rsidRPr="00CC348C">
          <w:rPr>
            <w:rFonts w:ascii="Times New Roman" w:hAnsi="Times New Roman" w:cs="Times New Roman"/>
            <w:sz w:val="24"/>
          </w:rPr>
          <w:fldChar w:fldCharType="separate"/>
        </w:r>
        <w:r w:rsidR="008C56BB">
          <w:rPr>
            <w:rFonts w:ascii="Times New Roman" w:hAnsi="Times New Roman" w:cs="Times New Roman"/>
            <w:noProof/>
            <w:sz w:val="24"/>
          </w:rPr>
          <w:t>2</w:t>
        </w:r>
        <w:r w:rsidRPr="00CC348C">
          <w:rPr>
            <w:rFonts w:ascii="Times New Roman" w:hAnsi="Times New Roman" w:cs="Times New Roman"/>
            <w:noProof/>
            <w:sz w:val="24"/>
          </w:rPr>
          <w:fldChar w:fldCharType="end"/>
        </w:r>
      </w:p>
    </w:sdtContent>
  </w:sdt>
  <w:p w14:paraId="479DEF3D" w14:textId="77777777" w:rsidR="00A91C30" w:rsidRDefault="00A91C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507A3" w14:textId="77777777" w:rsidR="00A91C30" w:rsidRPr="00CC348C" w:rsidRDefault="00A91C30">
    <w:pPr>
      <w:pStyle w:val="Header"/>
      <w:jc w:val="right"/>
      <w:rPr>
        <w:rFonts w:ascii="Times New Roman" w:hAnsi="Times New Roman" w:cs="Times New Roman"/>
        <w:sz w:val="24"/>
      </w:rPr>
    </w:pPr>
  </w:p>
  <w:p w14:paraId="7952BDAC" w14:textId="77777777" w:rsidR="00A91C30" w:rsidRDefault="00A91C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092B84"/>
    <w:multiLevelType w:val="multilevel"/>
    <w:tmpl w:val="7FC4F0AA"/>
    <w:lvl w:ilvl="0">
      <w:start w:val="1"/>
      <w:numFmt w:val="upperLetter"/>
      <w:lvlText w:val="%1."/>
      <w:lvlJc w:val="left"/>
      <w:pPr>
        <w:ind w:left="1503" w:hanging="317"/>
      </w:pPr>
      <w:rPr>
        <w:rFonts w:ascii="Times New Roman" w:eastAsia="Times New Roman" w:hAnsi="Times New Roman" w:cs="Times New Roman" w:hint="default"/>
        <w:spacing w:val="-6"/>
        <w:w w:val="99"/>
        <w:sz w:val="24"/>
        <w:szCs w:val="24"/>
        <w:lang w:eastAsia="en-US" w:bidi="ar-SA"/>
      </w:rPr>
    </w:lvl>
    <w:lvl w:ilvl="1">
      <w:start w:val="1"/>
      <w:numFmt w:val="decimal"/>
      <w:lvlText w:val="%2."/>
      <w:lvlJc w:val="left"/>
      <w:pPr>
        <w:ind w:left="1787" w:hanging="284"/>
      </w:pPr>
      <w:rPr>
        <w:rFonts w:ascii="Times New Roman" w:eastAsia="Times New Roman" w:hAnsi="Times New Roman" w:cs="Times New Roman" w:hint="default"/>
        <w:b w:val="0"/>
        <w:bCs/>
        <w:i w:val="0"/>
        <w:w w:val="100"/>
        <w:sz w:val="24"/>
        <w:szCs w:val="24"/>
        <w:lang w:eastAsia="en-US" w:bidi="ar-SA"/>
      </w:rPr>
    </w:lvl>
    <w:lvl w:ilvl="2">
      <w:numFmt w:val="bullet"/>
      <w:lvlText w:val="•"/>
      <w:lvlJc w:val="left"/>
      <w:pPr>
        <w:ind w:left="2574" w:hanging="284"/>
      </w:pPr>
      <w:rPr>
        <w:rFonts w:hint="default"/>
        <w:lang w:eastAsia="en-US" w:bidi="ar-SA"/>
      </w:rPr>
    </w:lvl>
    <w:lvl w:ilvl="3">
      <w:numFmt w:val="bullet"/>
      <w:lvlText w:val="•"/>
      <w:lvlJc w:val="left"/>
      <w:pPr>
        <w:ind w:left="3368" w:hanging="284"/>
      </w:pPr>
      <w:rPr>
        <w:rFonts w:hint="default"/>
        <w:lang w:eastAsia="en-US" w:bidi="ar-SA"/>
      </w:rPr>
    </w:lvl>
    <w:lvl w:ilvl="4">
      <w:numFmt w:val="bullet"/>
      <w:lvlText w:val="•"/>
      <w:lvlJc w:val="left"/>
      <w:pPr>
        <w:ind w:left="4162" w:hanging="284"/>
      </w:pPr>
      <w:rPr>
        <w:rFonts w:hint="default"/>
        <w:lang w:eastAsia="en-US" w:bidi="ar-SA"/>
      </w:rPr>
    </w:lvl>
    <w:lvl w:ilvl="5">
      <w:numFmt w:val="bullet"/>
      <w:lvlText w:val="•"/>
      <w:lvlJc w:val="left"/>
      <w:pPr>
        <w:ind w:left="4957" w:hanging="284"/>
      </w:pPr>
      <w:rPr>
        <w:rFonts w:hint="default"/>
        <w:lang w:eastAsia="en-US" w:bidi="ar-SA"/>
      </w:rPr>
    </w:lvl>
    <w:lvl w:ilvl="6">
      <w:numFmt w:val="bullet"/>
      <w:lvlText w:val="•"/>
      <w:lvlJc w:val="left"/>
      <w:pPr>
        <w:ind w:left="5751" w:hanging="284"/>
      </w:pPr>
      <w:rPr>
        <w:rFonts w:hint="default"/>
        <w:lang w:eastAsia="en-US" w:bidi="ar-SA"/>
      </w:rPr>
    </w:lvl>
    <w:lvl w:ilvl="7">
      <w:numFmt w:val="bullet"/>
      <w:lvlText w:val="•"/>
      <w:lvlJc w:val="left"/>
      <w:pPr>
        <w:ind w:left="6545" w:hanging="284"/>
      </w:pPr>
      <w:rPr>
        <w:rFonts w:hint="default"/>
        <w:lang w:eastAsia="en-US" w:bidi="ar-SA"/>
      </w:rPr>
    </w:lvl>
    <w:lvl w:ilvl="8">
      <w:numFmt w:val="bullet"/>
      <w:lvlText w:val="•"/>
      <w:lvlJc w:val="left"/>
      <w:pPr>
        <w:ind w:left="7340" w:hanging="284"/>
      </w:pPr>
      <w:rPr>
        <w:rFonts w:hint="default"/>
        <w:lang w:eastAsia="en-US" w:bidi="ar-SA"/>
      </w:rPr>
    </w:lvl>
  </w:abstractNum>
  <w:abstractNum w:abstractNumId="1" w15:restartNumberingAfterBreak="0">
    <w:nsid w:val="0053208E"/>
    <w:multiLevelType w:val="multilevel"/>
    <w:tmpl w:val="A5622728"/>
    <w:lvl w:ilvl="0">
      <w:start w:val="1"/>
      <w:numFmt w:val="upperLetter"/>
      <w:lvlText w:val="%1."/>
      <w:lvlJc w:val="left"/>
      <w:pPr>
        <w:ind w:left="1863" w:hanging="284"/>
      </w:pPr>
      <w:rPr>
        <w:rFonts w:ascii="Times New Roman" w:eastAsia="Times New Roman" w:hAnsi="Times New Roman" w:cs="Times New Roman" w:hint="default"/>
        <w:b w:val="0"/>
        <w:bCs w:val="0"/>
        <w:spacing w:val="-6"/>
        <w:w w:val="99"/>
        <w:sz w:val="24"/>
        <w:szCs w:val="24"/>
        <w:lang w:eastAsia="en-US" w:bidi="ar-SA"/>
      </w:rPr>
    </w:lvl>
    <w:lvl w:ilvl="1">
      <w:numFmt w:val="bullet"/>
      <w:lvlText w:val="•"/>
      <w:lvlJc w:val="left"/>
      <w:pPr>
        <w:ind w:left="2602" w:hanging="284"/>
      </w:pPr>
      <w:rPr>
        <w:rFonts w:hint="default"/>
        <w:lang w:eastAsia="en-US" w:bidi="ar-SA"/>
      </w:rPr>
    </w:lvl>
    <w:lvl w:ilvl="2">
      <w:numFmt w:val="bullet"/>
      <w:lvlText w:val="•"/>
      <w:lvlJc w:val="left"/>
      <w:pPr>
        <w:ind w:left="3345" w:hanging="284"/>
      </w:pPr>
      <w:rPr>
        <w:rFonts w:hint="default"/>
        <w:lang w:eastAsia="en-US" w:bidi="ar-SA"/>
      </w:rPr>
    </w:lvl>
    <w:lvl w:ilvl="3">
      <w:numFmt w:val="bullet"/>
      <w:lvlText w:val="•"/>
      <w:lvlJc w:val="left"/>
      <w:pPr>
        <w:ind w:left="4088" w:hanging="284"/>
      </w:pPr>
      <w:rPr>
        <w:rFonts w:hint="default"/>
        <w:lang w:eastAsia="en-US" w:bidi="ar-SA"/>
      </w:rPr>
    </w:lvl>
    <w:lvl w:ilvl="4">
      <w:numFmt w:val="bullet"/>
      <w:lvlText w:val="•"/>
      <w:lvlJc w:val="left"/>
      <w:pPr>
        <w:ind w:left="4831" w:hanging="284"/>
      </w:pPr>
      <w:rPr>
        <w:rFonts w:hint="default"/>
        <w:lang w:eastAsia="en-US" w:bidi="ar-SA"/>
      </w:rPr>
    </w:lvl>
    <w:lvl w:ilvl="5">
      <w:numFmt w:val="bullet"/>
      <w:lvlText w:val="•"/>
      <w:lvlJc w:val="left"/>
      <w:pPr>
        <w:ind w:left="5574" w:hanging="284"/>
      </w:pPr>
      <w:rPr>
        <w:rFonts w:hint="default"/>
        <w:lang w:eastAsia="en-US" w:bidi="ar-SA"/>
      </w:rPr>
    </w:lvl>
    <w:lvl w:ilvl="6">
      <w:numFmt w:val="bullet"/>
      <w:lvlText w:val="•"/>
      <w:lvlJc w:val="left"/>
      <w:pPr>
        <w:ind w:left="6317" w:hanging="284"/>
      </w:pPr>
      <w:rPr>
        <w:rFonts w:hint="default"/>
        <w:lang w:eastAsia="en-US" w:bidi="ar-SA"/>
      </w:rPr>
    </w:lvl>
    <w:lvl w:ilvl="7">
      <w:numFmt w:val="bullet"/>
      <w:lvlText w:val="•"/>
      <w:lvlJc w:val="left"/>
      <w:pPr>
        <w:ind w:left="7060" w:hanging="284"/>
      </w:pPr>
      <w:rPr>
        <w:rFonts w:hint="default"/>
        <w:lang w:eastAsia="en-US" w:bidi="ar-SA"/>
      </w:rPr>
    </w:lvl>
    <w:lvl w:ilvl="8">
      <w:numFmt w:val="bullet"/>
      <w:lvlText w:val="•"/>
      <w:lvlJc w:val="left"/>
      <w:pPr>
        <w:ind w:left="7803" w:hanging="284"/>
      </w:pPr>
      <w:rPr>
        <w:rFonts w:hint="default"/>
        <w:lang w:eastAsia="en-US" w:bidi="ar-SA"/>
      </w:rPr>
    </w:lvl>
  </w:abstractNum>
  <w:abstractNum w:abstractNumId="2" w15:restartNumberingAfterBreak="0">
    <w:nsid w:val="04817DDF"/>
    <w:multiLevelType w:val="hybridMultilevel"/>
    <w:tmpl w:val="8E863692"/>
    <w:lvl w:ilvl="0" w:tplc="04210011">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3" w15:restartNumberingAfterBreak="0">
    <w:nsid w:val="051F1772"/>
    <w:multiLevelType w:val="hybridMultilevel"/>
    <w:tmpl w:val="51EC2EB8"/>
    <w:lvl w:ilvl="0" w:tplc="ED6CD44E">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 w15:restartNumberingAfterBreak="0">
    <w:nsid w:val="088210AD"/>
    <w:multiLevelType w:val="hybridMultilevel"/>
    <w:tmpl w:val="78828268"/>
    <w:lvl w:ilvl="0" w:tplc="4202A438">
      <w:start w:val="1"/>
      <w:numFmt w:val="upperLetter"/>
      <w:lvlText w:val="%1."/>
      <w:lvlJc w:val="left"/>
      <w:pPr>
        <w:ind w:left="644" w:hanging="360"/>
      </w:pPr>
      <w:rPr>
        <w:rFonts w:hint="default"/>
        <w:color w:val="auto"/>
      </w:rPr>
    </w:lvl>
    <w:lvl w:ilvl="1" w:tplc="04090019" w:tentative="1">
      <w:start w:val="1"/>
      <w:numFmt w:val="lowerLetter"/>
      <w:lvlText w:val="%2."/>
      <w:lvlJc w:val="left"/>
      <w:pPr>
        <w:ind w:left="1364" w:hanging="360"/>
      </w:pPr>
    </w:lvl>
    <w:lvl w:ilvl="2" w:tplc="0421000F">
      <w:start w:val="1"/>
      <w:numFmt w:val="decimal"/>
      <w:lvlText w:val="%3."/>
      <w:lvlJc w:val="left"/>
      <w:pPr>
        <w:ind w:left="8043" w:hanging="180"/>
      </w:pPr>
    </w:lvl>
    <w:lvl w:ilvl="3" w:tplc="0409000F">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11425744"/>
    <w:multiLevelType w:val="hybridMultilevel"/>
    <w:tmpl w:val="B9CA1ECA"/>
    <w:lvl w:ilvl="0" w:tplc="04090019">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205069C"/>
    <w:multiLevelType w:val="hybridMultilevel"/>
    <w:tmpl w:val="925673EE"/>
    <w:lvl w:ilvl="0" w:tplc="38090019">
      <w:start w:val="1"/>
      <w:numFmt w:val="lowerLetter"/>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7" w15:restartNumberingAfterBreak="0">
    <w:nsid w:val="1D6726D7"/>
    <w:multiLevelType w:val="hybridMultilevel"/>
    <w:tmpl w:val="8976F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60547B"/>
    <w:multiLevelType w:val="hybridMultilevel"/>
    <w:tmpl w:val="78BC2EBC"/>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9" w15:restartNumberingAfterBreak="0">
    <w:nsid w:val="226839E9"/>
    <w:multiLevelType w:val="hybridMultilevel"/>
    <w:tmpl w:val="C5CE0E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362C7"/>
    <w:multiLevelType w:val="hybridMultilevel"/>
    <w:tmpl w:val="D046999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3F51AEF"/>
    <w:multiLevelType w:val="hybridMultilevel"/>
    <w:tmpl w:val="3FF29170"/>
    <w:lvl w:ilvl="0" w:tplc="EBD01682">
      <w:start w:val="1"/>
      <w:numFmt w:val="upperLetter"/>
      <w:lvlText w:val="%1."/>
      <w:lvlJc w:val="left"/>
      <w:pPr>
        <w:ind w:left="1906" w:hanging="360"/>
      </w:pPr>
      <w:rPr>
        <w:rFonts w:hint="default"/>
        <w:b w:val="0"/>
        <w:bCs w:val="0"/>
        <w:color w:val="auto"/>
      </w:rPr>
    </w:lvl>
    <w:lvl w:ilvl="1" w:tplc="04090019">
      <w:start w:val="1"/>
      <w:numFmt w:val="lowerLetter"/>
      <w:lvlText w:val="%2."/>
      <w:lvlJc w:val="left"/>
      <w:pPr>
        <w:ind w:left="2626" w:hanging="360"/>
      </w:pPr>
    </w:lvl>
    <w:lvl w:ilvl="2" w:tplc="0409001B" w:tentative="1">
      <w:start w:val="1"/>
      <w:numFmt w:val="lowerRoman"/>
      <w:lvlText w:val="%3."/>
      <w:lvlJc w:val="right"/>
      <w:pPr>
        <w:ind w:left="3346" w:hanging="180"/>
      </w:pPr>
    </w:lvl>
    <w:lvl w:ilvl="3" w:tplc="0409000F" w:tentative="1">
      <w:start w:val="1"/>
      <w:numFmt w:val="decimal"/>
      <w:lvlText w:val="%4."/>
      <w:lvlJc w:val="left"/>
      <w:pPr>
        <w:ind w:left="4066" w:hanging="360"/>
      </w:pPr>
    </w:lvl>
    <w:lvl w:ilvl="4" w:tplc="04090019" w:tentative="1">
      <w:start w:val="1"/>
      <w:numFmt w:val="lowerLetter"/>
      <w:lvlText w:val="%5."/>
      <w:lvlJc w:val="left"/>
      <w:pPr>
        <w:ind w:left="4786" w:hanging="360"/>
      </w:pPr>
    </w:lvl>
    <w:lvl w:ilvl="5" w:tplc="0409001B" w:tentative="1">
      <w:start w:val="1"/>
      <w:numFmt w:val="lowerRoman"/>
      <w:lvlText w:val="%6."/>
      <w:lvlJc w:val="right"/>
      <w:pPr>
        <w:ind w:left="5506" w:hanging="180"/>
      </w:pPr>
    </w:lvl>
    <w:lvl w:ilvl="6" w:tplc="0409000F" w:tentative="1">
      <w:start w:val="1"/>
      <w:numFmt w:val="decimal"/>
      <w:lvlText w:val="%7."/>
      <w:lvlJc w:val="left"/>
      <w:pPr>
        <w:ind w:left="6226" w:hanging="360"/>
      </w:pPr>
    </w:lvl>
    <w:lvl w:ilvl="7" w:tplc="04090019" w:tentative="1">
      <w:start w:val="1"/>
      <w:numFmt w:val="lowerLetter"/>
      <w:lvlText w:val="%8."/>
      <w:lvlJc w:val="left"/>
      <w:pPr>
        <w:ind w:left="6946" w:hanging="360"/>
      </w:pPr>
    </w:lvl>
    <w:lvl w:ilvl="8" w:tplc="0409001B" w:tentative="1">
      <w:start w:val="1"/>
      <w:numFmt w:val="lowerRoman"/>
      <w:lvlText w:val="%9."/>
      <w:lvlJc w:val="right"/>
      <w:pPr>
        <w:ind w:left="7666" w:hanging="180"/>
      </w:pPr>
    </w:lvl>
  </w:abstractNum>
  <w:abstractNum w:abstractNumId="12" w15:restartNumberingAfterBreak="0">
    <w:nsid w:val="28A02D6C"/>
    <w:multiLevelType w:val="hybridMultilevel"/>
    <w:tmpl w:val="11786C9A"/>
    <w:lvl w:ilvl="0" w:tplc="C4EC34A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2A234017"/>
    <w:multiLevelType w:val="hybridMultilevel"/>
    <w:tmpl w:val="D78CC604"/>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2BC15816"/>
    <w:multiLevelType w:val="multilevel"/>
    <w:tmpl w:val="722098C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C6D0047"/>
    <w:multiLevelType w:val="hybridMultilevel"/>
    <w:tmpl w:val="541E65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840FBC"/>
    <w:multiLevelType w:val="hybridMultilevel"/>
    <w:tmpl w:val="8D92BD3A"/>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15:restartNumberingAfterBreak="0">
    <w:nsid w:val="30E6274E"/>
    <w:multiLevelType w:val="hybridMultilevel"/>
    <w:tmpl w:val="04FCAE40"/>
    <w:lvl w:ilvl="0" w:tplc="0421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8" w15:restartNumberingAfterBreak="0">
    <w:nsid w:val="31793EE8"/>
    <w:multiLevelType w:val="hybridMultilevel"/>
    <w:tmpl w:val="35149F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54D37"/>
    <w:multiLevelType w:val="hybridMultilevel"/>
    <w:tmpl w:val="1C986452"/>
    <w:lvl w:ilvl="0" w:tplc="04210011">
      <w:start w:val="1"/>
      <w:numFmt w:val="decimal"/>
      <w:lvlText w:val="%1)"/>
      <w:lvlJc w:val="left"/>
      <w:pPr>
        <w:ind w:left="1495" w:hanging="360"/>
      </w:p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20" w15:restartNumberingAfterBreak="0">
    <w:nsid w:val="41314164"/>
    <w:multiLevelType w:val="hybridMultilevel"/>
    <w:tmpl w:val="54CA4002"/>
    <w:lvl w:ilvl="0" w:tplc="5E960A8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1ED5328"/>
    <w:multiLevelType w:val="hybridMultilevel"/>
    <w:tmpl w:val="F64E99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44097A"/>
    <w:multiLevelType w:val="hybridMultilevel"/>
    <w:tmpl w:val="A45870A4"/>
    <w:lvl w:ilvl="0" w:tplc="E1F8A39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3" w15:restartNumberingAfterBreak="0">
    <w:nsid w:val="4A0B43EF"/>
    <w:multiLevelType w:val="hybridMultilevel"/>
    <w:tmpl w:val="7298AC46"/>
    <w:lvl w:ilvl="0" w:tplc="8C16CDA2">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4" w15:restartNumberingAfterBreak="0">
    <w:nsid w:val="4A281DDC"/>
    <w:multiLevelType w:val="multilevel"/>
    <w:tmpl w:val="760E8E0E"/>
    <w:lvl w:ilvl="0">
      <w:start w:val="1"/>
      <w:numFmt w:val="decimal"/>
      <w:lvlText w:val="%1."/>
      <w:lvlJc w:val="left"/>
      <w:pPr>
        <w:ind w:left="720" w:hanging="360"/>
      </w:pPr>
      <w:rPr>
        <w:rFonts w:hint="default"/>
        <w:color w:val="auto"/>
      </w:rPr>
    </w:lvl>
    <w:lvl w:ilvl="1">
      <w:start w:val="1"/>
      <w:numFmt w:val="decimal"/>
      <w:isLgl/>
      <w:lvlText w:val="%1.%2."/>
      <w:lvlJc w:val="left"/>
      <w:pPr>
        <w:ind w:left="1440" w:hanging="720"/>
      </w:pPr>
      <w:rPr>
        <w:rFonts w:eastAsiaTheme="minorEastAsia" w:hint="default"/>
      </w:rPr>
    </w:lvl>
    <w:lvl w:ilvl="2">
      <w:start w:val="1"/>
      <w:numFmt w:val="decimal"/>
      <w:isLgl/>
      <w:lvlText w:val="%1.%2.%3."/>
      <w:lvlJc w:val="left"/>
      <w:pPr>
        <w:ind w:left="1800" w:hanging="720"/>
      </w:pPr>
      <w:rPr>
        <w:rFonts w:eastAsiaTheme="minorEastAsia" w:hint="default"/>
      </w:rPr>
    </w:lvl>
    <w:lvl w:ilvl="3">
      <w:start w:val="1"/>
      <w:numFmt w:val="decimal"/>
      <w:isLgl/>
      <w:lvlText w:val="%1.%2.%3.%4."/>
      <w:lvlJc w:val="left"/>
      <w:pPr>
        <w:ind w:left="2520" w:hanging="1080"/>
      </w:pPr>
      <w:rPr>
        <w:rFonts w:eastAsiaTheme="minorEastAsia" w:hint="default"/>
      </w:rPr>
    </w:lvl>
    <w:lvl w:ilvl="4">
      <w:start w:val="1"/>
      <w:numFmt w:val="decimal"/>
      <w:isLgl/>
      <w:lvlText w:val="%1.%2.%3.%4.%5."/>
      <w:lvlJc w:val="left"/>
      <w:pPr>
        <w:ind w:left="2880" w:hanging="1080"/>
      </w:pPr>
      <w:rPr>
        <w:rFonts w:eastAsiaTheme="minorEastAsia" w:hint="default"/>
      </w:rPr>
    </w:lvl>
    <w:lvl w:ilvl="5">
      <w:start w:val="1"/>
      <w:numFmt w:val="decimal"/>
      <w:isLgl/>
      <w:lvlText w:val="%1.%2.%3.%4.%5.%6."/>
      <w:lvlJc w:val="left"/>
      <w:pPr>
        <w:ind w:left="3600" w:hanging="1440"/>
      </w:pPr>
      <w:rPr>
        <w:rFonts w:eastAsiaTheme="minorEastAsia" w:hint="default"/>
      </w:rPr>
    </w:lvl>
    <w:lvl w:ilvl="6">
      <w:start w:val="1"/>
      <w:numFmt w:val="decimal"/>
      <w:isLgl/>
      <w:lvlText w:val="%1.%2.%3.%4.%5.%6.%7."/>
      <w:lvlJc w:val="left"/>
      <w:pPr>
        <w:ind w:left="3960" w:hanging="1440"/>
      </w:pPr>
      <w:rPr>
        <w:rFonts w:eastAsiaTheme="minorEastAsia" w:hint="default"/>
      </w:rPr>
    </w:lvl>
    <w:lvl w:ilvl="7">
      <w:start w:val="1"/>
      <w:numFmt w:val="decimal"/>
      <w:isLgl/>
      <w:lvlText w:val="%1.%2.%3.%4.%5.%6.%7.%8."/>
      <w:lvlJc w:val="left"/>
      <w:pPr>
        <w:ind w:left="4680" w:hanging="1800"/>
      </w:pPr>
      <w:rPr>
        <w:rFonts w:eastAsiaTheme="minorEastAsia" w:hint="default"/>
      </w:rPr>
    </w:lvl>
    <w:lvl w:ilvl="8">
      <w:start w:val="1"/>
      <w:numFmt w:val="decimal"/>
      <w:isLgl/>
      <w:lvlText w:val="%1.%2.%3.%4.%5.%6.%7.%8.%9."/>
      <w:lvlJc w:val="left"/>
      <w:pPr>
        <w:ind w:left="5400" w:hanging="2160"/>
      </w:pPr>
      <w:rPr>
        <w:rFonts w:eastAsiaTheme="minorEastAsia" w:hint="default"/>
      </w:rPr>
    </w:lvl>
  </w:abstractNum>
  <w:abstractNum w:abstractNumId="25" w15:restartNumberingAfterBreak="0">
    <w:nsid w:val="4B4F499B"/>
    <w:multiLevelType w:val="hybridMultilevel"/>
    <w:tmpl w:val="6D94653A"/>
    <w:lvl w:ilvl="0" w:tplc="B5A637B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6" w15:restartNumberingAfterBreak="0">
    <w:nsid w:val="4BDB5D57"/>
    <w:multiLevelType w:val="hybridMultilevel"/>
    <w:tmpl w:val="3CE0C516"/>
    <w:lvl w:ilvl="0" w:tplc="535677B4">
      <w:start w:val="1"/>
      <w:numFmt w:val="decimal"/>
      <w:lvlText w:val="%1."/>
      <w:lvlJc w:val="left"/>
      <w:pPr>
        <w:ind w:left="1712" w:hanging="360"/>
      </w:pPr>
      <w:rPr>
        <w:rFonts w:hint="default"/>
      </w:rPr>
    </w:lvl>
    <w:lvl w:ilvl="1" w:tplc="38090019" w:tentative="1">
      <w:start w:val="1"/>
      <w:numFmt w:val="lowerLetter"/>
      <w:lvlText w:val="%2."/>
      <w:lvlJc w:val="left"/>
      <w:pPr>
        <w:ind w:left="2072" w:hanging="360"/>
      </w:pPr>
    </w:lvl>
    <w:lvl w:ilvl="2" w:tplc="3809001B" w:tentative="1">
      <w:start w:val="1"/>
      <w:numFmt w:val="lowerRoman"/>
      <w:lvlText w:val="%3."/>
      <w:lvlJc w:val="right"/>
      <w:pPr>
        <w:ind w:left="2792" w:hanging="180"/>
      </w:pPr>
    </w:lvl>
    <w:lvl w:ilvl="3" w:tplc="3809000F" w:tentative="1">
      <w:start w:val="1"/>
      <w:numFmt w:val="decimal"/>
      <w:lvlText w:val="%4."/>
      <w:lvlJc w:val="left"/>
      <w:pPr>
        <w:ind w:left="3512" w:hanging="360"/>
      </w:pPr>
    </w:lvl>
    <w:lvl w:ilvl="4" w:tplc="38090019" w:tentative="1">
      <w:start w:val="1"/>
      <w:numFmt w:val="lowerLetter"/>
      <w:lvlText w:val="%5."/>
      <w:lvlJc w:val="left"/>
      <w:pPr>
        <w:ind w:left="4232" w:hanging="360"/>
      </w:pPr>
    </w:lvl>
    <w:lvl w:ilvl="5" w:tplc="3809001B" w:tentative="1">
      <w:start w:val="1"/>
      <w:numFmt w:val="lowerRoman"/>
      <w:lvlText w:val="%6."/>
      <w:lvlJc w:val="right"/>
      <w:pPr>
        <w:ind w:left="4952" w:hanging="180"/>
      </w:pPr>
    </w:lvl>
    <w:lvl w:ilvl="6" w:tplc="3809000F" w:tentative="1">
      <w:start w:val="1"/>
      <w:numFmt w:val="decimal"/>
      <w:lvlText w:val="%7."/>
      <w:lvlJc w:val="left"/>
      <w:pPr>
        <w:ind w:left="5672" w:hanging="360"/>
      </w:pPr>
    </w:lvl>
    <w:lvl w:ilvl="7" w:tplc="38090019" w:tentative="1">
      <w:start w:val="1"/>
      <w:numFmt w:val="lowerLetter"/>
      <w:lvlText w:val="%8."/>
      <w:lvlJc w:val="left"/>
      <w:pPr>
        <w:ind w:left="6392" w:hanging="360"/>
      </w:pPr>
    </w:lvl>
    <w:lvl w:ilvl="8" w:tplc="3809001B" w:tentative="1">
      <w:start w:val="1"/>
      <w:numFmt w:val="lowerRoman"/>
      <w:lvlText w:val="%9."/>
      <w:lvlJc w:val="right"/>
      <w:pPr>
        <w:ind w:left="7112" w:hanging="180"/>
      </w:pPr>
    </w:lvl>
  </w:abstractNum>
  <w:abstractNum w:abstractNumId="27" w15:restartNumberingAfterBreak="0">
    <w:nsid w:val="4BF1112B"/>
    <w:multiLevelType w:val="hybridMultilevel"/>
    <w:tmpl w:val="EFEA80D0"/>
    <w:lvl w:ilvl="0" w:tplc="BF5CAC0E">
      <w:start w:val="1"/>
      <w:numFmt w:val="upperLetter"/>
      <w:lvlText w:val="%1."/>
      <w:lvlJc w:val="left"/>
      <w:pPr>
        <w:ind w:left="1906" w:hanging="360"/>
      </w:pPr>
      <w:rPr>
        <w:rFonts w:hint="default"/>
      </w:rPr>
    </w:lvl>
    <w:lvl w:ilvl="1" w:tplc="53B4ABE6">
      <w:start w:val="1"/>
      <w:numFmt w:val="decimal"/>
      <w:lvlText w:val="%2."/>
      <w:lvlJc w:val="left"/>
      <w:pPr>
        <w:ind w:left="2626" w:hanging="360"/>
      </w:pPr>
      <w:rPr>
        <w:rFonts w:ascii="Times New Roman" w:eastAsia="SimSun" w:hAnsi="Times New Roman" w:cs="Times New Roman" w:hint="default"/>
        <w:b w:val="0"/>
      </w:rPr>
    </w:lvl>
    <w:lvl w:ilvl="2" w:tplc="D33A17B4">
      <w:start w:val="1"/>
      <w:numFmt w:val="decimal"/>
      <w:lvlText w:val="%3."/>
      <w:lvlJc w:val="left"/>
      <w:pPr>
        <w:ind w:left="3526" w:hanging="360"/>
      </w:pPr>
      <w:rPr>
        <w:rFonts w:hint="default"/>
      </w:rPr>
    </w:lvl>
    <w:lvl w:ilvl="3" w:tplc="0409000F" w:tentative="1">
      <w:start w:val="1"/>
      <w:numFmt w:val="decimal"/>
      <w:lvlText w:val="%4."/>
      <w:lvlJc w:val="left"/>
      <w:pPr>
        <w:ind w:left="4066" w:hanging="360"/>
      </w:pPr>
    </w:lvl>
    <w:lvl w:ilvl="4" w:tplc="04090019" w:tentative="1">
      <w:start w:val="1"/>
      <w:numFmt w:val="lowerLetter"/>
      <w:lvlText w:val="%5."/>
      <w:lvlJc w:val="left"/>
      <w:pPr>
        <w:ind w:left="4786" w:hanging="360"/>
      </w:pPr>
    </w:lvl>
    <w:lvl w:ilvl="5" w:tplc="0409001B" w:tentative="1">
      <w:start w:val="1"/>
      <w:numFmt w:val="lowerRoman"/>
      <w:lvlText w:val="%6."/>
      <w:lvlJc w:val="right"/>
      <w:pPr>
        <w:ind w:left="5506" w:hanging="180"/>
      </w:pPr>
    </w:lvl>
    <w:lvl w:ilvl="6" w:tplc="0409000F" w:tentative="1">
      <w:start w:val="1"/>
      <w:numFmt w:val="decimal"/>
      <w:lvlText w:val="%7."/>
      <w:lvlJc w:val="left"/>
      <w:pPr>
        <w:ind w:left="6226" w:hanging="360"/>
      </w:pPr>
    </w:lvl>
    <w:lvl w:ilvl="7" w:tplc="04090019" w:tentative="1">
      <w:start w:val="1"/>
      <w:numFmt w:val="lowerLetter"/>
      <w:lvlText w:val="%8."/>
      <w:lvlJc w:val="left"/>
      <w:pPr>
        <w:ind w:left="6946" w:hanging="360"/>
      </w:pPr>
    </w:lvl>
    <w:lvl w:ilvl="8" w:tplc="0409001B" w:tentative="1">
      <w:start w:val="1"/>
      <w:numFmt w:val="lowerRoman"/>
      <w:lvlText w:val="%9."/>
      <w:lvlJc w:val="right"/>
      <w:pPr>
        <w:ind w:left="7666" w:hanging="180"/>
      </w:pPr>
    </w:lvl>
  </w:abstractNum>
  <w:abstractNum w:abstractNumId="28" w15:restartNumberingAfterBreak="0">
    <w:nsid w:val="4D9E61CE"/>
    <w:multiLevelType w:val="hybridMultilevel"/>
    <w:tmpl w:val="A3125E3C"/>
    <w:lvl w:ilvl="0" w:tplc="0421000F">
      <w:start w:val="1"/>
      <w:numFmt w:val="decimal"/>
      <w:lvlText w:val="%1."/>
      <w:lvlJc w:val="left"/>
      <w:pPr>
        <w:tabs>
          <w:tab w:val="num" w:pos="1070"/>
        </w:tabs>
        <w:ind w:left="1070" w:hanging="360"/>
      </w:pPr>
      <w:rPr>
        <w:rFonts w:hint="default"/>
      </w:rPr>
    </w:lvl>
    <w:lvl w:ilvl="1" w:tplc="9F445EA4" w:tentative="1">
      <w:start w:val="1"/>
      <w:numFmt w:val="bullet"/>
      <w:lvlText w:val=""/>
      <w:lvlJc w:val="left"/>
      <w:pPr>
        <w:tabs>
          <w:tab w:val="num" w:pos="1790"/>
        </w:tabs>
        <w:ind w:left="1790" w:hanging="360"/>
      </w:pPr>
      <w:rPr>
        <w:rFonts w:ascii="Wingdings 2" w:hAnsi="Wingdings 2" w:hint="default"/>
      </w:rPr>
    </w:lvl>
    <w:lvl w:ilvl="2" w:tplc="1BE206A8" w:tentative="1">
      <w:start w:val="1"/>
      <w:numFmt w:val="bullet"/>
      <w:lvlText w:val=""/>
      <w:lvlJc w:val="left"/>
      <w:pPr>
        <w:tabs>
          <w:tab w:val="num" w:pos="2510"/>
        </w:tabs>
        <w:ind w:left="2510" w:hanging="360"/>
      </w:pPr>
      <w:rPr>
        <w:rFonts w:ascii="Wingdings 2" w:hAnsi="Wingdings 2" w:hint="default"/>
      </w:rPr>
    </w:lvl>
    <w:lvl w:ilvl="3" w:tplc="B8288C9A" w:tentative="1">
      <w:start w:val="1"/>
      <w:numFmt w:val="bullet"/>
      <w:lvlText w:val=""/>
      <w:lvlJc w:val="left"/>
      <w:pPr>
        <w:tabs>
          <w:tab w:val="num" w:pos="3230"/>
        </w:tabs>
        <w:ind w:left="3230" w:hanging="360"/>
      </w:pPr>
      <w:rPr>
        <w:rFonts w:ascii="Wingdings 2" w:hAnsi="Wingdings 2" w:hint="default"/>
      </w:rPr>
    </w:lvl>
    <w:lvl w:ilvl="4" w:tplc="9A1250BC" w:tentative="1">
      <w:start w:val="1"/>
      <w:numFmt w:val="bullet"/>
      <w:lvlText w:val=""/>
      <w:lvlJc w:val="left"/>
      <w:pPr>
        <w:tabs>
          <w:tab w:val="num" w:pos="3950"/>
        </w:tabs>
        <w:ind w:left="3950" w:hanging="360"/>
      </w:pPr>
      <w:rPr>
        <w:rFonts w:ascii="Wingdings 2" w:hAnsi="Wingdings 2" w:hint="default"/>
      </w:rPr>
    </w:lvl>
    <w:lvl w:ilvl="5" w:tplc="A814A79E" w:tentative="1">
      <w:start w:val="1"/>
      <w:numFmt w:val="bullet"/>
      <w:lvlText w:val=""/>
      <w:lvlJc w:val="left"/>
      <w:pPr>
        <w:tabs>
          <w:tab w:val="num" w:pos="4670"/>
        </w:tabs>
        <w:ind w:left="4670" w:hanging="360"/>
      </w:pPr>
      <w:rPr>
        <w:rFonts w:ascii="Wingdings 2" w:hAnsi="Wingdings 2" w:hint="default"/>
      </w:rPr>
    </w:lvl>
    <w:lvl w:ilvl="6" w:tplc="E766B32A" w:tentative="1">
      <w:start w:val="1"/>
      <w:numFmt w:val="bullet"/>
      <w:lvlText w:val=""/>
      <w:lvlJc w:val="left"/>
      <w:pPr>
        <w:tabs>
          <w:tab w:val="num" w:pos="5390"/>
        </w:tabs>
        <w:ind w:left="5390" w:hanging="360"/>
      </w:pPr>
      <w:rPr>
        <w:rFonts w:ascii="Wingdings 2" w:hAnsi="Wingdings 2" w:hint="default"/>
      </w:rPr>
    </w:lvl>
    <w:lvl w:ilvl="7" w:tplc="CB1458F6" w:tentative="1">
      <w:start w:val="1"/>
      <w:numFmt w:val="bullet"/>
      <w:lvlText w:val=""/>
      <w:lvlJc w:val="left"/>
      <w:pPr>
        <w:tabs>
          <w:tab w:val="num" w:pos="6110"/>
        </w:tabs>
        <w:ind w:left="6110" w:hanging="360"/>
      </w:pPr>
      <w:rPr>
        <w:rFonts w:ascii="Wingdings 2" w:hAnsi="Wingdings 2" w:hint="default"/>
      </w:rPr>
    </w:lvl>
    <w:lvl w:ilvl="8" w:tplc="4CACB3D8" w:tentative="1">
      <w:start w:val="1"/>
      <w:numFmt w:val="bullet"/>
      <w:lvlText w:val=""/>
      <w:lvlJc w:val="left"/>
      <w:pPr>
        <w:tabs>
          <w:tab w:val="num" w:pos="6830"/>
        </w:tabs>
        <w:ind w:left="6830" w:hanging="360"/>
      </w:pPr>
      <w:rPr>
        <w:rFonts w:ascii="Wingdings 2" w:hAnsi="Wingdings 2" w:hint="default"/>
      </w:rPr>
    </w:lvl>
  </w:abstractNum>
  <w:abstractNum w:abstractNumId="29" w15:restartNumberingAfterBreak="0">
    <w:nsid w:val="4E111DA4"/>
    <w:multiLevelType w:val="hybridMultilevel"/>
    <w:tmpl w:val="10642210"/>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4F303A5E"/>
    <w:multiLevelType w:val="hybridMultilevel"/>
    <w:tmpl w:val="2796F8F4"/>
    <w:lvl w:ilvl="0" w:tplc="B43E285E">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1" w15:restartNumberingAfterBreak="0">
    <w:nsid w:val="4FA47B2F"/>
    <w:multiLevelType w:val="multilevel"/>
    <w:tmpl w:val="FEFA4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FD73051"/>
    <w:multiLevelType w:val="hybridMultilevel"/>
    <w:tmpl w:val="D02C9D94"/>
    <w:lvl w:ilvl="0" w:tplc="C50A9A62">
      <w:start w:val="1"/>
      <w:numFmt w:val="decimal"/>
      <w:lvlText w:val="(%1)"/>
      <w:lvlJc w:val="left"/>
      <w:pPr>
        <w:ind w:left="111" w:hanging="293"/>
      </w:pPr>
      <w:rPr>
        <w:rFonts w:ascii="Times New Roman" w:eastAsia="Arial MT" w:hAnsi="Times New Roman" w:cs="Times New Roman" w:hint="default"/>
        <w:spacing w:val="-2"/>
        <w:w w:val="103"/>
        <w:sz w:val="24"/>
        <w:szCs w:val="24"/>
        <w:lang w:eastAsia="en-US" w:bidi="ar-SA"/>
      </w:rPr>
    </w:lvl>
    <w:lvl w:ilvl="1" w:tplc="1AB0281C">
      <w:numFmt w:val="bullet"/>
      <w:lvlText w:val="•"/>
      <w:lvlJc w:val="left"/>
      <w:pPr>
        <w:ind w:left="972" w:hanging="293"/>
      </w:pPr>
      <w:rPr>
        <w:rFonts w:hint="default"/>
        <w:lang w:eastAsia="en-US" w:bidi="ar-SA"/>
      </w:rPr>
    </w:lvl>
    <w:lvl w:ilvl="2" w:tplc="46FA6D82">
      <w:numFmt w:val="bullet"/>
      <w:lvlText w:val="•"/>
      <w:lvlJc w:val="left"/>
      <w:pPr>
        <w:ind w:left="1824" w:hanging="293"/>
      </w:pPr>
      <w:rPr>
        <w:rFonts w:hint="default"/>
        <w:lang w:eastAsia="en-US" w:bidi="ar-SA"/>
      </w:rPr>
    </w:lvl>
    <w:lvl w:ilvl="3" w:tplc="B66A87EA">
      <w:numFmt w:val="bullet"/>
      <w:lvlText w:val="•"/>
      <w:lvlJc w:val="left"/>
      <w:pPr>
        <w:ind w:left="2677" w:hanging="293"/>
      </w:pPr>
      <w:rPr>
        <w:rFonts w:hint="default"/>
        <w:lang w:eastAsia="en-US" w:bidi="ar-SA"/>
      </w:rPr>
    </w:lvl>
    <w:lvl w:ilvl="4" w:tplc="A9746404">
      <w:numFmt w:val="bullet"/>
      <w:lvlText w:val="•"/>
      <w:lvlJc w:val="left"/>
      <w:pPr>
        <w:ind w:left="3529" w:hanging="293"/>
      </w:pPr>
      <w:rPr>
        <w:rFonts w:hint="default"/>
        <w:lang w:eastAsia="en-US" w:bidi="ar-SA"/>
      </w:rPr>
    </w:lvl>
    <w:lvl w:ilvl="5" w:tplc="6A628864">
      <w:numFmt w:val="bullet"/>
      <w:lvlText w:val="•"/>
      <w:lvlJc w:val="left"/>
      <w:pPr>
        <w:ind w:left="4382" w:hanging="293"/>
      </w:pPr>
      <w:rPr>
        <w:rFonts w:hint="default"/>
        <w:lang w:eastAsia="en-US" w:bidi="ar-SA"/>
      </w:rPr>
    </w:lvl>
    <w:lvl w:ilvl="6" w:tplc="E7727EB2">
      <w:numFmt w:val="bullet"/>
      <w:lvlText w:val="•"/>
      <w:lvlJc w:val="left"/>
      <w:pPr>
        <w:ind w:left="5234" w:hanging="293"/>
      </w:pPr>
      <w:rPr>
        <w:rFonts w:hint="default"/>
        <w:lang w:eastAsia="en-US" w:bidi="ar-SA"/>
      </w:rPr>
    </w:lvl>
    <w:lvl w:ilvl="7" w:tplc="EC10A4E0">
      <w:numFmt w:val="bullet"/>
      <w:lvlText w:val="•"/>
      <w:lvlJc w:val="left"/>
      <w:pPr>
        <w:ind w:left="6086" w:hanging="293"/>
      </w:pPr>
      <w:rPr>
        <w:rFonts w:hint="default"/>
        <w:lang w:eastAsia="en-US" w:bidi="ar-SA"/>
      </w:rPr>
    </w:lvl>
    <w:lvl w:ilvl="8" w:tplc="8DF2F22A">
      <w:numFmt w:val="bullet"/>
      <w:lvlText w:val="•"/>
      <w:lvlJc w:val="left"/>
      <w:pPr>
        <w:ind w:left="6939" w:hanging="293"/>
      </w:pPr>
      <w:rPr>
        <w:rFonts w:hint="default"/>
        <w:lang w:eastAsia="en-US" w:bidi="ar-SA"/>
      </w:rPr>
    </w:lvl>
  </w:abstractNum>
  <w:abstractNum w:abstractNumId="33" w15:restartNumberingAfterBreak="0">
    <w:nsid w:val="564B3A4F"/>
    <w:multiLevelType w:val="hybridMultilevel"/>
    <w:tmpl w:val="03BA6CDC"/>
    <w:lvl w:ilvl="0" w:tplc="4A12F18A">
      <w:start w:val="1"/>
      <w:numFmt w:val="upperLetter"/>
      <w:lvlText w:val="%1."/>
      <w:lvlJc w:val="left"/>
      <w:pPr>
        <w:ind w:left="720" w:hanging="360"/>
      </w:pPr>
      <w:rPr>
        <w:rFonts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7F10193"/>
    <w:multiLevelType w:val="hybridMultilevel"/>
    <w:tmpl w:val="51C66C2E"/>
    <w:lvl w:ilvl="0" w:tplc="7C3C92F0">
      <w:start w:val="1"/>
      <w:numFmt w:val="decimal"/>
      <w:lvlText w:val="%1."/>
      <w:lvlJc w:val="left"/>
      <w:pPr>
        <w:ind w:left="644" w:hanging="360"/>
      </w:pPr>
      <w:rPr>
        <w:rFonts w:hint="default"/>
        <w:color w:val="auto"/>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5" w15:restartNumberingAfterBreak="0">
    <w:nsid w:val="596654A5"/>
    <w:multiLevelType w:val="hybridMultilevel"/>
    <w:tmpl w:val="10D88802"/>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6" w15:restartNumberingAfterBreak="0">
    <w:nsid w:val="59EE38A0"/>
    <w:multiLevelType w:val="hybridMultilevel"/>
    <w:tmpl w:val="9FFAEAD6"/>
    <w:lvl w:ilvl="0" w:tplc="4A5AB7B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605561A1"/>
    <w:multiLevelType w:val="hybridMultilevel"/>
    <w:tmpl w:val="BDB20F34"/>
    <w:lvl w:ilvl="0" w:tplc="535677B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8" w15:restartNumberingAfterBreak="0">
    <w:nsid w:val="62243E4E"/>
    <w:multiLevelType w:val="hybridMultilevel"/>
    <w:tmpl w:val="05D8A436"/>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9" w15:restartNumberingAfterBreak="0">
    <w:nsid w:val="649A22C1"/>
    <w:multiLevelType w:val="hybridMultilevel"/>
    <w:tmpl w:val="376480AA"/>
    <w:lvl w:ilvl="0" w:tplc="5C103B2C">
      <w:start w:val="1"/>
      <w:numFmt w:val="decimal"/>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661B550A"/>
    <w:multiLevelType w:val="hybridMultilevel"/>
    <w:tmpl w:val="64F0DBA8"/>
    <w:lvl w:ilvl="0" w:tplc="43E28CA6">
      <w:start w:val="1"/>
      <w:numFmt w:val="decimal"/>
      <w:lvlText w:val="(%1)"/>
      <w:lvlJc w:val="left"/>
      <w:pPr>
        <w:ind w:left="111" w:hanging="293"/>
      </w:pPr>
      <w:rPr>
        <w:rFonts w:ascii="Times New Roman" w:eastAsia="Arial MT" w:hAnsi="Times New Roman" w:cs="Times New Roman" w:hint="default"/>
        <w:spacing w:val="-2"/>
        <w:w w:val="103"/>
        <w:sz w:val="24"/>
        <w:szCs w:val="24"/>
        <w:lang w:eastAsia="en-US" w:bidi="ar-SA"/>
      </w:rPr>
    </w:lvl>
    <w:lvl w:ilvl="1" w:tplc="CD9A0C52">
      <w:numFmt w:val="bullet"/>
      <w:lvlText w:val="•"/>
      <w:lvlJc w:val="left"/>
      <w:pPr>
        <w:ind w:left="972" w:hanging="293"/>
      </w:pPr>
      <w:rPr>
        <w:rFonts w:hint="default"/>
        <w:lang w:eastAsia="en-US" w:bidi="ar-SA"/>
      </w:rPr>
    </w:lvl>
    <w:lvl w:ilvl="2" w:tplc="E7BCD298">
      <w:numFmt w:val="bullet"/>
      <w:lvlText w:val="•"/>
      <w:lvlJc w:val="left"/>
      <w:pPr>
        <w:ind w:left="1824" w:hanging="293"/>
      </w:pPr>
      <w:rPr>
        <w:rFonts w:hint="default"/>
        <w:lang w:eastAsia="en-US" w:bidi="ar-SA"/>
      </w:rPr>
    </w:lvl>
    <w:lvl w:ilvl="3" w:tplc="9E34D380">
      <w:numFmt w:val="bullet"/>
      <w:lvlText w:val="•"/>
      <w:lvlJc w:val="left"/>
      <w:pPr>
        <w:ind w:left="2677" w:hanging="293"/>
      </w:pPr>
      <w:rPr>
        <w:rFonts w:hint="default"/>
        <w:lang w:eastAsia="en-US" w:bidi="ar-SA"/>
      </w:rPr>
    </w:lvl>
    <w:lvl w:ilvl="4" w:tplc="62221D90">
      <w:numFmt w:val="bullet"/>
      <w:lvlText w:val="•"/>
      <w:lvlJc w:val="left"/>
      <w:pPr>
        <w:ind w:left="3529" w:hanging="293"/>
      </w:pPr>
      <w:rPr>
        <w:rFonts w:hint="default"/>
        <w:lang w:eastAsia="en-US" w:bidi="ar-SA"/>
      </w:rPr>
    </w:lvl>
    <w:lvl w:ilvl="5" w:tplc="90522090">
      <w:numFmt w:val="bullet"/>
      <w:lvlText w:val="•"/>
      <w:lvlJc w:val="left"/>
      <w:pPr>
        <w:ind w:left="4382" w:hanging="293"/>
      </w:pPr>
      <w:rPr>
        <w:rFonts w:hint="default"/>
        <w:lang w:eastAsia="en-US" w:bidi="ar-SA"/>
      </w:rPr>
    </w:lvl>
    <w:lvl w:ilvl="6" w:tplc="78E2D538">
      <w:numFmt w:val="bullet"/>
      <w:lvlText w:val="•"/>
      <w:lvlJc w:val="left"/>
      <w:pPr>
        <w:ind w:left="5234" w:hanging="293"/>
      </w:pPr>
      <w:rPr>
        <w:rFonts w:hint="default"/>
        <w:lang w:eastAsia="en-US" w:bidi="ar-SA"/>
      </w:rPr>
    </w:lvl>
    <w:lvl w:ilvl="7" w:tplc="536CC86C">
      <w:numFmt w:val="bullet"/>
      <w:lvlText w:val="•"/>
      <w:lvlJc w:val="left"/>
      <w:pPr>
        <w:ind w:left="6086" w:hanging="293"/>
      </w:pPr>
      <w:rPr>
        <w:rFonts w:hint="default"/>
        <w:lang w:eastAsia="en-US" w:bidi="ar-SA"/>
      </w:rPr>
    </w:lvl>
    <w:lvl w:ilvl="8" w:tplc="8662C466">
      <w:numFmt w:val="bullet"/>
      <w:lvlText w:val="•"/>
      <w:lvlJc w:val="left"/>
      <w:pPr>
        <w:ind w:left="6939" w:hanging="293"/>
      </w:pPr>
      <w:rPr>
        <w:rFonts w:hint="default"/>
        <w:lang w:eastAsia="en-US" w:bidi="ar-SA"/>
      </w:rPr>
    </w:lvl>
  </w:abstractNum>
  <w:abstractNum w:abstractNumId="41" w15:restartNumberingAfterBreak="0">
    <w:nsid w:val="66756D5E"/>
    <w:multiLevelType w:val="hybridMultilevel"/>
    <w:tmpl w:val="CE3A1C24"/>
    <w:lvl w:ilvl="0" w:tplc="E06ACCEA">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42" w15:restartNumberingAfterBreak="0">
    <w:nsid w:val="6D3E3425"/>
    <w:multiLevelType w:val="hybridMultilevel"/>
    <w:tmpl w:val="1CDA3A6A"/>
    <w:lvl w:ilvl="0" w:tplc="3C3631AC">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3" w15:restartNumberingAfterBreak="0">
    <w:nsid w:val="768C1BCB"/>
    <w:multiLevelType w:val="hybridMultilevel"/>
    <w:tmpl w:val="1C4AA0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6B0000A"/>
    <w:multiLevelType w:val="hybridMultilevel"/>
    <w:tmpl w:val="7750D610"/>
    <w:lvl w:ilvl="0" w:tplc="38090019">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5" w15:restartNumberingAfterBreak="0">
    <w:nsid w:val="79CADC0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D091111"/>
    <w:multiLevelType w:val="hybridMultilevel"/>
    <w:tmpl w:val="7E863FCA"/>
    <w:lvl w:ilvl="0" w:tplc="D932D3E4">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47" w15:restartNumberingAfterBreak="0">
    <w:nsid w:val="7EE140C1"/>
    <w:multiLevelType w:val="hybridMultilevel"/>
    <w:tmpl w:val="4D787D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401CE7"/>
    <w:multiLevelType w:val="hybridMultilevel"/>
    <w:tmpl w:val="076E4F24"/>
    <w:lvl w:ilvl="0" w:tplc="0421000F">
      <w:start w:val="1"/>
      <w:numFmt w:val="decimal"/>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9" w15:restartNumberingAfterBreak="0">
    <w:nsid w:val="7FD3247E"/>
    <w:multiLevelType w:val="hybridMultilevel"/>
    <w:tmpl w:val="6226CA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2276010">
    <w:abstractNumId w:val="16"/>
  </w:num>
  <w:num w:numId="2" w16cid:durableId="600530488">
    <w:abstractNumId w:val="3"/>
  </w:num>
  <w:num w:numId="3" w16cid:durableId="314143206">
    <w:abstractNumId w:val="4"/>
  </w:num>
  <w:num w:numId="4" w16cid:durableId="1535578257">
    <w:abstractNumId w:val="28"/>
  </w:num>
  <w:num w:numId="5" w16cid:durableId="1156265276">
    <w:abstractNumId w:val="2"/>
  </w:num>
  <w:num w:numId="6" w16cid:durableId="976908954">
    <w:abstractNumId w:val="19"/>
  </w:num>
  <w:num w:numId="7" w16cid:durableId="1373112276">
    <w:abstractNumId w:val="32"/>
  </w:num>
  <w:num w:numId="8" w16cid:durableId="628626501">
    <w:abstractNumId w:val="40"/>
  </w:num>
  <w:num w:numId="9" w16cid:durableId="499005029">
    <w:abstractNumId w:val="22"/>
  </w:num>
  <w:num w:numId="10" w16cid:durableId="698748396">
    <w:abstractNumId w:val="48"/>
  </w:num>
  <w:num w:numId="11" w16cid:durableId="1849707039">
    <w:abstractNumId w:val="1"/>
  </w:num>
  <w:num w:numId="12" w16cid:durableId="1881546601">
    <w:abstractNumId w:val="0"/>
  </w:num>
  <w:num w:numId="13" w16cid:durableId="651181126">
    <w:abstractNumId w:val="7"/>
  </w:num>
  <w:num w:numId="14" w16cid:durableId="1683386750">
    <w:abstractNumId w:val="20"/>
  </w:num>
  <w:num w:numId="15" w16cid:durableId="416830367">
    <w:abstractNumId w:val="9"/>
  </w:num>
  <w:num w:numId="16" w16cid:durableId="203300136">
    <w:abstractNumId w:val="25"/>
  </w:num>
  <w:num w:numId="17" w16cid:durableId="1903446018">
    <w:abstractNumId w:val="21"/>
  </w:num>
  <w:num w:numId="18" w16cid:durableId="1940135998">
    <w:abstractNumId w:val="11"/>
  </w:num>
  <w:num w:numId="19" w16cid:durableId="1896164453">
    <w:abstractNumId w:val="49"/>
  </w:num>
  <w:num w:numId="20" w16cid:durableId="541526606">
    <w:abstractNumId w:val="18"/>
  </w:num>
  <w:num w:numId="21" w16cid:durableId="1269965918">
    <w:abstractNumId w:val="47"/>
  </w:num>
  <w:num w:numId="22" w16cid:durableId="1784766253">
    <w:abstractNumId w:val="41"/>
  </w:num>
  <w:num w:numId="23" w16cid:durableId="74321076">
    <w:abstractNumId w:val="36"/>
  </w:num>
  <w:num w:numId="24" w16cid:durableId="744304364">
    <w:abstractNumId w:val="35"/>
  </w:num>
  <w:num w:numId="25" w16cid:durableId="1028485834">
    <w:abstractNumId w:val="13"/>
  </w:num>
  <w:num w:numId="26" w16cid:durableId="1017191094">
    <w:abstractNumId w:val="42"/>
  </w:num>
  <w:num w:numId="27" w16cid:durableId="1043865732">
    <w:abstractNumId w:val="15"/>
  </w:num>
  <w:num w:numId="28" w16cid:durableId="206333957">
    <w:abstractNumId w:val="39"/>
  </w:num>
  <w:num w:numId="29" w16cid:durableId="1757625794">
    <w:abstractNumId w:val="8"/>
  </w:num>
  <w:num w:numId="30" w16cid:durableId="505049655">
    <w:abstractNumId w:val="46"/>
  </w:num>
  <w:num w:numId="31" w16cid:durableId="346911213">
    <w:abstractNumId w:val="23"/>
  </w:num>
  <w:num w:numId="32" w16cid:durableId="1814711428">
    <w:abstractNumId w:val="33"/>
  </w:num>
  <w:num w:numId="33" w16cid:durableId="66348229">
    <w:abstractNumId w:val="29"/>
  </w:num>
  <w:num w:numId="34" w16cid:durableId="529531991">
    <w:abstractNumId w:val="10"/>
  </w:num>
  <w:num w:numId="35" w16cid:durableId="120345890">
    <w:abstractNumId w:val="34"/>
  </w:num>
  <w:num w:numId="36" w16cid:durableId="163202162">
    <w:abstractNumId w:val="37"/>
  </w:num>
  <w:num w:numId="37" w16cid:durableId="300111181">
    <w:abstractNumId w:val="26"/>
  </w:num>
  <w:num w:numId="38" w16cid:durableId="1480922473">
    <w:abstractNumId w:val="44"/>
  </w:num>
  <w:num w:numId="39" w16cid:durableId="362561905">
    <w:abstractNumId w:val="6"/>
  </w:num>
  <w:num w:numId="40" w16cid:durableId="2026981624">
    <w:abstractNumId w:val="45"/>
  </w:num>
  <w:num w:numId="41" w16cid:durableId="809397423">
    <w:abstractNumId w:val="5"/>
  </w:num>
  <w:num w:numId="42" w16cid:durableId="1816141485">
    <w:abstractNumId w:val="17"/>
  </w:num>
  <w:num w:numId="43" w16cid:durableId="1392000925">
    <w:abstractNumId w:val="30"/>
  </w:num>
  <w:num w:numId="44" w16cid:durableId="724643448">
    <w:abstractNumId w:val="12"/>
  </w:num>
  <w:num w:numId="45" w16cid:durableId="1101031305">
    <w:abstractNumId w:val="43"/>
  </w:num>
  <w:num w:numId="46" w16cid:durableId="818611915">
    <w:abstractNumId w:val="31"/>
  </w:num>
  <w:num w:numId="47" w16cid:durableId="1267687377">
    <w:abstractNumId w:val="27"/>
  </w:num>
  <w:num w:numId="48" w16cid:durableId="1424259744">
    <w:abstractNumId w:val="24"/>
  </w:num>
  <w:num w:numId="49" w16cid:durableId="1188638342">
    <w:abstractNumId w:val="14"/>
  </w:num>
  <w:num w:numId="50" w16cid:durableId="1039941094">
    <w:abstractNumId w:val="3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D82"/>
    <w:rsid w:val="00004C94"/>
    <w:rsid w:val="00006AF0"/>
    <w:rsid w:val="000123F1"/>
    <w:rsid w:val="000163AE"/>
    <w:rsid w:val="00021A68"/>
    <w:rsid w:val="00023A9B"/>
    <w:rsid w:val="0002534F"/>
    <w:rsid w:val="00025E2B"/>
    <w:rsid w:val="000268A4"/>
    <w:rsid w:val="00030D91"/>
    <w:rsid w:val="00031506"/>
    <w:rsid w:val="00035B0B"/>
    <w:rsid w:val="00035D8B"/>
    <w:rsid w:val="00036D52"/>
    <w:rsid w:val="00037278"/>
    <w:rsid w:val="00044D36"/>
    <w:rsid w:val="00054069"/>
    <w:rsid w:val="000565E5"/>
    <w:rsid w:val="000607BF"/>
    <w:rsid w:val="00073430"/>
    <w:rsid w:val="000748AA"/>
    <w:rsid w:val="00086588"/>
    <w:rsid w:val="000965A6"/>
    <w:rsid w:val="00097334"/>
    <w:rsid w:val="000B2821"/>
    <w:rsid w:val="000B36D8"/>
    <w:rsid w:val="000B41E9"/>
    <w:rsid w:val="000B5339"/>
    <w:rsid w:val="000B58BA"/>
    <w:rsid w:val="000B5F9C"/>
    <w:rsid w:val="000B6856"/>
    <w:rsid w:val="000B6BA1"/>
    <w:rsid w:val="000D22DB"/>
    <w:rsid w:val="000D23DB"/>
    <w:rsid w:val="000D3A39"/>
    <w:rsid w:val="000D7616"/>
    <w:rsid w:val="000E23E9"/>
    <w:rsid w:val="001004F0"/>
    <w:rsid w:val="001072E8"/>
    <w:rsid w:val="0010780D"/>
    <w:rsid w:val="00110629"/>
    <w:rsid w:val="00112709"/>
    <w:rsid w:val="001258D2"/>
    <w:rsid w:val="00131F1A"/>
    <w:rsid w:val="00132B57"/>
    <w:rsid w:val="00134750"/>
    <w:rsid w:val="0014006C"/>
    <w:rsid w:val="00144FE0"/>
    <w:rsid w:val="00154B27"/>
    <w:rsid w:val="00162E7A"/>
    <w:rsid w:val="00163131"/>
    <w:rsid w:val="0017713A"/>
    <w:rsid w:val="001828CF"/>
    <w:rsid w:val="00183B54"/>
    <w:rsid w:val="00186B94"/>
    <w:rsid w:val="00187017"/>
    <w:rsid w:val="001926DE"/>
    <w:rsid w:val="00193A69"/>
    <w:rsid w:val="001A0849"/>
    <w:rsid w:val="001A7776"/>
    <w:rsid w:val="001B0C83"/>
    <w:rsid w:val="001B4A8F"/>
    <w:rsid w:val="001B668D"/>
    <w:rsid w:val="001D3618"/>
    <w:rsid w:val="001D7513"/>
    <w:rsid w:val="001E00F9"/>
    <w:rsid w:val="001E3173"/>
    <w:rsid w:val="001F69F0"/>
    <w:rsid w:val="00204741"/>
    <w:rsid w:val="0020612D"/>
    <w:rsid w:val="00206918"/>
    <w:rsid w:val="00214347"/>
    <w:rsid w:val="00232BB4"/>
    <w:rsid w:val="00235E19"/>
    <w:rsid w:val="00236406"/>
    <w:rsid w:val="00240B03"/>
    <w:rsid w:val="002443F9"/>
    <w:rsid w:val="00250ADC"/>
    <w:rsid w:val="00251140"/>
    <w:rsid w:val="002554F1"/>
    <w:rsid w:val="0025567A"/>
    <w:rsid w:val="00287A73"/>
    <w:rsid w:val="0029065A"/>
    <w:rsid w:val="002A0CD7"/>
    <w:rsid w:val="002A154D"/>
    <w:rsid w:val="002A4FDF"/>
    <w:rsid w:val="002A63E1"/>
    <w:rsid w:val="002B22A5"/>
    <w:rsid w:val="002B626A"/>
    <w:rsid w:val="002E0CFE"/>
    <w:rsid w:val="002F1E78"/>
    <w:rsid w:val="002F6B54"/>
    <w:rsid w:val="00301F6F"/>
    <w:rsid w:val="00302EAD"/>
    <w:rsid w:val="00304743"/>
    <w:rsid w:val="0031690A"/>
    <w:rsid w:val="00325F12"/>
    <w:rsid w:val="003303D2"/>
    <w:rsid w:val="00330A48"/>
    <w:rsid w:val="0033114A"/>
    <w:rsid w:val="00334E02"/>
    <w:rsid w:val="0033773E"/>
    <w:rsid w:val="0034710E"/>
    <w:rsid w:val="00360BDA"/>
    <w:rsid w:val="00360CC7"/>
    <w:rsid w:val="00361F5A"/>
    <w:rsid w:val="0036283E"/>
    <w:rsid w:val="00367295"/>
    <w:rsid w:val="0038087E"/>
    <w:rsid w:val="0038090F"/>
    <w:rsid w:val="00382AB8"/>
    <w:rsid w:val="003834A5"/>
    <w:rsid w:val="00391ADC"/>
    <w:rsid w:val="0039725D"/>
    <w:rsid w:val="003A1CC4"/>
    <w:rsid w:val="003A4E26"/>
    <w:rsid w:val="003A5B7F"/>
    <w:rsid w:val="003A624D"/>
    <w:rsid w:val="003A7764"/>
    <w:rsid w:val="003B338B"/>
    <w:rsid w:val="003B34A1"/>
    <w:rsid w:val="003B4D41"/>
    <w:rsid w:val="003C57E4"/>
    <w:rsid w:val="003D6C63"/>
    <w:rsid w:val="003E2C5F"/>
    <w:rsid w:val="003F5FF2"/>
    <w:rsid w:val="00400F42"/>
    <w:rsid w:val="00403652"/>
    <w:rsid w:val="00406D03"/>
    <w:rsid w:val="004213E4"/>
    <w:rsid w:val="0042183E"/>
    <w:rsid w:val="00427C4E"/>
    <w:rsid w:val="0043625F"/>
    <w:rsid w:val="004371B0"/>
    <w:rsid w:val="004474D1"/>
    <w:rsid w:val="00461127"/>
    <w:rsid w:val="0047148B"/>
    <w:rsid w:val="00474210"/>
    <w:rsid w:val="004748F9"/>
    <w:rsid w:val="00482F7B"/>
    <w:rsid w:val="00485253"/>
    <w:rsid w:val="0048568C"/>
    <w:rsid w:val="00490F14"/>
    <w:rsid w:val="00497A2C"/>
    <w:rsid w:val="004A1D60"/>
    <w:rsid w:val="004A2333"/>
    <w:rsid w:val="004A4A57"/>
    <w:rsid w:val="004A551F"/>
    <w:rsid w:val="004B408D"/>
    <w:rsid w:val="004B466B"/>
    <w:rsid w:val="004B4874"/>
    <w:rsid w:val="004C4998"/>
    <w:rsid w:val="004C4F8B"/>
    <w:rsid w:val="004C72CD"/>
    <w:rsid w:val="004C7644"/>
    <w:rsid w:val="004C76CA"/>
    <w:rsid w:val="004D1C23"/>
    <w:rsid w:val="004D2262"/>
    <w:rsid w:val="004D3AA3"/>
    <w:rsid w:val="004D7D19"/>
    <w:rsid w:val="004E1E6C"/>
    <w:rsid w:val="004E3DF3"/>
    <w:rsid w:val="004E6A17"/>
    <w:rsid w:val="004E6DC0"/>
    <w:rsid w:val="004F0447"/>
    <w:rsid w:val="005012A5"/>
    <w:rsid w:val="005022A8"/>
    <w:rsid w:val="00506C1A"/>
    <w:rsid w:val="00507162"/>
    <w:rsid w:val="00510A8B"/>
    <w:rsid w:val="00514BB6"/>
    <w:rsid w:val="00525BE5"/>
    <w:rsid w:val="00532323"/>
    <w:rsid w:val="0053317A"/>
    <w:rsid w:val="0054231B"/>
    <w:rsid w:val="00543C73"/>
    <w:rsid w:val="00552091"/>
    <w:rsid w:val="00560E4C"/>
    <w:rsid w:val="00564EF6"/>
    <w:rsid w:val="00565E4F"/>
    <w:rsid w:val="005721D7"/>
    <w:rsid w:val="00576298"/>
    <w:rsid w:val="005838A1"/>
    <w:rsid w:val="00584886"/>
    <w:rsid w:val="005851FB"/>
    <w:rsid w:val="0059541C"/>
    <w:rsid w:val="00597150"/>
    <w:rsid w:val="005A7FE4"/>
    <w:rsid w:val="005B1736"/>
    <w:rsid w:val="005B5BA4"/>
    <w:rsid w:val="005C3EE2"/>
    <w:rsid w:val="005D0F89"/>
    <w:rsid w:val="005D230E"/>
    <w:rsid w:val="005D4157"/>
    <w:rsid w:val="005E7D0A"/>
    <w:rsid w:val="005F1B86"/>
    <w:rsid w:val="005F733F"/>
    <w:rsid w:val="006110DE"/>
    <w:rsid w:val="00611C2A"/>
    <w:rsid w:val="00614C83"/>
    <w:rsid w:val="00625127"/>
    <w:rsid w:val="00625AD1"/>
    <w:rsid w:val="00631D4F"/>
    <w:rsid w:val="00632AE7"/>
    <w:rsid w:val="00632F9F"/>
    <w:rsid w:val="00634BB7"/>
    <w:rsid w:val="006351C7"/>
    <w:rsid w:val="00635458"/>
    <w:rsid w:val="0065155A"/>
    <w:rsid w:val="0065578C"/>
    <w:rsid w:val="0065707C"/>
    <w:rsid w:val="00664DC0"/>
    <w:rsid w:val="00674DB5"/>
    <w:rsid w:val="00675B34"/>
    <w:rsid w:val="006821C0"/>
    <w:rsid w:val="00687364"/>
    <w:rsid w:val="006A5D52"/>
    <w:rsid w:val="006B1FB8"/>
    <w:rsid w:val="006C2941"/>
    <w:rsid w:val="006C5B20"/>
    <w:rsid w:val="006D4FE5"/>
    <w:rsid w:val="006D70CD"/>
    <w:rsid w:val="006E0099"/>
    <w:rsid w:val="006E70D3"/>
    <w:rsid w:val="006F6566"/>
    <w:rsid w:val="007050BF"/>
    <w:rsid w:val="00706E84"/>
    <w:rsid w:val="00707EF6"/>
    <w:rsid w:val="007103E2"/>
    <w:rsid w:val="00725E2E"/>
    <w:rsid w:val="00730ECD"/>
    <w:rsid w:val="00737944"/>
    <w:rsid w:val="007505F6"/>
    <w:rsid w:val="007550DA"/>
    <w:rsid w:val="0076436E"/>
    <w:rsid w:val="007830B9"/>
    <w:rsid w:val="00786C46"/>
    <w:rsid w:val="00790A59"/>
    <w:rsid w:val="00790DAE"/>
    <w:rsid w:val="0079617C"/>
    <w:rsid w:val="007A50E6"/>
    <w:rsid w:val="007B021C"/>
    <w:rsid w:val="007B686C"/>
    <w:rsid w:val="007B7835"/>
    <w:rsid w:val="007C03FD"/>
    <w:rsid w:val="007E3E42"/>
    <w:rsid w:val="007E768A"/>
    <w:rsid w:val="007F4423"/>
    <w:rsid w:val="00802E2A"/>
    <w:rsid w:val="00805599"/>
    <w:rsid w:val="008206B6"/>
    <w:rsid w:val="00822E95"/>
    <w:rsid w:val="008235A0"/>
    <w:rsid w:val="00827044"/>
    <w:rsid w:val="00827E8A"/>
    <w:rsid w:val="008304F9"/>
    <w:rsid w:val="008337E2"/>
    <w:rsid w:val="008509EF"/>
    <w:rsid w:val="00850CA8"/>
    <w:rsid w:val="00857E32"/>
    <w:rsid w:val="0086017C"/>
    <w:rsid w:val="00864C1E"/>
    <w:rsid w:val="008857DD"/>
    <w:rsid w:val="0088634E"/>
    <w:rsid w:val="008867CE"/>
    <w:rsid w:val="00893E6C"/>
    <w:rsid w:val="008977B4"/>
    <w:rsid w:val="008A386D"/>
    <w:rsid w:val="008A5144"/>
    <w:rsid w:val="008B2925"/>
    <w:rsid w:val="008B4BA1"/>
    <w:rsid w:val="008C56BB"/>
    <w:rsid w:val="008D1252"/>
    <w:rsid w:val="008D3A8D"/>
    <w:rsid w:val="008D50E7"/>
    <w:rsid w:val="008E0D33"/>
    <w:rsid w:val="008E651C"/>
    <w:rsid w:val="008F036C"/>
    <w:rsid w:val="008F09FC"/>
    <w:rsid w:val="008F3820"/>
    <w:rsid w:val="008F3E8D"/>
    <w:rsid w:val="008F4B3C"/>
    <w:rsid w:val="008F5908"/>
    <w:rsid w:val="008F7866"/>
    <w:rsid w:val="0090358E"/>
    <w:rsid w:val="009106AE"/>
    <w:rsid w:val="00910705"/>
    <w:rsid w:val="009125EB"/>
    <w:rsid w:val="00921C5C"/>
    <w:rsid w:val="00923A81"/>
    <w:rsid w:val="009246B5"/>
    <w:rsid w:val="009336CC"/>
    <w:rsid w:val="0094002B"/>
    <w:rsid w:val="00953B2A"/>
    <w:rsid w:val="0096356F"/>
    <w:rsid w:val="0096498D"/>
    <w:rsid w:val="00973652"/>
    <w:rsid w:val="009760A1"/>
    <w:rsid w:val="00980118"/>
    <w:rsid w:val="00984433"/>
    <w:rsid w:val="00986EA8"/>
    <w:rsid w:val="00992A34"/>
    <w:rsid w:val="009A33D1"/>
    <w:rsid w:val="009A43E5"/>
    <w:rsid w:val="009B6524"/>
    <w:rsid w:val="009C2EF5"/>
    <w:rsid w:val="009D7F21"/>
    <w:rsid w:val="009F30FB"/>
    <w:rsid w:val="009F5EEA"/>
    <w:rsid w:val="009F750E"/>
    <w:rsid w:val="00A00ACF"/>
    <w:rsid w:val="00A11920"/>
    <w:rsid w:val="00A13305"/>
    <w:rsid w:val="00A17AA5"/>
    <w:rsid w:val="00A236D2"/>
    <w:rsid w:val="00A40E08"/>
    <w:rsid w:val="00A42168"/>
    <w:rsid w:val="00A47ADC"/>
    <w:rsid w:val="00A52D36"/>
    <w:rsid w:val="00A5542E"/>
    <w:rsid w:val="00A87B91"/>
    <w:rsid w:val="00A87E24"/>
    <w:rsid w:val="00A91C30"/>
    <w:rsid w:val="00A92B50"/>
    <w:rsid w:val="00A96133"/>
    <w:rsid w:val="00A9710B"/>
    <w:rsid w:val="00AA596E"/>
    <w:rsid w:val="00AB1F14"/>
    <w:rsid w:val="00AB605D"/>
    <w:rsid w:val="00AB7E8D"/>
    <w:rsid w:val="00AC03E9"/>
    <w:rsid w:val="00AC7393"/>
    <w:rsid w:val="00AD0E56"/>
    <w:rsid w:val="00AE1D92"/>
    <w:rsid w:val="00AE5520"/>
    <w:rsid w:val="00AF0C8A"/>
    <w:rsid w:val="00AF1CF5"/>
    <w:rsid w:val="00B023F2"/>
    <w:rsid w:val="00B03B75"/>
    <w:rsid w:val="00B03DF9"/>
    <w:rsid w:val="00B11017"/>
    <w:rsid w:val="00B14E0A"/>
    <w:rsid w:val="00B174C0"/>
    <w:rsid w:val="00B3070A"/>
    <w:rsid w:val="00B316F0"/>
    <w:rsid w:val="00B31AD3"/>
    <w:rsid w:val="00B376BF"/>
    <w:rsid w:val="00B429AF"/>
    <w:rsid w:val="00B42DA4"/>
    <w:rsid w:val="00B4521F"/>
    <w:rsid w:val="00B4648C"/>
    <w:rsid w:val="00B47D7A"/>
    <w:rsid w:val="00B47EB2"/>
    <w:rsid w:val="00B53DB1"/>
    <w:rsid w:val="00B63047"/>
    <w:rsid w:val="00B6432D"/>
    <w:rsid w:val="00B74672"/>
    <w:rsid w:val="00B7575C"/>
    <w:rsid w:val="00B767C1"/>
    <w:rsid w:val="00B8436F"/>
    <w:rsid w:val="00B859AC"/>
    <w:rsid w:val="00B86F9E"/>
    <w:rsid w:val="00B872A4"/>
    <w:rsid w:val="00B90397"/>
    <w:rsid w:val="00B90993"/>
    <w:rsid w:val="00BA33D0"/>
    <w:rsid w:val="00BA7E27"/>
    <w:rsid w:val="00BB267D"/>
    <w:rsid w:val="00BB2889"/>
    <w:rsid w:val="00BB2D82"/>
    <w:rsid w:val="00BB5D3B"/>
    <w:rsid w:val="00BB6146"/>
    <w:rsid w:val="00BB6C88"/>
    <w:rsid w:val="00BC00A1"/>
    <w:rsid w:val="00BD04B5"/>
    <w:rsid w:val="00BD6005"/>
    <w:rsid w:val="00BE1EA2"/>
    <w:rsid w:val="00BE469C"/>
    <w:rsid w:val="00BE6284"/>
    <w:rsid w:val="00BF0885"/>
    <w:rsid w:val="00C0014E"/>
    <w:rsid w:val="00C0276E"/>
    <w:rsid w:val="00C0431F"/>
    <w:rsid w:val="00C10AAD"/>
    <w:rsid w:val="00C13A8F"/>
    <w:rsid w:val="00C236F9"/>
    <w:rsid w:val="00C23DCA"/>
    <w:rsid w:val="00C347EC"/>
    <w:rsid w:val="00C34E17"/>
    <w:rsid w:val="00C40A9A"/>
    <w:rsid w:val="00C4395B"/>
    <w:rsid w:val="00C50625"/>
    <w:rsid w:val="00C53EAD"/>
    <w:rsid w:val="00C6497C"/>
    <w:rsid w:val="00C64DC9"/>
    <w:rsid w:val="00C6740E"/>
    <w:rsid w:val="00C73CA0"/>
    <w:rsid w:val="00C77D88"/>
    <w:rsid w:val="00C81870"/>
    <w:rsid w:val="00C83828"/>
    <w:rsid w:val="00C846DA"/>
    <w:rsid w:val="00C90943"/>
    <w:rsid w:val="00CA43A3"/>
    <w:rsid w:val="00CB4328"/>
    <w:rsid w:val="00CB6B63"/>
    <w:rsid w:val="00CC1258"/>
    <w:rsid w:val="00CC20EF"/>
    <w:rsid w:val="00CC348C"/>
    <w:rsid w:val="00CD183B"/>
    <w:rsid w:val="00CE0FA4"/>
    <w:rsid w:val="00CE5290"/>
    <w:rsid w:val="00CF48EC"/>
    <w:rsid w:val="00CF6B0C"/>
    <w:rsid w:val="00D03F3C"/>
    <w:rsid w:val="00D04152"/>
    <w:rsid w:val="00D066FF"/>
    <w:rsid w:val="00D11EA9"/>
    <w:rsid w:val="00D167E2"/>
    <w:rsid w:val="00D35328"/>
    <w:rsid w:val="00D36683"/>
    <w:rsid w:val="00D36827"/>
    <w:rsid w:val="00D410F6"/>
    <w:rsid w:val="00D463FC"/>
    <w:rsid w:val="00D54F7A"/>
    <w:rsid w:val="00D557A8"/>
    <w:rsid w:val="00D55DC7"/>
    <w:rsid w:val="00D61FB2"/>
    <w:rsid w:val="00D62EA1"/>
    <w:rsid w:val="00D665EF"/>
    <w:rsid w:val="00D71661"/>
    <w:rsid w:val="00D723F7"/>
    <w:rsid w:val="00D73322"/>
    <w:rsid w:val="00D7389A"/>
    <w:rsid w:val="00D821B4"/>
    <w:rsid w:val="00D837CF"/>
    <w:rsid w:val="00D84AAB"/>
    <w:rsid w:val="00D92F7A"/>
    <w:rsid w:val="00D93D41"/>
    <w:rsid w:val="00D94F3A"/>
    <w:rsid w:val="00DA371A"/>
    <w:rsid w:val="00DA513E"/>
    <w:rsid w:val="00DA5A6D"/>
    <w:rsid w:val="00DB3595"/>
    <w:rsid w:val="00DB371A"/>
    <w:rsid w:val="00DC0469"/>
    <w:rsid w:val="00DC2B1A"/>
    <w:rsid w:val="00DC5CE9"/>
    <w:rsid w:val="00DD0C83"/>
    <w:rsid w:val="00DD0D48"/>
    <w:rsid w:val="00DD1B8A"/>
    <w:rsid w:val="00DD3EDC"/>
    <w:rsid w:val="00DD66AC"/>
    <w:rsid w:val="00DE0BDB"/>
    <w:rsid w:val="00DF3929"/>
    <w:rsid w:val="00DF64BA"/>
    <w:rsid w:val="00E072F8"/>
    <w:rsid w:val="00E10413"/>
    <w:rsid w:val="00E258FE"/>
    <w:rsid w:val="00E36298"/>
    <w:rsid w:val="00E362ED"/>
    <w:rsid w:val="00E40493"/>
    <w:rsid w:val="00E41D8E"/>
    <w:rsid w:val="00E4492A"/>
    <w:rsid w:val="00E4537B"/>
    <w:rsid w:val="00E47DEB"/>
    <w:rsid w:val="00E47F50"/>
    <w:rsid w:val="00E54212"/>
    <w:rsid w:val="00E574D5"/>
    <w:rsid w:val="00E61775"/>
    <w:rsid w:val="00E67F9F"/>
    <w:rsid w:val="00E73A6F"/>
    <w:rsid w:val="00E76B3C"/>
    <w:rsid w:val="00E770E3"/>
    <w:rsid w:val="00E801D6"/>
    <w:rsid w:val="00E8347E"/>
    <w:rsid w:val="00E85069"/>
    <w:rsid w:val="00E87962"/>
    <w:rsid w:val="00E930D0"/>
    <w:rsid w:val="00E96F22"/>
    <w:rsid w:val="00E97589"/>
    <w:rsid w:val="00EA29BF"/>
    <w:rsid w:val="00EB2BCA"/>
    <w:rsid w:val="00EB74FC"/>
    <w:rsid w:val="00EC0231"/>
    <w:rsid w:val="00EC2DF9"/>
    <w:rsid w:val="00EC6F8A"/>
    <w:rsid w:val="00ED480B"/>
    <w:rsid w:val="00EE3A5C"/>
    <w:rsid w:val="00EE5CE3"/>
    <w:rsid w:val="00EF0263"/>
    <w:rsid w:val="00EF633C"/>
    <w:rsid w:val="00F014BC"/>
    <w:rsid w:val="00F1482B"/>
    <w:rsid w:val="00F245A5"/>
    <w:rsid w:val="00F25013"/>
    <w:rsid w:val="00F3005C"/>
    <w:rsid w:val="00F37B0C"/>
    <w:rsid w:val="00F4032A"/>
    <w:rsid w:val="00F40A0A"/>
    <w:rsid w:val="00F432E0"/>
    <w:rsid w:val="00F50F7A"/>
    <w:rsid w:val="00F52C5B"/>
    <w:rsid w:val="00F541C0"/>
    <w:rsid w:val="00F6161F"/>
    <w:rsid w:val="00F711DE"/>
    <w:rsid w:val="00F80E25"/>
    <w:rsid w:val="00F830D9"/>
    <w:rsid w:val="00F9332C"/>
    <w:rsid w:val="00F93F85"/>
    <w:rsid w:val="00F94C14"/>
    <w:rsid w:val="00FA57F2"/>
    <w:rsid w:val="00FA6016"/>
    <w:rsid w:val="00FB5CA7"/>
    <w:rsid w:val="00FC19DC"/>
    <w:rsid w:val="00FC1AE6"/>
    <w:rsid w:val="00FC389A"/>
    <w:rsid w:val="00FC5414"/>
    <w:rsid w:val="00FE3FD2"/>
    <w:rsid w:val="00FE4D6F"/>
    <w:rsid w:val="00FE6EB2"/>
    <w:rsid w:val="00FF3209"/>
    <w:rsid w:val="00FF77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5458F"/>
  <w15:docId w15:val="{42F6C17C-788F-4612-A156-B14B24901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D82"/>
  </w:style>
  <w:style w:type="paragraph" w:styleId="Heading1">
    <w:name w:val="heading 1"/>
    <w:basedOn w:val="Normal"/>
    <w:next w:val="Normal"/>
    <w:link w:val="Heading1Char"/>
    <w:uiPriority w:val="9"/>
    <w:qFormat/>
    <w:rsid w:val="0094002B"/>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86B9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B2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2D82"/>
    <w:rPr>
      <w:rFonts w:ascii="Tahoma" w:hAnsi="Tahoma" w:cs="Tahoma"/>
      <w:sz w:val="16"/>
      <w:szCs w:val="16"/>
    </w:rPr>
  </w:style>
  <w:style w:type="paragraph" w:styleId="ListParagraph">
    <w:name w:val="List Paragraph"/>
    <w:basedOn w:val="Normal"/>
    <w:uiPriority w:val="34"/>
    <w:qFormat/>
    <w:rsid w:val="004E6DC0"/>
    <w:pPr>
      <w:ind w:left="720"/>
      <w:contextualSpacing/>
    </w:pPr>
  </w:style>
  <w:style w:type="character" w:styleId="Hyperlink">
    <w:name w:val="Hyperlink"/>
    <w:basedOn w:val="DefaultParagraphFont"/>
    <w:uiPriority w:val="99"/>
    <w:unhideWhenUsed/>
    <w:rsid w:val="005721D7"/>
    <w:rPr>
      <w:color w:val="0000FF" w:themeColor="hyperlink"/>
      <w:u w:val="single"/>
    </w:rPr>
  </w:style>
  <w:style w:type="paragraph" w:styleId="NormalWeb">
    <w:name w:val="Normal (Web)"/>
    <w:basedOn w:val="Normal"/>
    <w:uiPriority w:val="99"/>
    <w:semiHidden/>
    <w:unhideWhenUsed/>
    <w:rsid w:val="006351C7"/>
    <w:rPr>
      <w:rFonts w:ascii="Times New Roman" w:hAnsi="Times New Roman" w:cs="Times New Roman"/>
      <w:sz w:val="24"/>
      <w:szCs w:val="24"/>
    </w:rPr>
  </w:style>
  <w:style w:type="paragraph" w:styleId="Header">
    <w:name w:val="header"/>
    <w:basedOn w:val="Normal"/>
    <w:link w:val="HeaderChar"/>
    <w:uiPriority w:val="99"/>
    <w:unhideWhenUsed/>
    <w:rsid w:val="00FC1A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1AE6"/>
  </w:style>
  <w:style w:type="paragraph" w:styleId="Footer">
    <w:name w:val="footer"/>
    <w:basedOn w:val="Normal"/>
    <w:link w:val="FooterChar"/>
    <w:uiPriority w:val="99"/>
    <w:unhideWhenUsed/>
    <w:rsid w:val="00FC1A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1AE6"/>
  </w:style>
  <w:style w:type="table" w:styleId="TableGrid">
    <w:name w:val="Table Grid"/>
    <w:basedOn w:val="TableNormal"/>
    <w:uiPriority w:val="59"/>
    <w:rsid w:val="00DA37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E76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768A"/>
    <w:rPr>
      <w:sz w:val="20"/>
      <w:szCs w:val="20"/>
    </w:rPr>
  </w:style>
  <w:style w:type="character" w:styleId="FootnoteReference">
    <w:name w:val="footnote reference"/>
    <w:basedOn w:val="DefaultParagraphFont"/>
    <w:uiPriority w:val="99"/>
    <w:semiHidden/>
    <w:unhideWhenUsed/>
    <w:rsid w:val="007E768A"/>
    <w:rPr>
      <w:vertAlign w:val="superscript"/>
    </w:rPr>
  </w:style>
  <w:style w:type="character" w:customStyle="1" w:styleId="Heading1Char">
    <w:name w:val="Heading 1 Char"/>
    <w:basedOn w:val="DefaultParagraphFont"/>
    <w:link w:val="Heading1"/>
    <w:uiPriority w:val="9"/>
    <w:rsid w:val="0094002B"/>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B34A1"/>
    <w:pPr>
      <w:outlineLvl w:val="9"/>
    </w:pPr>
  </w:style>
  <w:style w:type="paragraph" w:styleId="Subtitle">
    <w:name w:val="Subtitle"/>
    <w:basedOn w:val="Normal"/>
    <w:next w:val="Normal"/>
    <w:link w:val="SubtitleChar"/>
    <w:uiPriority w:val="11"/>
    <w:qFormat/>
    <w:rsid w:val="00525BE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25BE5"/>
    <w:rPr>
      <w:rFonts w:eastAsiaTheme="minorEastAsia"/>
      <w:color w:val="5A5A5A" w:themeColor="text1" w:themeTint="A5"/>
      <w:spacing w:val="15"/>
    </w:rPr>
  </w:style>
  <w:style w:type="character" w:styleId="SubtleEmphasis">
    <w:name w:val="Subtle Emphasis"/>
    <w:basedOn w:val="DefaultParagraphFont"/>
    <w:uiPriority w:val="19"/>
    <w:qFormat/>
    <w:rsid w:val="00923A81"/>
    <w:rPr>
      <w:i/>
      <w:iCs/>
      <w:color w:val="404040" w:themeColor="text1" w:themeTint="BF"/>
    </w:rPr>
  </w:style>
  <w:style w:type="paragraph" w:styleId="TOC1">
    <w:name w:val="toc 1"/>
    <w:basedOn w:val="Normal"/>
    <w:next w:val="Normal"/>
    <w:autoRedefine/>
    <w:uiPriority w:val="39"/>
    <w:unhideWhenUsed/>
    <w:rsid w:val="00923A81"/>
    <w:pPr>
      <w:spacing w:after="100"/>
    </w:pPr>
  </w:style>
  <w:style w:type="paragraph" w:styleId="TOC2">
    <w:name w:val="toc 2"/>
    <w:basedOn w:val="Normal"/>
    <w:next w:val="Normal"/>
    <w:autoRedefine/>
    <w:uiPriority w:val="39"/>
    <w:unhideWhenUsed/>
    <w:rsid w:val="00C90943"/>
    <w:pPr>
      <w:widowControl w:val="0"/>
      <w:tabs>
        <w:tab w:val="right" w:leader="dot" w:pos="8365"/>
      </w:tabs>
      <w:autoSpaceDE w:val="0"/>
      <w:autoSpaceDN w:val="0"/>
      <w:spacing w:before="142" w:after="0"/>
      <w:jc w:val="both"/>
    </w:pPr>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923A81"/>
    <w:pPr>
      <w:spacing w:after="100" w:line="259" w:lineRule="auto"/>
      <w:ind w:left="440"/>
    </w:pPr>
    <w:rPr>
      <w:rFonts w:eastAsiaTheme="minorEastAsia" w:cs="Times New Roman"/>
    </w:rPr>
  </w:style>
  <w:style w:type="paragraph" w:styleId="NoSpacing">
    <w:name w:val="No Spacing"/>
    <w:uiPriority w:val="1"/>
    <w:qFormat/>
    <w:rsid w:val="004A4A57"/>
    <w:pPr>
      <w:spacing w:after="0" w:line="240" w:lineRule="auto"/>
    </w:pPr>
    <w:rPr>
      <w:rFonts w:eastAsiaTheme="minorHAnsi"/>
      <w:lang w:val="id-ID"/>
    </w:rPr>
  </w:style>
  <w:style w:type="paragraph" w:styleId="BodyText">
    <w:name w:val="Body Text"/>
    <w:basedOn w:val="Normal"/>
    <w:link w:val="BodyTextChar"/>
    <w:uiPriority w:val="1"/>
    <w:qFormat/>
    <w:rsid w:val="00B859A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859AC"/>
    <w:rPr>
      <w:rFonts w:ascii="Times New Roman" w:eastAsia="Times New Roman" w:hAnsi="Times New Roman" w:cs="Times New Roman"/>
      <w:sz w:val="24"/>
      <w:szCs w:val="24"/>
    </w:rPr>
  </w:style>
  <w:style w:type="character" w:customStyle="1" w:styleId="label">
    <w:name w:val="label"/>
    <w:basedOn w:val="DefaultParagraphFont"/>
    <w:rsid w:val="00FA57F2"/>
  </w:style>
  <w:style w:type="character" w:customStyle="1" w:styleId="value">
    <w:name w:val="value"/>
    <w:basedOn w:val="DefaultParagraphFont"/>
    <w:rsid w:val="00FA57F2"/>
  </w:style>
  <w:style w:type="character" w:styleId="Emphasis">
    <w:name w:val="Emphasis"/>
    <w:basedOn w:val="DefaultParagraphFont"/>
    <w:uiPriority w:val="20"/>
    <w:qFormat/>
    <w:rsid w:val="00186B94"/>
    <w:rPr>
      <w:i/>
      <w:iCs/>
    </w:rPr>
  </w:style>
  <w:style w:type="character" w:customStyle="1" w:styleId="Heading3Char">
    <w:name w:val="Heading 3 Char"/>
    <w:basedOn w:val="DefaultParagraphFont"/>
    <w:link w:val="Heading3"/>
    <w:uiPriority w:val="9"/>
    <w:semiHidden/>
    <w:rsid w:val="00186B94"/>
    <w:rPr>
      <w:rFonts w:asciiTheme="majorHAnsi" w:eastAsiaTheme="majorEastAsia" w:hAnsiTheme="majorHAnsi" w:cstheme="majorBidi"/>
      <w:b/>
      <w:bCs/>
      <w:color w:val="4F81BD" w:themeColor="accent1"/>
    </w:rPr>
  </w:style>
  <w:style w:type="paragraph" w:styleId="TOC4">
    <w:name w:val="toc 4"/>
    <w:basedOn w:val="Normal"/>
    <w:next w:val="Normal"/>
    <w:autoRedefine/>
    <w:uiPriority w:val="39"/>
    <w:semiHidden/>
    <w:unhideWhenUsed/>
    <w:rsid w:val="00790DAE"/>
    <w:pPr>
      <w:spacing w:after="100"/>
      <w:ind w:left="660"/>
    </w:pPr>
  </w:style>
  <w:style w:type="paragraph" w:styleId="TOC5">
    <w:name w:val="toc 5"/>
    <w:basedOn w:val="Normal"/>
    <w:next w:val="Normal"/>
    <w:autoRedefine/>
    <w:uiPriority w:val="39"/>
    <w:semiHidden/>
    <w:unhideWhenUsed/>
    <w:rsid w:val="00790DAE"/>
    <w:pPr>
      <w:spacing w:after="100"/>
      <w:ind w:left="880"/>
    </w:pPr>
  </w:style>
  <w:style w:type="paragraph" w:customStyle="1" w:styleId="Default">
    <w:name w:val="Default"/>
    <w:rsid w:val="00131F1A"/>
    <w:pPr>
      <w:autoSpaceDE w:val="0"/>
      <w:autoSpaceDN w:val="0"/>
      <w:adjustRightInd w:val="0"/>
      <w:spacing w:after="0" w:line="240" w:lineRule="auto"/>
    </w:pPr>
    <w:rPr>
      <w:rFonts w:ascii="Times New Roman" w:hAnsi="Times New Roman" w:cs="Times New Roman"/>
      <w:color w:val="000000"/>
      <w:sz w:val="24"/>
      <w:szCs w:val="24"/>
      <w:lang w:val="en-ID"/>
    </w:rPr>
  </w:style>
  <w:style w:type="table" w:customStyle="1" w:styleId="TableGrid2">
    <w:name w:val="Table Grid2"/>
    <w:basedOn w:val="TableNormal"/>
    <w:next w:val="TableGrid"/>
    <w:uiPriority w:val="59"/>
    <w:rsid w:val="003A5B7F"/>
    <w:pPr>
      <w:spacing w:after="0" w:line="240" w:lineRule="auto"/>
    </w:pPr>
    <w:rPr>
      <w:rFonts w:ascii="Times New Roman" w:eastAsia="Calibri" w:hAnsi="Times New Roman" w:cs="Times New Roman"/>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B31AD3"/>
    <w:rPr>
      <w:b/>
      <w:bCs/>
    </w:rPr>
  </w:style>
  <w:style w:type="character" w:customStyle="1" w:styleId="apple-converted-space">
    <w:name w:val="apple-converted-space"/>
    <w:basedOn w:val="DefaultParagraphFont"/>
    <w:rsid w:val="003D6C63"/>
  </w:style>
  <w:style w:type="character" w:customStyle="1" w:styleId="url">
    <w:name w:val="url"/>
    <w:basedOn w:val="DefaultParagraphFont"/>
    <w:rsid w:val="003D6C63"/>
  </w:style>
  <w:style w:type="character" w:styleId="UnresolvedMention">
    <w:name w:val="Unresolved Mention"/>
    <w:basedOn w:val="DefaultParagraphFont"/>
    <w:uiPriority w:val="99"/>
    <w:semiHidden/>
    <w:unhideWhenUsed/>
    <w:rsid w:val="00FB5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058928">
      <w:bodyDiv w:val="1"/>
      <w:marLeft w:val="0"/>
      <w:marRight w:val="0"/>
      <w:marTop w:val="0"/>
      <w:marBottom w:val="0"/>
      <w:divBdr>
        <w:top w:val="none" w:sz="0" w:space="0" w:color="auto"/>
        <w:left w:val="none" w:sz="0" w:space="0" w:color="auto"/>
        <w:bottom w:val="none" w:sz="0" w:space="0" w:color="auto"/>
        <w:right w:val="none" w:sz="0" w:space="0" w:color="auto"/>
      </w:divBdr>
      <w:divsChild>
        <w:div w:id="1175532126">
          <w:marLeft w:val="0"/>
          <w:marRight w:val="0"/>
          <w:marTop w:val="0"/>
          <w:marBottom w:val="0"/>
          <w:divBdr>
            <w:top w:val="none" w:sz="0" w:space="0" w:color="auto"/>
            <w:left w:val="none" w:sz="0" w:space="0" w:color="auto"/>
            <w:bottom w:val="none" w:sz="0" w:space="0" w:color="auto"/>
            <w:right w:val="none" w:sz="0" w:space="0" w:color="auto"/>
          </w:divBdr>
        </w:div>
        <w:div w:id="1326713601">
          <w:marLeft w:val="0"/>
          <w:marRight w:val="0"/>
          <w:marTop w:val="0"/>
          <w:marBottom w:val="0"/>
          <w:divBdr>
            <w:top w:val="none" w:sz="0" w:space="0" w:color="auto"/>
            <w:left w:val="none" w:sz="0" w:space="0" w:color="auto"/>
            <w:bottom w:val="none" w:sz="0" w:space="0" w:color="auto"/>
            <w:right w:val="none" w:sz="0" w:space="0" w:color="auto"/>
          </w:divBdr>
        </w:div>
        <w:div w:id="502160577">
          <w:marLeft w:val="0"/>
          <w:marRight w:val="0"/>
          <w:marTop w:val="0"/>
          <w:marBottom w:val="0"/>
          <w:divBdr>
            <w:top w:val="none" w:sz="0" w:space="0" w:color="auto"/>
            <w:left w:val="none" w:sz="0" w:space="0" w:color="auto"/>
            <w:bottom w:val="none" w:sz="0" w:space="0" w:color="auto"/>
            <w:right w:val="none" w:sz="0" w:space="0" w:color="auto"/>
          </w:divBdr>
        </w:div>
        <w:div w:id="2130708957">
          <w:marLeft w:val="0"/>
          <w:marRight w:val="0"/>
          <w:marTop w:val="0"/>
          <w:marBottom w:val="0"/>
          <w:divBdr>
            <w:top w:val="none" w:sz="0" w:space="0" w:color="auto"/>
            <w:left w:val="none" w:sz="0" w:space="0" w:color="auto"/>
            <w:bottom w:val="none" w:sz="0" w:space="0" w:color="auto"/>
            <w:right w:val="none" w:sz="0" w:space="0" w:color="auto"/>
          </w:divBdr>
        </w:div>
        <w:div w:id="1756703945">
          <w:marLeft w:val="0"/>
          <w:marRight w:val="0"/>
          <w:marTop w:val="0"/>
          <w:marBottom w:val="0"/>
          <w:divBdr>
            <w:top w:val="none" w:sz="0" w:space="0" w:color="auto"/>
            <w:left w:val="none" w:sz="0" w:space="0" w:color="auto"/>
            <w:bottom w:val="none" w:sz="0" w:space="0" w:color="auto"/>
            <w:right w:val="none" w:sz="0" w:space="0" w:color="auto"/>
          </w:divBdr>
        </w:div>
        <w:div w:id="945818161">
          <w:marLeft w:val="0"/>
          <w:marRight w:val="0"/>
          <w:marTop w:val="0"/>
          <w:marBottom w:val="0"/>
          <w:divBdr>
            <w:top w:val="none" w:sz="0" w:space="0" w:color="auto"/>
            <w:left w:val="none" w:sz="0" w:space="0" w:color="auto"/>
            <w:bottom w:val="none" w:sz="0" w:space="0" w:color="auto"/>
            <w:right w:val="none" w:sz="0" w:space="0" w:color="auto"/>
          </w:divBdr>
        </w:div>
        <w:div w:id="1965841937">
          <w:marLeft w:val="0"/>
          <w:marRight w:val="0"/>
          <w:marTop w:val="0"/>
          <w:marBottom w:val="0"/>
          <w:divBdr>
            <w:top w:val="none" w:sz="0" w:space="0" w:color="auto"/>
            <w:left w:val="none" w:sz="0" w:space="0" w:color="auto"/>
            <w:bottom w:val="none" w:sz="0" w:space="0" w:color="auto"/>
            <w:right w:val="none" w:sz="0" w:space="0" w:color="auto"/>
          </w:divBdr>
        </w:div>
        <w:div w:id="1645549489">
          <w:marLeft w:val="0"/>
          <w:marRight w:val="0"/>
          <w:marTop w:val="0"/>
          <w:marBottom w:val="0"/>
          <w:divBdr>
            <w:top w:val="none" w:sz="0" w:space="0" w:color="auto"/>
            <w:left w:val="none" w:sz="0" w:space="0" w:color="auto"/>
            <w:bottom w:val="none" w:sz="0" w:space="0" w:color="auto"/>
            <w:right w:val="none" w:sz="0" w:space="0" w:color="auto"/>
          </w:divBdr>
        </w:div>
        <w:div w:id="1622153914">
          <w:marLeft w:val="0"/>
          <w:marRight w:val="0"/>
          <w:marTop w:val="0"/>
          <w:marBottom w:val="0"/>
          <w:divBdr>
            <w:top w:val="none" w:sz="0" w:space="0" w:color="auto"/>
            <w:left w:val="none" w:sz="0" w:space="0" w:color="auto"/>
            <w:bottom w:val="none" w:sz="0" w:space="0" w:color="auto"/>
            <w:right w:val="none" w:sz="0" w:space="0" w:color="auto"/>
          </w:divBdr>
        </w:div>
        <w:div w:id="1496725853">
          <w:marLeft w:val="0"/>
          <w:marRight w:val="0"/>
          <w:marTop w:val="0"/>
          <w:marBottom w:val="0"/>
          <w:divBdr>
            <w:top w:val="none" w:sz="0" w:space="0" w:color="auto"/>
            <w:left w:val="none" w:sz="0" w:space="0" w:color="auto"/>
            <w:bottom w:val="none" w:sz="0" w:space="0" w:color="auto"/>
            <w:right w:val="none" w:sz="0" w:space="0" w:color="auto"/>
          </w:divBdr>
        </w:div>
        <w:div w:id="972952980">
          <w:marLeft w:val="0"/>
          <w:marRight w:val="0"/>
          <w:marTop w:val="0"/>
          <w:marBottom w:val="0"/>
          <w:divBdr>
            <w:top w:val="none" w:sz="0" w:space="0" w:color="auto"/>
            <w:left w:val="none" w:sz="0" w:space="0" w:color="auto"/>
            <w:bottom w:val="none" w:sz="0" w:space="0" w:color="auto"/>
            <w:right w:val="none" w:sz="0" w:space="0" w:color="auto"/>
          </w:divBdr>
        </w:div>
        <w:div w:id="1811244712">
          <w:marLeft w:val="0"/>
          <w:marRight w:val="0"/>
          <w:marTop w:val="0"/>
          <w:marBottom w:val="0"/>
          <w:divBdr>
            <w:top w:val="none" w:sz="0" w:space="0" w:color="auto"/>
            <w:left w:val="none" w:sz="0" w:space="0" w:color="auto"/>
            <w:bottom w:val="none" w:sz="0" w:space="0" w:color="auto"/>
            <w:right w:val="none" w:sz="0" w:space="0" w:color="auto"/>
          </w:divBdr>
        </w:div>
        <w:div w:id="1351446019">
          <w:marLeft w:val="0"/>
          <w:marRight w:val="0"/>
          <w:marTop w:val="0"/>
          <w:marBottom w:val="0"/>
          <w:divBdr>
            <w:top w:val="none" w:sz="0" w:space="0" w:color="auto"/>
            <w:left w:val="none" w:sz="0" w:space="0" w:color="auto"/>
            <w:bottom w:val="none" w:sz="0" w:space="0" w:color="auto"/>
            <w:right w:val="none" w:sz="0" w:space="0" w:color="auto"/>
          </w:divBdr>
        </w:div>
        <w:div w:id="136577162">
          <w:marLeft w:val="0"/>
          <w:marRight w:val="0"/>
          <w:marTop w:val="0"/>
          <w:marBottom w:val="0"/>
          <w:divBdr>
            <w:top w:val="none" w:sz="0" w:space="0" w:color="auto"/>
            <w:left w:val="none" w:sz="0" w:space="0" w:color="auto"/>
            <w:bottom w:val="none" w:sz="0" w:space="0" w:color="auto"/>
            <w:right w:val="none" w:sz="0" w:space="0" w:color="auto"/>
          </w:divBdr>
        </w:div>
        <w:div w:id="1128477056">
          <w:marLeft w:val="0"/>
          <w:marRight w:val="0"/>
          <w:marTop w:val="0"/>
          <w:marBottom w:val="0"/>
          <w:divBdr>
            <w:top w:val="none" w:sz="0" w:space="0" w:color="auto"/>
            <w:left w:val="none" w:sz="0" w:space="0" w:color="auto"/>
            <w:bottom w:val="none" w:sz="0" w:space="0" w:color="auto"/>
            <w:right w:val="none" w:sz="0" w:space="0" w:color="auto"/>
          </w:divBdr>
        </w:div>
        <w:div w:id="189996685">
          <w:marLeft w:val="0"/>
          <w:marRight w:val="0"/>
          <w:marTop w:val="0"/>
          <w:marBottom w:val="0"/>
          <w:divBdr>
            <w:top w:val="none" w:sz="0" w:space="0" w:color="auto"/>
            <w:left w:val="none" w:sz="0" w:space="0" w:color="auto"/>
            <w:bottom w:val="none" w:sz="0" w:space="0" w:color="auto"/>
            <w:right w:val="none" w:sz="0" w:space="0" w:color="auto"/>
          </w:divBdr>
        </w:div>
        <w:div w:id="387071234">
          <w:marLeft w:val="0"/>
          <w:marRight w:val="0"/>
          <w:marTop w:val="0"/>
          <w:marBottom w:val="0"/>
          <w:divBdr>
            <w:top w:val="none" w:sz="0" w:space="0" w:color="auto"/>
            <w:left w:val="none" w:sz="0" w:space="0" w:color="auto"/>
            <w:bottom w:val="none" w:sz="0" w:space="0" w:color="auto"/>
            <w:right w:val="none" w:sz="0" w:space="0" w:color="auto"/>
          </w:divBdr>
        </w:div>
      </w:divsChild>
    </w:div>
    <w:div w:id="978268254">
      <w:bodyDiv w:val="1"/>
      <w:marLeft w:val="0"/>
      <w:marRight w:val="0"/>
      <w:marTop w:val="0"/>
      <w:marBottom w:val="0"/>
      <w:divBdr>
        <w:top w:val="none" w:sz="0" w:space="0" w:color="auto"/>
        <w:left w:val="none" w:sz="0" w:space="0" w:color="auto"/>
        <w:bottom w:val="none" w:sz="0" w:space="0" w:color="auto"/>
        <w:right w:val="none" w:sz="0" w:space="0" w:color="auto"/>
      </w:divBdr>
    </w:div>
    <w:div w:id="997002676">
      <w:bodyDiv w:val="1"/>
      <w:marLeft w:val="0"/>
      <w:marRight w:val="0"/>
      <w:marTop w:val="0"/>
      <w:marBottom w:val="0"/>
      <w:divBdr>
        <w:top w:val="none" w:sz="0" w:space="0" w:color="auto"/>
        <w:left w:val="none" w:sz="0" w:space="0" w:color="auto"/>
        <w:bottom w:val="none" w:sz="0" w:space="0" w:color="auto"/>
        <w:right w:val="none" w:sz="0" w:space="0" w:color="auto"/>
      </w:divBdr>
      <w:divsChild>
        <w:div w:id="838885492">
          <w:marLeft w:val="360"/>
          <w:marRight w:val="0"/>
          <w:marTop w:val="200"/>
          <w:marBottom w:val="0"/>
          <w:divBdr>
            <w:top w:val="none" w:sz="0" w:space="0" w:color="auto"/>
            <w:left w:val="none" w:sz="0" w:space="0" w:color="auto"/>
            <w:bottom w:val="none" w:sz="0" w:space="0" w:color="auto"/>
            <w:right w:val="none" w:sz="0" w:space="0" w:color="auto"/>
          </w:divBdr>
        </w:div>
        <w:div w:id="805512196">
          <w:marLeft w:val="360"/>
          <w:marRight w:val="0"/>
          <w:marTop w:val="200"/>
          <w:marBottom w:val="0"/>
          <w:divBdr>
            <w:top w:val="none" w:sz="0" w:space="0" w:color="auto"/>
            <w:left w:val="none" w:sz="0" w:space="0" w:color="auto"/>
            <w:bottom w:val="none" w:sz="0" w:space="0" w:color="auto"/>
            <w:right w:val="none" w:sz="0" w:space="0" w:color="auto"/>
          </w:divBdr>
        </w:div>
      </w:divsChild>
    </w:div>
    <w:div w:id="1186479870">
      <w:bodyDiv w:val="1"/>
      <w:marLeft w:val="0"/>
      <w:marRight w:val="0"/>
      <w:marTop w:val="0"/>
      <w:marBottom w:val="0"/>
      <w:divBdr>
        <w:top w:val="none" w:sz="0" w:space="0" w:color="auto"/>
        <w:left w:val="none" w:sz="0" w:space="0" w:color="auto"/>
        <w:bottom w:val="none" w:sz="0" w:space="0" w:color="auto"/>
        <w:right w:val="none" w:sz="0" w:space="0" w:color="auto"/>
      </w:divBdr>
      <w:divsChild>
        <w:div w:id="31078733">
          <w:marLeft w:val="0"/>
          <w:marRight w:val="0"/>
          <w:marTop w:val="15"/>
          <w:marBottom w:val="0"/>
          <w:divBdr>
            <w:top w:val="single" w:sz="48" w:space="0" w:color="auto"/>
            <w:left w:val="single" w:sz="48" w:space="0" w:color="auto"/>
            <w:bottom w:val="single" w:sz="48" w:space="0" w:color="auto"/>
            <w:right w:val="single" w:sz="48" w:space="0" w:color="auto"/>
          </w:divBdr>
          <w:divsChild>
            <w:div w:id="86122525">
              <w:marLeft w:val="0"/>
              <w:marRight w:val="0"/>
              <w:marTop w:val="0"/>
              <w:marBottom w:val="0"/>
              <w:divBdr>
                <w:top w:val="none" w:sz="0" w:space="0" w:color="auto"/>
                <w:left w:val="none" w:sz="0" w:space="0" w:color="auto"/>
                <w:bottom w:val="none" w:sz="0" w:space="0" w:color="auto"/>
                <w:right w:val="none" w:sz="0" w:space="0" w:color="auto"/>
              </w:divBdr>
              <w:divsChild>
                <w:div w:id="1076827989">
                  <w:marLeft w:val="0"/>
                  <w:marRight w:val="0"/>
                  <w:marTop w:val="0"/>
                  <w:marBottom w:val="0"/>
                  <w:divBdr>
                    <w:top w:val="none" w:sz="0" w:space="0" w:color="auto"/>
                    <w:left w:val="none" w:sz="0" w:space="0" w:color="auto"/>
                    <w:bottom w:val="none" w:sz="0" w:space="0" w:color="auto"/>
                    <w:right w:val="none" w:sz="0" w:space="0" w:color="auto"/>
                  </w:divBdr>
                </w:div>
                <w:div w:id="413629816">
                  <w:marLeft w:val="0"/>
                  <w:marRight w:val="0"/>
                  <w:marTop w:val="0"/>
                  <w:marBottom w:val="0"/>
                  <w:divBdr>
                    <w:top w:val="none" w:sz="0" w:space="0" w:color="auto"/>
                    <w:left w:val="none" w:sz="0" w:space="0" w:color="auto"/>
                    <w:bottom w:val="none" w:sz="0" w:space="0" w:color="auto"/>
                    <w:right w:val="none" w:sz="0" w:space="0" w:color="auto"/>
                  </w:divBdr>
                </w:div>
                <w:div w:id="573128790">
                  <w:marLeft w:val="0"/>
                  <w:marRight w:val="0"/>
                  <w:marTop w:val="0"/>
                  <w:marBottom w:val="0"/>
                  <w:divBdr>
                    <w:top w:val="none" w:sz="0" w:space="0" w:color="auto"/>
                    <w:left w:val="none" w:sz="0" w:space="0" w:color="auto"/>
                    <w:bottom w:val="none" w:sz="0" w:space="0" w:color="auto"/>
                    <w:right w:val="none" w:sz="0" w:space="0" w:color="auto"/>
                  </w:divBdr>
                </w:div>
                <w:div w:id="958874996">
                  <w:marLeft w:val="0"/>
                  <w:marRight w:val="0"/>
                  <w:marTop w:val="0"/>
                  <w:marBottom w:val="0"/>
                  <w:divBdr>
                    <w:top w:val="none" w:sz="0" w:space="0" w:color="auto"/>
                    <w:left w:val="none" w:sz="0" w:space="0" w:color="auto"/>
                    <w:bottom w:val="none" w:sz="0" w:space="0" w:color="auto"/>
                    <w:right w:val="none" w:sz="0" w:space="0" w:color="auto"/>
                  </w:divBdr>
                </w:div>
                <w:div w:id="452017022">
                  <w:marLeft w:val="0"/>
                  <w:marRight w:val="0"/>
                  <w:marTop w:val="0"/>
                  <w:marBottom w:val="0"/>
                  <w:divBdr>
                    <w:top w:val="none" w:sz="0" w:space="0" w:color="auto"/>
                    <w:left w:val="none" w:sz="0" w:space="0" w:color="auto"/>
                    <w:bottom w:val="none" w:sz="0" w:space="0" w:color="auto"/>
                    <w:right w:val="none" w:sz="0" w:space="0" w:color="auto"/>
                  </w:divBdr>
                </w:div>
                <w:div w:id="1538161662">
                  <w:marLeft w:val="0"/>
                  <w:marRight w:val="0"/>
                  <w:marTop w:val="0"/>
                  <w:marBottom w:val="0"/>
                  <w:divBdr>
                    <w:top w:val="none" w:sz="0" w:space="0" w:color="auto"/>
                    <w:left w:val="none" w:sz="0" w:space="0" w:color="auto"/>
                    <w:bottom w:val="none" w:sz="0" w:space="0" w:color="auto"/>
                    <w:right w:val="none" w:sz="0" w:space="0" w:color="auto"/>
                  </w:divBdr>
                </w:div>
                <w:div w:id="1807623609">
                  <w:marLeft w:val="0"/>
                  <w:marRight w:val="0"/>
                  <w:marTop w:val="0"/>
                  <w:marBottom w:val="0"/>
                  <w:divBdr>
                    <w:top w:val="none" w:sz="0" w:space="0" w:color="auto"/>
                    <w:left w:val="none" w:sz="0" w:space="0" w:color="auto"/>
                    <w:bottom w:val="none" w:sz="0" w:space="0" w:color="auto"/>
                    <w:right w:val="none" w:sz="0" w:space="0" w:color="auto"/>
                  </w:divBdr>
                </w:div>
                <w:div w:id="1159349722">
                  <w:marLeft w:val="0"/>
                  <w:marRight w:val="0"/>
                  <w:marTop w:val="0"/>
                  <w:marBottom w:val="0"/>
                  <w:divBdr>
                    <w:top w:val="none" w:sz="0" w:space="0" w:color="auto"/>
                    <w:left w:val="none" w:sz="0" w:space="0" w:color="auto"/>
                    <w:bottom w:val="none" w:sz="0" w:space="0" w:color="auto"/>
                    <w:right w:val="none" w:sz="0" w:space="0" w:color="auto"/>
                  </w:divBdr>
                </w:div>
                <w:div w:id="1333147968">
                  <w:marLeft w:val="0"/>
                  <w:marRight w:val="0"/>
                  <w:marTop w:val="0"/>
                  <w:marBottom w:val="0"/>
                  <w:divBdr>
                    <w:top w:val="none" w:sz="0" w:space="0" w:color="auto"/>
                    <w:left w:val="none" w:sz="0" w:space="0" w:color="auto"/>
                    <w:bottom w:val="none" w:sz="0" w:space="0" w:color="auto"/>
                    <w:right w:val="none" w:sz="0" w:space="0" w:color="auto"/>
                  </w:divBdr>
                </w:div>
                <w:div w:id="1769812185">
                  <w:marLeft w:val="0"/>
                  <w:marRight w:val="0"/>
                  <w:marTop w:val="0"/>
                  <w:marBottom w:val="0"/>
                  <w:divBdr>
                    <w:top w:val="none" w:sz="0" w:space="0" w:color="auto"/>
                    <w:left w:val="none" w:sz="0" w:space="0" w:color="auto"/>
                    <w:bottom w:val="none" w:sz="0" w:space="0" w:color="auto"/>
                    <w:right w:val="none" w:sz="0" w:space="0" w:color="auto"/>
                  </w:divBdr>
                </w:div>
                <w:div w:id="43529600">
                  <w:marLeft w:val="0"/>
                  <w:marRight w:val="0"/>
                  <w:marTop w:val="0"/>
                  <w:marBottom w:val="0"/>
                  <w:divBdr>
                    <w:top w:val="none" w:sz="0" w:space="0" w:color="auto"/>
                    <w:left w:val="none" w:sz="0" w:space="0" w:color="auto"/>
                    <w:bottom w:val="none" w:sz="0" w:space="0" w:color="auto"/>
                    <w:right w:val="none" w:sz="0" w:space="0" w:color="auto"/>
                  </w:divBdr>
                </w:div>
                <w:div w:id="218056588">
                  <w:marLeft w:val="0"/>
                  <w:marRight w:val="0"/>
                  <w:marTop w:val="0"/>
                  <w:marBottom w:val="0"/>
                  <w:divBdr>
                    <w:top w:val="none" w:sz="0" w:space="0" w:color="auto"/>
                    <w:left w:val="none" w:sz="0" w:space="0" w:color="auto"/>
                    <w:bottom w:val="none" w:sz="0" w:space="0" w:color="auto"/>
                    <w:right w:val="none" w:sz="0" w:space="0" w:color="auto"/>
                  </w:divBdr>
                </w:div>
                <w:div w:id="1346709847">
                  <w:marLeft w:val="0"/>
                  <w:marRight w:val="0"/>
                  <w:marTop w:val="0"/>
                  <w:marBottom w:val="0"/>
                  <w:divBdr>
                    <w:top w:val="none" w:sz="0" w:space="0" w:color="auto"/>
                    <w:left w:val="none" w:sz="0" w:space="0" w:color="auto"/>
                    <w:bottom w:val="none" w:sz="0" w:space="0" w:color="auto"/>
                    <w:right w:val="none" w:sz="0" w:space="0" w:color="auto"/>
                  </w:divBdr>
                </w:div>
                <w:div w:id="138347899">
                  <w:marLeft w:val="0"/>
                  <w:marRight w:val="0"/>
                  <w:marTop w:val="0"/>
                  <w:marBottom w:val="0"/>
                  <w:divBdr>
                    <w:top w:val="none" w:sz="0" w:space="0" w:color="auto"/>
                    <w:left w:val="none" w:sz="0" w:space="0" w:color="auto"/>
                    <w:bottom w:val="none" w:sz="0" w:space="0" w:color="auto"/>
                    <w:right w:val="none" w:sz="0" w:space="0" w:color="auto"/>
                  </w:divBdr>
                </w:div>
                <w:div w:id="1543401098">
                  <w:marLeft w:val="0"/>
                  <w:marRight w:val="0"/>
                  <w:marTop w:val="0"/>
                  <w:marBottom w:val="0"/>
                  <w:divBdr>
                    <w:top w:val="none" w:sz="0" w:space="0" w:color="auto"/>
                    <w:left w:val="none" w:sz="0" w:space="0" w:color="auto"/>
                    <w:bottom w:val="none" w:sz="0" w:space="0" w:color="auto"/>
                    <w:right w:val="none" w:sz="0" w:space="0" w:color="auto"/>
                  </w:divBdr>
                </w:div>
                <w:div w:id="1296915285">
                  <w:marLeft w:val="0"/>
                  <w:marRight w:val="0"/>
                  <w:marTop w:val="0"/>
                  <w:marBottom w:val="0"/>
                  <w:divBdr>
                    <w:top w:val="none" w:sz="0" w:space="0" w:color="auto"/>
                    <w:left w:val="none" w:sz="0" w:space="0" w:color="auto"/>
                    <w:bottom w:val="none" w:sz="0" w:space="0" w:color="auto"/>
                    <w:right w:val="none" w:sz="0" w:space="0" w:color="auto"/>
                  </w:divBdr>
                </w:div>
                <w:div w:id="1555042383">
                  <w:marLeft w:val="0"/>
                  <w:marRight w:val="0"/>
                  <w:marTop w:val="0"/>
                  <w:marBottom w:val="0"/>
                  <w:divBdr>
                    <w:top w:val="none" w:sz="0" w:space="0" w:color="auto"/>
                    <w:left w:val="none" w:sz="0" w:space="0" w:color="auto"/>
                    <w:bottom w:val="none" w:sz="0" w:space="0" w:color="auto"/>
                    <w:right w:val="none" w:sz="0" w:space="0" w:color="auto"/>
                  </w:divBdr>
                </w:div>
                <w:div w:id="741760703">
                  <w:marLeft w:val="0"/>
                  <w:marRight w:val="0"/>
                  <w:marTop w:val="0"/>
                  <w:marBottom w:val="0"/>
                  <w:divBdr>
                    <w:top w:val="none" w:sz="0" w:space="0" w:color="auto"/>
                    <w:left w:val="none" w:sz="0" w:space="0" w:color="auto"/>
                    <w:bottom w:val="none" w:sz="0" w:space="0" w:color="auto"/>
                    <w:right w:val="none" w:sz="0" w:space="0" w:color="auto"/>
                  </w:divBdr>
                </w:div>
                <w:div w:id="1915817300">
                  <w:marLeft w:val="0"/>
                  <w:marRight w:val="0"/>
                  <w:marTop w:val="0"/>
                  <w:marBottom w:val="0"/>
                  <w:divBdr>
                    <w:top w:val="none" w:sz="0" w:space="0" w:color="auto"/>
                    <w:left w:val="none" w:sz="0" w:space="0" w:color="auto"/>
                    <w:bottom w:val="none" w:sz="0" w:space="0" w:color="auto"/>
                    <w:right w:val="none" w:sz="0" w:space="0" w:color="auto"/>
                  </w:divBdr>
                </w:div>
                <w:div w:id="1407024732">
                  <w:marLeft w:val="0"/>
                  <w:marRight w:val="0"/>
                  <w:marTop w:val="0"/>
                  <w:marBottom w:val="0"/>
                  <w:divBdr>
                    <w:top w:val="none" w:sz="0" w:space="0" w:color="auto"/>
                    <w:left w:val="none" w:sz="0" w:space="0" w:color="auto"/>
                    <w:bottom w:val="none" w:sz="0" w:space="0" w:color="auto"/>
                    <w:right w:val="none" w:sz="0" w:space="0" w:color="auto"/>
                  </w:divBdr>
                </w:div>
                <w:div w:id="710569131">
                  <w:marLeft w:val="0"/>
                  <w:marRight w:val="0"/>
                  <w:marTop w:val="0"/>
                  <w:marBottom w:val="0"/>
                  <w:divBdr>
                    <w:top w:val="none" w:sz="0" w:space="0" w:color="auto"/>
                    <w:left w:val="none" w:sz="0" w:space="0" w:color="auto"/>
                    <w:bottom w:val="none" w:sz="0" w:space="0" w:color="auto"/>
                    <w:right w:val="none" w:sz="0" w:space="0" w:color="auto"/>
                  </w:divBdr>
                </w:div>
                <w:div w:id="24142950">
                  <w:marLeft w:val="0"/>
                  <w:marRight w:val="0"/>
                  <w:marTop w:val="0"/>
                  <w:marBottom w:val="0"/>
                  <w:divBdr>
                    <w:top w:val="none" w:sz="0" w:space="0" w:color="auto"/>
                    <w:left w:val="none" w:sz="0" w:space="0" w:color="auto"/>
                    <w:bottom w:val="none" w:sz="0" w:space="0" w:color="auto"/>
                    <w:right w:val="none" w:sz="0" w:space="0" w:color="auto"/>
                  </w:divBdr>
                </w:div>
                <w:div w:id="1081827763">
                  <w:marLeft w:val="0"/>
                  <w:marRight w:val="0"/>
                  <w:marTop w:val="0"/>
                  <w:marBottom w:val="0"/>
                  <w:divBdr>
                    <w:top w:val="none" w:sz="0" w:space="0" w:color="auto"/>
                    <w:left w:val="none" w:sz="0" w:space="0" w:color="auto"/>
                    <w:bottom w:val="none" w:sz="0" w:space="0" w:color="auto"/>
                    <w:right w:val="none" w:sz="0" w:space="0" w:color="auto"/>
                  </w:divBdr>
                </w:div>
                <w:div w:id="1154180346">
                  <w:marLeft w:val="0"/>
                  <w:marRight w:val="0"/>
                  <w:marTop w:val="0"/>
                  <w:marBottom w:val="0"/>
                  <w:divBdr>
                    <w:top w:val="none" w:sz="0" w:space="0" w:color="auto"/>
                    <w:left w:val="none" w:sz="0" w:space="0" w:color="auto"/>
                    <w:bottom w:val="none" w:sz="0" w:space="0" w:color="auto"/>
                    <w:right w:val="none" w:sz="0" w:space="0" w:color="auto"/>
                  </w:divBdr>
                </w:div>
                <w:div w:id="1862236360">
                  <w:marLeft w:val="0"/>
                  <w:marRight w:val="0"/>
                  <w:marTop w:val="0"/>
                  <w:marBottom w:val="0"/>
                  <w:divBdr>
                    <w:top w:val="none" w:sz="0" w:space="0" w:color="auto"/>
                    <w:left w:val="none" w:sz="0" w:space="0" w:color="auto"/>
                    <w:bottom w:val="none" w:sz="0" w:space="0" w:color="auto"/>
                    <w:right w:val="none" w:sz="0" w:space="0" w:color="auto"/>
                  </w:divBdr>
                </w:div>
                <w:div w:id="719785172">
                  <w:marLeft w:val="0"/>
                  <w:marRight w:val="0"/>
                  <w:marTop w:val="0"/>
                  <w:marBottom w:val="0"/>
                  <w:divBdr>
                    <w:top w:val="none" w:sz="0" w:space="0" w:color="auto"/>
                    <w:left w:val="none" w:sz="0" w:space="0" w:color="auto"/>
                    <w:bottom w:val="none" w:sz="0" w:space="0" w:color="auto"/>
                    <w:right w:val="none" w:sz="0" w:space="0" w:color="auto"/>
                  </w:divBdr>
                </w:div>
                <w:div w:id="598877054">
                  <w:marLeft w:val="0"/>
                  <w:marRight w:val="0"/>
                  <w:marTop w:val="0"/>
                  <w:marBottom w:val="0"/>
                  <w:divBdr>
                    <w:top w:val="none" w:sz="0" w:space="0" w:color="auto"/>
                    <w:left w:val="none" w:sz="0" w:space="0" w:color="auto"/>
                    <w:bottom w:val="none" w:sz="0" w:space="0" w:color="auto"/>
                    <w:right w:val="none" w:sz="0" w:space="0" w:color="auto"/>
                  </w:divBdr>
                </w:div>
                <w:div w:id="591469970">
                  <w:marLeft w:val="0"/>
                  <w:marRight w:val="0"/>
                  <w:marTop w:val="0"/>
                  <w:marBottom w:val="0"/>
                  <w:divBdr>
                    <w:top w:val="none" w:sz="0" w:space="0" w:color="auto"/>
                    <w:left w:val="none" w:sz="0" w:space="0" w:color="auto"/>
                    <w:bottom w:val="none" w:sz="0" w:space="0" w:color="auto"/>
                    <w:right w:val="none" w:sz="0" w:space="0" w:color="auto"/>
                  </w:divBdr>
                </w:div>
                <w:div w:id="1933128862">
                  <w:marLeft w:val="0"/>
                  <w:marRight w:val="0"/>
                  <w:marTop w:val="0"/>
                  <w:marBottom w:val="0"/>
                  <w:divBdr>
                    <w:top w:val="none" w:sz="0" w:space="0" w:color="auto"/>
                    <w:left w:val="none" w:sz="0" w:space="0" w:color="auto"/>
                    <w:bottom w:val="none" w:sz="0" w:space="0" w:color="auto"/>
                    <w:right w:val="none" w:sz="0" w:space="0" w:color="auto"/>
                  </w:divBdr>
                </w:div>
                <w:div w:id="557472435">
                  <w:marLeft w:val="0"/>
                  <w:marRight w:val="0"/>
                  <w:marTop w:val="0"/>
                  <w:marBottom w:val="0"/>
                  <w:divBdr>
                    <w:top w:val="none" w:sz="0" w:space="0" w:color="auto"/>
                    <w:left w:val="none" w:sz="0" w:space="0" w:color="auto"/>
                    <w:bottom w:val="none" w:sz="0" w:space="0" w:color="auto"/>
                    <w:right w:val="none" w:sz="0" w:space="0" w:color="auto"/>
                  </w:divBdr>
                </w:div>
                <w:div w:id="445854073">
                  <w:marLeft w:val="0"/>
                  <w:marRight w:val="0"/>
                  <w:marTop w:val="0"/>
                  <w:marBottom w:val="0"/>
                  <w:divBdr>
                    <w:top w:val="none" w:sz="0" w:space="0" w:color="auto"/>
                    <w:left w:val="none" w:sz="0" w:space="0" w:color="auto"/>
                    <w:bottom w:val="none" w:sz="0" w:space="0" w:color="auto"/>
                    <w:right w:val="none" w:sz="0" w:space="0" w:color="auto"/>
                  </w:divBdr>
                </w:div>
                <w:div w:id="318922406">
                  <w:marLeft w:val="0"/>
                  <w:marRight w:val="0"/>
                  <w:marTop w:val="0"/>
                  <w:marBottom w:val="0"/>
                  <w:divBdr>
                    <w:top w:val="none" w:sz="0" w:space="0" w:color="auto"/>
                    <w:left w:val="none" w:sz="0" w:space="0" w:color="auto"/>
                    <w:bottom w:val="none" w:sz="0" w:space="0" w:color="auto"/>
                    <w:right w:val="none" w:sz="0" w:space="0" w:color="auto"/>
                  </w:divBdr>
                </w:div>
                <w:div w:id="531067385">
                  <w:marLeft w:val="0"/>
                  <w:marRight w:val="0"/>
                  <w:marTop w:val="0"/>
                  <w:marBottom w:val="0"/>
                  <w:divBdr>
                    <w:top w:val="none" w:sz="0" w:space="0" w:color="auto"/>
                    <w:left w:val="none" w:sz="0" w:space="0" w:color="auto"/>
                    <w:bottom w:val="none" w:sz="0" w:space="0" w:color="auto"/>
                    <w:right w:val="none" w:sz="0" w:space="0" w:color="auto"/>
                  </w:divBdr>
                </w:div>
                <w:div w:id="2054229975">
                  <w:marLeft w:val="0"/>
                  <w:marRight w:val="0"/>
                  <w:marTop w:val="0"/>
                  <w:marBottom w:val="0"/>
                  <w:divBdr>
                    <w:top w:val="none" w:sz="0" w:space="0" w:color="auto"/>
                    <w:left w:val="none" w:sz="0" w:space="0" w:color="auto"/>
                    <w:bottom w:val="none" w:sz="0" w:space="0" w:color="auto"/>
                    <w:right w:val="none" w:sz="0" w:space="0" w:color="auto"/>
                  </w:divBdr>
                </w:div>
                <w:div w:id="641427076">
                  <w:marLeft w:val="0"/>
                  <w:marRight w:val="0"/>
                  <w:marTop w:val="0"/>
                  <w:marBottom w:val="0"/>
                  <w:divBdr>
                    <w:top w:val="none" w:sz="0" w:space="0" w:color="auto"/>
                    <w:left w:val="none" w:sz="0" w:space="0" w:color="auto"/>
                    <w:bottom w:val="none" w:sz="0" w:space="0" w:color="auto"/>
                    <w:right w:val="none" w:sz="0" w:space="0" w:color="auto"/>
                  </w:divBdr>
                </w:div>
                <w:div w:id="206264702">
                  <w:marLeft w:val="0"/>
                  <w:marRight w:val="0"/>
                  <w:marTop w:val="0"/>
                  <w:marBottom w:val="0"/>
                  <w:divBdr>
                    <w:top w:val="none" w:sz="0" w:space="0" w:color="auto"/>
                    <w:left w:val="none" w:sz="0" w:space="0" w:color="auto"/>
                    <w:bottom w:val="none" w:sz="0" w:space="0" w:color="auto"/>
                    <w:right w:val="none" w:sz="0" w:space="0" w:color="auto"/>
                  </w:divBdr>
                </w:div>
                <w:div w:id="1460340047">
                  <w:marLeft w:val="0"/>
                  <w:marRight w:val="0"/>
                  <w:marTop w:val="0"/>
                  <w:marBottom w:val="0"/>
                  <w:divBdr>
                    <w:top w:val="none" w:sz="0" w:space="0" w:color="auto"/>
                    <w:left w:val="none" w:sz="0" w:space="0" w:color="auto"/>
                    <w:bottom w:val="none" w:sz="0" w:space="0" w:color="auto"/>
                    <w:right w:val="none" w:sz="0" w:space="0" w:color="auto"/>
                  </w:divBdr>
                </w:div>
                <w:div w:id="847449638">
                  <w:marLeft w:val="0"/>
                  <w:marRight w:val="0"/>
                  <w:marTop w:val="0"/>
                  <w:marBottom w:val="0"/>
                  <w:divBdr>
                    <w:top w:val="none" w:sz="0" w:space="0" w:color="auto"/>
                    <w:left w:val="none" w:sz="0" w:space="0" w:color="auto"/>
                    <w:bottom w:val="none" w:sz="0" w:space="0" w:color="auto"/>
                    <w:right w:val="none" w:sz="0" w:space="0" w:color="auto"/>
                  </w:divBdr>
                </w:div>
                <w:div w:id="1206678292">
                  <w:marLeft w:val="0"/>
                  <w:marRight w:val="0"/>
                  <w:marTop w:val="0"/>
                  <w:marBottom w:val="0"/>
                  <w:divBdr>
                    <w:top w:val="none" w:sz="0" w:space="0" w:color="auto"/>
                    <w:left w:val="none" w:sz="0" w:space="0" w:color="auto"/>
                    <w:bottom w:val="none" w:sz="0" w:space="0" w:color="auto"/>
                    <w:right w:val="none" w:sz="0" w:space="0" w:color="auto"/>
                  </w:divBdr>
                </w:div>
                <w:div w:id="1936934395">
                  <w:marLeft w:val="0"/>
                  <w:marRight w:val="0"/>
                  <w:marTop w:val="0"/>
                  <w:marBottom w:val="0"/>
                  <w:divBdr>
                    <w:top w:val="none" w:sz="0" w:space="0" w:color="auto"/>
                    <w:left w:val="none" w:sz="0" w:space="0" w:color="auto"/>
                    <w:bottom w:val="none" w:sz="0" w:space="0" w:color="auto"/>
                    <w:right w:val="none" w:sz="0" w:space="0" w:color="auto"/>
                  </w:divBdr>
                </w:div>
                <w:div w:id="10590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766610">
      <w:bodyDiv w:val="1"/>
      <w:marLeft w:val="0"/>
      <w:marRight w:val="0"/>
      <w:marTop w:val="0"/>
      <w:marBottom w:val="0"/>
      <w:divBdr>
        <w:top w:val="none" w:sz="0" w:space="0" w:color="auto"/>
        <w:left w:val="none" w:sz="0" w:space="0" w:color="auto"/>
        <w:bottom w:val="none" w:sz="0" w:space="0" w:color="auto"/>
        <w:right w:val="none" w:sz="0" w:space="0" w:color="auto"/>
      </w:divBdr>
      <w:divsChild>
        <w:div w:id="1719011110">
          <w:marLeft w:val="360"/>
          <w:marRight w:val="0"/>
          <w:marTop w:val="200"/>
          <w:marBottom w:val="0"/>
          <w:divBdr>
            <w:top w:val="none" w:sz="0" w:space="0" w:color="auto"/>
            <w:left w:val="none" w:sz="0" w:space="0" w:color="auto"/>
            <w:bottom w:val="none" w:sz="0" w:space="0" w:color="auto"/>
            <w:right w:val="none" w:sz="0" w:space="0" w:color="auto"/>
          </w:divBdr>
        </w:div>
      </w:divsChild>
    </w:div>
    <w:div w:id="1894728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riadi@gmail.com" TargetMode="External"/><Relationship Id="rId13" Type="http://schemas.openxmlformats.org/officeDocument/2006/relationships/hyperlink" Target="https://doi.org/10.29123/jy.v12i2.384" TargetMode="External"/><Relationship Id="rId18" Type="http://schemas.openxmlformats.org/officeDocument/2006/relationships/hyperlink" Target="https://doi.org/10.22146/jmh.3720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30652/rlj.v1i1.4177" TargetMode="External"/><Relationship Id="rId7" Type="http://schemas.openxmlformats.org/officeDocument/2006/relationships/endnotes" Target="endnotes.xml"/><Relationship Id="rId12" Type="http://schemas.openxmlformats.org/officeDocument/2006/relationships/hyperlink" Target="https://doi.org/10.20473/mi.v3i2.18754" TargetMode="External"/><Relationship Id="rId17" Type="http://schemas.openxmlformats.org/officeDocument/2006/relationships/hyperlink" Target="https://doi.org/10.29300/imr.v4i1.2167"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doi.org/10.24252/ad.v5i2.4845" TargetMode="External"/><Relationship Id="rId20" Type="http://schemas.openxmlformats.org/officeDocument/2006/relationships/hyperlink" Target="https://doi.org/10.22437/ujh.4.1.81-1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5586/.v4i2.244" TargetMode="External"/><Relationship Id="rId24" Type="http://schemas.openxmlformats.org/officeDocument/2006/relationships/hyperlink" Target="https://doi.org/10.22146/jmh.33227" TargetMode="External"/><Relationship Id="rId5" Type="http://schemas.openxmlformats.org/officeDocument/2006/relationships/webSettings" Target="webSettings.xml"/><Relationship Id="rId15" Type="http://schemas.openxmlformats.org/officeDocument/2006/relationships/hyperlink" Target="https://doi.org/10.18592/jils.v5i3.5816" TargetMode="External"/><Relationship Id="rId23" Type="http://schemas.openxmlformats.org/officeDocument/2006/relationships/hyperlink" Target="https://doi.org/10.58812/jhhws.v2i09.658" TargetMode="External"/><Relationship Id="rId10" Type="http://schemas.openxmlformats.org/officeDocument/2006/relationships/footer" Target="footer1.xml"/><Relationship Id="rId19" Type="http://schemas.openxmlformats.org/officeDocument/2006/relationships/hyperlink" Target="https://doi.org/10.31292/jb.v6i1.42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ojs.ukb.ac.id/index.php/sj/article/view/98" TargetMode="External"/><Relationship Id="rId22" Type="http://schemas.openxmlformats.org/officeDocument/2006/relationships/hyperlink" Target="https://doi.org/10.23887/glr.v2i2.207"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3142C-94C4-4C00-87BE-C071392C6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21</Pages>
  <Words>7894</Words>
  <Characters>45000</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Oktovian Permana Aji</cp:lastModifiedBy>
  <cp:revision>4</cp:revision>
  <cp:lastPrinted>2024-06-11T01:52:00Z</cp:lastPrinted>
  <dcterms:created xsi:type="dcterms:W3CDTF">2026-07-13T06:26:00Z</dcterms:created>
  <dcterms:modified xsi:type="dcterms:W3CDTF">2026-07-20T12:57:00Z</dcterms:modified>
</cp:coreProperties>
</file>