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DFEF4"/>
  <w:body>
    <w:p w:rsidR="00E00E53" w:rsidRDefault="00270AAC">
      <w:pPr>
        <w:pStyle w:val="Heading3"/>
        <w:spacing w:before="0" w:after="0" w:line="240" w:lineRule="auto"/>
        <w:jc w:val="both"/>
        <w:rPr>
          <w:rFonts w:ascii="Book Antiqua" w:eastAsia="Book Antiqua" w:hAnsi="Book Antiqua" w:cs="Book Antiqua"/>
          <w:b/>
          <w:sz w:val="36"/>
          <w:szCs w:val="36"/>
        </w:rPr>
      </w:pPr>
      <w:r>
        <w:rPr>
          <w:rFonts w:ascii="Book Antiqua" w:eastAsia="Book Antiqua" w:hAnsi="Book Antiqua" w:cs="Book Antiqua"/>
          <w:b/>
          <w:sz w:val="36"/>
          <w:szCs w:val="36"/>
        </w:rPr>
        <w:t xml:space="preserve">Local Potential Development Model Based on Communal Intellectual Property in </w:t>
      </w:r>
      <w:proofErr w:type="spellStart"/>
      <w:r>
        <w:rPr>
          <w:rFonts w:ascii="Book Antiqua" w:eastAsia="Book Antiqua" w:hAnsi="Book Antiqua" w:cs="Book Antiqua"/>
          <w:b/>
          <w:sz w:val="36"/>
          <w:szCs w:val="36"/>
        </w:rPr>
        <w:t>Serang</w:t>
      </w:r>
      <w:proofErr w:type="spellEnd"/>
      <w:r>
        <w:rPr>
          <w:rFonts w:ascii="Book Antiqua" w:eastAsia="Book Antiqua" w:hAnsi="Book Antiqua" w:cs="Book Antiqua"/>
          <w:b/>
          <w:sz w:val="36"/>
          <w:szCs w:val="36"/>
        </w:rPr>
        <w:t xml:space="preserve"> </w:t>
      </w:r>
      <w:r w:rsidR="00642C77">
        <w:rPr>
          <w:rFonts w:ascii="Book Antiqua" w:eastAsia="Book Antiqua" w:hAnsi="Book Antiqua" w:cs="Book Antiqua"/>
          <w:b/>
          <w:sz w:val="36"/>
          <w:szCs w:val="36"/>
        </w:rPr>
        <w:t>District</w:t>
      </w:r>
    </w:p>
    <w:p w:rsidR="00E00E53" w:rsidRDefault="00270AAC">
      <w:pPr>
        <w:pStyle w:val="Heading3"/>
        <w:spacing w:before="240" w:after="0" w:line="240" w:lineRule="auto"/>
        <w:rPr>
          <w:rFonts w:ascii="Book Antiqua" w:eastAsia="Book Antiqua" w:hAnsi="Book Antiqua" w:cs="Book Antiqua"/>
          <w:b/>
        </w:rPr>
      </w:pPr>
      <w:r>
        <w:rPr>
          <w:rFonts w:ascii="Book Antiqua" w:eastAsia="Book Antiqua" w:hAnsi="Book Antiqua" w:cs="Book Antiqua"/>
          <w:b/>
        </w:rPr>
        <w:t>Inge Dwisvimiar</w:t>
      </w:r>
      <w:r>
        <w:rPr>
          <w:rFonts w:ascii="Book Antiqua" w:eastAsia="Book Antiqua" w:hAnsi="Book Antiqua" w:cs="Book Antiqua"/>
          <w:b/>
          <w:vertAlign w:val="superscript"/>
        </w:rPr>
        <w:t>1</w:t>
      </w:r>
      <w:r>
        <w:rPr>
          <w:rFonts w:ascii="Book Antiqua" w:eastAsia="Book Antiqua" w:hAnsi="Book Antiqua" w:cs="Book Antiqua"/>
          <w:b/>
        </w:rPr>
        <w:t>, Rully Syahrul Mucharom</w:t>
      </w:r>
      <w:r>
        <w:rPr>
          <w:rFonts w:ascii="Book Antiqua" w:eastAsia="Book Antiqua" w:hAnsi="Book Antiqua" w:cs="Book Antiqua"/>
          <w:b/>
          <w:vertAlign w:val="superscript"/>
        </w:rPr>
        <w:t>2</w:t>
      </w:r>
      <w:r>
        <w:rPr>
          <w:rFonts w:ascii="Book Antiqua" w:eastAsia="Book Antiqua" w:hAnsi="Book Antiqua" w:cs="Book Antiqua"/>
          <w:b/>
        </w:rPr>
        <w:t>.</w:t>
      </w:r>
    </w:p>
    <w:p w:rsidR="00E00E53" w:rsidRDefault="00270AAC">
      <w:pPr>
        <w:spacing w:after="0"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1, 2</w:t>
      </w:r>
      <w:r>
        <w:rPr>
          <w:rFonts w:ascii="Book Antiqua" w:eastAsia="Book Antiqua" w:hAnsi="Book Antiqua" w:cs="Book Antiqua"/>
          <w:color w:val="000000"/>
          <w:sz w:val="24"/>
          <w:szCs w:val="24"/>
        </w:rPr>
        <w:t xml:space="preserve"> Faculty of </w:t>
      </w:r>
      <w:r>
        <w:rPr>
          <w:rFonts w:ascii="Book Antiqua" w:eastAsia="Book Antiqua" w:hAnsi="Book Antiqua" w:cs="Book Antiqua"/>
          <w:sz w:val="24"/>
          <w:szCs w:val="24"/>
        </w:rPr>
        <w:t>Law</w:t>
      </w:r>
      <w:r>
        <w:rPr>
          <w:rFonts w:ascii="Book Antiqua" w:eastAsia="Book Antiqua" w:hAnsi="Book Antiqua" w:cs="Book Antiqua"/>
          <w:color w:val="000000"/>
          <w:sz w:val="24"/>
          <w:szCs w:val="24"/>
        </w:rPr>
        <w:t xml:space="preserve">, University </w:t>
      </w:r>
      <w:r>
        <w:rPr>
          <w:rFonts w:ascii="Book Antiqua" w:eastAsia="Book Antiqua" w:hAnsi="Book Antiqua" w:cs="Book Antiqua"/>
          <w:sz w:val="24"/>
          <w:szCs w:val="24"/>
        </w:rPr>
        <w:t>of Sultan Ageng Tirtayasa</w:t>
      </w:r>
      <w:r>
        <w:rPr>
          <w:rFonts w:ascii="Book Antiqua" w:eastAsia="Book Antiqua" w:hAnsi="Book Antiqua" w:cs="Book Antiqua"/>
          <w:color w:val="000000"/>
          <w:sz w:val="24"/>
          <w:szCs w:val="24"/>
        </w:rPr>
        <w:t>, Indonesia.</w:t>
      </w:r>
    </w:p>
    <w:tbl>
      <w:tblPr>
        <w:tblStyle w:val="a5"/>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52"/>
        <w:gridCol w:w="5953"/>
      </w:tblGrid>
      <w:tr w:rsidR="00E00E53">
        <w:trPr>
          <w:trHeight w:val="4199"/>
        </w:trPr>
        <w:tc>
          <w:tcPr>
            <w:tcW w:w="2552" w:type="dxa"/>
            <w:tcBorders>
              <w:top w:val="single" w:sz="4" w:space="0" w:color="000000"/>
            </w:tcBorders>
          </w:tcPr>
          <w:p w:rsidR="00E00E53" w:rsidRDefault="00270AAC">
            <w:pPr>
              <w:spacing w:before="200" w:after="0" w:line="240" w:lineRule="auto"/>
              <w:ind w:right="40"/>
              <w:rPr>
                <w:rFonts w:ascii="Book Antiqua" w:eastAsia="Book Antiqua" w:hAnsi="Book Antiqua" w:cs="Book Antiqua"/>
                <w:b/>
                <w:color w:val="000000"/>
                <w:sz w:val="16"/>
                <w:szCs w:val="16"/>
              </w:rPr>
            </w:pPr>
            <w:r>
              <w:rPr>
                <w:rFonts w:ascii="Book Antiqua" w:eastAsia="Book Antiqua" w:hAnsi="Book Antiqua" w:cs="Book Antiqua"/>
                <w:b/>
                <w:color w:val="000000"/>
                <w:sz w:val="16"/>
                <w:szCs w:val="16"/>
              </w:rPr>
              <w:t xml:space="preserve">Article history: </w:t>
            </w:r>
          </w:p>
          <w:p w:rsidR="00E00E53" w:rsidRDefault="00270AAC">
            <w:pPr>
              <w:spacing w:after="0" w:line="240" w:lineRule="auto"/>
              <w:ind w:right="40"/>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Received 20</w:t>
            </w:r>
            <w:r>
              <w:rPr>
                <w:rFonts w:ascii="Book Antiqua" w:eastAsia="Book Antiqua" w:hAnsi="Book Antiqua" w:cs="Book Antiqua"/>
                <w:sz w:val="16"/>
                <w:szCs w:val="16"/>
              </w:rPr>
              <w:t>xx</w:t>
            </w:r>
            <w:r>
              <w:rPr>
                <w:rFonts w:ascii="Book Antiqua" w:eastAsia="Book Antiqua" w:hAnsi="Book Antiqua" w:cs="Book Antiqua"/>
                <w:color w:val="000000"/>
                <w:sz w:val="16"/>
                <w:szCs w:val="16"/>
              </w:rPr>
              <w:t>-</w:t>
            </w:r>
            <w:r>
              <w:rPr>
                <w:rFonts w:ascii="Book Antiqua" w:eastAsia="Book Antiqua" w:hAnsi="Book Antiqua" w:cs="Book Antiqua"/>
                <w:sz w:val="16"/>
                <w:szCs w:val="16"/>
              </w:rPr>
              <w:t>xx</w:t>
            </w:r>
            <w:r>
              <w:rPr>
                <w:rFonts w:ascii="Book Antiqua" w:eastAsia="Book Antiqua" w:hAnsi="Book Antiqua" w:cs="Book Antiqua"/>
                <w:color w:val="000000"/>
                <w:sz w:val="16"/>
                <w:szCs w:val="16"/>
              </w:rPr>
              <w:t>-</w:t>
            </w:r>
            <w:r>
              <w:rPr>
                <w:rFonts w:ascii="Book Antiqua" w:eastAsia="Book Antiqua" w:hAnsi="Book Antiqua" w:cs="Book Antiqua"/>
                <w:sz w:val="16"/>
                <w:szCs w:val="16"/>
              </w:rPr>
              <w:t>xx</w:t>
            </w:r>
          </w:p>
          <w:p w:rsidR="00E00E53" w:rsidRDefault="00270AAC">
            <w:pPr>
              <w:spacing w:after="0" w:line="240" w:lineRule="auto"/>
              <w:ind w:right="40"/>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Received 20</w:t>
            </w:r>
            <w:r>
              <w:rPr>
                <w:rFonts w:ascii="Book Antiqua" w:eastAsia="Book Antiqua" w:hAnsi="Book Antiqua" w:cs="Book Antiqua"/>
                <w:sz w:val="16"/>
                <w:szCs w:val="16"/>
              </w:rPr>
              <w:t>xx</w:t>
            </w:r>
            <w:r>
              <w:rPr>
                <w:rFonts w:ascii="Book Antiqua" w:eastAsia="Book Antiqua" w:hAnsi="Book Antiqua" w:cs="Book Antiqua"/>
                <w:color w:val="000000"/>
                <w:sz w:val="16"/>
                <w:szCs w:val="16"/>
              </w:rPr>
              <w:t>-</w:t>
            </w:r>
            <w:r>
              <w:rPr>
                <w:rFonts w:ascii="Book Antiqua" w:eastAsia="Book Antiqua" w:hAnsi="Book Antiqua" w:cs="Book Antiqua"/>
                <w:sz w:val="16"/>
                <w:szCs w:val="16"/>
              </w:rPr>
              <w:t>xx</w:t>
            </w:r>
            <w:r>
              <w:rPr>
                <w:rFonts w:ascii="Book Antiqua" w:eastAsia="Book Antiqua" w:hAnsi="Book Antiqua" w:cs="Book Antiqua"/>
                <w:color w:val="000000"/>
                <w:sz w:val="16"/>
                <w:szCs w:val="16"/>
              </w:rPr>
              <w:t>-</w:t>
            </w:r>
            <w:r>
              <w:rPr>
                <w:rFonts w:ascii="Book Antiqua" w:eastAsia="Book Antiqua" w:hAnsi="Book Antiqua" w:cs="Book Antiqua"/>
                <w:sz w:val="16"/>
                <w:szCs w:val="16"/>
              </w:rPr>
              <w:t>xx</w:t>
            </w:r>
          </w:p>
          <w:p w:rsidR="00E00E53" w:rsidRDefault="00270AAC">
            <w:pPr>
              <w:spacing w:after="0" w:line="240" w:lineRule="auto"/>
              <w:ind w:right="40"/>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Accepted 20</w:t>
            </w:r>
            <w:r>
              <w:rPr>
                <w:rFonts w:ascii="Book Antiqua" w:eastAsia="Book Antiqua" w:hAnsi="Book Antiqua" w:cs="Book Antiqua"/>
                <w:sz w:val="16"/>
                <w:szCs w:val="16"/>
              </w:rPr>
              <w:t>xx</w:t>
            </w:r>
            <w:r>
              <w:rPr>
                <w:rFonts w:ascii="Book Antiqua" w:eastAsia="Book Antiqua" w:hAnsi="Book Antiqua" w:cs="Book Antiqua"/>
                <w:color w:val="000000"/>
                <w:sz w:val="16"/>
                <w:szCs w:val="16"/>
              </w:rPr>
              <w:t>-</w:t>
            </w:r>
            <w:r>
              <w:rPr>
                <w:rFonts w:ascii="Book Antiqua" w:eastAsia="Book Antiqua" w:hAnsi="Book Antiqua" w:cs="Book Antiqua"/>
                <w:sz w:val="16"/>
                <w:szCs w:val="16"/>
              </w:rPr>
              <w:t>xx</w:t>
            </w:r>
            <w:r>
              <w:rPr>
                <w:rFonts w:ascii="Book Antiqua" w:eastAsia="Book Antiqua" w:hAnsi="Book Antiqua" w:cs="Book Antiqua"/>
                <w:color w:val="000000"/>
                <w:sz w:val="16"/>
                <w:szCs w:val="16"/>
              </w:rPr>
              <w:t>-</w:t>
            </w:r>
            <w:r>
              <w:rPr>
                <w:rFonts w:ascii="Book Antiqua" w:eastAsia="Book Antiqua" w:hAnsi="Book Antiqua" w:cs="Book Antiqua"/>
                <w:sz w:val="16"/>
                <w:szCs w:val="16"/>
              </w:rPr>
              <w:t>xx</w:t>
            </w:r>
          </w:p>
          <w:p w:rsidR="00E00E53" w:rsidRDefault="00E00E53">
            <w:pPr>
              <w:spacing w:after="0" w:line="240" w:lineRule="auto"/>
              <w:ind w:right="40"/>
              <w:rPr>
                <w:rFonts w:ascii="Book Antiqua" w:eastAsia="Book Antiqua" w:hAnsi="Book Antiqua" w:cs="Book Antiqua"/>
                <w:b/>
                <w:color w:val="000000"/>
                <w:sz w:val="16"/>
                <w:szCs w:val="16"/>
              </w:rPr>
            </w:pPr>
          </w:p>
          <w:p w:rsidR="00E00E53" w:rsidRDefault="00270AAC">
            <w:pPr>
              <w:spacing w:after="0" w:line="240" w:lineRule="auto"/>
              <w:ind w:right="40"/>
              <w:rPr>
                <w:rFonts w:ascii="Book Antiqua" w:eastAsia="Book Antiqua" w:hAnsi="Book Antiqua" w:cs="Book Antiqua"/>
                <w:b/>
                <w:color w:val="000000"/>
                <w:sz w:val="16"/>
                <w:szCs w:val="16"/>
              </w:rPr>
            </w:pPr>
            <w:r>
              <w:rPr>
                <w:rFonts w:ascii="Book Antiqua" w:eastAsia="Book Antiqua" w:hAnsi="Book Antiqua" w:cs="Book Antiqua"/>
                <w:b/>
                <w:color w:val="000000"/>
                <w:sz w:val="16"/>
                <w:szCs w:val="16"/>
              </w:rPr>
              <w:t>Keywords:</w:t>
            </w:r>
          </w:p>
          <w:p w:rsidR="00E00E53" w:rsidRDefault="00270AAC">
            <w:pPr>
              <w:spacing w:after="0" w:line="240" w:lineRule="auto"/>
              <w:ind w:right="40"/>
              <w:rPr>
                <w:rFonts w:ascii="Book Antiqua" w:eastAsia="Book Antiqua" w:hAnsi="Book Antiqua" w:cs="Book Antiqua"/>
                <w:color w:val="000000"/>
                <w:sz w:val="16"/>
                <w:szCs w:val="16"/>
              </w:rPr>
            </w:pPr>
            <w:r>
              <w:rPr>
                <w:rFonts w:ascii="Book Antiqua" w:eastAsia="Book Antiqua" w:hAnsi="Book Antiqua" w:cs="Book Antiqua"/>
                <w:sz w:val="16"/>
                <w:szCs w:val="16"/>
              </w:rPr>
              <w:t xml:space="preserve">Development Model; Communal Intellectual Property; </w:t>
            </w:r>
            <w:proofErr w:type="spellStart"/>
            <w:r>
              <w:rPr>
                <w:rFonts w:ascii="Book Antiqua" w:eastAsia="Book Antiqua" w:hAnsi="Book Antiqua" w:cs="Book Antiqua"/>
                <w:sz w:val="16"/>
                <w:szCs w:val="16"/>
              </w:rPr>
              <w:t>Serang</w:t>
            </w:r>
            <w:proofErr w:type="spellEnd"/>
            <w:r>
              <w:rPr>
                <w:rFonts w:ascii="Book Antiqua" w:eastAsia="Book Antiqua" w:hAnsi="Book Antiqua" w:cs="Book Antiqua"/>
                <w:sz w:val="16"/>
                <w:szCs w:val="16"/>
              </w:rPr>
              <w:t xml:space="preserve"> </w:t>
            </w:r>
            <w:r w:rsidR="004001DB">
              <w:rPr>
                <w:rFonts w:ascii="Book Antiqua" w:eastAsia="Book Antiqua" w:hAnsi="Book Antiqua" w:cs="Book Antiqua"/>
                <w:sz w:val="16"/>
                <w:szCs w:val="16"/>
              </w:rPr>
              <w:t>District</w:t>
            </w:r>
            <w:bookmarkStart w:id="0" w:name="_GoBack"/>
            <w:bookmarkEnd w:id="0"/>
          </w:p>
          <w:p w:rsidR="00E00E53" w:rsidRDefault="00E00E53">
            <w:pPr>
              <w:spacing w:after="0" w:line="240" w:lineRule="auto"/>
              <w:ind w:right="40"/>
              <w:rPr>
                <w:rFonts w:ascii="Book Antiqua" w:eastAsia="Book Antiqua" w:hAnsi="Book Antiqua" w:cs="Book Antiqua"/>
                <w:b/>
                <w:color w:val="000000"/>
                <w:sz w:val="16"/>
                <w:szCs w:val="16"/>
              </w:rPr>
            </w:pPr>
          </w:p>
          <w:p w:rsidR="00E00E53" w:rsidRDefault="00270AAC">
            <w:pPr>
              <w:spacing w:after="0" w:line="240" w:lineRule="auto"/>
              <w:ind w:right="40"/>
              <w:rPr>
                <w:rFonts w:ascii="Book Antiqua" w:eastAsia="Book Antiqua" w:hAnsi="Book Antiqua" w:cs="Book Antiqua"/>
                <w:b/>
                <w:color w:val="000000"/>
                <w:sz w:val="16"/>
                <w:szCs w:val="16"/>
              </w:rPr>
            </w:pPr>
            <w:r>
              <w:rPr>
                <w:rFonts w:ascii="Book Antiqua" w:eastAsia="Book Antiqua" w:hAnsi="Book Antiqua" w:cs="Book Antiqua"/>
                <w:b/>
                <w:color w:val="000000"/>
                <w:sz w:val="16"/>
                <w:szCs w:val="16"/>
              </w:rPr>
              <w:t>DOI:</w:t>
            </w:r>
          </w:p>
          <w:p w:rsidR="00E00E53" w:rsidRDefault="00270AAC">
            <w:pPr>
              <w:spacing w:after="0" w:line="240" w:lineRule="auto"/>
              <w:ind w:right="40"/>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doi.org/10.26905/idjch.v</w:t>
            </w:r>
            <w:r>
              <w:rPr>
                <w:rFonts w:ascii="Book Antiqua" w:eastAsia="Book Antiqua" w:hAnsi="Book Antiqua" w:cs="Book Antiqua"/>
                <w:sz w:val="16"/>
                <w:szCs w:val="16"/>
              </w:rPr>
              <w:t>xx</w:t>
            </w:r>
            <w:r>
              <w:rPr>
                <w:rFonts w:ascii="Book Antiqua" w:eastAsia="Book Antiqua" w:hAnsi="Book Antiqua" w:cs="Book Antiqua"/>
                <w:color w:val="000000"/>
                <w:sz w:val="16"/>
                <w:szCs w:val="16"/>
              </w:rPr>
              <w:t>i</w:t>
            </w:r>
            <w:r>
              <w:rPr>
                <w:rFonts w:ascii="Book Antiqua" w:eastAsia="Book Antiqua" w:hAnsi="Book Antiqua" w:cs="Book Antiqua"/>
                <w:sz w:val="16"/>
                <w:szCs w:val="16"/>
              </w:rPr>
              <w:t>x</w:t>
            </w:r>
            <w:r>
              <w:rPr>
                <w:rFonts w:ascii="Book Antiqua" w:eastAsia="Book Antiqua" w:hAnsi="Book Antiqua" w:cs="Book Antiqua"/>
                <w:color w:val="000000"/>
                <w:sz w:val="16"/>
                <w:szCs w:val="16"/>
              </w:rPr>
              <w:t>.xxxx.</w:t>
            </w:r>
          </w:p>
          <w:p w:rsidR="00E00E53" w:rsidRDefault="00E00E53">
            <w:pPr>
              <w:spacing w:after="0" w:line="240" w:lineRule="auto"/>
              <w:ind w:right="40"/>
              <w:rPr>
                <w:rFonts w:ascii="Book Antiqua" w:eastAsia="Book Antiqua" w:hAnsi="Book Antiqua" w:cs="Book Antiqua"/>
                <w:sz w:val="16"/>
                <w:szCs w:val="16"/>
              </w:rPr>
            </w:pPr>
          </w:p>
          <w:p w:rsidR="00E00E53" w:rsidRDefault="00270AAC">
            <w:pPr>
              <w:spacing w:after="0" w:line="240" w:lineRule="auto"/>
              <w:ind w:right="40"/>
              <w:rPr>
                <w:rFonts w:ascii="Book Antiqua" w:eastAsia="Book Antiqua" w:hAnsi="Book Antiqua" w:cs="Book Antiqua"/>
                <w:b/>
                <w:sz w:val="16"/>
                <w:szCs w:val="16"/>
              </w:rPr>
            </w:pPr>
            <w:r>
              <w:rPr>
                <w:rFonts w:ascii="Book Antiqua" w:eastAsia="Book Antiqua" w:hAnsi="Book Antiqua" w:cs="Book Antiqua"/>
                <w:b/>
                <w:sz w:val="16"/>
                <w:szCs w:val="16"/>
              </w:rPr>
              <w:t>Corresponding Author:</w:t>
            </w:r>
          </w:p>
          <w:p w:rsidR="00E00E53" w:rsidRDefault="00270AAC">
            <w:pPr>
              <w:spacing w:after="0" w:line="240" w:lineRule="auto"/>
              <w:rPr>
                <w:rFonts w:ascii="Book Antiqua" w:eastAsia="Book Antiqua" w:hAnsi="Book Antiqua" w:cs="Book Antiqua"/>
                <w:sz w:val="16"/>
                <w:szCs w:val="16"/>
              </w:rPr>
            </w:pPr>
            <w:r>
              <w:rPr>
                <w:rFonts w:ascii="Book Antiqua" w:eastAsia="Book Antiqua" w:hAnsi="Book Antiqua" w:cs="Book Antiqua"/>
                <w:sz w:val="16"/>
                <w:szCs w:val="16"/>
              </w:rPr>
              <w:t>Name Author</w:t>
            </w:r>
          </w:p>
          <w:p w:rsidR="00E00E53" w:rsidRDefault="00270AAC">
            <w:pPr>
              <w:spacing w:after="0" w:line="240" w:lineRule="auto"/>
              <w:rPr>
                <w:rFonts w:ascii="Book Antiqua" w:eastAsia="Book Antiqua" w:hAnsi="Book Antiqua" w:cs="Book Antiqua"/>
                <w:sz w:val="16"/>
                <w:szCs w:val="16"/>
              </w:rPr>
            </w:pPr>
            <w:r>
              <w:rPr>
                <w:rFonts w:ascii="Book Antiqua" w:eastAsia="Book Antiqua" w:hAnsi="Book Antiqua" w:cs="Book Antiqua"/>
                <w:i/>
                <w:sz w:val="16"/>
                <w:szCs w:val="16"/>
              </w:rPr>
              <w:t>E-mail: inge@untirta.ac.id</w:t>
            </w:r>
          </w:p>
        </w:tc>
        <w:tc>
          <w:tcPr>
            <w:tcW w:w="5953" w:type="dxa"/>
            <w:tcBorders>
              <w:top w:val="single" w:sz="4" w:space="0" w:color="000000"/>
            </w:tcBorders>
          </w:tcPr>
          <w:p w:rsidR="00E00E53" w:rsidRDefault="00270AAC">
            <w:pPr>
              <w:spacing w:before="200" w:after="0" w:line="240" w:lineRule="auto"/>
              <w:ind w:right="-2"/>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 xml:space="preserve">Abstract: </w:t>
            </w:r>
            <w:r>
              <w:rPr>
                <w:rFonts w:ascii="Times New Roman" w:eastAsia="Times New Roman" w:hAnsi="Times New Roman" w:cs="Times New Roman"/>
                <w:sz w:val="20"/>
                <w:szCs w:val="20"/>
              </w:rPr>
              <w:t xml:space="preserve">This article reviews Minister of Home Affairs Regulation Number 9 of 2014 concerning Guidelines for Development of Regional Featured Products, </w:t>
            </w:r>
            <w:r w:rsidR="00B80E65" w:rsidRPr="00B80E65">
              <w:rPr>
                <w:rFonts w:ascii="Times New Roman" w:eastAsia="Times New Roman" w:hAnsi="Times New Roman" w:cs="Times New Roman"/>
                <w:sz w:val="20"/>
                <w:szCs w:val="20"/>
              </w:rPr>
              <w:t>Law Number 28 of 2014 on Copyright</w:t>
            </w:r>
            <w:r>
              <w:rPr>
                <w:rFonts w:ascii="Times New Roman" w:eastAsia="Times New Roman" w:hAnsi="Times New Roman" w:cs="Times New Roman"/>
                <w:sz w:val="20"/>
                <w:szCs w:val="20"/>
              </w:rPr>
              <w:t xml:space="preserve">, and </w:t>
            </w:r>
            <w:r w:rsidR="00B80E65" w:rsidRPr="00B80E65">
              <w:rPr>
                <w:rFonts w:ascii="Times New Roman" w:eastAsia="Times New Roman" w:hAnsi="Times New Roman" w:cs="Times New Roman"/>
                <w:sz w:val="20"/>
                <w:szCs w:val="20"/>
              </w:rPr>
              <w:t>Law Number 5 of 2017 on Advancement of Culture</w:t>
            </w:r>
            <w:r>
              <w:rPr>
                <w:rFonts w:ascii="Times New Roman" w:eastAsia="Times New Roman" w:hAnsi="Times New Roman" w:cs="Times New Roman"/>
                <w:sz w:val="20"/>
                <w:szCs w:val="20"/>
              </w:rPr>
              <w:t xml:space="preserve">. It also discusses and analyses the distribution and model of developing local regional potential based on Communal Intellectual Property in Serang Regency. The article's aim is to ascertain how Serang Regency's local regional potential is distributed across its products and culture, as well as to outline and identify a development model that Serang Regency's local regional potential can apply to the region's intellectual property. The article employs a socio-legal research methodology along with a qualitative method. Analysis and discussion around the allocation of local and regional. With an emphasis on </w:t>
            </w:r>
            <w:r>
              <w:rPr>
                <w:rFonts w:ascii="Book Antiqua" w:eastAsia="Book Antiqua" w:hAnsi="Book Antiqua" w:cs="Book Antiqua"/>
                <w:sz w:val="20"/>
                <w:szCs w:val="20"/>
              </w:rPr>
              <w:t>Golok</w:t>
            </w:r>
            <w:r>
              <w:rPr>
                <w:rFonts w:ascii="Times New Roman" w:eastAsia="Times New Roman" w:hAnsi="Times New Roman" w:cs="Times New Roman"/>
                <w:sz w:val="20"/>
                <w:szCs w:val="20"/>
              </w:rPr>
              <w:t xml:space="preserve"> Seuat, Silat Bandrong, and Rudat, the analysis and discussion of the distribution of local regional potential based on communal intellectual property, including products and culture, is highly varied. Golok Seuat is widely distributed and has a fairly even distribution, but Rudat and Silat Bandrong are not uniformly distributed for a variety of reasons. While Silat Bandrong and Rudat have been inventoried, secured, and published, the development approach employed in Golok Seuat is based on </w:t>
            </w:r>
            <w:r w:rsidR="00F923A5">
              <w:rPr>
                <w:rFonts w:ascii="Times New Roman" w:eastAsia="Times New Roman" w:hAnsi="Times New Roman" w:cs="Times New Roman"/>
                <w:sz w:val="20"/>
                <w:szCs w:val="20"/>
              </w:rPr>
              <w:t>regional superior product</w:t>
            </w:r>
            <w:r>
              <w:rPr>
                <w:rFonts w:ascii="Times New Roman" w:eastAsia="Times New Roman" w:hAnsi="Times New Roman" w:cs="Times New Roman"/>
                <w:sz w:val="20"/>
                <w:szCs w:val="20"/>
              </w:rPr>
              <w:t xml:space="preserve"> with a core competency model with improved attractiveness and promotion.</w:t>
            </w:r>
          </w:p>
        </w:tc>
      </w:tr>
    </w:tbl>
    <w:p w:rsidR="00E00E53" w:rsidRDefault="00270AAC">
      <w:pPr>
        <w:pStyle w:val="Heading1"/>
        <w:numPr>
          <w:ilvl w:val="0"/>
          <w:numId w:val="1"/>
        </w:numPr>
        <w:spacing w:before="0" w:after="0" w:line="240" w:lineRule="auto"/>
        <w:ind w:left="426" w:hanging="426"/>
        <w:jc w:val="both"/>
        <w:rPr>
          <w:rFonts w:ascii="Book Antiqua" w:eastAsia="Book Antiqua" w:hAnsi="Book Antiqua" w:cs="Book Antiqua"/>
          <w:b/>
          <w:color w:val="C00000"/>
          <w:sz w:val="24"/>
          <w:szCs w:val="24"/>
        </w:rPr>
      </w:pPr>
      <w:r>
        <w:rPr>
          <w:rFonts w:ascii="Book Antiqua" w:eastAsia="Book Antiqua" w:hAnsi="Book Antiqua" w:cs="Book Antiqua"/>
          <w:b/>
          <w:color w:val="C00000"/>
          <w:sz w:val="24"/>
          <w:szCs w:val="24"/>
        </w:rPr>
        <w:t>Introduction</w:t>
      </w:r>
    </w:p>
    <w:p w:rsidR="00E00E53" w:rsidRDefault="00270AAC">
      <w:pPr>
        <w:spacing w:after="0" w:line="240" w:lineRule="auto"/>
        <w:ind w:firstLine="425"/>
        <w:jc w:val="both"/>
        <w:rPr>
          <w:rFonts w:ascii="Book Antiqua" w:eastAsia="Book Antiqua" w:hAnsi="Book Antiqua" w:cs="Book Antiqua"/>
          <w:sz w:val="24"/>
          <w:szCs w:val="24"/>
        </w:rPr>
      </w:pPr>
      <w:r>
        <w:rPr>
          <w:rFonts w:ascii="Book Antiqua" w:eastAsia="Book Antiqua" w:hAnsi="Book Antiqua" w:cs="Book Antiqua"/>
          <w:sz w:val="24"/>
          <w:szCs w:val="24"/>
        </w:rPr>
        <w:t>The rise in marketing ingenuity is a defining feature of contemporary globalised economic activity. Every economic player is vying with one another to present things in an original way. Human creativity, which is a person's intellectual asset, has historically had a profound impact on civilisation, especially through advancements and discoveries in the fields of literature and the arts.</w:t>
      </w:r>
      <w:r>
        <w:rPr>
          <w:rFonts w:ascii="Book Antiqua" w:eastAsia="Book Antiqua" w:hAnsi="Book Antiqua" w:cs="Book Antiqua"/>
          <w:sz w:val="24"/>
          <w:szCs w:val="24"/>
          <w:vertAlign w:val="superscript"/>
        </w:rPr>
        <w:footnoteReference w:id="1"/>
      </w:r>
      <w:r>
        <w:rPr>
          <w:rFonts w:ascii="Book Antiqua" w:eastAsia="Book Antiqua" w:hAnsi="Book Antiqua" w:cs="Book Antiqua"/>
          <w:sz w:val="24"/>
          <w:szCs w:val="24"/>
        </w:rPr>
        <w:t xml:space="preserve"> As a result of these intellectual properties, laws pertaining to intellectual property—often referred to as IP—were created.</w:t>
      </w:r>
      <w:r>
        <w:rPr>
          <w:rFonts w:ascii="Book Antiqua" w:eastAsia="Book Antiqua" w:hAnsi="Book Antiqua" w:cs="Book Antiqua"/>
          <w:sz w:val="24"/>
          <w:szCs w:val="24"/>
          <w:vertAlign w:val="superscript"/>
        </w:rPr>
        <w:footnoteReference w:id="2"/>
      </w:r>
      <w:r>
        <w:rPr>
          <w:rFonts w:ascii="Book Antiqua" w:eastAsia="Book Antiqua" w:hAnsi="Book Antiqua" w:cs="Book Antiqua"/>
          <w:sz w:val="24"/>
          <w:szCs w:val="24"/>
        </w:rPr>
        <w:t> </w:t>
      </w:r>
    </w:p>
    <w:p w:rsidR="00E00E53" w:rsidRDefault="00270AAC">
      <w:pPr>
        <w:spacing w:after="0" w:line="240" w:lineRule="auto"/>
        <w:ind w:firstLine="425"/>
        <w:jc w:val="both"/>
        <w:rPr>
          <w:rFonts w:ascii="Book Antiqua" w:eastAsia="Book Antiqua" w:hAnsi="Book Antiqua" w:cs="Book Antiqua"/>
          <w:sz w:val="24"/>
          <w:szCs w:val="24"/>
        </w:rPr>
      </w:pPr>
      <w:r>
        <w:rPr>
          <w:rFonts w:ascii="Book Antiqua" w:eastAsia="Book Antiqua" w:hAnsi="Book Antiqua" w:cs="Book Antiqua"/>
          <w:sz w:val="24"/>
          <w:szCs w:val="24"/>
        </w:rPr>
        <w:t xml:space="preserve">According to Alfons in Ramli et al., a country's ability to safely explore its richness and, eventually, foster a positive economic environment depends on the protection of intellectual property for individuals, organisations, and commercial </w:t>
      </w:r>
      <w:r>
        <w:rPr>
          <w:rFonts w:ascii="Book Antiqua" w:eastAsia="Book Antiqua" w:hAnsi="Book Antiqua" w:cs="Book Antiqua"/>
          <w:sz w:val="24"/>
          <w:szCs w:val="24"/>
        </w:rPr>
        <w:lastRenderedPageBreak/>
        <w:t>organisations.</w:t>
      </w:r>
      <w:r>
        <w:rPr>
          <w:rFonts w:ascii="Book Antiqua" w:eastAsia="Book Antiqua" w:hAnsi="Book Antiqua" w:cs="Book Antiqua"/>
          <w:sz w:val="24"/>
          <w:szCs w:val="24"/>
          <w:vertAlign w:val="superscript"/>
        </w:rPr>
        <w:footnoteReference w:id="3"/>
      </w:r>
      <w:r>
        <w:rPr>
          <w:rFonts w:ascii="Book Antiqua" w:eastAsia="Book Antiqua" w:hAnsi="Book Antiqua" w:cs="Book Antiqua"/>
          <w:sz w:val="24"/>
          <w:szCs w:val="24"/>
        </w:rPr>
        <w:t xml:space="preserve"> Under intellectual property law, there is normative protection for intellectual property, which is separated into two categories: communal intellectual property and personal intellectual property, which includes integrated circuit layout designs, patents, trademarks, trade secrets, and industrial designs.</w:t>
      </w:r>
      <w:r>
        <w:rPr>
          <w:rFonts w:ascii="Book Antiqua" w:eastAsia="Book Antiqua" w:hAnsi="Book Antiqua" w:cs="Book Antiqua"/>
          <w:sz w:val="24"/>
          <w:szCs w:val="24"/>
          <w:vertAlign w:val="superscript"/>
        </w:rPr>
        <w:footnoteReference w:id="4"/>
      </w:r>
      <w:r>
        <w:rPr>
          <w:rFonts w:ascii="Book Antiqua" w:eastAsia="Book Antiqua" w:hAnsi="Book Antiqua" w:cs="Book Antiqua"/>
          <w:sz w:val="24"/>
          <w:szCs w:val="24"/>
        </w:rPr>
        <w:t xml:space="preserve"> based on </w:t>
      </w:r>
      <w:r w:rsidR="00CF08CB" w:rsidRPr="00CF08CB">
        <w:rPr>
          <w:rFonts w:ascii="Book Antiqua" w:eastAsia="Book Antiqua" w:hAnsi="Book Antiqua" w:cs="Book Antiqua"/>
          <w:sz w:val="24"/>
          <w:szCs w:val="24"/>
        </w:rPr>
        <w:t>Regulation of the Minister of Law and Human Rights Number 13 of 2017 concerning Communal Intellectual Property Data</w:t>
      </w:r>
      <w:r>
        <w:rPr>
          <w:rFonts w:ascii="Book Antiqua" w:eastAsia="Book Antiqua" w:hAnsi="Book Antiqua" w:cs="Book Antiqua"/>
          <w:sz w:val="24"/>
          <w:szCs w:val="24"/>
        </w:rPr>
        <w:t>. The term communal intellectual property</w:t>
      </w:r>
      <w:r w:rsidR="00B80E65">
        <w:rPr>
          <w:rFonts w:ascii="Book Antiqua" w:eastAsia="Book Antiqua" w:hAnsi="Book Antiqua" w:cs="Book Antiqua"/>
          <w:sz w:val="24"/>
          <w:szCs w:val="24"/>
        </w:rPr>
        <w:t xml:space="preserve"> </w:t>
      </w:r>
      <w:r>
        <w:rPr>
          <w:rFonts w:ascii="Book Antiqua" w:eastAsia="Book Antiqua" w:hAnsi="Book Antiqua" w:cs="Book Antiqua"/>
          <w:sz w:val="24"/>
          <w:szCs w:val="24"/>
        </w:rPr>
        <w:t>refers to intellectual property that takes the form of genetic resources, potential geographic indications, traditional knowledge, and traditional cultural expressions</w:t>
      </w:r>
      <w:r w:rsidR="00B80E65">
        <w:rPr>
          <w:rFonts w:ascii="Book Antiqua" w:eastAsia="Book Antiqua" w:hAnsi="Book Antiqua" w:cs="Book Antiqua"/>
          <w:sz w:val="24"/>
          <w:szCs w:val="24"/>
        </w:rPr>
        <w:t>.</w:t>
      </w:r>
      <w:r>
        <w:rPr>
          <w:rFonts w:ascii="Book Antiqua" w:eastAsia="Book Antiqua" w:hAnsi="Book Antiqua" w:cs="Book Antiqua"/>
          <w:sz w:val="24"/>
          <w:szCs w:val="24"/>
          <w:vertAlign w:val="superscript"/>
        </w:rPr>
        <w:footnoteReference w:id="5"/>
      </w:r>
    </w:p>
    <w:p w:rsidR="00E00E53" w:rsidRDefault="00270AAC">
      <w:pPr>
        <w:spacing w:after="0" w:line="240" w:lineRule="auto"/>
        <w:ind w:firstLine="425"/>
        <w:jc w:val="both"/>
        <w:rPr>
          <w:rFonts w:ascii="Book Antiqua" w:eastAsia="Book Antiqua" w:hAnsi="Book Antiqua" w:cs="Book Antiqua"/>
          <w:sz w:val="24"/>
          <w:szCs w:val="24"/>
        </w:rPr>
      </w:pPr>
      <w:r>
        <w:rPr>
          <w:rFonts w:ascii="Book Antiqua" w:eastAsia="Book Antiqua" w:hAnsi="Book Antiqua" w:cs="Book Antiqua"/>
          <w:sz w:val="24"/>
          <w:szCs w:val="24"/>
        </w:rPr>
        <w:t>It is well recognised that concerns about local and regional potential are becoming more widespread on a national and worldwide scale. Indonesia possesses remarkable economic potential,</w:t>
      </w:r>
      <w:r>
        <w:rPr>
          <w:rFonts w:ascii="Book Antiqua" w:eastAsia="Book Antiqua" w:hAnsi="Book Antiqua" w:cs="Book Antiqua"/>
          <w:sz w:val="24"/>
          <w:szCs w:val="24"/>
          <w:vertAlign w:val="superscript"/>
        </w:rPr>
        <w:footnoteReference w:id="6"/>
      </w:r>
      <w:r>
        <w:rPr>
          <w:rFonts w:ascii="Book Antiqua" w:eastAsia="Book Antiqua" w:hAnsi="Book Antiqua" w:cs="Book Antiqua"/>
          <w:sz w:val="24"/>
          <w:szCs w:val="24"/>
        </w:rPr>
        <w:t xml:space="preserve"> Naturally, there are differences in every region among the 34 provinces, including ethnic manifestations and traditional cultures.</w:t>
      </w:r>
      <w:r>
        <w:rPr>
          <w:rFonts w:ascii="Book Antiqua" w:eastAsia="Book Antiqua" w:hAnsi="Book Antiqua" w:cs="Book Antiqua"/>
          <w:sz w:val="24"/>
          <w:szCs w:val="24"/>
          <w:vertAlign w:val="superscript"/>
        </w:rPr>
        <w:footnoteReference w:id="7"/>
      </w:r>
      <w:r>
        <w:rPr>
          <w:rFonts w:ascii="Book Antiqua" w:eastAsia="Book Antiqua" w:hAnsi="Book Antiqua" w:cs="Book Antiqua"/>
          <w:sz w:val="24"/>
          <w:szCs w:val="24"/>
        </w:rPr>
        <w:t xml:space="preserve"> As a cultural or cultural community that can be observed (traced) through its cultural features, particularly through the physical dimensions or activities of its people, this includes Serang Regency in Banten Province.</w:t>
      </w:r>
      <w:r>
        <w:rPr>
          <w:rFonts w:ascii="Book Antiqua" w:eastAsia="Book Antiqua" w:hAnsi="Book Antiqua" w:cs="Book Antiqua"/>
          <w:sz w:val="24"/>
          <w:szCs w:val="24"/>
          <w:vertAlign w:val="superscript"/>
        </w:rPr>
        <w:footnoteReference w:id="8"/>
      </w:r>
      <w:r>
        <w:rPr>
          <w:rFonts w:ascii="Book Antiqua" w:eastAsia="Book Antiqua" w:hAnsi="Book Antiqua" w:cs="Book Antiqua"/>
          <w:sz w:val="24"/>
          <w:szCs w:val="24"/>
        </w:rPr>
        <w:t xml:space="preserve"> These factors mean that regional governments consider cultural variety to be more than just a local feature that constitutes collective intellectual property. Regional autonomy, on the other hand, gives areas the authority to choose their own policies. Every Indonesian region that enjoys regional autonomy must be able to realise all of its potential on a local level in order to thrive in the face of regional and international competition. This suggests, indirectly, that a region's economic development is more focused on methods </w:t>
      </w:r>
      <w:r>
        <w:rPr>
          <w:rFonts w:ascii="Book Antiqua" w:eastAsia="Book Antiqua" w:hAnsi="Book Antiqua" w:cs="Book Antiqua"/>
          <w:sz w:val="24"/>
          <w:szCs w:val="24"/>
        </w:rPr>
        <w:lastRenderedPageBreak/>
        <w:t>that maximise and optimise the use of local resources, which are endogenous factors in the area.</w:t>
      </w:r>
      <w:r>
        <w:rPr>
          <w:rFonts w:ascii="Book Antiqua" w:eastAsia="Book Antiqua" w:hAnsi="Book Antiqua" w:cs="Book Antiqua"/>
          <w:sz w:val="24"/>
          <w:szCs w:val="24"/>
          <w:vertAlign w:val="superscript"/>
        </w:rPr>
        <w:footnoteReference w:id="9"/>
      </w:r>
    </w:p>
    <w:p w:rsidR="00E00E53" w:rsidRDefault="00270AAC">
      <w:pPr>
        <w:spacing w:after="0" w:line="240" w:lineRule="auto"/>
        <w:ind w:firstLine="425"/>
        <w:jc w:val="both"/>
        <w:rPr>
          <w:rFonts w:ascii="Book Antiqua" w:eastAsia="Book Antiqua" w:hAnsi="Book Antiqua" w:cs="Book Antiqua"/>
          <w:sz w:val="24"/>
          <w:szCs w:val="24"/>
        </w:rPr>
      </w:pPr>
      <w:r>
        <w:rPr>
          <w:rFonts w:ascii="Book Antiqua" w:eastAsia="Book Antiqua" w:hAnsi="Book Antiqua" w:cs="Book Antiqua"/>
          <w:sz w:val="24"/>
          <w:szCs w:val="24"/>
        </w:rPr>
        <w:t>The local potential in Serang Regency can be broadly classified into two categories: product potential and cultural potential. This potential is local potential, which is local wisdom. Intangible cultural heritage is being registered in the Ministry of Education and Culture database as part of ongoing inventory efforts. On the other hand, a number of cultures have also been added to the database on a national level by the Ministry of Law and Human Rights through the Directorate of Intellectual Property of the Republic of Indonesia. For instance, 34 Traditional Cultural Expressions originating from Banten Province, including Rampak Bedug, are listed on the official website of the Directorate of Communal Intellectual Property. Patingtung Arts, Pandeglang, and Seba Baduy.</w:t>
      </w:r>
      <w:r>
        <w:rPr>
          <w:rFonts w:ascii="Book Antiqua" w:eastAsia="Book Antiqua" w:hAnsi="Book Antiqua" w:cs="Book Antiqua"/>
          <w:sz w:val="24"/>
          <w:szCs w:val="24"/>
          <w:vertAlign w:val="superscript"/>
        </w:rPr>
        <w:footnoteReference w:id="10"/>
      </w:r>
      <w:r>
        <w:rPr>
          <w:rFonts w:ascii="Book Antiqua" w:eastAsia="Book Antiqua" w:hAnsi="Book Antiqua" w:cs="Book Antiqua"/>
          <w:sz w:val="24"/>
          <w:szCs w:val="24"/>
        </w:rPr>
        <w:t xml:space="preserve"> Other codified data, gathered in their separate departments, has not been discovered, though, as it is still separatist in nature. Support for the manufacturing and marketing processes is another issue, ranging from the draughting stage to the application of statutory laws pertaining to ownership, such as those on traditional knowledge and traditional cultural expressions.</w:t>
      </w:r>
    </w:p>
    <w:p w:rsidR="00E00E53" w:rsidRDefault="00270AAC">
      <w:pPr>
        <w:spacing w:after="0" w:line="240" w:lineRule="auto"/>
        <w:ind w:firstLine="425"/>
        <w:jc w:val="both"/>
        <w:rPr>
          <w:rFonts w:ascii="Book Antiqua" w:eastAsia="Book Antiqua" w:hAnsi="Book Antiqua" w:cs="Book Antiqua"/>
          <w:sz w:val="24"/>
          <w:szCs w:val="24"/>
        </w:rPr>
      </w:pPr>
      <w:r>
        <w:rPr>
          <w:rFonts w:ascii="Book Antiqua" w:eastAsia="Book Antiqua" w:hAnsi="Book Antiqua" w:cs="Book Antiqua"/>
          <w:sz w:val="24"/>
          <w:szCs w:val="24"/>
        </w:rPr>
        <w:t>These data highlight the significance of regional government initiatives. Furthermore, local potential may subsequently turn into a Regional Featured Product</w:t>
      </w:r>
      <w:r w:rsidR="00F923A5">
        <w:rPr>
          <w:rFonts w:asciiTheme="minorHAnsi" w:eastAsia="Book Antiqua" w:hAnsiTheme="minorHAnsi" w:cs="Book Antiqua"/>
          <w:sz w:val="24"/>
          <w:szCs w:val="24"/>
        </w:rPr>
        <w:t xml:space="preserve"> </w:t>
      </w:r>
      <w:r>
        <w:rPr>
          <w:rFonts w:ascii="Book Antiqua" w:eastAsia="Book Antiqua" w:hAnsi="Book Antiqua" w:cs="Book Antiqua"/>
          <w:sz w:val="24"/>
          <w:szCs w:val="24"/>
        </w:rPr>
        <w:t xml:space="preserve">in accordance with difficulties pertaining to </w:t>
      </w:r>
      <w:r w:rsidRPr="00B80E65">
        <w:rPr>
          <w:rFonts w:ascii="Book Antiqua" w:eastAsia="Book Antiqua" w:hAnsi="Book Antiqua" w:cs="Book Antiqua"/>
          <w:sz w:val="24"/>
          <w:szCs w:val="24"/>
        </w:rPr>
        <w:t xml:space="preserve">regional competitiveness. According to Ahmad Jayadi, </w:t>
      </w:r>
      <w:r w:rsidR="00F923A5" w:rsidRPr="00B80E65">
        <w:rPr>
          <w:rFonts w:ascii="Book Antiqua" w:eastAsia="Book Antiqua" w:hAnsi="Book Antiqua" w:cs="Book Antiqua"/>
          <w:sz w:val="24"/>
          <w:szCs w:val="24"/>
        </w:rPr>
        <w:t>regional superior product</w:t>
      </w:r>
      <w:r w:rsidRPr="00B80E65">
        <w:rPr>
          <w:rFonts w:ascii="Book Antiqua" w:eastAsia="Book Antiqua" w:hAnsi="Book Antiqua" w:cs="Book Antiqua"/>
          <w:sz w:val="24"/>
          <w:szCs w:val="24"/>
        </w:rPr>
        <w:t xml:space="preserve"> is a regional flagship that is extremely competitive, has qualities and distinctiveness that other regions lack, and may give local populations job possibilities. Superior regional products are also focused on the local, national, and international markets and are ecologically beneficial.</w:t>
      </w:r>
      <w:r w:rsidRPr="00B80E65">
        <w:rPr>
          <w:rFonts w:ascii="Book Antiqua" w:eastAsia="Book Antiqua" w:hAnsi="Book Antiqua" w:cs="Book Antiqua"/>
          <w:sz w:val="24"/>
          <w:szCs w:val="24"/>
          <w:vertAlign w:val="superscript"/>
        </w:rPr>
        <w:footnoteReference w:id="11"/>
      </w:r>
      <w:r w:rsidRPr="00B80E65">
        <w:rPr>
          <w:rFonts w:ascii="Book Antiqua" w:eastAsia="Book Antiqua" w:hAnsi="Book Antiqua" w:cs="Book Antiqua"/>
          <w:sz w:val="24"/>
          <w:szCs w:val="24"/>
        </w:rPr>
        <w:t xml:space="preserve"> The Serang Regency Regional Government m</w:t>
      </w:r>
      <w:r>
        <w:rPr>
          <w:rFonts w:ascii="Book Antiqua" w:eastAsia="Book Antiqua" w:hAnsi="Book Antiqua" w:cs="Book Antiqua"/>
          <w:sz w:val="24"/>
          <w:szCs w:val="24"/>
        </w:rPr>
        <w:t>ay endeavour to draft a codification document in the form of a Master Design for Regional Superior Product Policy based on Local Wisdom in relation to the local potential in products and culture in the Serang Regency.</w:t>
      </w:r>
    </w:p>
    <w:p w:rsidR="00E00E53" w:rsidRDefault="00270AAC">
      <w:pPr>
        <w:spacing w:after="0" w:line="240" w:lineRule="auto"/>
        <w:ind w:firstLine="425"/>
        <w:jc w:val="both"/>
        <w:rPr>
          <w:rFonts w:ascii="Book Antiqua" w:eastAsia="Book Antiqua" w:hAnsi="Book Antiqua" w:cs="Book Antiqua"/>
          <w:sz w:val="24"/>
          <w:szCs w:val="24"/>
        </w:rPr>
      </w:pPr>
      <w:r>
        <w:rPr>
          <w:rFonts w:ascii="Book Antiqua" w:eastAsia="Book Antiqua" w:hAnsi="Book Antiqua" w:cs="Book Antiqua"/>
          <w:sz w:val="24"/>
          <w:szCs w:val="24"/>
        </w:rPr>
        <w:t xml:space="preserve">On the basis of the background information provided above, the following issues can be identified: 1) How can the local and regional potential in Serang Regency be distributed based on collective intellectual property in both products and culture? 2) Regarding intellectual property in Serang Regency, what growth strategy may local and regional potential employ? </w:t>
      </w:r>
      <w:r>
        <w:rPr>
          <w:rFonts w:ascii="Book Antiqua" w:eastAsia="Book Antiqua" w:hAnsi="Book Antiqua" w:cs="Book Antiqua"/>
          <w:sz w:val="24"/>
          <w:szCs w:val="24"/>
        </w:rPr>
        <w:br/>
        <w:t xml:space="preserve">The goal of this study is to obtain a thorough understanding of the regional products that are unique to Serang Regency. The following are the goals of this study: 1) To determine how local regional potential is distributed in Serang </w:t>
      </w:r>
      <w:r>
        <w:rPr>
          <w:rFonts w:ascii="Book Antiqua" w:eastAsia="Book Antiqua" w:hAnsi="Book Antiqua" w:cs="Book Antiqua"/>
          <w:sz w:val="24"/>
          <w:szCs w:val="24"/>
        </w:rPr>
        <w:lastRenderedPageBreak/>
        <w:t>Regency based on collective intellectual property in both products and culture; 2) To characterise and establish a development model that local regional potential can employ in the context of intellectual property.</w:t>
      </w:r>
    </w:p>
    <w:p w:rsidR="00E00E53" w:rsidRDefault="00270AAC">
      <w:pPr>
        <w:spacing w:after="0" w:line="240" w:lineRule="auto"/>
        <w:ind w:firstLine="425"/>
        <w:jc w:val="both"/>
        <w:rPr>
          <w:rFonts w:ascii="Book Antiqua" w:eastAsia="Book Antiqua" w:hAnsi="Book Antiqua" w:cs="Book Antiqua"/>
          <w:sz w:val="24"/>
          <w:szCs w:val="24"/>
        </w:rPr>
      </w:pPr>
      <w:bookmarkStart w:id="3" w:name="_heading=h.1fob9te" w:colFirst="0" w:colLast="0"/>
      <w:bookmarkEnd w:id="3"/>
      <w:r>
        <w:rPr>
          <w:rFonts w:ascii="Book Antiqua" w:eastAsia="Book Antiqua" w:hAnsi="Book Antiqua" w:cs="Book Antiqua"/>
          <w:sz w:val="24"/>
          <w:szCs w:val="24"/>
        </w:rPr>
        <w:t>The protection of communal intellectual property, especially based on local wisdom is seen as materially and formally very important, considering that intellectual property containing local wisdom that is realized in communal intellectual property, namely in traditional knowledge, traditional cultural expressions, indications of origin, geographical indications, can be managed properly and receive maximum legal protection. The theoretical urgency of this research is to produce a codified policy of local wisdom-based Communal Intellectual Prope</w:t>
      </w:r>
      <w:r w:rsidR="00C13F69">
        <w:rPr>
          <w:rFonts w:asciiTheme="minorHAnsi" w:eastAsia="Book Antiqua" w:hAnsiTheme="minorHAnsi" w:cs="Book Antiqua"/>
          <w:sz w:val="24"/>
          <w:szCs w:val="24"/>
        </w:rPr>
        <w:t>rty</w:t>
      </w:r>
      <w:r>
        <w:rPr>
          <w:rFonts w:ascii="Book Antiqua" w:eastAsia="Book Antiqua" w:hAnsi="Book Antiqua" w:cs="Book Antiqua"/>
          <w:sz w:val="24"/>
          <w:szCs w:val="24"/>
        </w:rPr>
        <w:t xml:space="preserve"> in the community. In general, the basic principles and concepts of Communal Intellectual Property</w:t>
      </w:r>
      <w:r w:rsidR="0000325D">
        <w:rPr>
          <w:rFonts w:asciiTheme="minorHAnsi" w:eastAsia="Book Antiqua" w:hAnsiTheme="minorHAnsi" w:cs="Book Antiqua"/>
          <w:sz w:val="24"/>
          <w:szCs w:val="24"/>
        </w:rPr>
        <w:t xml:space="preserve"> </w:t>
      </w:r>
      <w:r>
        <w:rPr>
          <w:rFonts w:ascii="Book Antiqua" w:eastAsia="Book Antiqua" w:hAnsi="Book Antiqua" w:cs="Book Antiqua"/>
          <w:sz w:val="24"/>
          <w:szCs w:val="24"/>
        </w:rPr>
        <w:t xml:space="preserve">have been covered in the Intellectual Property Law, although some are not </w:t>
      </w:r>
      <w:r>
        <w:rPr>
          <w:rFonts w:ascii="Book Antiqua" w:eastAsia="Book Antiqua" w:hAnsi="Book Antiqua" w:cs="Book Antiqua"/>
          <w:i/>
          <w:sz w:val="24"/>
          <w:szCs w:val="24"/>
        </w:rPr>
        <w:t>sui generis</w:t>
      </w:r>
      <w:r>
        <w:rPr>
          <w:rFonts w:ascii="Book Antiqua" w:eastAsia="Book Antiqua" w:hAnsi="Book Antiqua" w:cs="Book Antiqua"/>
          <w:sz w:val="24"/>
          <w:szCs w:val="24"/>
        </w:rPr>
        <w:t xml:space="preserve"> regulated, such as Traditional Knowledge and Traditional Cultural Expressions. The aim of this article is to produce new methods, or policy principles that are used for scientific development in the field of Communal Intellectual Property. This internal basic research can be oriented towards the explanation of Intellectual Property in order to anticipate a rule or model in order to support applied research in the form of the implementation of the Master Design of Regional Featured Product Policy based on Local Wisdom in Banten Province and an increase in the quantity and quality of Communal Intellectual Property</w:t>
      </w:r>
      <w:r w:rsidR="0000325D">
        <w:rPr>
          <w:rFonts w:asciiTheme="minorHAnsi" w:eastAsia="Book Antiqua" w:hAnsiTheme="minorHAnsi" w:cs="Book Antiqua"/>
          <w:sz w:val="24"/>
          <w:szCs w:val="24"/>
        </w:rPr>
        <w:t>.</w:t>
      </w:r>
    </w:p>
    <w:p w:rsidR="00E00E53" w:rsidRDefault="00E00E53">
      <w:pPr>
        <w:spacing w:after="0"/>
        <w:ind w:firstLine="425"/>
        <w:jc w:val="both"/>
        <w:rPr>
          <w:rFonts w:ascii="Book Antiqua" w:eastAsia="Book Antiqua" w:hAnsi="Book Antiqua" w:cs="Book Antiqua"/>
          <w:sz w:val="24"/>
          <w:szCs w:val="24"/>
        </w:rPr>
      </w:pPr>
    </w:p>
    <w:p w:rsidR="00E00E53" w:rsidRDefault="00270AAC">
      <w:pPr>
        <w:pStyle w:val="Heading1"/>
        <w:numPr>
          <w:ilvl w:val="0"/>
          <w:numId w:val="1"/>
        </w:numPr>
        <w:spacing w:before="0" w:after="0" w:line="240" w:lineRule="auto"/>
        <w:ind w:left="426" w:hanging="426"/>
        <w:jc w:val="both"/>
        <w:rPr>
          <w:rFonts w:ascii="Book Antiqua" w:eastAsia="Book Antiqua" w:hAnsi="Book Antiqua" w:cs="Book Antiqua"/>
          <w:b/>
          <w:color w:val="C00000"/>
          <w:sz w:val="24"/>
          <w:szCs w:val="24"/>
        </w:rPr>
      </w:pPr>
      <w:r>
        <w:rPr>
          <w:rFonts w:ascii="Book Antiqua" w:eastAsia="Book Antiqua" w:hAnsi="Book Antiqua" w:cs="Book Antiqua"/>
          <w:b/>
          <w:color w:val="C00000"/>
          <w:sz w:val="24"/>
          <w:szCs w:val="24"/>
        </w:rPr>
        <w:t>Method</w:t>
      </w:r>
    </w:p>
    <w:p w:rsidR="00E00E53" w:rsidRDefault="00270AAC" w:rsidP="00185F93">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This research uses a qualitative methodology based on a socio-legal research framework. The application of normative legal provisions, or laws, to each unique legal event that takes place in a society is the focus of this research.</w:t>
      </w:r>
      <w:r>
        <w:rPr>
          <w:rFonts w:ascii="Book Antiqua" w:eastAsia="Book Antiqua" w:hAnsi="Book Antiqua" w:cs="Book Antiqua"/>
          <w:sz w:val="24"/>
          <w:szCs w:val="24"/>
          <w:vertAlign w:val="superscript"/>
        </w:rPr>
        <w:footnoteReference w:id="12"/>
      </w:r>
      <w:r>
        <w:rPr>
          <w:rFonts w:ascii="Book Antiqua" w:eastAsia="Book Antiqua" w:hAnsi="Book Antiqua" w:cs="Book Antiqua"/>
          <w:sz w:val="24"/>
          <w:szCs w:val="24"/>
        </w:rPr>
        <w:t xml:space="preserve"> Primary as well as secondary data are used. With purposive sampling, which involves selecting the sample with specific criteria, primary data was collected through field research in the form of interviews.</w:t>
      </w:r>
      <w:r>
        <w:rPr>
          <w:rFonts w:ascii="Book Antiqua" w:eastAsia="Book Antiqua" w:hAnsi="Book Antiqua" w:cs="Book Antiqua"/>
          <w:sz w:val="24"/>
          <w:szCs w:val="24"/>
          <w:vertAlign w:val="superscript"/>
        </w:rPr>
        <w:footnoteReference w:id="13"/>
      </w:r>
      <w:r>
        <w:rPr>
          <w:rFonts w:ascii="Book Antiqua" w:eastAsia="Book Antiqua" w:hAnsi="Book Antiqua" w:cs="Book Antiqua"/>
          <w:sz w:val="24"/>
          <w:szCs w:val="24"/>
        </w:rPr>
        <w:t xml:space="preserve"> In order to prevent the research's findings from being applied to the broader public because the study was not conducted at random but rather according to predetermined goals that the researcher specified.</w:t>
      </w:r>
      <w:r>
        <w:rPr>
          <w:rFonts w:ascii="Book Antiqua" w:eastAsia="Book Antiqua" w:hAnsi="Book Antiqua" w:cs="Book Antiqua"/>
          <w:sz w:val="24"/>
          <w:szCs w:val="24"/>
          <w:vertAlign w:val="superscript"/>
        </w:rPr>
        <w:footnoteReference w:id="14"/>
      </w:r>
      <w:r>
        <w:rPr>
          <w:rFonts w:ascii="Book Antiqua" w:eastAsia="Book Antiqua" w:hAnsi="Book Antiqua" w:cs="Book Antiqua"/>
          <w:sz w:val="24"/>
          <w:szCs w:val="24"/>
        </w:rPr>
        <w:t xml:space="preserve"> Serang Regency is the main site for data collecting, with three places designated for the existence and development of products and culture based on communal intellectual property. The laws pertaining to Communal Intellectual Property </w:t>
      </w:r>
      <w:r w:rsidR="000325B8">
        <w:rPr>
          <w:rFonts w:asciiTheme="minorHAnsi" w:eastAsia="Book Antiqua" w:hAnsiTheme="minorHAnsi" w:cs="Book Antiqua"/>
          <w:sz w:val="24"/>
          <w:szCs w:val="24"/>
        </w:rPr>
        <w:t>t</w:t>
      </w:r>
      <w:r>
        <w:rPr>
          <w:rFonts w:ascii="Book Antiqua" w:eastAsia="Book Antiqua" w:hAnsi="Book Antiqua" w:cs="Book Antiqua"/>
          <w:sz w:val="24"/>
          <w:szCs w:val="24"/>
        </w:rPr>
        <w:t xml:space="preserve">hat are pertinent to this research include </w:t>
      </w:r>
      <w:r w:rsidR="00B80E65" w:rsidRPr="00B80E65">
        <w:rPr>
          <w:rFonts w:ascii="Book Antiqua" w:eastAsia="Book Antiqua" w:hAnsi="Book Antiqua" w:cs="Book Antiqua"/>
          <w:sz w:val="24"/>
          <w:szCs w:val="24"/>
        </w:rPr>
        <w:t>Law Number 28 of 2014 on Copyright</w:t>
      </w:r>
      <w:r>
        <w:rPr>
          <w:rFonts w:ascii="Book Antiqua" w:eastAsia="Book Antiqua" w:hAnsi="Book Antiqua" w:cs="Book Antiqua"/>
          <w:sz w:val="24"/>
          <w:szCs w:val="24"/>
        </w:rPr>
        <w:t xml:space="preserve">, Regulation Number 9 of 2014 of the Minister of Home Affairs of the Republic of Indonesia concerning Guidelines for Development of Regional Featured Products, and </w:t>
      </w:r>
      <w:r w:rsidR="00CF08CB" w:rsidRPr="00CF08CB">
        <w:rPr>
          <w:rFonts w:ascii="Book Antiqua" w:eastAsia="Book Antiqua" w:hAnsi="Book Antiqua" w:cs="Book Antiqua"/>
          <w:sz w:val="24"/>
          <w:szCs w:val="24"/>
        </w:rPr>
        <w:t>Law Number 5 of 2017 on Advancement of Culture</w:t>
      </w:r>
      <w:r w:rsidR="00185F93">
        <w:rPr>
          <w:rFonts w:ascii="Book Antiqua" w:eastAsia="Book Antiqua" w:hAnsi="Book Antiqua" w:cs="Book Antiqua"/>
          <w:sz w:val="24"/>
          <w:szCs w:val="24"/>
        </w:rPr>
        <w:t>.</w:t>
      </w:r>
    </w:p>
    <w:p w:rsidR="00E00E53" w:rsidRDefault="00270AAC">
      <w:pPr>
        <w:pStyle w:val="Heading1"/>
        <w:numPr>
          <w:ilvl w:val="0"/>
          <w:numId w:val="1"/>
        </w:numPr>
        <w:spacing w:before="0" w:after="0" w:line="240" w:lineRule="auto"/>
        <w:ind w:left="426" w:hanging="426"/>
        <w:jc w:val="both"/>
        <w:rPr>
          <w:rFonts w:ascii="Book Antiqua" w:eastAsia="Book Antiqua" w:hAnsi="Book Antiqua" w:cs="Book Antiqua"/>
          <w:b/>
          <w:color w:val="C00000"/>
          <w:sz w:val="24"/>
          <w:szCs w:val="24"/>
        </w:rPr>
      </w:pPr>
      <w:r>
        <w:rPr>
          <w:rFonts w:ascii="Book Antiqua" w:eastAsia="Book Antiqua" w:hAnsi="Book Antiqua" w:cs="Book Antiqua"/>
          <w:b/>
          <w:color w:val="C00000"/>
          <w:sz w:val="24"/>
          <w:szCs w:val="24"/>
        </w:rPr>
        <w:lastRenderedPageBreak/>
        <w:t xml:space="preserve">Distribution of </w:t>
      </w:r>
      <w:proofErr w:type="spellStart"/>
      <w:r>
        <w:rPr>
          <w:rFonts w:ascii="Book Antiqua" w:eastAsia="Book Antiqua" w:hAnsi="Book Antiqua" w:cs="Book Antiqua"/>
          <w:b/>
          <w:color w:val="C00000"/>
          <w:sz w:val="24"/>
          <w:szCs w:val="24"/>
        </w:rPr>
        <w:t>Serang</w:t>
      </w:r>
      <w:proofErr w:type="spellEnd"/>
      <w:r>
        <w:rPr>
          <w:rFonts w:ascii="Book Antiqua" w:eastAsia="Book Antiqua" w:hAnsi="Book Antiqua" w:cs="Book Antiqua"/>
          <w:b/>
          <w:color w:val="C00000"/>
          <w:sz w:val="24"/>
          <w:szCs w:val="24"/>
        </w:rPr>
        <w:t xml:space="preserve"> Regency’s Regional Local Potential Using Collective Intellectual Property in Products and Culture</w:t>
      </w:r>
    </w:p>
    <w:p w:rsidR="00E00E53"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Prior to identifying development models for products and culture, the local potential of the region should be assessed in terms of its distribution of Communal Intellectual Property, which underpins both products and culture. Local and regional potential distribution in the Serang Regency area. Banten Province's administrative region includes the Serang Regency. According to data from the Central Statistics Agency, 326 villages were part of the administrative territory of Serang Regency in 2021.</w:t>
      </w:r>
      <w:r>
        <w:rPr>
          <w:rFonts w:ascii="Book Antiqua" w:eastAsia="Book Antiqua" w:hAnsi="Book Antiqua" w:cs="Book Antiqua"/>
          <w:sz w:val="24"/>
          <w:szCs w:val="24"/>
          <w:vertAlign w:val="superscript"/>
        </w:rPr>
        <w:t xml:space="preserve"> </w:t>
      </w:r>
      <w:r>
        <w:rPr>
          <w:rFonts w:ascii="Book Antiqua" w:eastAsia="Book Antiqua" w:hAnsi="Book Antiqua" w:cs="Book Antiqua"/>
          <w:sz w:val="24"/>
          <w:szCs w:val="24"/>
          <w:vertAlign w:val="superscript"/>
        </w:rPr>
        <w:footnoteReference w:id="15"/>
      </w:r>
      <w:r>
        <w:rPr>
          <w:rFonts w:ascii="Book Antiqua" w:eastAsia="Book Antiqua" w:hAnsi="Book Antiqua" w:cs="Book Antiqua"/>
          <w:sz w:val="24"/>
          <w:szCs w:val="24"/>
        </w:rPr>
        <w:t xml:space="preserve">  In order to determine how local regional potential is distributed, both in terms of products and culture, a literature review is conducted first. This involves reading and evaluating the Regional Cultural Principles for Banten Province 2024, which provides an overview of how local regional potential is distributed overall both products and culture, in Serang Regency, Province Banten.</w:t>
      </w:r>
      <w:r>
        <w:rPr>
          <w:rFonts w:ascii="Book Antiqua" w:eastAsia="Book Antiqua" w:hAnsi="Book Antiqua" w:cs="Book Antiqua"/>
          <w:sz w:val="24"/>
          <w:szCs w:val="24"/>
          <w:vertAlign w:val="superscript"/>
        </w:rPr>
        <w:footnoteReference w:id="16"/>
      </w:r>
    </w:p>
    <w:p w:rsidR="00E00E53"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According to secondary research findings, there are five distinct goods and cultural practices that are founded on communal intellectual property</w:t>
      </w:r>
      <w:r w:rsidR="000325B8">
        <w:rPr>
          <w:rFonts w:asciiTheme="minorHAnsi" w:eastAsia="Book Antiqua" w:hAnsiTheme="minorHAnsi" w:cs="Book Antiqua"/>
          <w:sz w:val="24"/>
          <w:szCs w:val="24"/>
        </w:rPr>
        <w:t>.</w:t>
      </w:r>
      <w:r>
        <w:rPr>
          <w:rFonts w:ascii="Book Antiqua" w:eastAsia="Book Antiqua" w:hAnsi="Book Antiqua" w:cs="Book Antiqua"/>
          <w:sz w:val="24"/>
          <w:szCs w:val="24"/>
        </w:rPr>
        <w:t xml:space="preserve"> These include customs, rituals, traditional knowledge, traditional technology, and art. The table below provides more specific information on the distribution of regional potential and local product:</w:t>
      </w:r>
    </w:p>
    <w:p w:rsidR="00E00E53" w:rsidRDefault="00E00E53">
      <w:pPr>
        <w:spacing w:after="0" w:line="240" w:lineRule="auto"/>
        <w:ind w:firstLine="426"/>
        <w:jc w:val="both"/>
        <w:rPr>
          <w:rFonts w:ascii="Book Antiqua" w:eastAsia="Book Antiqua" w:hAnsi="Book Antiqua" w:cs="Book Antiqua"/>
          <w:sz w:val="14"/>
          <w:szCs w:val="14"/>
        </w:rPr>
      </w:pPr>
    </w:p>
    <w:p w:rsidR="00E00E53" w:rsidRDefault="00270AAC">
      <w:pPr>
        <w:spacing w:after="0" w:line="240" w:lineRule="auto"/>
        <w:jc w:val="center"/>
        <w:rPr>
          <w:rFonts w:ascii="Book Antiqua" w:eastAsia="Book Antiqua" w:hAnsi="Book Antiqua" w:cs="Book Antiqua"/>
          <w:sz w:val="24"/>
          <w:szCs w:val="24"/>
        </w:rPr>
      </w:pPr>
      <w:r>
        <w:rPr>
          <w:rFonts w:ascii="Book Antiqua" w:eastAsia="Book Antiqua" w:hAnsi="Book Antiqua" w:cs="Book Antiqua"/>
          <w:b/>
          <w:sz w:val="24"/>
          <w:szCs w:val="24"/>
        </w:rPr>
        <w:t xml:space="preserve">Table 1. </w:t>
      </w:r>
      <w:r>
        <w:rPr>
          <w:rFonts w:ascii="Book Antiqua" w:eastAsia="Book Antiqua" w:hAnsi="Book Antiqua" w:cs="Book Antiqua"/>
          <w:sz w:val="24"/>
          <w:szCs w:val="24"/>
        </w:rPr>
        <w:t>Serang Regency's List of Local Potential Areas Based on Intellectual Property Communal</w:t>
      </w:r>
    </w:p>
    <w:tbl>
      <w:tblPr>
        <w:tblStyle w:val="a6"/>
        <w:tblW w:w="85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1860"/>
        <w:gridCol w:w="1545"/>
        <w:gridCol w:w="1710"/>
        <w:gridCol w:w="2700"/>
      </w:tblGrid>
      <w:tr w:rsidR="00E00E53">
        <w:trPr>
          <w:trHeight w:val="399"/>
        </w:trPr>
        <w:tc>
          <w:tcPr>
            <w:tcW w:w="690" w:type="dxa"/>
            <w:tcBorders>
              <w:top w:val="single" w:sz="4" w:space="0" w:color="000000"/>
              <w:left w:val="nil"/>
              <w:bottom w:val="single" w:sz="4" w:space="0" w:color="000000"/>
              <w:right w:val="nil"/>
            </w:tcBorders>
            <w:vAlign w:val="center"/>
          </w:tcPr>
          <w:p w:rsidR="00E00E53" w:rsidRDefault="00270AAC">
            <w:pPr>
              <w:widowControl w:val="0"/>
              <w:spacing w:after="0" w:line="240" w:lineRule="auto"/>
              <w:ind w:left="142" w:right="-655" w:hanging="655"/>
              <w:jc w:val="center"/>
              <w:rPr>
                <w:rFonts w:ascii="Book Antiqua" w:eastAsia="Book Antiqua" w:hAnsi="Book Antiqua" w:cs="Book Antiqua"/>
                <w:b/>
                <w:sz w:val="24"/>
                <w:szCs w:val="24"/>
              </w:rPr>
            </w:pPr>
            <w:r>
              <w:rPr>
                <w:rFonts w:ascii="Book Antiqua" w:eastAsia="Book Antiqua" w:hAnsi="Book Antiqua" w:cs="Book Antiqua"/>
                <w:b/>
                <w:sz w:val="24"/>
                <w:szCs w:val="24"/>
              </w:rPr>
              <w:t>No</w:t>
            </w:r>
          </w:p>
        </w:tc>
        <w:tc>
          <w:tcPr>
            <w:tcW w:w="1860" w:type="dxa"/>
            <w:tcBorders>
              <w:top w:val="single" w:sz="4" w:space="0" w:color="000000"/>
              <w:left w:val="nil"/>
              <w:bottom w:val="single" w:sz="4" w:space="0" w:color="000000"/>
              <w:right w:val="nil"/>
            </w:tcBorders>
            <w:vAlign w:val="center"/>
          </w:tcPr>
          <w:p w:rsidR="00E00E53" w:rsidRDefault="00270AAC">
            <w:pPr>
              <w:widowControl w:val="0"/>
              <w:spacing w:after="0" w:line="240" w:lineRule="auto"/>
              <w:ind w:left="142"/>
              <w:jc w:val="center"/>
              <w:rPr>
                <w:rFonts w:ascii="Book Antiqua" w:eastAsia="Book Antiqua" w:hAnsi="Book Antiqua" w:cs="Book Antiqua"/>
                <w:sz w:val="24"/>
                <w:szCs w:val="24"/>
              </w:rPr>
            </w:pPr>
            <w:r>
              <w:rPr>
                <w:rFonts w:ascii="Book Antiqua" w:eastAsia="Book Antiqua" w:hAnsi="Book Antiqua" w:cs="Book Antiqua"/>
                <w:b/>
                <w:sz w:val="24"/>
                <w:szCs w:val="24"/>
              </w:rPr>
              <w:t xml:space="preserve">Culture Product </w:t>
            </w:r>
          </w:p>
        </w:tc>
        <w:tc>
          <w:tcPr>
            <w:tcW w:w="1545" w:type="dxa"/>
            <w:tcBorders>
              <w:top w:val="single" w:sz="4" w:space="0" w:color="000000"/>
              <w:left w:val="nil"/>
              <w:bottom w:val="single" w:sz="4" w:space="0" w:color="000000"/>
              <w:right w:val="nil"/>
            </w:tcBorders>
            <w:vAlign w:val="center"/>
          </w:tcPr>
          <w:p w:rsidR="00E00E53" w:rsidRDefault="00270AAC">
            <w:pPr>
              <w:widowControl w:val="0"/>
              <w:spacing w:after="0" w:line="240" w:lineRule="auto"/>
              <w:ind w:left="-56" w:firstLine="142"/>
              <w:jc w:val="center"/>
              <w:rPr>
                <w:rFonts w:ascii="Book Antiqua" w:eastAsia="Book Antiqua" w:hAnsi="Book Antiqua" w:cs="Book Antiqua"/>
                <w:sz w:val="24"/>
                <w:szCs w:val="24"/>
              </w:rPr>
            </w:pPr>
            <w:r>
              <w:rPr>
                <w:rFonts w:ascii="Book Antiqua" w:eastAsia="Book Antiqua" w:hAnsi="Book Antiqua" w:cs="Book Antiqua"/>
                <w:b/>
                <w:sz w:val="24"/>
                <w:szCs w:val="24"/>
              </w:rPr>
              <w:t>Product/Culture</w:t>
            </w:r>
          </w:p>
        </w:tc>
        <w:tc>
          <w:tcPr>
            <w:tcW w:w="1710" w:type="dxa"/>
            <w:tcBorders>
              <w:top w:val="single" w:sz="4" w:space="0" w:color="000000"/>
              <w:left w:val="nil"/>
              <w:bottom w:val="single" w:sz="4" w:space="0" w:color="000000"/>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b/>
                <w:sz w:val="24"/>
                <w:szCs w:val="24"/>
              </w:rPr>
              <w:t>Potential Type</w:t>
            </w:r>
          </w:p>
        </w:tc>
        <w:tc>
          <w:tcPr>
            <w:tcW w:w="2700" w:type="dxa"/>
            <w:tcBorders>
              <w:top w:val="single" w:sz="4" w:space="0" w:color="000000"/>
              <w:left w:val="nil"/>
              <w:bottom w:val="single" w:sz="4" w:space="0" w:color="000000"/>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b/>
                <w:sz w:val="24"/>
                <w:szCs w:val="24"/>
              </w:rPr>
              <w:t>Place</w:t>
            </w:r>
          </w:p>
        </w:tc>
      </w:tr>
      <w:tr w:rsidR="00E00E53">
        <w:trPr>
          <w:trHeight w:val="443"/>
        </w:trPr>
        <w:tc>
          <w:tcPr>
            <w:tcW w:w="690" w:type="dxa"/>
            <w:tcBorders>
              <w:top w:val="single" w:sz="4" w:space="0" w:color="000000"/>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1</w:t>
            </w:r>
          </w:p>
        </w:tc>
        <w:tc>
          <w:tcPr>
            <w:tcW w:w="1860" w:type="dxa"/>
            <w:tcBorders>
              <w:top w:val="single" w:sz="4" w:space="0" w:color="000000"/>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 xml:space="preserve">Prahparahan </w:t>
            </w:r>
          </w:p>
        </w:tc>
        <w:tc>
          <w:tcPr>
            <w:tcW w:w="1545" w:type="dxa"/>
            <w:tcBorders>
              <w:top w:val="single" w:sz="4" w:space="0" w:color="000000"/>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Culture</w:t>
            </w:r>
          </w:p>
        </w:tc>
        <w:tc>
          <w:tcPr>
            <w:tcW w:w="1710" w:type="dxa"/>
            <w:tcBorders>
              <w:top w:val="single" w:sz="4" w:space="0" w:color="000000"/>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Customs</w:t>
            </w:r>
          </w:p>
        </w:tc>
        <w:tc>
          <w:tcPr>
            <w:tcW w:w="2700" w:type="dxa"/>
            <w:tcBorders>
              <w:top w:val="single" w:sz="4" w:space="0" w:color="000000"/>
              <w:left w:val="nil"/>
              <w:bottom w:val="nil"/>
              <w:right w:val="nil"/>
            </w:tcBorders>
            <w:vAlign w:val="center"/>
          </w:tcPr>
          <w:p w:rsidR="00E00E53" w:rsidRDefault="00270AAC">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t>Kampung Ciwaru Rt 006/002, Desa Kadubeureum, Kecamatan Pabuaran</w:t>
            </w:r>
          </w:p>
        </w:tc>
      </w:tr>
      <w:tr w:rsidR="00E00E53">
        <w:trPr>
          <w:trHeight w:val="399"/>
        </w:trPr>
        <w:tc>
          <w:tcPr>
            <w:tcW w:w="69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2</w:t>
            </w:r>
          </w:p>
        </w:tc>
        <w:tc>
          <w:tcPr>
            <w:tcW w:w="186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Safaran/Rabu Kasan</w:t>
            </w:r>
          </w:p>
        </w:tc>
        <w:tc>
          <w:tcPr>
            <w:tcW w:w="1545"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Culture</w:t>
            </w:r>
          </w:p>
        </w:tc>
        <w:tc>
          <w:tcPr>
            <w:tcW w:w="171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Rite</w:t>
            </w:r>
          </w:p>
        </w:tc>
        <w:tc>
          <w:tcPr>
            <w:tcW w:w="270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Kabupaten Serang</w:t>
            </w:r>
          </w:p>
        </w:tc>
      </w:tr>
      <w:tr w:rsidR="00E00E53">
        <w:trPr>
          <w:trHeight w:val="399"/>
        </w:trPr>
        <w:tc>
          <w:tcPr>
            <w:tcW w:w="69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3</w:t>
            </w:r>
          </w:p>
        </w:tc>
        <w:tc>
          <w:tcPr>
            <w:tcW w:w="186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Jojorong</w:t>
            </w:r>
          </w:p>
        </w:tc>
        <w:tc>
          <w:tcPr>
            <w:tcW w:w="1545"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Product</w:t>
            </w:r>
          </w:p>
        </w:tc>
        <w:tc>
          <w:tcPr>
            <w:tcW w:w="171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Traditional Knowledge</w:t>
            </w:r>
          </w:p>
        </w:tc>
        <w:tc>
          <w:tcPr>
            <w:tcW w:w="270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Kabupaten Serang</w:t>
            </w:r>
          </w:p>
        </w:tc>
      </w:tr>
      <w:tr w:rsidR="00E00E53">
        <w:trPr>
          <w:trHeight w:val="399"/>
        </w:trPr>
        <w:tc>
          <w:tcPr>
            <w:tcW w:w="69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4</w:t>
            </w:r>
          </w:p>
        </w:tc>
        <w:tc>
          <w:tcPr>
            <w:tcW w:w="186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Gipang</w:t>
            </w:r>
          </w:p>
        </w:tc>
        <w:tc>
          <w:tcPr>
            <w:tcW w:w="1545"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Product</w:t>
            </w:r>
          </w:p>
        </w:tc>
        <w:tc>
          <w:tcPr>
            <w:tcW w:w="171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Traditional Knowledge</w:t>
            </w:r>
          </w:p>
        </w:tc>
        <w:tc>
          <w:tcPr>
            <w:tcW w:w="270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Kabupaten Serang</w:t>
            </w:r>
          </w:p>
        </w:tc>
      </w:tr>
      <w:tr w:rsidR="00E00E53">
        <w:trPr>
          <w:trHeight w:val="399"/>
        </w:trPr>
        <w:tc>
          <w:tcPr>
            <w:tcW w:w="69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5</w:t>
            </w:r>
          </w:p>
        </w:tc>
        <w:tc>
          <w:tcPr>
            <w:tcW w:w="186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Pembuatan Gerabah</w:t>
            </w:r>
          </w:p>
        </w:tc>
        <w:tc>
          <w:tcPr>
            <w:tcW w:w="1545"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Product</w:t>
            </w:r>
          </w:p>
        </w:tc>
        <w:tc>
          <w:tcPr>
            <w:tcW w:w="171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Traditional Knowledge</w:t>
            </w:r>
          </w:p>
        </w:tc>
        <w:tc>
          <w:tcPr>
            <w:tcW w:w="270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Kabupaten Serang</w:t>
            </w:r>
          </w:p>
        </w:tc>
      </w:tr>
      <w:tr w:rsidR="00E00E53">
        <w:trPr>
          <w:trHeight w:val="399"/>
        </w:trPr>
        <w:tc>
          <w:tcPr>
            <w:tcW w:w="69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6</w:t>
            </w:r>
          </w:p>
        </w:tc>
        <w:tc>
          <w:tcPr>
            <w:tcW w:w="186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Patingtung</w:t>
            </w:r>
          </w:p>
        </w:tc>
        <w:tc>
          <w:tcPr>
            <w:tcW w:w="1545"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Culture</w:t>
            </w:r>
          </w:p>
        </w:tc>
        <w:tc>
          <w:tcPr>
            <w:tcW w:w="171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Art</w:t>
            </w:r>
          </w:p>
        </w:tc>
        <w:tc>
          <w:tcPr>
            <w:tcW w:w="270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Kecamatan Bojonegara</w:t>
            </w:r>
          </w:p>
        </w:tc>
      </w:tr>
      <w:tr w:rsidR="00E00E53">
        <w:trPr>
          <w:trHeight w:val="399"/>
        </w:trPr>
        <w:tc>
          <w:tcPr>
            <w:tcW w:w="69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 xml:space="preserve">7 </w:t>
            </w:r>
          </w:p>
        </w:tc>
        <w:tc>
          <w:tcPr>
            <w:tcW w:w="186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Rudat</w:t>
            </w:r>
          </w:p>
        </w:tc>
        <w:tc>
          <w:tcPr>
            <w:tcW w:w="1545"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Culture</w:t>
            </w:r>
          </w:p>
        </w:tc>
        <w:tc>
          <w:tcPr>
            <w:tcW w:w="171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Art</w:t>
            </w:r>
          </w:p>
        </w:tc>
        <w:tc>
          <w:tcPr>
            <w:tcW w:w="270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Desa Padarincang, Kecamatan Padarincang</w:t>
            </w:r>
          </w:p>
        </w:tc>
      </w:tr>
      <w:tr w:rsidR="00E00E53">
        <w:trPr>
          <w:trHeight w:val="399"/>
        </w:trPr>
        <w:tc>
          <w:tcPr>
            <w:tcW w:w="69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8 </w:t>
            </w:r>
          </w:p>
        </w:tc>
        <w:tc>
          <w:tcPr>
            <w:tcW w:w="186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Silat Kaserangan</w:t>
            </w:r>
          </w:p>
        </w:tc>
        <w:tc>
          <w:tcPr>
            <w:tcW w:w="1545"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Culture</w:t>
            </w:r>
          </w:p>
        </w:tc>
        <w:tc>
          <w:tcPr>
            <w:tcW w:w="171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Art</w:t>
            </w:r>
          </w:p>
        </w:tc>
        <w:tc>
          <w:tcPr>
            <w:tcW w:w="270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Kabupaten Serang</w:t>
            </w:r>
          </w:p>
        </w:tc>
      </w:tr>
      <w:tr w:rsidR="00E00E53">
        <w:trPr>
          <w:trHeight w:val="399"/>
        </w:trPr>
        <w:tc>
          <w:tcPr>
            <w:tcW w:w="69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9</w:t>
            </w:r>
          </w:p>
        </w:tc>
        <w:tc>
          <w:tcPr>
            <w:tcW w:w="186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Ubrug</w:t>
            </w:r>
          </w:p>
        </w:tc>
        <w:tc>
          <w:tcPr>
            <w:tcW w:w="1545"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Culture</w:t>
            </w:r>
          </w:p>
        </w:tc>
        <w:tc>
          <w:tcPr>
            <w:tcW w:w="171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Art</w:t>
            </w:r>
          </w:p>
        </w:tc>
        <w:tc>
          <w:tcPr>
            <w:tcW w:w="270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 xml:space="preserve">Ketapang Waringin RT/RW. 06/04, Desa Cilayang, Cikeusal </w:t>
            </w:r>
          </w:p>
        </w:tc>
      </w:tr>
      <w:tr w:rsidR="00E00E53">
        <w:trPr>
          <w:trHeight w:val="399"/>
        </w:trPr>
        <w:tc>
          <w:tcPr>
            <w:tcW w:w="69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86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Wayang Garing</w:t>
            </w:r>
          </w:p>
        </w:tc>
        <w:tc>
          <w:tcPr>
            <w:tcW w:w="1545"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Culture</w:t>
            </w:r>
          </w:p>
        </w:tc>
        <w:tc>
          <w:tcPr>
            <w:tcW w:w="171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Art</w:t>
            </w:r>
          </w:p>
        </w:tc>
        <w:tc>
          <w:tcPr>
            <w:tcW w:w="270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Desa Mendaya, Kecamatan Carenang</w:t>
            </w:r>
          </w:p>
        </w:tc>
      </w:tr>
      <w:tr w:rsidR="00E00E53">
        <w:trPr>
          <w:trHeight w:val="399"/>
        </w:trPr>
        <w:tc>
          <w:tcPr>
            <w:tcW w:w="69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11</w:t>
            </w:r>
          </w:p>
        </w:tc>
        <w:tc>
          <w:tcPr>
            <w:tcW w:w="186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Golok Seuat</w:t>
            </w:r>
          </w:p>
        </w:tc>
        <w:tc>
          <w:tcPr>
            <w:tcW w:w="1545"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Product</w:t>
            </w:r>
          </w:p>
        </w:tc>
        <w:tc>
          <w:tcPr>
            <w:tcW w:w="171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Art</w:t>
            </w:r>
          </w:p>
        </w:tc>
        <w:tc>
          <w:tcPr>
            <w:tcW w:w="270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Desa Seuat, Kecamatan Petir</w:t>
            </w:r>
          </w:p>
        </w:tc>
      </w:tr>
      <w:tr w:rsidR="00E00E53">
        <w:trPr>
          <w:trHeight w:val="399"/>
        </w:trPr>
        <w:tc>
          <w:tcPr>
            <w:tcW w:w="69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12</w:t>
            </w:r>
          </w:p>
        </w:tc>
        <w:tc>
          <w:tcPr>
            <w:tcW w:w="186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Silat Bandrong</w:t>
            </w:r>
          </w:p>
        </w:tc>
        <w:tc>
          <w:tcPr>
            <w:tcW w:w="1545"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Culture</w:t>
            </w:r>
          </w:p>
        </w:tc>
        <w:tc>
          <w:tcPr>
            <w:tcW w:w="171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Art</w:t>
            </w:r>
          </w:p>
        </w:tc>
        <w:tc>
          <w:tcPr>
            <w:tcW w:w="270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Padepokan Pencak Silat Bandrong Kigebang, Kecamatan Ciruas.</w:t>
            </w:r>
          </w:p>
        </w:tc>
      </w:tr>
      <w:tr w:rsidR="00E00E53">
        <w:trPr>
          <w:trHeight w:val="41"/>
        </w:trPr>
        <w:tc>
          <w:tcPr>
            <w:tcW w:w="690" w:type="dxa"/>
            <w:tcBorders>
              <w:top w:val="nil"/>
              <w:left w:val="nil"/>
              <w:bottom w:val="single" w:sz="4" w:space="0" w:color="000000"/>
              <w:right w:val="nil"/>
            </w:tcBorders>
            <w:vAlign w:val="center"/>
          </w:tcPr>
          <w:p w:rsidR="00E00E53" w:rsidRDefault="00E00E53">
            <w:pPr>
              <w:widowControl w:val="0"/>
              <w:spacing w:after="0" w:line="240" w:lineRule="auto"/>
              <w:ind w:left="100"/>
              <w:jc w:val="center"/>
              <w:rPr>
                <w:rFonts w:ascii="Book Antiqua" w:eastAsia="Book Antiqua" w:hAnsi="Book Antiqua" w:cs="Book Antiqua"/>
                <w:sz w:val="2"/>
                <w:szCs w:val="2"/>
              </w:rPr>
            </w:pPr>
          </w:p>
        </w:tc>
        <w:tc>
          <w:tcPr>
            <w:tcW w:w="1860" w:type="dxa"/>
            <w:tcBorders>
              <w:top w:val="nil"/>
              <w:left w:val="nil"/>
              <w:bottom w:val="single" w:sz="4" w:space="0" w:color="000000"/>
              <w:right w:val="nil"/>
            </w:tcBorders>
            <w:vAlign w:val="center"/>
          </w:tcPr>
          <w:p w:rsidR="00E00E53" w:rsidRDefault="00E00E53">
            <w:pPr>
              <w:widowControl w:val="0"/>
              <w:spacing w:after="0" w:line="240" w:lineRule="auto"/>
              <w:ind w:left="100"/>
              <w:jc w:val="center"/>
              <w:rPr>
                <w:rFonts w:ascii="Book Antiqua" w:eastAsia="Book Antiqua" w:hAnsi="Book Antiqua" w:cs="Book Antiqua"/>
                <w:sz w:val="2"/>
                <w:szCs w:val="2"/>
              </w:rPr>
            </w:pPr>
          </w:p>
        </w:tc>
        <w:tc>
          <w:tcPr>
            <w:tcW w:w="1545" w:type="dxa"/>
            <w:tcBorders>
              <w:top w:val="nil"/>
              <w:left w:val="nil"/>
              <w:bottom w:val="single" w:sz="4" w:space="0" w:color="000000"/>
              <w:right w:val="nil"/>
            </w:tcBorders>
            <w:vAlign w:val="center"/>
          </w:tcPr>
          <w:p w:rsidR="00E00E53" w:rsidRDefault="00E00E53">
            <w:pPr>
              <w:widowControl w:val="0"/>
              <w:spacing w:after="0" w:line="240" w:lineRule="auto"/>
              <w:ind w:left="201"/>
              <w:jc w:val="center"/>
              <w:rPr>
                <w:rFonts w:ascii="Book Antiqua" w:eastAsia="Book Antiqua" w:hAnsi="Book Antiqua" w:cs="Book Antiqua"/>
                <w:sz w:val="2"/>
                <w:szCs w:val="2"/>
              </w:rPr>
            </w:pPr>
          </w:p>
        </w:tc>
        <w:tc>
          <w:tcPr>
            <w:tcW w:w="1710" w:type="dxa"/>
            <w:tcBorders>
              <w:top w:val="nil"/>
              <w:left w:val="nil"/>
              <w:bottom w:val="single" w:sz="4" w:space="0" w:color="000000"/>
              <w:right w:val="nil"/>
            </w:tcBorders>
            <w:vAlign w:val="center"/>
          </w:tcPr>
          <w:p w:rsidR="00E00E53" w:rsidRDefault="00E00E53">
            <w:pPr>
              <w:widowControl w:val="0"/>
              <w:spacing w:after="0" w:line="240" w:lineRule="auto"/>
              <w:ind w:left="201"/>
              <w:jc w:val="center"/>
              <w:rPr>
                <w:rFonts w:ascii="Book Antiqua" w:eastAsia="Book Antiqua" w:hAnsi="Book Antiqua" w:cs="Book Antiqua"/>
                <w:sz w:val="2"/>
                <w:szCs w:val="2"/>
              </w:rPr>
            </w:pPr>
          </w:p>
        </w:tc>
        <w:tc>
          <w:tcPr>
            <w:tcW w:w="2700" w:type="dxa"/>
            <w:tcBorders>
              <w:top w:val="nil"/>
              <w:left w:val="nil"/>
              <w:bottom w:val="single" w:sz="4" w:space="0" w:color="000000"/>
              <w:right w:val="nil"/>
            </w:tcBorders>
            <w:vAlign w:val="center"/>
          </w:tcPr>
          <w:p w:rsidR="00E00E53" w:rsidRDefault="00E00E53">
            <w:pPr>
              <w:widowControl w:val="0"/>
              <w:spacing w:after="0" w:line="240" w:lineRule="auto"/>
              <w:rPr>
                <w:rFonts w:ascii="Book Antiqua" w:eastAsia="Book Antiqua" w:hAnsi="Book Antiqua" w:cs="Book Antiqua"/>
                <w:sz w:val="2"/>
                <w:szCs w:val="2"/>
              </w:rPr>
            </w:pPr>
          </w:p>
        </w:tc>
      </w:tr>
    </w:tbl>
    <w:p w:rsidR="00E00E53" w:rsidRDefault="00270AAC">
      <w:pPr>
        <w:spacing w:after="0" w:line="240" w:lineRule="auto"/>
        <w:jc w:val="center"/>
        <w:rPr>
          <w:rFonts w:ascii="Times New Roman" w:eastAsia="Times New Roman" w:hAnsi="Times New Roman" w:cs="Times New Roman"/>
          <w:sz w:val="24"/>
          <w:szCs w:val="24"/>
        </w:rPr>
      </w:pPr>
      <w:r>
        <w:rPr>
          <w:rFonts w:ascii="Book Antiqua" w:eastAsia="Book Antiqua" w:hAnsi="Book Antiqua" w:cs="Book Antiqua"/>
          <w:sz w:val="24"/>
          <w:szCs w:val="24"/>
        </w:rPr>
        <w:t>Source: Regional Cultural Thoughts of Serang Regency 2024</w:t>
      </w:r>
      <w:r>
        <w:rPr>
          <w:rFonts w:ascii="Book Antiqua" w:eastAsia="Book Antiqua" w:hAnsi="Book Antiqua" w:cs="Book Antiqua"/>
          <w:color w:val="363435"/>
          <w:sz w:val="20"/>
          <w:szCs w:val="20"/>
          <w:vertAlign w:val="superscript"/>
        </w:rPr>
        <w:footnoteReference w:id="17"/>
      </w:r>
    </w:p>
    <w:p w:rsidR="00E00E53" w:rsidRDefault="00E00E53">
      <w:pPr>
        <w:spacing w:after="0" w:line="240" w:lineRule="auto"/>
        <w:jc w:val="both"/>
        <w:rPr>
          <w:rFonts w:ascii="Book Antiqua" w:eastAsia="Book Antiqua" w:hAnsi="Book Antiqua" w:cs="Book Antiqua"/>
          <w:sz w:val="14"/>
          <w:szCs w:val="14"/>
        </w:rPr>
      </w:pPr>
    </w:p>
    <w:p w:rsidR="00E00E53" w:rsidRPr="005C5B85" w:rsidRDefault="00270AAC">
      <w:pPr>
        <w:spacing w:after="0" w:line="240" w:lineRule="auto"/>
        <w:ind w:firstLine="426"/>
        <w:jc w:val="both"/>
        <w:rPr>
          <w:rFonts w:ascii="Book Antiqua" w:eastAsia="Book Antiqua" w:hAnsi="Book Antiqua" w:cs="Book Antiqua"/>
          <w:sz w:val="24"/>
          <w:szCs w:val="24"/>
        </w:rPr>
      </w:pPr>
      <w:r w:rsidRPr="005C5B85">
        <w:rPr>
          <w:rFonts w:ascii="Book Antiqua" w:eastAsia="Book Antiqua" w:hAnsi="Book Antiqua" w:cs="Book Antiqua"/>
          <w:sz w:val="24"/>
          <w:szCs w:val="24"/>
        </w:rPr>
        <w:t xml:space="preserve">The table above illustrates the potential of the local area; four product and eight cultures are known to be distributed throughout the Serang Regency. It is well known that </w:t>
      </w:r>
      <w:r w:rsidR="008D100D" w:rsidRPr="005C5B85">
        <w:rPr>
          <w:rFonts w:ascii="Book Antiqua" w:eastAsia="Book Antiqua" w:hAnsi="Book Antiqua" w:cs="Book Antiqua"/>
          <w:sz w:val="24"/>
          <w:szCs w:val="24"/>
        </w:rPr>
        <w:t>communal intellectual property</w:t>
      </w:r>
      <w:r w:rsidRPr="005C5B85">
        <w:rPr>
          <w:rFonts w:ascii="Book Antiqua" w:eastAsia="Book Antiqua" w:hAnsi="Book Antiqua" w:cs="Book Antiqua"/>
          <w:sz w:val="24"/>
          <w:szCs w:val="24"/>
        </w:rPr>
        <w:t xml:space="preserve"> plays a significant role in Indonesian culture construction. The existence of </w:t>
      </w:r>
      <w:r w:rsidR="008D100D" w:rsidRPr="005C5B85">
        <w:rPr>
          <w:rFonts w:ascii="Book Antiqua" w:eastAsia="Book Antiqua" w:hAnsi="Book Antiqua" w:cs="Book Antiqua"/>
          <w:sz w:val="24"/>
          <w:szCs w:val="24"/>
        </w:rPr>
        <w:t xml:space="preserve">communal intellectual property </w:t>
      </w:r>
      <w:r w:rsidRPr="005C5B85">
        <w:rPr>
          <w:rFonts w:ascii="Book Antiqua" w:eastAsia="Book Antiqua" w:hAnsi="Book Antiqua" w:cs="Book Antiqua"/>
          <w:sz w:val="24"/>
          <w:szCs w:val="24"/>
        </w:rPr>
        <w:t>turns it into a kind of local wisdom that can create new opportunities and benefit the individuals who hold it in both material and immaterial ways. Government Regulation Number 56 of 2022 concerning Communal Intellectual Property</w:t>
      </w:r>
      <w:r w:rsidR="005C5B85">
        <w:rPr>
          <w:rFonts w:ascii="Book Antiqua" w:eastAsia="Book Antiqua" w:hAnsi="Book Antiqua" w:cs="Book Antiqua"/>
          <w:sz w:val="24"/>
          <w:szCs w:val="24"/>
        </w:rPr>
        <w:t xml:space="preserve"> </w:t>
      </w:r>
      <w:r w:rsidRPr="005C5B85">
        <w:rPr>
          <w:rFonts w:ascii="Book Antiqua" w:eastAsia="Book Antiqua" w:hAnsi="Book Antiqua" w:cs="Book Antiqua"/>
          <w:sz w:val="24"/>
          <w:szCs w:val="24"/>
        </w:rPr>
        <w:t xml:space="preserve">governs the legal framework for </w:t>
      </w:r>
      <w:r w:rsidR="003A2DF8" w:rsidRPr="005C5B85">
        <w:rPr>
          <w:rFonts w:ascii="Book Antiqua" w:eastAsia="Book Antiqua" w:hAnsi="Book Antiqua" w:cs="Book Antiqua"/>
          <w:sz w:val="24"/>
          <w:szCs w:val="24"/>
        </w:rPr>
        <w:t>communal intellectual property</w:t>
      </w:r>
      <w:r w:rsidRPr="005C5B85">
        <w:rPr>
          <w:rFonts w:ascii="Book Antiqua" w:eastAsia="Book Antiqua" w:hAnsi="Book Antiqua" w:cs="Book Antiqua"/>
          <w:sz w:val="24"/>
          <w:szCs w:val="24"/>
        </w:rPr>
        <w:t xml:space="preserve">. According to Article 1 Number 1 of </w:t>
      </w:r>
      <w:r w:rsidR="00185F93" w:rsidRPr="00185F93">
        <w:rPr>
          <w:rFonts w:ascii="Book Antiqua" w:eastAsia="Book Antiqua" w:hAnsi="Book Antiqua" w:cs="Book Antiqua"/>
          <w:sz w:val="24"/>
          <w:szCs w:val="24"/>
        </w:rPr>
        <w:t>Government Regulation 56 of 2022 concerning Communal Intellectual Property</w:t>
      </w:r>
      <w:r w:rsidRPr="005C5B85">
        <w:rPr>
          <w:rFonts w:ascii="Book Antiqua" w:eastAsia="Book Antiqua" w:hAnsi="Book Antiqua" w:cs="Book Antiqua"/>
          <w:sz w:val="24"/>
          <w:szCs w:val="24"/>
        </w:rPr>
        <w:t xml:space="preserve">, having </w:t>
      </w:r>
      <w:r w:rsidR="00D20AB8" w:rsidRPr="005C5B85">
        <w:rPr>
          <w:rFonts w:ascii="Book Antiqua" w:eastAsia="Book Antiqua" w:hAnsi="Book Antiqua" w:cs="Book Antiqua"/>
          <w:sz w:val="24"/>
          <w:szCs w:val="24"/>
        </w:rPr>
        <w:t>communal intellectual property</w:t>
      </w:r>
      <w:r w:rsidRPr="005C5B85">
        <w:rPr>
          <w:rFonts w:ascii="Book Antiqua" w:eastAsia="Book Antiqua" w:hAnsi="Book Antiqua" w:cs="Book Antiqua"/>
          <w:sz w:val="24"/>
          <w:szCs w:val="24"/>
        </w:rPr>
        <w:t xml:space="preserve"> in a community can have a positive economic impact. In addition to offering cultural diversity, it affects the local economy in the </w:t>
      </w:r>
      <w:r w:rsidR="00D20AB8" w:rsidRPr="005C5B85">
        <w:rPr>
          <w:rFonts w:ascii="Book Antiqua" w:eastAsia="Book Antiqua" w:hAnsi="Book Antiqua" w:cs="Book Antiqua"/>
          <w:sz w:val="24"/>
          <w:szCs w:val="24"/>
        </w:rPr>
        <w:t xml:space="preserve">communal intellectual property of </w:t>
      </w:r>
      <w:r w:rsidRPr="005C5B85">
        <w:rPr>
          <w:rFonts w:ascii="Book Antiqua" w:eastAsia="Book Antiqua" w:hAnsi="Book Antiqua" w:cs="Book Antiqua"/>
          <w:sz w:val="24"/>
          <w:szCs w:val="24"/>
        </w:rPr>
        <w:t>community. Traditional Cultural Expressions, Traditional Knowledge, Genetic Resources, Indications of Origin, and Potential Geographical Indications</w:t>
      </w:r>
      <w:r w:rsidR="00185F93">
        <w:rPr>
          <w:rFonts w:ascii="Book Antiqua" w:eastAsia="Book Antiqua" w:hAnsi="Book Antiqua" w:cs="Book Antiqua"/>
          <w:sz w:val="24"/>
          <w:szCs w:val="24"/>
        </w:rPr>
        <w:t xml:space="preserve"> </w:t>
      </w:r>
      <w:r w:rsidRPr="005C5B85">
        <w:rPr>
          <w:rFonts w:ascii="Book Antiqua" w:eastAsia="Book Antiqua" w:hAnsi="Book Antiqua" w:cs="Book Antiqua"/>
          <w:sz w:val="24"/>
          <w:szCs w:val="24"/>
        </w:rPr>
        <w:t xml:space="preserve">are all regulated by </w:t>
      </w:r>
      <w:r w:rsidR="0011534C" w:rsidRPr="005C5B85">
        <w:rPr>
          <w:rFonts w:ascii="Book Antiqua" w:eastAsia="Book Antiqua" w:hAnsi="Book Antiqua" w:cs="Book Antiqua"/>
          <w:sz w:val="24"/>
          <w:szCs w:val="24"/>
        </w:rPr>
        <w:t xml:space="preserve">communal intellectual property </w:t>
      </w:r>
      <w:r w:rsidRPr="005C5B85">
        <w:rPr>
          <w:rFonts w:ascii="Book Antiqua" w:eastAsia="Book Antiqua" w:hAnsi="Book Antiqua" w:cs="Book Antiqua"/>
          <w:sz w:val="24"/>
          <w:szCs w:val="24"/>
        </w:rPr>
        <w:t xml:space="preserve">under </w:t>
      </w:r>
      <w:r w:rsidR="00DC1ECA" w:rsidRPr="005C5B85">
        <w:rPr>
          <w:rFonts w:ascii="Book Antiqua" w:eastAsia="Book Antiqua" w:hAnsi="Book Antiqua" w:cs="Book Antiqua"/>
          <w:sz w:val="24"/>
          <w:szCs w:val="24"/>
        </w:rPr>
        <w:t xml:space="preserve">Government Regulation </w:t>
      </w:r>
      <w:r w:rsidRPr="005C5B85">
        <w:rPr>
          <w:rFonts w:ascii="Book Antiqua" w:eastAsia="Book Antiqua" w:hAnsi="Book Antiqua" w:cs="Book Antiqua"/>
          <w:sz w:val="24"/>
          <w:szCs w:val="24"/>
        </w:rPr>
        <w:t>Number 56 of 2022.</w:t>
      </w:r>
    </w:p>
    <w:p w:rsidR="00E00E53"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Three products and cultural items—namely, Silat Bandrong, Golok Seuat, and Rudat—will be the subject of this study. The rationale behind selecting these three research objects is that they offer the possibility of Communal Intellectual Propert</w:t>
      </w:r>
      <w:r w:rsidR="0011534C">
        <w:rPr>
          <w:rFonts w:asciiTheme="minorHAnsi" w:eastAsia="Book Antiqua" w:hAnsiTheme="minorHAnsi" w:cs="Book Antiqua"/>
          <w:sz w:val="24"/>
          <w:szCs w:val="24"/>
        </w:rPr>
        <w:t>y</w:t>
      </w:r>
      <w:r>
        <w:rPr>
          <w:rFonts w:ascii="Book Antiqua" w:eastAsia="Book Antiqua" w:hAnsi="Book Antiqua" w:cs="Book Antiqua"/>
          <w:sz w:val="24"/>
          <w:szCs w:val="24"/>
        </w:rPr>
        <w:t xml:space="preserve"> in the form of Traditional Cultural Expression, which has been nurtured and protected for many generations by the village communal community. The laws controlling </w:t>
      </w:r>
      <w:r w:rsidR="00292D6C">
        <w:rPr>
          <w:rFonts w:ascii="Book Antiqua" w:eastAsia="Book Antiqua" w:hAnsi="Book Antiqua" w:cs="Book Antiqua"/>
          <w:sz w:val="24"/>
          <w:szCs w:val="24"/>
        </w:rPr>
        <w:t>Traditional Cultural Expression</w:t>
      </w:r>
      <w:r>
        <w:rPr>
          <w:rFonts w:ascii="Book Antiqua" w:eastAsia="Book Antiqua" w:hAnsi="Book Antiqua" w:cs="Book Antiqua"/>
          <w:sz w:val="24"/>
          <w:szCs w:val="24"/>
        </w:rPr>
        <w:t xml:space="preserve"> may be found in government regulation number 56 of 2022 concerning communal intellectual property and Chapter V Part One Concerning Traditional Cultural Expressions and Copyright for Creations whose Creator is Unknown, as well as Articles 38–39 of </w:t>
      </w:r>
      <w:r w:rsidR="00185F93" w:rsidRPr="00185F93">
        <w:rPr>
          <w:rFonts w:ascii="Book Antiqua" w:eastAsia="Book Antiqua" w:hAnsi="Book Antiqua" w:cs="Book Antiqua"/>
          <w:sz w:val="24"/>
          <w:szCs w:val="24"/>
        </w:rPr>
        <w:t>Law Number 28 of 2014 on Copyright</w:t>
      </w:r>
      <w:r w:rsidR="00185F93">
        <w:rPr>
          <w:rFonts w:ascii="Book Antiqua" w:eastAsia="Book Antiqua" w:hAnsi="Book Antiqua" w:cs="Book Antiqua"/>
          <w:sz w:val="24"/>
          <w:szCs w:val="24"/>
        </w:rPr>
        <w:t>.</w:t>
      </w:r>
      <w:r>
        <w:rPr>
          <w:rFonts w:ascii="Book Antiqua" w:eastAsia="Book Antiqua" w:hAnsi="Book Antiqua" w:cs="Book Antiqua"/>
          <w:sz w:val="24"/>
          <w:szCs w:val="24"/>
        </w:rPr>
        <w:t xml:space="preserve"> In addition to the previously mentioned reasons, these three products and cultures have also been registered and documented; the records of these can be found on the Integrated Cultural Data </w:t>
      </w:r>
      <w:r>
        <w:rPr>
          <w:rFonts w:ascii="Book Antiqua" w:eastAsia="Book Antiqua" w:hAnsi="Book Antiqua" w:cs="Book Antiqua"/>
          <w:sz w:val="24"/>
          <w:szCs w:val="24"/>
        </w:rPr>
        <w:lastRenderedPageBreak/>
        <w:t>Collection System and the website kikomunal-indonesia.dgip.go.id, which is run by the Ministry of Law and Human Rights' Directorate General of Intellectual Property</w:t>
      </w:r>
      <w:r>
        <w:rPr>
          <w:rFonts w:ascii="Book Antiqua" w:eastAsia="Book Antiqua" w:hAnsi="Book Antiqua" w:cs="Book Antiqua"/>
          <w:sz w:val="24"/>
          <w:szCs w:val="24"/>
          <w:vertAlign w:val="superscript"/>
        </w:rPr>
        <w:footnoteReference w:id="18"/>
      </w:r>
      <w:r w:rsidR="00292D6C">
        <w:rPr>
          <w:rFonts w:ascii="Book Antiqua" w:eastAsia="Book Antiqua" w:hAnsi="Book Antiqua" w:cs="Book Antiqua"/>
          <w:sz w:val="24"/>
          <w:szCs w:val="24"/>
        </w:rPr>
        <w:t>,</w:t>
      </w:r>
      <w:r>
        <w:rPr>
          <w:rFonts w:ascii="Book Antiqua" w:eastAsia="Book Antiqua" w:hAnsi="Book Antiqua" w:cs="Book Antiqua"/>
          <w:sz w:val="24"/>
          <w:szCs w:val="24"/>
        </w:rPr>
        <w:t xml:space="preserve"> which is managed by the Indonesian Ministry of Education, Culture, Research and Technology.</w:t>
      </w:r>
    </w:p>
    <w:p w:rsidR="00E00E53" w:rsidRDefault="00E00E53">
      <w:pPr>
        <w:spacing w:after="0" w:line="240" w:lineRule="auto"/>
        <w:ind w:firstLine="426"/>
        <w:jc w:val="both"/>
        <w:rPr>
          <w:rFonts w:ascii="Book Antiqua" w:eastAsia="Book Antiqua" w:hAnsi="Book Antiqua" w:cs="Book Antiqua"/>
          <w:sz w:val="14"/>
          <w:szCs w:val="14"/>
        </w:rPr>
      </w:pPr>
    </w:p>
    <w:p w:rsidR="00E00E53" w:rsidRDefault="00270AAC">
      <w:pPr>
        <w:pStyle w:val="Heading1"/>
        <w:spacing w:before="0" w:after="0" w:line="240" w:lineRule="auto"/>
        <w:ind w:left="425" w:hanging="425"/>
        <w:jc w:val="both"/>
        <w:rPr>
          <w:rFonts w:ascii="Book Antiqua" w:eastAsia="Book Antiqua" w:hAnsi="Book Antiqua" w:cs="Book Antiqua"/>
          <w:b/>
          <w:color w:val="C00000"/>
          <w:sz w:val="24"/>
          <w:szCs w:val="24"/>
        </w:rPr>
      </w:pPr>
      <w:r>
        <w:rPr>
          <w:rFonts w:ascii="Book Antiqua" w:eastAsia="Book Antiqua" w:hAnsi="Book Antiqua" w:cs="Book Antiqua"/>
          <w:b/>
          <w:color w:val="C00000"/>
          <w:sz w:val="24"/>
          <w:szCs w:val="24"/>
        </w:rPr>
        <w:t>3.1.</w:t>
      </w:r>
      <w:r>
        <w:rPr>
          <w:rFonts w:ascii="Book Antiqua" w:eastAsia="Book Antiqua" w:hAnsi="Book Antiqua" w:cs="Book Antiqua"/>
          <w:b/>
          <w:color w:val="C00000"/>
          <w:sz w:val="24"/>
          <w:szCs w:val="24"/>
        </w:rPr>
        <w:tab/>
        <w:t xml:space="preserve">Golok Seuat </w:t>
      </w:r>
    </w:p>
    <w:p w:rsidR="00E00E53" w:rsidRDefault="00270AAC">
      <w:pPr>
        <w:pBdr>
          <w:top w:val="nil"/>
          <w:left w:val="nil"/>
          <w:bottom w:val="nil"/>
          <w:right w:val="nil"/>
          <w:between w:val="nil"/>
        </w:pBdr>
        <w:spacing w:after="0" w:line="240" w:lineRule="auto"/>
        <w:ind w:firstLine="426"/>
        <w:jc w:val="both"/>
        <w:rPr>
          <w:rFonts w:ascii="Book Antiqua" w:eastAsia="Book Antiqua" w:hAnsi="Book Antiqua" w:cs="Book Antiqua"/>
          <w:color w:val="000000"/>
          <w:sz w:val="14"/>
          <w:szCs w:val="14"/>
        </w:rPr>
      </w:pPr>
      <w:proofErr w:type="spellStart"/>
      <w:r>
        <w:rPr>
          <w:rFonts w:ascii="Book Antiqua" w:eastAsia="Book Antiqua" w:hAnsi="Book Antiqua" w:cs="Book Antiqua"/>
          <w:color w:val="000000"/>
          <w:sz w:val="24"/>
          <w:szCs w:val="24"/>
        </w:rPr>
        <w:t>Golok</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Seuat</w:t>
      </w:r>
      <w:proofErr w:type="spellEnd"/>
      <w:r>
        <w:rPr>
          <w:rFonts w:ascii="Book Antiqua" w:eastAsia="Book Antiqua" w:hAnsi="Book Antiqua" w:cs="Book Antiqua"/>
          <w:color w:val="000000"/>
          <w:sz w:val="24"/>
          <w:szCs w:val="24"/>
        </w:rPr>
        <w:t xml:space="preserve"> </w:t>
      </w:r>
      <w:r w:rsidR="00292D6C">
        <w:rPr>
          <w:rFonts w:ascii="Book Antiqua" w:eastAsia="Book Antiqua" w:hAnsi="Book Antiqua" w:cs="Book Antiqua"/>
          <w:color w:val="000000"/>
          <w:sz w:val="24"/>
          <w:szCs w:val="24"/>
        </w:rPr>
        <w:t xml:space="preserve">historically </w:t>
      </w:r>
      <w:r>
        <w:rPr>
          <w:rFonts w:ascii="Book Antiqua" w:eastAsia="Book Antiqua" w:hAnsi="Book Antiqua" w:cs="Book Antiqua"/>
          <w:color w:val="000000"/>
          <w:sz w:val="24"/>
          <w:szCs w:val="24"/>
        </w:rPr>
        <w:t xml:space="preserve">originated and </w:t>
      </w:r>
      <w:r w:rsidR="00292D6C">
        <w:rPr>
          <w:rFonts w:ascii="Book Antiqua" w:eastAsia="Book Antiqua" w:hAnsi="Book Antiqua" w:cs="Book Antiqua"/>
          <w:color w:val="000000"/>
          <w:sz w:val="24"/>
          <w:szCs w:val="24"/>
        </w:rPr>
        <w:t>is</w:t>
      </w:r>
      <w:r>
        <w:rPr>
          <w:rFonts w:ascii="Book Antiqua" w:eastAsia="Book Antiqua" w:hAnsi="Book Antiqua" w:cs="Book Antiqua"/>
          <w:color w:val="000000"/>
          <w:sz w:val="24"/>
          <w:szCs w:val="24"/>
        </w:rPr>
        <w:t xml:space="preserve"> preserved in </w:t>
      </w:r>
      <w:proofErr w:type="spellStart"/>
      <w:r>
        <w:rPr>
          <w:rFonts w:ascii="Book Antiqua" w:eastAsia="Book Antiqua" w:hAnsi="Book Antiqua" w:cs="Book Antiqua"/>
          <w:color w:val="000000"/>
          <w:sz w:val="24"/>
          <w:szCs w:val="24"/>
        </w:rPr>
        <w:t>Seuat</w:t>
      </w:r>
      <w:proofErr w:type="spellEnd"/>
      <w:r>
        <w:rPr>
          <w:rFonts w:ascii="Book Antiqua" w:eastAsia="Book Antiqua" w:hAnsi="Book Antiqua" w:cs="Book Antiqua"/>
          <w:color w:val="000000"/>
          <w:sz w:val="24"/>
          <w:szCs w:val="24"/>
        </w:rPr>
        <w:t xml:space="preserve"> Jaya Village, located in Petir District, Serang Regency, Banten. The Seuat Village entrance is shaped like a machete and has a picture of a mosque next to it, signifying a conflict that is still motivated by religion.</w:t>
      </w:r>
      <w:r w:rsidR="00292D6C">
        <w:rPr>
          <w:rFonts w:ascii="Book Antiqua" w:eastAsia="Book Antiqua" w:hAnsi="Book Antiqua" w:cs="Book Antiqua"/>
          <w:color w:val="000000"/>
          <w:sz w:val="24"/>
          <w:szCs w:val="24"/>
        </w:rPr>
        <w:t xml:space="preserve"> The</w:t>
      </w:r>
      <w:r>
        <w:rPr>
          <w:rFonts w:ascii="Book Antiqua" w:eastAsia="Book Antiqua" w:hAnsi="Book Antiqua" w:cs="Book Antiqua"/>
          <w:color w:val="000000"/>
          <w:sz w:val="24"/>
          <w:szCs w:val="24"/>
        </w:rPr>
        <w:t xml:space="preserve"> respondent</w:t>
      </w:r>
      <w:r w:rsidR="00292D6C">
        <w:rPr>
          <w:rFonts w:ascii="Book Antiqua" w:eastAsia="Book Antiqua" w:hAnsi="Book Antiqua" w:cs="Book Antiqua"/>
          <w:color w:val="000000"/>
          <w:sz w:val="24"/>
          <w:szCs w:val="24"/>
        </w:rPr>
        <w:t>, that</w:t>
      </w:r>
      <w:r>
        <w:rPr>
          <w:rFonts w:ascii="Book Antiqua" w:eastAsia="Book Antiqua" w:hAnsi="Book Antiqua" w:cs="Book Antiqua"/>
          <w:color w:val="000000"/>
          <w:sz w:val="24"/>
          <w:szCs w:val="24"/>
        </w:rPr>
        <w:t xml:space="preserve"> is a craftsman from </w:t>
      </w:r>
      <w:proofErr w:type="spellStart"/>
      <w:r>
        <w:rPr>
          <w:rFonts w:ascii="Book Antiqua" w:eastAsia="Book Antiqua" w:hAnsi="Book Antiqua" w:cs="Book Antiqua"/>
          <w:color w:val="000000"/>
          <w:sz w:val="24"/>
          <w:szCs w:val="24"/>
        </w:rPr>
        <w:t>Golok</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Seuat</w:t>
      </w:r>
      <w:proofErr w:type="spellEnd"/>
      <w:r>
        <w:rPr>
          <w:rFonts w:ascii="Book Antiqua" w:eastAsia="Book Antiqua" w:hAnsi="Book Antiqua" w:cs="Book Antiqua"/>
          <w:color w:val="000000"/>
          <w:sz w:val="24"/>
          <w:szCs w:val="24"/>
          <w:vertAlign w:val="superscript"/>
        </w:rPr>
        <w:footnoteReference w:id="19"/>
      </w:r>
      <w:r w:rsidR="00292D6C">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rPr>
        <w:t xml:space="preserve"> explained how most people living in the village are still employed as </w:t>
      </w:r>
      <w:proofErr w:type="spellStart"/>
      <w:r>
        <w:rPr>
          <w:rFonts w:ascii="Book Antiqua" w:eastAsia="Book Antiqua" w:hAnsi="Book Antiqua" w:cs="Book Antiqua"/>
          <w:color w:val="000000"/>
          <w:sz w:val="24"/>
          <w:szCs w:val="24"/>
        </w:rPr>
        <w:t>Golok</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Seuat</w:t>
      </w:r>
      <w:proofErr w:type="spellEnd"/>
      <w:r>
        <w:rPr>
          <w:rFonts w:ascii="Book Antiqua" w:eastAsia="Book Antiqua" w:hAnsi="Book Antiqua" w:cs="Book Antiqua"/>
          <w:color w:val="000000"/>
          <w:sz w:val="24"/>
          <w:szCs w:val="24"/>
        </w:rPr>
        <w:t xml:space="preserve"> craftspeople. At first, Seuat Village was made up of just one village. Following then, there was a regional expansion that resulted in the creation of Seuat Village and Seuat Jaya Village. </w:t>
      </w:r>
      <w:r w:rsidR="00C03B9B">
        <w:rPr>
          <w:rFonts w:ascii="Book Antiqua" w:eastAsia="Book Antiqua" w:hAnsi="Book Antiqua" w:cs="Book Antiqua"/>
          <w:color w:val="000000"/>
          <w:sz w:val="24"/>
          <w:szCs w:val="24"/>
        </w:rPr>
        <w:t xml:space="preserve">The distribution of </w:t>
      </w:r>
      <w:proofErr w:type="spellStart"/>
      <w:r w:rsidR="00C03B9B">
        <w:rPr>
          <w:rFonts w:ascii="Book Antiqua" w:eastAsia="Book Antiqua" w:hAnsi="Book Antiqua" w:cs="Book Antiqua"/>
          <w:color w:val="000000"/>
          <w:sz w:val="24"/>
          <w:szCs w:val="24"/>
        </w:rPr>
        <w:t>Golok</w:t>
      </w:r>
      <w:proofErr w:type="spellEnd"/>
      <w:r w:rsidR="00C03B9B">
        <w:rPr>
          <w:rFonts w:ascii="Book Antiqua" w:eastAsia="Book Antiqua" w:hAnsi="Book Antiqua" w:cs="Book Antiqua"/>
          <w:color w:val="000000"/>
          <w:sz w:val="24"/>
          <w:szCs w:val="24"/>
        </w:rPr>
        <w:t xml:space="preserve"> </w:t>
      </w:r>
      <w:proofErr w:type="spellStart"/>
      <w:r w:rsidR="00C03B9B">
        <w:rPr>
          <w:rFonts w:ascii="Book Antiqua" w:eastAsia="Book Antiqua" w:hAnsi="Book Antiqua" w:cs="Book Antiqua"/>
          <w:color w:val="000000"/>
          <w:sz w:val="24"/>
          <w:szCs w:val="24"/>
        </w:rPr>
        <w:t>Seuat</w:t>
      </w:r>
      <w:proofErr w:type="spellEnd"/>
      <w:r w:rsidR="00C03B9B">
        <w:rPr>
          <w:rFonts w:ascii="Book Antiqua" w:eastAsia="Book Antiqua" w:hAnsi="Book Antiqua" w:cs="Book Antiqua"/>
          <w:color w:val="000000"/>
          <w:sz w:val="24"/>
          <w:szCs w:val="24"/>
        </w:rPr>
        <w:t xml:space="preserve"> craftsmen can be seen through the following table:</w:t>
      </w:r>
    </w:p>
    <w:p w:rsidR="00E00E53" w:rsidRDefault="00E00E53">
      <w:pPr>
        <w:pBdr>
          <w:top w:val="nil"/>
          <w:left w:val="nil"/>
          <w:bottom w:val="nil"/>
          <w:right w:val="nil"/>
          <w:between w:val="nil"/>
        </w:pBdr>
        <w:spacing w:after="0" w:line="240" w:lineRule="auto"/>
        <w:jc w:val="both"/>
        <w:rPr>
          <w:rFonts w:ascii="Book Antiqua" w:eastAsia="Book Antiqua" w:hAnsi="Book Antiqua" w:cs="Book Antiqua"/>
          <w:color w:val="000000"/>
          <w:sz w:val="14"/>
          <w:szCs w:val="14"/>
        </w:rPr>
      </w:pPr>
    </w:p>
    <w:p w:rsidR="00E00E53" w:rsidRDefault="00270AA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2. </w:t>
      </w:r>
      <w:r>
        <w:rPr>
          <w:rFonts w:ascii="Times New Roman" w:eastAsia="Times New Roman" w:hAnsi="Times New Roman" w:cs="Times New Roman"/>
          <w:sz w:val="24"/>
          <w:szCs w:val="24"/>
        </w:rPr>
        <w:t>Data o</w:t>
      </w:r>
      <w:r w:rsidR="00C03B9B">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Golok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Seuat</w:t>
      </w:r>
      <w:proofErr w:type="spellEnd"/>
      <w:r>
        <w:rPr>
          <w:rFonts w:ascii="Times New Roman" w:eastAsia="Times New Roman" w:hAnsi="Times New Roman" w:cs="Times New Roman"/>
          <w:sz w:val="24"/>
          <w:szCs w:val="24"/>
        </w:rPr>
        <w:t xml:space="preserve"> </w:t>
      </w:r>
      <w:r w:rsidR="00C03B9B">
        <w:rPr>
          <w:rFonts w:ascii="Times New Roman" w:eastAsia="Times New Roman" w:hAnsi="Times New Roman" w:cs="Times New Roman"/>
          <w:sz w:val="24"/>
          <w:szCs w:val="24"/>
        </w:rPr>
        <w:t>Craftsmen</w:t>
      </w:r>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Serang</w:t>
      </w:r>
      <w:proofErr w:type="spellEnd"/>
      <w:r>
        <w:rPr>
          <w:rFonts w:ascii="Times New Roman" w:eastAsia="Times New Roman" w:hAnsi="Times New Roman" w:cs="Times New Roman"/>
          <w:sz w:val="24"/>
          <w:szCs w:val="24"/>
        </w:rPr>
        <w:t xml:space="preserve"> Regency</w:t>
      </w:r>
    </w:p>
    <w:tbl>
      <w:tblPr>
        <w:tblStyle w:val="a7"/>
        <w:tblW w:w="751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4678"/>
        <w:gridCol w:w="2126"/>
      </w:tblGrid>
      <w:tr w:rsidR="00E00E53">
        <w:trPr>
          <w:trHeight w:val="397"/>
        </w:trPr>
        <w:tc>
          <w:tcPr>
            <w:tcW w:w="708" w:type="dxa"/>
            <w:tcBorders>
              <w:top w:val="single" w:sz="4" w:space="0" w:color="000000"/>
              <w:left w:val="nil"/>
              <w:bottom w:val="single" w:sz="4" w:space="0" w:color="000000"/>
              <w:right w:val="nil"/>
            </w:tcBorders>
            <w:vAlign w:val="center"/>
          </w:tcPr>
          <w:p w:rsidR="00E00E53" w:rsidRDefault="00270AAC">
            <w:pPr>
              <w:widowControl w:val="0"/>
              <w:spacing w:after="0" w:line="240" w:lineRule="auto"/>
              <w:ind w:left="142"/>
              <w:jc w:val="center"/>
              <w:rPr>
                <w:rFonts w:ascii="Book Antiqua" w:eastAsia="Book Antiqua" w:hAnsi="Book Antiqua" w:cs="Book Antiqua"/>
                <w:b/>
                <w:sz w:val="24"/>
                <w:szCs w:val="24"/>
              </w:rPr>
            </w:pPr>
            <w:r>
              <w:rPr>
                <w:rFonts w:ascii="Book Antiqua" w:eastAsia="Book Antiqua" w:hAnsi="Book Antiqua" w:cs="Book Antiqua"/>
                <w:b/>
                <w:sz w:val="24"/>
                <w:szCs w:val="24"/>
              </w:rPr>
              <w:t>No</w:t>
            </w:r>
          </w:p>
        </w:tc>
        <w:tc>
          <w:tcPr>
            <w:tcW w:w="4678" w:type="dxa"/>
            <w:tcBorders>
              <w:top w:val="single" w:sz="4" w:space="0" w:color="000000"/>
              <w:left w:val="nil"/>
              <w:bottom w:val="single" w:sz="4" w:space="0" w:color="000000"/>
              <w:right w:val="nil"/>
            </w:tcBorders>
            <w:vAlign w:val="center"/>
          </w:tcPr>
          <w:p w:rsidR="00E00E53" w:rsidRDefault="00270AAC">
            <w:pPr>
              <w:widowControl w:val="0"/>
              <w:spacing w:after="0" w:line="240" w:lineRule="auto"/>
              <w:ind w:left="142"/>
              <w:jc w:val="center"/>
              <w:rPr>
                <w:rFonts w:ascii="Book Antiqua" w:eastAsia="Book Antiqua" w:hAnsi="Book Antiqua" w:cs="Book Antiqua"/>
                <w:sz w:val="24"/>
                <w:szCs w:val="24"/>
              </w:rPr>
            </w:pPr>
            <w:r>
              <w:rPr>
                <w:rFonts w:ascii="Book Antiqua" w:eastAsia="Book Antiqua" w:hAnsi="Book Antiqua" w:cs="Book Antiqua"/>
                <w:b/>
                <w:sz w:val="24"/>
                <w:szCs w:val="24"/>
              </w:rPr>
              <w:t xml:space="preserve">Location </w:t>
            </w:r>
          </w:p>
        </w:tc>
        <w:tc>
          <w:tcPr>
            <w:tcW w:w="2126" w:type="dxa"/>
            <w:tcBorders>
              <w:top w:val="single" w:sz="4" w:space="0" w:color="000000"/>
              <w:left w:val="nil"/>
              <w:bottom w:val="single" w:sz="4" w:space="0" w:color="000000"/>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b/>
                <w:sz w:val="24"/>
                <w:szCs w:val="24"/>
              </w:rPr>
              <w:t>Number of Craftsmen</w:t>
            </w:r>
          </w:p>
        </w:tc>
      </w:tr>
      <w:tr w:rsidR="00E00E53">
        <w:trPr>
          <w:trHeight w:val="440"/>
        </w:trPr>
        <w:tc>
          <w:tcPr>
            <w:tcW w:w="708" w:type="dxa"/>
            <w:tcBorders>
              <w:top w:val="single" w:sz="4" w:space="0" w:color="000000"/>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1</w:t>
            </w:r>
          </w:p>
        </w:tc>
        <w:tc>
          <w:tcPr>
            <w:tcW w:w="4678" w:type="dxa"/>
            <w:tcBorders>
              <w:top w:val="single" w:sz="4" w:space="0" w:color="000000"/>
              <w:left w:val="nil"/>
              <w:bottom w:val="nil"/>
              <w:right w:val="nil"/>
            </w:tcBorders>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 xml:space="preserve">Desa Seuat, Kecamatan Petir </w:t>
            </w:r>
          </w:p>
        </w:tc>
        <w:tc>
          <w:tcPr>
            <w:tcW w:w="2126" w:type="dxa"/>
            <w:tcBorders>
              <w:top w:val="single" w:sz="4" w:space="0" w:color="000000"/>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6</w:t>
            </w:r>
          </w:p>
        </w:tc>
      </w:tr>
      <w:tr w:rsidR="00E00E53">
        <w:trPr>
          <w:trHeight w:val="397"/>
        </w:trPr>
        <w:tc>
          <w:tcPr>
            <w:tcW w:w="708"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2</w:t>
            </w:r>
          </w:p>
        </w:tc>
        <w:tc>
          <w:tcPr>
            <w:tcW w:w="4678" w:type="dxa"/>
            <w:tcBorders>
              <w:top w:val="nil"/>
              <w:left w:val="nil"/>
              <w:bottom w:val="nil"/>
              <w:right w:val="nil"/>
            </w:tcBorders>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Kampung Pasir Binong, RT/RW. 016/001</w:t>
            </w:r>
          </w:p>
        </w:tc>
        <w:tc>
          <w:tcPr>
            <w:tcW w:w="2126"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11</w:t>
            </w:r>
          </w:p>
        </w:tc>
      </w:tr>
      <w:tr w:rsidR="00E00E53">
        <w:trPr>
          <w:trHeight w:val="397"/>
        </w:trPr>
        <w:tc>
          <w:tcPr>
            <w:tcW w:w="708"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3</w:t>
            </w:r>
          </w:p>
        </w:tc>
        <w:tc>
          <w:tcPr>
            <w:tcW w:w="4678" w:type="dxa"/>
            <w:tcBorders>
              <w:top w:val="nil"/>
              <w:left w:val="nil"/>
              <w:bottom w:val="nil"/>
              <w:right w:val="nil"/>
            </w:tcBorders>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Kampung Kadu Gundul, RT/RW. 004/001</w:t>
            </w:r>
          </w:p>
        </w:tc>
        <w:tc>
          <w:tcPr>
            <w:tcW w:w="2126"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2</w:t>
            </w:r>
          </w:p>
        </w:tc>
      </w:tr>
      <w:tr w:rsidR="00E00E53">
        <w:trPr>
          <w:trHeight w:val="397"/>
        </w:trPr>
        <w:tc>
          <w:tcPr>
            <w:tcW w:w="708"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4</w:t>
            </w:r>
          </w:p>
        </w:tc>
        <w:tc>
          <w:tcPr>
            <w:tcW w:w="4678" w:type="dxa"/>
            <w:tcBorders>
              <w:top w:val="nil"/>
              <w:left w:val="nil"/>
              <w:bottom w:val="nil"/>
              <w:right w:val="nil"/>
            </w:tcBorders>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Kampung Asem, RT/RW. 009/002</w:t>
            </w:r>
          </w:p>
        </w:tc>
        <w:tc>
          <w:tcPr>
            <w:tcW w:w="2126"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4</w:t>
            </w:r>
          </w:p>
        </w:tc>
      </w:tr>
      <w:tr w:rsidR="00E00E53">
        <w:trPr>
          <w:trHeight w:val="397"/>
        </w:trPr>
        <w:tc>
          <w:tcPr>
            <w:tcW w:w="708"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5</w:t>
            </w:r>
          </w:p>
        </w:tc>
        <w:tc>
          <w:tcPr>
            <w:tcW w:w="4678" w:type="dxa"/>
            <w:tcBorders>
              <w:top w:val="nil"/>
              <w:left w:val="nil"/>
              <w:bottom w:val="nil"/>
              <w:right w:val="nil"/>
            </w:tcBorders>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Kampung Seuat Encle, RT/RW. 002/001</w:t>
            </w:r>
          </w:p>
        </w:tc>
        <w:tc>
          <w:tcPr>
            <w:tcW w:w="2126"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3</w:t>
            </w:r>
          </w:p>
        </w:tc>
      </w:tr>
      <w:tr w:rsidR="00E00E53">
        <w:trPr>
          <w:trHeight w:val="397"/>
        </w:trPr>
        <w:tc>
          <w:tcPr>
            <w:tcW w:w="708"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6</w:t>
            </w:r>
          </w:p>
        </w:tc>
        <w:tc>
          <w:tcPr>
            <w:tcW w:w="4678" w:type="dxa"/>
            <w:tcBorders>
              <w:top w:val="nil"/>
              <w:left w:val="nil"/>
              <w:bottom w:val="nil"/>
              <w:right w:val="nil"/>
            </w:tcBorders>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Kampung Sumampir Pulo, RT/RW. 12/03</w:t>
            </w:r>
          </w:p>
        </w:tc>
        <w:tc>
          <w:tcPr>
            <w:tcW w:w="2126"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3</w:t>
            </w:r>
          </w:p>
        </w:tc>
      </w:tr>
      <w:tr w:rsidR="00E00E53">
        <w:trPr>
          <w:trHeight w:val="397"/>
        </w:trPr>
        <w:tc>
          <w:tcPr>
            <w:tcW w:w="708"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 xml:space="preserve">7 </w:t>
            </w:r>
          </w:p>
        </w:tc>
        <w:tc>
          <w:tcPr>
            <w:tcW w:w="4678" w:type="dxa"/>
            <w:tcBorders>
              <w:top w:val="nil"/>
              <w:left w:val="nil"/>
              <w:bottom w:val="nil"/>
              <w:right w:val="nil"/>
            </w:tcBorders>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Kampung Sumampir Sidamukti, RT/RW. 014/003</w:t>
            </w:r>
          </w:p>
        </w:tc>
        <w:tc>
          <w:tcPr>
            <w:tcW w:w="2126"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1</w:t>
            </w:r>
          </w:p>
        </w:tc>
      </w:tr>
      <w:tr w:rsidR="00E00E53">
        <w:trPr>
          <w:trHeight w:val="397"/>
        </w:trPr>
        <w:tc>
          <w:tcPr>
            <w:tcW w:w="708"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 xml:space="preserve">8 </w:t>
            </w:r>
          </w:p>
        </w:tc>
        <w:tc>
          <w:tcPr>
            <w:tcW w:w="4678" w:type="dxa"/>
            <w:tcBorders>
              <w:top w:val="nil"/>
              <w:left w:val="nil"/>
              <w:bottom w:val="nil"/>
              <w:right w:val="nil"/>
            </w:tcBorders>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Kampung Seuat Paniis, RT/RW. 007/002</w:t>
            </w:r>
          </w:p>
        </w:tc>
        <w:tc>
          <w:tcPr>
            <w:tcW w:w="2126"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7</w:t>
            </w:r>
          </w:p>
        </w:tc>
      </w:tr>
      <w:tr w:rsidR="00E00E53">
        <w:trPr>
          <w:trHeight w:val="397"/>
        </w:trPr>
        <w:tc>
          <w:tcPr>
            <w:tcW w:w="708"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9</w:t>
            </w:r>
          </w:p>
        </w:tc>
        <w:tc>
          <w:tcPr>
            <w:tcW w:w="4678" w:type="dxa"/>
            <w:tcBorders>
              <w:top w:val="nil"/>
              <w:left w:val="nil"/>
              <w:bottom w:val="nil"/>
              <w:right w:val="nil"/>
            </w:tcBorders>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Kampung Seuat Hilir, RT/RW. 001/001</w:t>
            </w:r>
          </w:p>
        </w:tc>
        <w:tc>
          <w:tcPr>
            <w:tcW w:w="2126"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1</w:t>
            </w:r>
          </w:p>
        </w:tc>
      </w:tr>
      <w:tr w:rsidR="00E00E53">
        <w:trPr>
          <w:trHeight w:val="397"/>
        </w:trPr>
        <w:tc>
          <w:tcPr>
            <w:tcW w:w="708"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10</w:t>
            </w:r>
          </w:p>
        </w:tc>
        <w:tc>
          <w:tcPr>
            <w:tcW w:w="4678" w:type="dxa"/>
            <w:tcBorders>
              <w:top w:val="nil"/>
              <w:left w:val="nil"/>
              <w:bottom w:val="nil"/>
              <w:right w:val="nil"/>
            </w:tcBorders>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Kampung Sumampir Masjid, RT/RW. 011/003</w:t>
            </w:r>
          </w:p>
        </w:tc>
        <w:tc>
          <w:tcPr>
            <w:tcW w:w="2126"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1</w:t>
            </w:r>
          </w:p>
        </w:tc>
      </w:tr>
      <w:tr w:rsidR="00E00E53">
        <w:trPr>
          <w:trHeight w:val="397"/>
        </w:trPr>
        <w:tc>
          <w:tcPr>
            <w:tcW w:w="708"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11</w:t>
            </w:r>
          </w:p>
        </w:tc>
        <w:tc>
          <w:tcPr>
            <w:tcW w:w="4678" w:type="dxa"/>
            <w:tcBorders>
              <w:top w:val="nil"/>
              <w:left w:val="nil"/>
              <w:bottom w:val="nil"/>
              <w:right w:val="nil"/>
            </w:tcBorders>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Kampung Seuat Masjid, RT/RW. 005/002</w:t>
            </w:r>
          </w:p>
        </w:tc>
        <w:tc>
          <w:tcPr>
            <w:tcW w:w="2126"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15</w:t>
            </w:r>
          </w:p>
        </w:tc>
      </w:tr>
      <w:tr w:rsidR="00E00E53">
        <w:trPr>
          <w:trHeight w:val="106"/>
        </w:trPr>
        <w:tc>
          <w:tcPr>
            <w:tcW w:w="708" w:type="dxa"/>
            <w:tcBorders>
              <w:top w:val="nil"/>
              <w:left w:val="nil"/>
              <w:bottom w:val="single" w:sz="4" w:space="0" w:color="000000"/>
              <w:right w:val="nil"/>
            </w:tcBorders>
            <w:vAlign w:val="center"/>
          </w:tcPr>
          <w:p w:rsidR="00E00E53" w:rsidRDefault="00E00E53">
            <w:pPr>
              <w:widowControl w:val="0"/>
              <w:spacing w:after="0" w:line="240" w:lineRule="auto"/>
              <w:ind w:left="100"/>
              <w:jc w:val="center"/>
              <w:rPr>
                <w:rFonts w:ascii="Book Antiqua" w:eastAsia="Book Antiqua" w:hAnsi="Book Antiqua" w:cs="Book Antiqua"/>
                <w:sz w:val="24"/>
                <w:szCs w:val="24"/>
              </w:rPr>
            </w:pPr>
          </w:p>
        </w:tc>
        <w:tc>
          <w:tcPr>
            <w:tcW w:w="4678" w:type="dxa"/>
            <w:tcBorders>
              <w:top w:val="nil"/>
              <w:left w:val="nil"/>
              <w:bottom w:val="single" w:sz="4" w:space="0" w:color="000000"/>
              <w:right w:val="nil"/>
            </w:tcBorders>
            <w:vAlign w:val="center"/>
          </w:tcPr>
          <w:p w:rsidR="00E00E53" w:rsidRDefault="00E00E53">
            <w:pPr>
              <w:widowControl w:val="0"/>
              <w:spacing w:after="0" w:line="240" w:lineRule="auto"/>
              <w:rPr>
                <w:rFonts w:ascii="Book Antiqua" w:eastAsia="Book Antiqua" w:hAnsi="Book Antiqua" w:cs="Book Antiqua"/>
                <w:sz w:val="24"/>
                <w:szCs w:val="24"/>
              </w:rPr>
            </w:pPr>
          </w:p>
        </w:tc>
        <w:tc>
          <w:tcPr>
            <w:tcW w:w="2126" w:type="dxa"/>
            <w:tcBorders>
              <w:top w:val="nil"/>
              <w:left w:val="nil"/>
              <w:bottom w:val="single" w:sz="4" w:space="0" w:color="000000"/>
              <w:right w:val="nil"/>
            </w:tcBorders>
            <w:vAlign w:val="center"/>
          </w:tcPr>
          <w:p w:rsidR="00E00E53" w:rsidRDefault="00E00E53">
            <w:pPr>
              <w:widowControl w:val="0"/>
              <w:spacing w:after="0" w:line="240" w:lineRule="auto"/>
              <w:ind w:left="201"/>
              <w:jc w:val="center"/>
              <w:rPr>
                <w:rFonts w:ascii="Book Antiqua" w:eastAsia="Book Antiqua" w:hAnsi="Book Antiqua" w:cs="Book Antiqua"/>
                <w:sz w:val="24"/>
                <w:szCs w:val="24"/>
              </w:rPr>
            </w:pPr>
          </w:p>
        </w:tc>
      </w:tr>
    </w:tbl>
    <w:p w:rsidR="00E00E53" w:rsidRDefault="00270AAC">
      <w:pPr>
        <w:widowControl w:val="0"/>
        <w:spacing w:after="0" w:line="240" w:lineRule="auto"/>
        <w:ind w:left="141" w:right="1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Source: Regional Cultural Thoughts of Serang Regency 2024</w:t>
      </w:r>
      <w:r>
        <w:rPr>
          <w:rFonts w:ascii="Book Antiqua" w:eastAsia="Book Antiqua" w:hAnsi="Book Antiqua" w:cs="Book Antiqua"/>
          <w:color w:val="363435"/>
          <w:sz w:val="24"/>
          <w:szCs w:val="24"/>
          <w:vertAlign w:val="superscript"/>
        </w:rPr>
        <w:footnoteReference w:id="20"/>
      </w:r>
    </w:p>
    <w:p w:rsidR="00E00E53" w:rsidRDefault="00E00E53">
      <w:pPr>
        <w:widowControl w:val="0"/>
        <w:spacing w:after="0" w:line="240" w:lineRule="auto"/>
        <w:ind w:left="141" w:right="114"/>
        <w:jc w:val="center"/>
        <w:rPr>
          <w:rFonts w:ascii="Times New Roman" w:eastAsia="Times New Roman" w:hAnsi="Times New Roman" w:cs="Times New Roman"/>
          <w:sz w:val="14"/>
          <w:szCs w:val="14"/>
        </w:rPr>
      </w:pPr>
    </w:p>
    <w:p w:rsidR="00E00E53" w:rsidRPr="00C03B9B" w:rsidRDefault="00270AAC">
      <w:pPr>
        <w:pBdr>
          <w:top w:val="nil"/>
          <w:left w:val="nil"/>
          <w:bottom w:val="nil"/>
          <w:right w:val="nil"/>
          <w:between w:val="nil"/>
        </w:pBdr>
        <w:spacing w:after="0" w:line="240" w:lineRule="auto"/>
        <w:ind w:firstLine="426"/>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The information above demonstrates that Golok Seuat's preservation has been upheld for many generations. There are a lot of Golok Seuat craftsmen </w:t>
      </w:r>
      <w:r>
        <w:rPr>
          <w:rFonts w:ascii="Book Antiqua" w:eastAsia="Book Antiqua" w:hAnsi="Book Antiqua" w:cs="Book Antiqua"/>
          <w:color w:val="000000"/>
          <w:sz w:val="24"/>
          <w:szCs w:val="24"/>
        </w:rPr>
        <w:lastRenderedPageBreak/>
        <w:t xml:space="preserve">spread out throughout Seuat Village and Seuat Jaya Village. It may be claimed that </w:t>
      </w:r>
      <w:proofErr w:type="spellStart"/>
      <w:r>
        <w:rPr>
          <w:rFonts w:ascii="Book Antiqua" w:eastAsia="Book Antiqua" w:hAnsi="Book Antiqua" w:cs="Book Antiqua"/>
          <w:color w:val="000000"/>
          <w:sz w:val="24"/>
          <w:szCs w:val="24"/>
        </w:rPr>
        <w:t>Golok</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Seuat</w:t>
      </w:r>
      <w:proofErr w:type="spellEnd"/>
      <w:r>
        <w:rPr>
          <w:rFonts w:ascii="Book Antiqua" w:eastAsia="Book Antiqua" w:hAnsi="Book Antiqua" w:cs="Book Antiqua"/>
          <w:color w:val="000000"/>
          <w:sz w:val="24"/>
          <w:szCs w:val="24"/>
        </w:rPr>
        <w:t xml:space="preserve"> </w:t>
      </w:r>
      <w:r w:rsidR="00C03B9B">
        <w:rPr>
          <w:rFonts w:ascii="Book Antiqua" w:eastAsia="Book Antiqua" w:hAnsi="Book Antiqua" w:cs="Book Antiqua"/>
          <w:color w:val="000000"/>
          <w:sz w:val="24"/>
          <w:szCs w:val="24"/>
        </w:rPr>
        <w:t>craftsmen</w:t>
      </w:r>
      <w:r>
        <w:rPr>
          <w:rFonts w:ascii="Book Antiqua" w:eastAsia="Book Antiqua" w:hAnsi="Book Antiqua" w:cs="Book Antiqua"/>
          <w:color w:val="000000"/>
          <w:sz w:val="24"/>
          <w:szCs w:val="24"/>
        </w:rPr>
        <w:t xml:space="preserve"> are equally distributed across Seuat Village and Seuat Jaya Village. Aside from that, the Golok Seuat has a distinctive blade and a better, more organised machete, which give it a special charm. Without altering its inherent qualities, </w:t>
      </w:r>
      <w:proofErr w:type="spellStart"/>
      <w:r>
        <w:rPr>
          <w:rFonts w:ascii="Book Antiqua" w:eastAsia="Book Antiqua" w:hAnsi="Book Antiqua" w:cs="Book Antiqua"/>
          <w:color w:val="000000"/>
          <w:sz w:val="24"/>
          <w:szCs w:val="24"/>
        </w:rPr>
        <w:t>Golok</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Seuat</w:t>
      </w:r>
      <w:proofErr w:type="spellEnd"/>
      <w:r>
        <w:rPr>
          <w:rFonts w:ascii="Book Antiqua" w:eastAsia="Book Antiqua" w:hAnsi="Book Antiqua" w:cs="Book Antiqua"/>
          <w:color w:val="000000"/>
          <w:sz w:val="24"/>
          <w:szCs w:val="24"/>
        </w:rPr>
        <w:t xml:space="preserve"> </w:t>
      </w:r>
      <w:r w:rsidR="00C03B9B">
        <w:rPr>
          <w:rFonts w:ascii="Book Antiqua" w:eastAsia="Book Antiqua" w:hAnsi="Book Antiqua" w:cs="Book Antiqua"/>
          <w:color w:val="000000"/>
          <w:sz w:val="24"/>
          <w:szCs w:val="24"/>
        </w:rPr>
        <w:t>craftsmen</w:t>
      </w:r>
      <w:r>
        <w:rPr>
          <w:rFonts w:ascii="Book Antiqua" w:eastAsia="Book Antiqua" w:hAnsi="Book Antiqua" w:cs="Book Antiqua"/>
          <w:color w:val="000000"/>
          <w:sz w:val="24"/>
          <w:szCs w:val="24"/>
        </w:rPr>
        <w:t xml:space="preserve"> are actively working to improve its appearance. As previously said, the growth of Golok Seuat </w:t>
      </w:r>
      <w:r w:rsidR="00C03B9B">
        <w:rPr>
          <w:rFonts w:ascii="Book Antiqua" w:eastAsia="Book Antiqua" w:hAnsi="Book Antiqua" w:cs="Book Antiqua"/>
          <w:color w:val="000000"/>
          <w:sz w:val="24"/>
          <w:szCs w:val="24"/>
        </w:rPr>
        <w:t>craftsmen</w:t>
      </w:r>
      <w:r>
        <w:rPr>
          <w:rFonts w:ascii="Book Antiqua" w:eastAsia="Book Antiqua" w:hAnsi="Book Antiqua" w:cs="Book Antiqua"/>
          <w:color w:val="000000"/>
          <w:sz w:val="24"/>
          <w:szCs w:val="24"/>
        </w:rPr>
        <w:t xml:space="preserve"> may create the possibility for </w:t>
      </w:r>
      <w:r w:rsidR="00CF3467" w:rsidRPr="00C03B9B">
        <w:rPr>
          <w:rFonts w:ascii="Book Antiqua" w:eastAsia="Book Antiqua" w:hAnsi="Book Antiqua" w:cs="Book Antiqua"/>
          <w:color w:val="000000"/>
          <w:sz w:val="24"/>
          <w:szCs w:val="24"/>
        </w:rPr>
        <w:t xml:space="preserve">communal intellectual </w:t>
      </w:r>
      <w:proofErr w:type="gramStart"/>
      <w:r w:rsidR="00CF3467" w:rsidRPr="00C03B9B">
        <w:rPr>
          <w:rFonts w:ascii="Book Antiqua" w:eastAsia="Book Antiqua" w:hAnsi="Book Antiqua" w:cs="Book Antiqua"/>
          <w:color w:val="000000"/>
          <w:sz w:val="24"/>
          <w:szCs w:val="24"/>
        </w:rPr>
        <w:t>property b</w:t>
      </w:r>
      <w:r w:rsidRPr="00C03B9B">
        <w:rPr>
          <w:rFonts w:ascii="Book Antiqua" w:eastAsia="Book Antiqua" w:hAnsi="Book Antiqua" w:cs="Book Antiqua"/>
          <w:color w:val="000000"/>
          <w:sz w:val="24"/>
          <w:szCs w:val="24"/>
        </w:rPr>
        <w:t>ased</w:t>
      </w:r>
      <w:proofErr w:type="gramEnd"/>
      <w:r w:rsidRPr="00C03B9B">
        <w:rPr>
          <w:rFonts w:ascii="Book Antiqua" w:eastAsia="Book Antiqua" w:hAnsi="Book Antiqua" w:cs="Book Antiqua"/>
          <w:color w:val="000000"/>
          <w:sz w:val="24"/>
          <w:szCs w:val="24"/>
        </w:rPr>
        <w:t xml:space="preserve"> goods, which, due to their distinctiveness and specific qualities.</w:t>
      </w:r>
    </w:p>
    <w:p w:rsidR="00E00E53" w:rsidRPr="00C03B9B" w:rsidRDefault="00185F93">
      <w:pPr>
        <w:pBdr>
          <w:top w:val="nil"/>
          <w:left w:val="nil"/>
          <w:bottom w:val="nil"/>
          <w:right w:val="nil"/>
          <w:between w:val="nil"/>
        </w:pBdr>
        <w:spacing w:after="0" w:line="240" w:lineRule="auto"/>
        <w:ind w:firstLine="426"/>
        <w:jc w:val="both"/>
        <w:rPr>
          <w:rFonts w:ascii="Book Antiqua" w:eastAsia="Book Antiqua" w:hAnsi="Book Antiqua" w:cs="Book Antiqua"/>
          <w:color w:val="000000"/>
          <w:sz w:val="24"/>
          <w:szCs w:val="24"/>
        </w:rPr>
      </w:pPr>
      <w:r w:rsidRPr="00185F93">
        <w:rPr>
          <w:rFonts w:ascii="Book Antiqua" w:eastAsia="Book Antiqua" w:hAnsi="Book Antiqua" w:cs="Book Antiqua"/>
          <w:color w:val="000000"/>
          <w:sz w:val="24"/>
          <w:szCs w:val="24"/>
        </w:rPr>
        <w:t>Regulation of the Minister of Home Affairs Number 9 of 2014 concerning Guidelines for the Development of Leading Products</w:t>
      </w:r>
      <w:r w:rsidR="00270AAC" w:rsidRPr="00C03B9B">
        <w:rPr>
          <w:rFonts w:ascii="Book Antiqua" w:eastAsia="Book Antiqua" w:hAnsi="Book Antiqua" w:cs="Book Antiqua"/>
          <w:color w:val="000000"/>
          <w:sz w:val="24"/>
          <w:szCs w:val="24"/>
        </w:rPr>
        <w:t xml:space="preserve"> outlines guidelines for the development of regionally featured products and includes regulations pertaining to </w:t>
      </w:r>
      <w:r w:rsidR="00211BEC" w:rsidRPr="00C03B9B">
        <w:rPr>
          <w:rFonts w:ascii="Book Antiqua" w:eastAsia="Book Antiqua" w:hAnsi="Book Antiqua" w:cs="Book Antiqua"/>
          <w:color w:val="000000"/>
          <w:sz w:val="24"/>
          <w:szCs w:val="24"/>
        </w:rPr>
        <w:t>regional superior product</w:t>
      </w:r>
      <w:r w:rsidR="00270AAC" w:rsidRPr="00C03B9B">
        <w:rPr>
          <w:rFonts w:ascii="Book Antiqua" w:eastAsia="Book Antiqua" w:hAnsi="Book Antiqua" w:cs="Book Antiqua"/>
          <w:color w:val="000000"/>
          <w:sz w:val="24"/>
          <w:szCs w:val="24"/>
        </w:rPr>
        <w:t xml:space="preserve">. </w:t>
      </w:r>
      <w:r w:rsidR="00211BEC" w:rsidRPr="00C03B9B">
        <w:rPr>
          <w:rFonts w:ascii="Book Antiqua" w:eastAsia="Book Antiqua" w:hAnsi="Book Antiqua" w:cs="Book Antiqua"/>
          <w:color w:val="000000"/>
          <w:sz w:val="24"/>
          <w:szCs w:val="24"/>
        </w:rPr>
        <w:t>Regional superior product</w:t>
      </w:r>
      <w:r w:rsidR="00270AAC" w:rsidRPr="00C03B9B">
        <w:rPr>
          <w:rFonts w:ascii="Book Antiqua" w:eastAsia="Book Antiqua" w:hAnsi="Book Antiqua" w:cs="Book Antiqua"/>
          <w:color w:val="000000"/>
          <w:sz w:val="24"/>
          <w:szCs w:val="24"/>
        </w:rPr>
        <w:t xml:space="preserve"> is defined as a product, in the form of goods or services, produced by cooperatives, small and medium-sized businesses, and local communities that have the potential to use all the resources owned by the region in order to generate income for the region and local communities that own it. This definition is contained in Article 1 Paragraph 2 of Minister of Home Affairs Regulation Number 9 of 2014. Competitiveness as well as a desire to join the international market. </w:t>
      </w:r>
      <w:r w:rsidR="00211BEC" w:rsidRPr="00C03B9B">
        <w:rPr>
          <w:rFonts w:ascii="Book Antiqua" w:eastAsia="Book Antiqua" w:hAnsi="Book Antiqua" w:cs="Book Antiqua"/>
          <w:color w:val="000000"/>
          <w:sz w:val="24"/>
          <w:szCs w:val="24"/>
        </w:rPr>
        <w:t xml:space="preserve">Regional superior product </w:t>
      </w:r>
      <w:r w:rsidR="00270AAC" w:rsidRPr="00C03B9B">
        <w:rPr>
          <w:rFonts w:ascii="Book Antiqua" w:eastAsia="Book Antiqua" w:hAnsi="Book Antiqua" w:cs="Book Antiqua"/>
          <w:color w:val="000000"/>
          <w:sz w:val="24"/>
          <w:szCs w:val="24"/>
        </w:rPr>
        <w:t>is a legislative tool that promotes Golok Seuat as a means of revenue for local governments as well as the community, particularly for crafts</w:t>
      </w:r>
      <w:r w:rsidR="00C03B9B">
        <w:rPr>
          <w:rFonts w:ascii="Book Antiqua" w:eastAsia="Book Antiqua" w:hAnsi="Book Antiqua" w:cs="Book Antiqua"/>
          <w:color w:val="000000"/>
          <w:sz w:val="24"/>
          <w:szCs w:val="24"/>
        </w:rPr>
        <w:t>men.</w:t>
      </w:r>
    </w:p>
    <w:p w:rsidR="00E00E53" w:rsidRPr="00C03B9B" w:rsidRDefault="00E00E53">
      <w:pPr>
        <w:pBdr>
          <w:top w:val="nil"/>
          <w:left w:val="nil"/>
          <w:bottom w:val="nil"/>
          <w:right w:val="nil"/>
          <w:between w:val="nil"/>
        </w:pBdr>
        <w:spacing w:after="0" w:line="240" w:lineRule="auto"/>
        <w:ind w:firstLine="426"/>
        <w:jc w:val="both"/>
        <w:rPr>
          <w:rFonts w:ascii="Book Antiqua" w:eastAsia="Book Antiqua" w:hAnsi="Book Antiqua" w:cs="Book Antiqua"/>
          <w:color w:val="000000"/>
          <w:sz w:val="14"/>
          <w:szCs w:val="14"/>
        </w:rPr>
      </w:pPr>
    </w:p>
    <w:p w:rsidR="00E00E53" w:rsidRDefault="00270AAC">
      <w:pPr>
        <w:pStyle w:val="Heading1"/>
        <w:spacing w:before="0" w:after="0" w:line="240" w:lineRule="auto"/>
        <w:ind w:left="425" w:hanging="425"/>
        <w:jc w:val="both"/>
        <w:rPr>
          <w:rFonts w:ascii="Book Antiqua" w:eastAsia="Book Antiqua" w:hAnsi="Book Antiqua" w:cs="Book Antiqua"/>
          <w:b/>
          <w:color w:val="C00000"/>
          <w:sz w:val="24"/>
          <w:szCs w:val="24"/>
        </w:rPr>
      </w:pPr>
      <w:r>
        <w:rPr>
          <w:rFonts w:ascii="Book Antiqua" w:eastAsia="Book Antiqua" w:hAnsi="Book Antiqua" w:cs="Book Antiqua"/>
          <w:b/>
          <w:color w:val="C00000"/>
          <w:sz w:val="24"/>
          <w:szCs w:val="24"/>
        </w:rPr>
        <w:t>3.2.</w:t>
      </w:r>
      <w:r>
        <w:rPr>
          <w:rFonts w:ascii="Book Antiqua" w:eastAsia="Book Antiqua" w:hAnsi="Book Antiqua" w:cs="Book Antiqua"/>
          <w:b/>
          <w:color w:val="C00000"/>
          <w:sz w:val="24"/>
          <w:szCs w:val="24"/>
        </w:rPr>
        <w:tab/>
        <w:t>Silat Bandrong</w:t>
      </w:r>
    </w:p>
    <w:p w:rsidR="00E00E53" w:rsidRDefault="00270AAC">
      <w:pPr>
        <w:spacing w:after="0" w:line="240" w:lineRule="auto"/>
        <w:ind w:firstLine="425"/>
        <w:jc w:val="both"/>
        <w:rPr>
          <w:rFonts w:ascii="Book Antiqua" w:eastAsia="Book Antiqua" w:hAnsi="Book Antiqua" w:cs="Book Antiqua"/>
          <w:sz w:val="24"/>
          <w:szCs w:val="24"/>
        </w:rPr>
      </w:pPr>
      <w:r>
        <w:rPr>
          <w:rFonts w:ascii="Book Antiqua" w:eastAsia="Book Antiqua" w:hAnsi="Book Antiqua" w:cs="Book Antiqua"/>
          <w:sz w:val="24"/>
          <w:szCs w:val="24"/>
        </w:rPr>
        <w:t>Silat Bandrong is a cultural heritage of Banten's original pencak silat which has been known since the founding of the Islamic Kingdom in Banten. Historically, Silat Bandrong was born around 1500 AD, that is, before the founding of the Banten Sultanate. The figure who is known to have first spread this sect was a Kiai named Ki Agus Jo, known as Ki Beji. He was famous as a Kiai and warrior and was a Bandrong professor who lived on one of the slopes of Mount Santri. Each Pencak Silat has its own style. All movements performed by Pesilat Bandrong are Bandrong movements which consist of 6 basic moves and 27 basic movements of Silat Bandrong Steps.</w:t>
      </w:r>
      <w:r>
        <w:rPr>
          <w:rFonts w:ascii="Book Antiqua" w:eastAsia="Book Antiqua" w:hAnsi="Book Antiqua" w:cs="Book Antiqua"/>
          <w:sz w:val="24"/>
          <w:szCs w:val="24"/>
          <w:vertAlign w:val="superscript"/>
        </w:rPr>
        <w:footnoteReference w:id="21"/>
      </w:r>
      <w:r>
        <w:rPr>
          <w:rFonts w:ascii="Book Antiqua" w:eastAsia="Book Antiqua" w:hAnsi="Book Antiqua" w:cs="Book Antiqua"/>
          <w:sz w:val="24"/>
          <w:szCs w:val="24"/>
        </w:rPr>
        <w:t xml:space="preserve"> It is known that Silat Bandrong is distributed throughout the following regions in Serang Regency.</w:t>
      </w:r>
    </w:p>
    <w:p w:rsidR="00E00E53" w:rsidRDefault="00E00E53">
      <w:pPr>
        <w:spacing w:after="0" w:line="240" w:lineRule="auto"/>
        <w:ind w:firstLine="425"/>
        <w:jc w:val="both"/>
        <w:rPr>
          <w:rFonts w:ascii="Book Antiqua" w:eastAsia="Book Antiqua" w:hAnsi="Book Antiqua" w:cs="Book Antiqua"/>
          <w:sz w:val="14"/>
          <w:szCs w:val="14"/>
        </w:rPr>
      </w:pPr>
    </w:p>
    <w:p w:rsidR="00E00E53" w:rsidRDefault="00270AAC">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Table 3. </w:t>
      </w:r>
      <w:r>
        <w:rPr>
          <w:rFonts w:ascii="Book Antiqua" w:eastAsia="Book Antiqua" w:hAnsi="Book Antiqua" w:cs="Book Antiqua"/>
          <w:sz w:val="24"/>
          <w:szCs w:val="24"/>
        </w:rPr>
        <w:t>Data for the Hermitage Silat Bandrong in Serang Regency</w:t>
      </w:r>
    </w:p>
    <w:tbl>
      <w:tblPr>
        <w:tblStyle w:val="a8"/>
        <w:tblW w:w="737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4167"/>
        <w:gridCol w:w="2409"/>
      </w:tblGrid>
      <w:tr w:rsidR="00E00E53">
        <w:trPr>
          <w:trHeight w:val="397"/>
        </w:trPr>
        <w:tc>
          <w:tcPr>
            <w:tcW w:w="795" w:type="dxa"/>
            <w:tcBorders>
              <w:top w:val="single" w:sz="4" w:space="0" w:color="000000"/>
              <w:left w:val="nil"/>
              <w:bottom w:val="single" w:sz="4" w:space="0" w:color="000000"/>
              <w:right w:val="nil"/>
            </w:tcBorders>
            <w:vAlign w:val="center"/>
          </w:tcPr>
          <w:p w:rsidR="00E00E53" w:rsidRDefault="00270AAC">
            <w:pPr>
              <w:widowControl w:val="0"/>
              <w:spacing w:after="0" w:line="240" w:lineRule="auto"/>
              <w:ind w:left="142"/>
              <w:jc w:val="center"/>
              <w:rPr>
                <w:rFonts w:ascii="Book Antiqua" w:eastAsia="Book Antiqua" w:hAnsi="Book Antiqua" w:cs="Book Antiqua"/>
                <w:b/>
                <w:sz w:val="24"/>
                <w:szCs w:val="24"/>
              </w:rPr>
            </w:pPr>
            <w:r>
              <w:rPr>
                <w:rFonts w:ascii="Book Antiqua" w:eastAsia="Book Antiqua" w:hAnsi="Book Antiqua" w:cs="Book Antiqua"/>
                <w:b/>
                <w:sz w:val="24"/>
                <w:szCs w:val="24"/>
              </w:rPr>
              <w:t>No</w:t>
            </w:r>
          </w:p>
        </w:tc>
        <w:tc>
          <w:tcPr>
            <w:tcW w:w="4167" w:type="dxa"/>
            <w:tcBorders>
              <w:top w:val="single" w:sz="4" w:space="0" w:color="000000"/>
              <w:left w:val="nil"/>
              <w:bottom w:val="single" w:sz="4" w:space="0" w:color="000000"/>
              <w:right w:val="nil"/>
            </w:tcBorders>
            <w:vAlign w:val="center"/>
          </w:tcPr>
          <w:p w:rsidR="00E00E53" w:rsidRDefault="00270AAC">
            <w:pPr>
              <w:widowControl w:val="0"/>
              <w:spacing w:after="0" w:line="240" w:lineRule="auto"/>
              <w:ind w:left="142"/>
              <w:jc w:val="center"/>
              <w:rPr>
                <w:rFonts w:ascii="Book Antiqua" w:eastAsia="Book Antiqua" w:hAnsi="Book Antiqua" w:cs="Book Antiqua"/>
                <w:sz w:val="24"/>
                <w:szCs w:val="24"/>
              </w:rPr>
            </w:pPr>
            <w:r>
              <w:rPr>
                <w:rFonts w:ascii="Book Antiqua" w:eastAsia="Book Antiqua" w:hAnsi="Book Antiqua" w:cs="Book Antiqua"/>
                <w:b/>
                <w:sz w:val="24"/>
                <w:szCs w:val="24"/>
              </w:rPr>
              <w:t xml:space="preserve">Location </w:t>
            </w:r>
          </w:p>
        </w:tc>
        <w:tc>
          <w:tcPr>
            <w:tcW w:w="2409" w:type="dxa"/>
            <w:tcBorders>
              <w:top w:val="single" w:sz="4" w:space="0" w:color="000000"/>
              <w:left w:val="nil"/>
              <w:bottom w:val="single" w:sz="4" w:space="0" w:color="000000"/>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b/>
                <w:sz w:val="24"/>
                <w:szCs w:val="24"/>
              </w:rPr>
              <w:t>Number of Hermitage Member</w:t>
            </w:r>
          </w:p>
        </w:tc>
      </w:tr>
      <w:tr w:rsidR="00E00E53">
        <w:trPr>
          <w:trHeight w:val="440"/>
        </w:trPr>
        <w:tc>
          <w:tcPr>
            <w:tcW w:w="795" w:type="dxa"/>
            <w:tcBorders>
              <w:top w:val="single" w:sz="4" w:space="0" w:color="000000"/>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1</w:t>
            </w:r>
          </w:p>
        </w:tc>
        <w:tc>
          <w:tcPr>
            <w:tcW w:w="4167" w:type="dxa"/>
            <w:tcBorders>
              <w:top w:val="single" w:sz="4" w:space="0" w:color="000000"/>
              <w:left w:val="nil"/>
              <w:bottom w:val="nil"/>
              <w:right w:val="nil"/>
            </w:tcBorders>
            <w:vAlign w:val="center"/>
          </w:tcPr>
          <w:p w:rsidR="00E00E53" w:rsidRDefault="00270AAC">
            <w:pPr>
              <w:widowControl w:val="0"/>
              <w:spacing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Padepokan Tunas Muda, Kp. Kernaden, Desa Ukir sari, Kecamatan Bojonegara </w:t>
            </w:r>
          </w:p>
        </w:tc>
        <w:tc>
          <w:tcPr>
            <w:tcW w:w="2409" w:type="dxa"/>
            <w:tcBorders>
              <w:top w:val="single" w:sz="4" w:space="0" w:color="000000"/>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117</w:t>
            </w:r>
          </w:p>
        </w:tc>
      </w:tr>
      <w:tr w:rsidR="00E00E53">
        <w:trPr>
          <w:trHeight w:val="397"/>
        </w:trPr>
        <w:tc>
          <w:tcPr>
            <w:tcW w:w="795"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2</w:t>
            </w:r>
          </w:p>
        </w:tc>
        <w:tc>
          <w:tcPr>
            <w:tcW w:w="4167" w:type="dxa"/>
            <w:tcBorders>
              <w:top w:val="nil"/>
              <w:left w:val="nil"/>
              <w:bottom w:val="nil"/>
              <w:right w:val="nil"/>
            </w:tcBorders>
            <w:vAlign w:val="center"/>
          </w:tcPr>
          <w:p w:rsidR="00E00E53" w:rsidRDefault="00270AA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Padepokan Ki Beji Bojonegara, Kp. Beji, Desa Bojonegara</w:t>
            </w:r>
          </w:p>
        </w:tc>
        <w:tc>
          <w:tcPr>
            <w:tcW w:w="2409"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100</w:t>
            </w:r>
          </w:p>
        </w:tc>
      </w:tr>
      <w:tr w:rsidR="00E00E53">
        <w:trPr>
          <w:trHeight w:val="397"/>
        </w:trPr>
        <w:tc>
          <w:tcPr>
            <w:tcW w:w="795"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3</w:t>
            </w:r>
          </w:p>
        </w:tc>
        <w:tc>
          <w:tcPr>
            <w:tcW w:w="4167" w:type="dxa"/>
            <w:tcBorders>
              <w:top w:val="nil"/>
              <w:left w:val="nil"/>
              <w:bottom w:val="nil"/>
              <w:right w:val="nil"/>
            </w:tcBorders>
            <w:vAlign w:val="center"/>
          </w:tcPr>
          <w:p w:rsidR="00E00E53" w:rsidRDefault="00270AAC">
            <w:pPr>
              <w:spacing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Padepokan Cimande Maung, Kecamatan Kramatwatu</w:t>
            </w:r>
          </w:p>
        </w:tc>
        <w:tc>
          <w:tcPr>
            <w:tcW w:w="2409"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77</w:t>
            </w:r>
          </w:p>
        </w:tc>
      </w:tr>
      <w:tr w:rsidR="00E00E53">
        <w:trPr>
          <w:trHeight w:val="397"/>
        </w:trPr>
        <w:tc>
          <w:tcPr>
            <w:tcW w:w="795"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lastRenderedPageBreak/>
              <w:t>4</w:t>
            </w:r>
          </w:p>
        </w:tc>
        <w:tc>
          <w:tcPr>
            <w:tcW w:w="4167" w:type="dxa"/>
            <w:tcBorders>
              <w:top w:val="nil"/>
              <w:left w:val="nil"/>
              <w:bottom w:val="nil"/>
              <w:right w:val="nil"/>
            </w:tcBorders>
            <w:vAlign w:val="center"/>
          </w:tcPr>
          <w:p w:rsidR="00E00E53" w:rsidRDefault="00270AA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Kampung Pagebangan, Desa Kepandean, Kecamatan Ciruas.</w:t>
            </w:r>
          </w:p>
        </w:tc>
        <w:tc>
          <w:tcPr>
            <w:tcW w:w="2409"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150</w:t>
            </w:r>
          </w:p>
        </w:tc>
      </w:tr>
      <w:tr w:rsidR="00E00E53">
        <w:trPr>
          <w:trHeight w:val="41"/>
        </w:trPr>
        <w:tc>
          <w:tcPr>
            <w:tcW w:w="795" w:type="dxa"/>
            <w:tcBorders>
              <w:top w:val="nil"/>
              <w:left w:val="nil"/>
              <w:bottom w:val="single" w:sz="4" w:space="0" w:color="000000"/>
              <w:right w:val="nil"/>
            </w:tcBorders>
            <w:vAlign w:val="center"/>
          </w:tcPr>
          <w:p w:rsidR="00E00E53" w:rsidRDefault="00E00E53">
            <w:pPr>
              <w:widowControl w:val="0"/>
              <w:spacing w:after="0" w:line="240" w:lineRule="auto"/>
              <w:ind w:left="100"/>
              <w:jc w:val="center"/>
              <w:rPr>
                <w:rFonts w:ascii="Book Antiqua" w:eastAsia="Book Antiqua" w:hAnsi="Book Antiqua" w:cs="Book Antiqua"/>
                <w:sz w:val="2"/>
                <w:szCs w:val="2"/>
              </w:rPr>
            </w:pPr>
          </w:p>
        </w:tc>
        <w:tc>
          <w:tcPr>
            <w:tcW w:w="4167" w:type="dxa"/>
            <w:tcBorders>
              <w:top w:val="nil"/>
              <w:left w:val="nil"/>
              <w:bottom w:val="single" w:sz="4" w:space="0" w:color="000000"/>
              <w:right w:val="nil"/>
            </w:tcBorders>
            <w:vAlign w:val="center"/>
          </w:tcPr>
          <w:p w:rsidR="00E00E53" w:rsidRDefault="00E00E53">
            <w:pPr>
              <w:widowControl w:val="0"/>
              <w:spacing w:after="0" w:line="240" w:lineRule="auto"/>
              <w:ind w:left="100"/>
              <w:jc w:val="center"/>
              <w:rPr>
                <w:rFonts w:ascii="Book Antiqua" w:eastAsia="Book Antiqua" w:hAnsi="Book Antiqua" w:cs="Book Antiqua"/>
                <w:sz w:val="2"/>
                <w:szCs w:val="2"/>
              </w:rPr>
            </w:pPr>
          </w:p>
        </w:tc>
        <w:tc>
          <w:tcPr>
            <w:tcW w:w="2409" w:type="dxa"/>
            <w:tcBorders>
              <w:top w:val="nil"/>
              <w:left w:val="nil"/>
              <w:bottom w:val="single" w:sz="4" w:space="0" w:color="000000"/>
              <w:right w:val="nil"/>
            </w:tcBorders>
            <w:vAlign w:val="center"/>
          </w:tcPr>
          <w:p w:rsidR="00E00E53" w:rsidRDefault="00E00E53">
            <w:pPr>
              <w:widowControl w:val="0"/>
              <w:spacing w:after="0" w:line="240" w:lineRule="auto"/>
              <w:ind w:left="201"/>
              <w:jc w:val="center"/>
              <w:rPr>
                <w:rFonts w:ascii="Book Antiqua" w:eastAsia="Book Antiqua" w:hAnsi="Book Antiqua" w:cs="Book Antiqua"/>
                <w:sz w:val="2"/>
                <w:szCs w:val="2"/>
              </w:rPr>
            </w:pPr>
          </w:p>
        </w:tc>
      </w:tr>
    </w:tbl>
    <w:p w:rsidR="00E00E53" w:rsidRDefault="00270AAC">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t>Source: Regional Cultural Thoughts of Serang Regency 2024</w:t>
      </w:r>
    </w:p>
    <w:p w:rsidR="00E00E53" w:rsidRDefault="00E00E53">
      <w:pPr>
        <w:spacing w:after="0" w:line="240" w:lineRule="auto"/>
        <w:jc w:val="center"/>
        <w:rPr>
          <w:rFonts w:ascii="Book Antiqua" w:eastAsia="Book Antiqua" w:hAnsi="Book Antiqua" w:cs="Book Antiqua"/>
          <w:sz w:val="14"/>
          <w:szCs w:val="14"/>
        </w:rPr>
      </w:pPr>
    </w:p>
    <w:p w:rsidR="00E00E53" w:rsidRDefault="00270AAC">
      <w:pPr>
        <w:spacing w:after="0" w:line="240" w:lineRule="auto"/>
        <w:ind w:firstLine="425"/>
        <w:jc w:val="both"/>
        <w:rPr>
          <w:rFonts w:ascii="Book Antiqua" w:eastAsia="Book Antiqua" w:hAnsi="Book Antiqua" w:cs="Book Antiqua"/>
          <w:sz w:val="24"/>
          <w:szCs w:val="24"/>
        </w:rPr>
      </w:pPr>
      <w:r>
        <w:rPr>
          <w:rFonts w:ascii="Book Antiqua" w:eastAsia="Book Antiqua" w:hAnsi="Book Antiqua" w:cs="Book Antiqua"/>
          <w:sz w:val="24"/>
          <w:szCs w:val="24"/>
        </w:rPr>
        <w:t>According to the distribution above, it is known that Serang Regency only has four distribution locations, which are influenced by a number of factors. For instance, data indicates that there are very few activists, and in one hermitage, there are very few members—for instance, 150 (one hundred and fifty) people—in the Kigebang Padepokan. This is because the community enthusiasts in the area were less receptive to the existence of Pencak Silat Bandrong. The inability of the hermitage members to grasp the Bandrong Silat techniques—which combine power, dexterity, and beauty—is linked to their lack of responding interest. The quantity of Silat Bandrong hermitages in Serang Regency is unequal as a result of this circumstance. But in addition, the Pencak Silat Bandrong Kigebang, a hermitage entrusted with the Silat Bandrong Arts post, along with all the other Hermitage Silat Bandrong, are actively involved in both preserving the Silat Bandrong Arts and assisting in its development in the community. The distribution of these activists is shown in the table above. In Serang Regency, there is one in each sub district.</w:t>
      </w:r>
    </w:p>
    <w:p w:rsidR="00E00E53" w:rsidRDefault="00270AAC">
      <w:pPr>
        <w:spacing w:after="0" w:line="240" w:lineRule="auto"/>
        <w:ind w:firstLine="425"/>
        <w:jc w:val="both"/>
        <w:rPr>
          <w:rFonts w:ascii="Book Antiqua" w:eastAsia="Book Antiqua" w:hAnsi="Book Antiqua" w:cs="Book Antiqua"/>
          <w:sz w:val="24"/>
          <w:szCs w:val="24"/>
        </w:rPr>
      </w:pPr>
      <w:r>
        <w:rPr>
          <w:rFonts w:ascii="Book Antiqua" w:eastAsia="Book Antiqua" w:hAnsi="Book Antiqua" w:cs="Book Antiqua"/>
          <w:sz w:val="24"/>
          <w:szCs w:val="24"/>
        </w:rPr>
        <w:t>Primary data from respondents</w:t>
      </w:r>
      <w:r>
        <w:rPr>
          <w:rFonts w:ascii="Book Antiqua" w:eastAsia="Book Antiqua" w:hAnsi="Book Antiqua" w:cs="Book Antiqua"/>
          <w:sz w:val="24"/>
          <w:szCs w:val="24"/>
          <w:vertAlign w:val="superscript"/>
        </w:rPr>
        <w:footnoteReference w:id="22"/>
      </w:r>
      <w:r>
        <w:rPr>
          <w:rFonts w:ascii="Book Antiqua" w:eastAsia="Book Antiqua" w:hAnsi="Book Antiqua" w:cs="Book Antiqua"/>
          <w:sz w:val="24"/>
          <w:szCs w:val="24"/>
        </w:rPr>
        <w:t xml:space="preserve"> who is a Silat Bandrong activist from Hermitage Silat Bandrong Kigebang clarified that, as of late 2018, the centre has trusted Hermitage Silat Bandrong Kigebang to maintain and advance the art of Silat Bandrong. in order to guarantee the upkeep of Silat Bandrong. Additionally, the Hermitage of Silat Bandrong Kigebang conducts routine training. Typically, Silat Bandrong is performed at celebrations and cultural festivals. As of right now, only the Serang region is known to host performances of Silat Bandrong Art.</w:t>
      </w:r>
    </w:p>
    <w:p w:rsidR="00E00E53" w:rsidRDefault="00E00E53">
      <w:pPr>
        <w:spacing w:after="0" w:line="240" w:lineRule="auto"/>
        <w:ind w:firstLine="425"/>
        <w:jc w:val="both"/>
        <w:rPr>
          <w:rFonts w:ascii="Book Antiqua" w:eastAsia="Book Antiqua" w:hAnsi="Book Antiqua" w:cs="Book Antiqua"/>
          <w:sz w:val="14"/>
          <w:szCs w:val="14"/>
        </w:rPr>
      </w:pPr>
    </w:p>
    <w:p w:rsidR="00E00E53" w:rsidRDefault="00270AAC">
      <w:pPr>
        <w:pStyle w:val="Heading1"/>
        <w:spacing w:before="0" w:after="0" w:line="240" w:lineRule="auto"/>
        <w:ind w:left="425" w:hanging="425"/>
        <w:jc w:val="both"/>
        <w:rPr>
          <w:rFonts w:ascii="Book Antiqua" w:eastAsia="Book Antiqua" w:hAnsi="Book Antiqua" w:cs="Book Antiqua"/>
          <w:b/>
          <w:color w:val="C00000"/>
          <w:sz w:val="24"/>
          <w:szCs w:val="24"/>
        </w:rPr>
      </w:pPr>
      <w:r>
        <w:rPr>
          <w:rFonts w:ascii="Book Antiqua" w:eastAsia="Book Antiqua" w:hAnsi="Book Antiqua" w:cs="Book Antiqua"/>
          <w:b/>
          <w:color w:val="C00000"/>
          <w:sz w:val="24"/>
          <w:szCs w:val="24"/>
        </w:rPr>
        <w:t>3.3.</w:t>
      </w:r>
      <w:r>
        <w:rPr>
          <w:rFonts w:ascii="Book Antiqua" w:eastAsia="Book Antiqua" w:hAnsi="Book Antiqua" w:cs="Book Antiqua"/>
          <w:b/>
          <w:color w:val="C00000"/>
          <w:sz w:val="24"/>
          <w:szCs w:val="24"/>
        </w:rPr>
        <w:tab/>
        <w:t>Rudat</w:t>
      </w:r>
    </w:p>
    <w:p w:rsidR="00E00E53"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Rudat Art originated in Banten and has since expanded to other areas, including Cilegon City, Lebak Regency, Pandeglang Regency, Serang City, and Serang Regency. The name "Rudat" is derived literally from the Arabic word "Rudhah," which means "garden." Rudat art combines movement and sound art with the use of flies (tambourines) to create rhythmic sounds. Rudat Arts' poetry is infused with an Islamic spirit, featuring prayers to the Prophet and praises to Allah SWT, all of which serve to uphold and increase people's faith in Islam and the magnificence of God and the Prophet.</w:t>
      </w:r>
      <w:r>
        <w:rPr>
          <w:rFonts w:ascii="Book Antiqua" w:eastAsia="Book Antiqua" w:hAnsi="Book Antiqua" w:cs="Book Antiqua"/>
          <w:sz w:val="24"/>
          <w:szCs w:val="24"/>
          <w:vertAlign w:val="superscript"/>
        </w:rPr>
        <w:footnoteReference w:id="23"/>
      </w:r>
    </w:p>
    <w:p w:rsidR="00E00E53"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 xml:space="preserve">The Banten region, particularly Kampung Sawah, RT/RW. 12/06, Padarincang Village, Padarincang District, Serang Regency, Banten, is the birthplace of Rudat Banten. The sources did not offer a precise explanation for the early appearance of Rudat art. On the other hand, Rudat art has generally </w:t>
      </w:r>
      <w:r>
        <w:rPr>
          <w:rFonts w:ascii="Book Antiqua" w:eastAsia="Book Antiqua" w:hAnsi="Book Antiqua" w:cs="Book Antiqua"/>
          <w:sz w:val="24"/>
          <w:szCs w:val="24"/>
        </w:rPr>
        <w:lastRenderedPageBreak/>
        <w:t>emerged since the Banten Sultanate period. The only real distinction between Gambus and Tambourine and Rudat Art is the music's energetic rhythm, which is enjoyed by both the performers and the listeners alike. Rudat Art's dissemination in Padarincang, 3 (Three) settlements in the Padarincang District are known to have different forms of Rudat Art:</w:t>
      </w:r>
      <w:r>
        <w:rPr>
          <w:rFonts w:ascii="Book Antiqua" w:eastAsia="Book Antiqua" w:hAnsi="Book Antiqua" w:cs="Book Antiqua"/>
          <w:sz w:val="24"/>
          <w:szCs w:val="24"/>
          <w:vertAlign w:val="superscript"/>
        </w:rPr>
        <w:footnoteReference w:id="24"/>
      </w:r>
    </w:p>
    <w:p w:rsidR="00E00E53" w:rsidRDefault="00E00E53">
      <w:pPr>
        <w:spacing w:after="0" w:line="240" w:lineRule="auto"/>
        <w:ind w:firstLine="426"/>
        <w:jc w:val="both"/>
        <w:rPr>
          <w:rFonts w:ascii="Book Antiqua" w:eastAsia="Book Antiqua" w:hAnsi="Book Antiqua" w:cs="Book Antiqua"/>
          <w:sz w:val="14"/>
          <w:szCs w:val="14"/>
        </w:rPr>
      </w:pPr>
    </w:p>
    <w:p w:rsidR="00E00E53" w:rsidRDefault="00270AAC">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Table 4. </w:t>
      </w:r>
      <w:r>
        <w:rPr>
          <w:rFonts w:ascii="Book Antiqua" w:eastAsia="Book Antiqua" w:hAnsi="Book Antiqua" w:cs="Book Antiqua"/>
          <w:sz w:val="24"/>
          <w:szCs w:val="24"/>
        </w:rPr>
        <w:t>Information about the Rudat Studios' spread in the Padarincang Subdistrict</w:t>
      </w:r>
    </w:p>
    <w:tbl>
      <w:tblPr>
        <w:tblStyle w:val="a9"/>
        <w:tblW w:w="693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
        <w:gridCol w:w="3660"/>
        <w:gridCol w:w="2340"/>
      </w:tblGrid>
      <w:tr w:rsidR="00E00E53">
        <w:trPr>
          <w:trHeight w:val="397"/>
        </w:trPr>
        <w:tc>
          <w:tcPr>
            <w:tcW w:w="930" w:type="dxa"/>
            <w:tcBorders>
              <w:top w:val="single" w:sz="4" w:space="0" w:color="000000"/>
              <w:left w:val="nil"/>
              <w:bottom w:val="single" w:sz="4" w:space="0" w:color="000000"/>
              <w:right w:val="nil"/>
            </w:tcBorders>
            <w:vAlign w:val="center"/>
          </w:tcPr>
          <w:p w:rsidR="00E00E53" w:rsidRDefault="00270AAC">
            <w:pPr>
              <w:widowControl w:val="0"/>
              <w:spacing w:after="0" w:line="240" w:lineRule="auto"/>
              <w:ind w:left="142"/>
              <w:jc w:val="center"/>
              <w:rPr>
                <w:rFonts w:ascii="Book Antiqua" w:eastAsia="Book Antiqua" w:hAnsi="Book Antiqua" w:cs="Book Antiqua"/>
                <w:b/>
                <w:sz w:val="24"/>
                <w:szCs w:val="24"/>
              </w:rPr>
            </w:pPr>
            <w:r>
              <w:rPr>
                <w:rFonts w:ascii="Book Antiqua" w:eastAsia="Book Antiqua" w:hAnsi="Book Antiqua" w:cs="Book Antiqua"/>
                <w:b/>
                <w:sz w:val="24"/>
                <w:szCs w:val="24"/>
              </w:rPr>
              <w:t>No</w:t>
            </w:r>
          </w:p>
        </w:tc>
        <w:tc>
          <w:tcPr>
            <w:tcW w:w="3660" w:type="dxa"/>
            <w:tcBorders>
              <w:top w:val="single" w:sz="4" w:space="0" w:color="000000"/>
              <w:left w:val="nil"/>
              <w:bottom w:val="single" w:sz="4" w:space="0" w:color="000000"/>
              <w:right w:val="nil"/>
            </w:tcBorders>
            <w:vAlign w:val="center"/>
          </w:tcPr>
          <w:p w:rsidR="00E00E53" w:rsidRDefault="00270AAC">
            <w:pPr>
              <w:widowControl w:val="0"/>
              <w:spacing w:after="0" w:line="240" w:lineRule="auto"/>
              <w:ind w:left="142"/>
              <w:jc w:val="center"/>
              <w:rPr>
                <w:rFonts w:ascii="Book Antiqua" w:eastAsia="Book Antiqua" w:hAnsi="Book Antiqua" w:cs="Book Antiqua"/>
                <w:sz w:val="24"/>
                <w:szCs w:val="24"/>
              </w:rPr>
            </w:pPr>
            <w:r>
              <w:rPr>
                <w:rFonts w:ascii="Book Antiqua" w:eastAsia="Book Antiqua" w:hAnsi="Book Antiqua" w:cs="Book Antiqua"/>
                <w:b/>
                <w:sz w:val="24"/>
                <w:szCs w:val="24"/>
              </w:rPr>
              <w:t>Location</w:t>
            </w:r>
          </w:p>
        </w:tc>
        <w:tc>
          <w:tcPr>
            <w:tcW w:w="2340" w:type="dxa"/>
            <w:tcBorders>
              <w:top w:val="single" w:sz="4" w:space="0" w:color="000000"/>
              <w:left w:val="nil"/>
              <w:bottom w:val="single" w:sz="4" w:space="0" w:color="000000"/>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b/>
                <w:sz w:val="24"/>
                <w:szCs w:val="24"/>
              </w:rPr>
              <w:t>Number of Studios</w:t>
            </w:r>
          </w:p>
        </w:tc>
      </w:tr>
      <w:tr w:rsidR="00E00E53">
        <w:trPr>
          <w:trHeight w:val="440"/>
        </w:trPr>
        <w:tc>
          <w:tcPr>
            <w:tcW w:w="930" w:type="dxa"/>
            <w:tcBorders>
              <w:top w:val="single" w:sz="4" w:space="0" w:color="000000"/>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1</w:t>
            </w:r>
          </w:p>
        </w:tc>
        <w:tc>
          <w:tcPr>
            <w:tcW w:w="3660" w:type="dxa"/>
            <w:tcBorders>
              <w:top w:val="single" w:sz="4" w:space="0" w:color="000000"/>
              <w:left w:val="nil"/>
              <w:bottom w:val="nil"/>
              <w:right w:val="nil"/>
            </w:tcBorders>
            <w:vAlign w:val="center"/>
          </w:tcPr>
          <w:p w:rsidR="00E00E53" w:rsidRDefault="00270AAC">
            <w:pPr>
              <w:widowControl w:val="0"/>
              <w:spacing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Bugel Village </w:t>
            </w:r>
          </w:p>
        </w:tc>
        <w:tc>
          <w:tcPr>
            <w:tcW w:w="2340" w:type="dxa"/>
            <w:tcBorders>
              <w:top w:val="single" w:sz="4" w:space="0" w:color="000000"/>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1</w:t>
            </w:r>
          </w:p>
        </w:tc>
      </w:tr>
      <w:tr w:rsidR="00E00E53">
        <w:trPr>
          <w:trHeight w:val="397"/>
        </w:trPr>
        <w:tc>
          <w:tcPr>
            <w:tcW w:w="93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2</w:t>
            </w:r>
          </w:p>
        </w:tc>
        <w:tc>
          <w:tcPr>
            <w:tcW w:w="3660" w:type="dxa"/>
            <w:tcBorders>
              <w:top w:val="nil"/>
              <w:left w:val="nil"/>
              <w:bottom w:val="nil"/>
              <w:right w:val="nil"/>
            </w:tcBorders>
            <w:vAlign w:val="center"/>
          </w:tcPr>
          <w:p w:rsidR="00E00E53" w:rsidRDefault="00270AA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Citaman Village</w:t>
            </w:r>
          </w:p>
        </w:tc>
        <w:tc>
          <w:tcPr>
            <w:tcW w:w="234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1</w:t>
            </w:r>
          </w:p>
        </w:tc>
      </w:tr>
      <w:tr w:rsidR="00E00E53">
        <w:trPr>
          <w:trHeight w:val="397"/>
        </w:trPr>
        <w:tc>
          <w:tcPr>
            <w:tcW w:w="930" w:type="dxa"/>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3</w:t>
            </w:r>
          </w:p>
        </w:tc>
        <w:tc>
          <w:tcPr>
            <w:tcW w:w="3660" w:type="dxa"/>
            <w:tcBorders>
              <w:top w:val="nil"/>
              <w:left w:val="nil"/>
              <w:bottom w:val="nil"/>
              <w:right w:val="nil"/>
            </w:tcBorders>
            <w:vAlign w:val="center"/>
          </w:tcPr>
          <w:p w:rsidR="00E00E53" w:rsidRDefault="00270AAC">
            <w:pPr>
              <w:spacing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Padarincang Village</w:t>
            </w:r>
          </w:p>
        </w:tc>
        <w:tc>
          <w:tcPr>
            <w:tcW w:w="2340" w:type="dxa"/>
            <w:tcBorders>
              <w:top w:val="nil"/>
              <w:left w:val="nil"/>
              <w:bottom w:val="nil"/>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sz w:val="24"/>
                <w:szCs w:val="24"/>
              </w:rPr>
              <w:t>2</w:t>
            </w:r>
          </w:p>
        </w:tc>
      </w:tr>
      <w:tr w:rsidR="00E00E53">
        <w:trPr>
          <w:trHeight w:val="41"/>
        </w:trPr>
        <w:tc>
          <w:tcPr>
            <w:tcW w:w="930" w:type="dxa"/>
            <w:tcBorders>
              <w:top w:val="nil"/>
              <w:left w:val="nil"/>
              <w:bottom w:val="single" w:sz="4" w:space="0" w:color="000000"/>
              <w:right w:val="nil"/>
            </w:tcBorders>
            <w:vAlign w:val="center"/>
          </w:tcPr>
          <w:p w:rsidR="00E00E53" w:rsidRDefault="00E00E53">
            <w:pPr>
              <w:widowControl w:val="0"/>
              <w:spacing w:after="0" w:line="240" w:lineRule="auto"/>
              <w:ind w:left="100"/>
              <w:jc w:val="center"/>
              <w:rPr>
                <w:rFonts w:ascii="Book Antiqua" w:eastAsia="Book Antiqua" w:hAnsi="Book Antiqua" w:cs="Book Antiqua"/>
                <w:sz w:val="2"/>
                <w:szCs w:val="2"/>
              </w:rPr>
            </w:pPr>
          </w:p>
        </w:tc>
        <w:tc>
          <w:tcPr>
            <w:tcW w:w="3660" w:type="dxa"/>
            <w:tcBorders>
              <w:top w:val="nil"/>
              <w:left w:val="nil"/>
              <w:bottom w:val="single" w:sz="4" w:space="0" w:color="000000"/>
              <w:right w:val="nil"/>
            </w:tcBorders>
            <w:vAlign w:val="center"/>
          </w:tcPr>
          <w:p w:rsidR="00E00E53" w:rsidRDefault="00E00E53">
            <w:pPr>
              <w:widowControl w:val="0"/>
              <w:spacing w:after="0" w:line="240" w:lineRule="auto"/>
              <w:ind w:left="100"/>
              <w:jc w:val="center"/>
              <w:rPr>
                <w:rFonts w:ascii="Book Antiqua" w:eastAsia="Book Antiqua" w:hAnsi="Book Antiqua" w:cs="Book Antiqua"/>
                <w:sz w:val="2"/>
                <w:szCs w:val="2"/>
              </w:rPr>
            </w:pPr>
          </w:p>
        </w:tc>
        <w:tc>
          <w:tcPr>
            <w:tcW w:w="2340" w:type="dxa"/>
            <w:tcBorders>
              <w:top w:val="nil"/>
              <w:left w:val="nil"/>
              <w:bottom w:val="single" w:sz="4" w:space="0" w:color="000000"/>
              <w:right w:val="nil"/>
            </w:tcBorders>
            <w:vAlign w:val="center"/>
          </w:tcPr>
          <w:p w:rsidR="00E00E53" w:rsidRDefault="00E00E53">
            <w:pPr>
              <w:widowControl w:val="0"/>
              <w:spacing w:after="0" w:line="240" w:lineRule="auto"/>
              <w:ind w:left="201"/>
              <w:jc w:val="center"/>
              <w:rPr>
                <w:rFonts w:ascii="Book Antiqua" w:eastAsia="Book Antiqua" w:hAnsi="Book Antiqua" w:cs="Book Antiqua"/>
                <w:sz w:val="2"/>
                <w:szCs w:val="2"/>
              </w:rPr>
            </w:pPr>
          </w:p>
        </w:tc>
      </w:tr>
    </w:tbl>
    <w:p w:rsidR="00E00E53" w:rsidRDefault="00270AAC">
      <w:pPr>
        <w:spacing w:after="0" w:line="240" w:lineRule="auto"/>
        <w:jc w:val="center"/>
        <w:rPr>
          <w:rFonts w:ascii="Book Antiqua" w:eastAsia="Book Antiqua" w:hAnsi="Book Antiqua" w:cs="Book Antiqua"/>
          <w:color w:val="363435"/>
          <w:sz w:val="24"/>
          <w:szCs w:val="24"/>
        </w:rPr>
      </w:pPr>
      <w:r>
        <w:rPr>
          <w:rFonts w:ascii="Book Antiqua" w:eastAsia="Book Antiqua" w:hAnsi="Book Antiqua" w:cs="Book Antiqua"/>
          <w:color w:val="363435"/>
          <w:sz w:val="24"/>
          <w:szCs w:val="24"/>
        </w:rPr>
        <w:t>Source: Interview with Respondents</w:t>
      </w:r>
    </w:p>
    <w:p w:rsidR="00E00E53" w:rsidRDefault="00E00E53">
      <w:pPr>
        <w:spacing w:after="0" w:line="240" w:lineRule="auto"/>
        <w:jc w:val="center"/>
        <w:rPr>
          <w:rFonts w:ascii="Book Antiqua" w:eastAsia="Book Antiqua" w:hAnsi="Book Antiqua" w:cs="Book Antiqua"/>
          <w:sz w:val="14"/>
          <w:szCs w:val="14"/>
        </w:rPr>
      </w:pPr>
    </w:p>
    <w:p w:rsidR="00E00E53"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Beginning in Bugel Village in the District of Padarincang, Rudat Art is distributed across the Serang Regency, particularly in Padarincang. Since 1980, Rudat Art has been on display at Bugel Village. Subsequently, Rudat Art extended to Citaman Village, and from there it reached Padarincang Village, particularly Sawah Village. Since 2014, Sawah Village, Padarincang Village, Rudat Art has been showcased. Every village is reported to have one (1) operational Rudat studio, which hosts performances more than ten times a year.</w:t>
      </w:r>
      <w:r>
        <w:rPr>
          <w:rFonts w:ascii="Book Antiqua" w:eastAsia="Book Antiqua" w:hAnsi="Book Antiqua" w:cs="Book Antiqua"/>
          <w:sz w:val="24"/>
          <w:szCs w:val="24"/>
        </w:rPr>
        <w:br/>
        <w:t>Rudat art is typically exhibited on significant occasions, including weddings, the Prophet's birthday, and other noteworthy occasions. Out of the fifteen players, two perform on the 'indung' musical instrument. The musicians will be enthralled with the song's beat, which will make the music seem lively and pique the audience's interest.</w:t>
      </w:r>
    </w:p>
    <w:p w:rsidR="00E00E53"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Based on explanations from the same respondents</w:t>
      </w:r>
      <w:r>
        <w:rPr>
          <w:rFonts w:ascii="Book Antiqua" w:eastAsia="Book Antiqua" w:hAnsi="Book Antiqua" w:cs="Book Antiqua"/>
          <w:sz w:val="24"/>
          <w:szCs w:val="24"/>
          <w:vertAlign w:val="superscript"/>
        </w:rPr>
        <w:footnoteReference w:id="25"/>
      </w:r>
      <w:r>
        <w:rPr>
          <w:rFonts w:ascii="Book Antiqua" w:eastAsia="Book Antiqua" w:hAnsi="Book Antiqua" w:cs="Book Antiqua"/>
          <w:sz w:val="24"/>
          <w:szCs w:val="24"/>
        </w:rPr>
        <w:t>, every time Rudat is played, Padarincang Villagers will be very excited and eager to see the show, which means that in this instance, the Rudat tradition in Padarincang Village is still preserved. The art form known as Rudat Banten originated in the Banten region, specifically in the Padarincang Village, Padarincang District, and Serang Regency in Banten, specifically in Kampung Sawah. The sources did not offer a precise explanation for the early appearance of Rudat art. On the other hand, Rudat art has generally emerged since the Banten Sultanate period. The sole distinction between Rudat art and Gambus or Tambourine is the music's energetic rhythm, which is played for the audience's enjoyment as well as the Rudat players' own.</w:t>
      </w:r>
    </w:p>
    <w:p w:rsidR="00E00E53" w:rsidRDefault="00E00E53">
      <w:pPr>
        <w:spacing w:after="0"/>
        <w:ind w:firstLine="426"/>
        <w:jc w:val="both"/>
        <w:rPr>
          <w:rFonts w:ascii="Book Antiqua" w:eastAsia="Book Antiqua" w:hAnsi="Book Antiqua" w:cs="Book Antiqua"/>
          <w:sz w:val="24"/>
          <w:szCs w:val="24"/>
        </w:rPr>
      </w:pPr>
    </w:p>
    <w:p w:rsidR="00E00E53" w:rsidRDefault="00270AAC">
      <w:pPr>
        <w:pStyle w:val="Heading1"/>
        <w:numPr>
          <w:ilvl w:val="0"/>
          <w:numId w:val="1"/>
        </w:numPr>
        <w:spacing w:before="0" w:after="0" w:line="240" w:lineRule="auto"/>
        <w:ind w:left="426" w:hanging="426"/>
        <w:jc w:val="both"/>
        <w:rPr>
          <w:rFonts w:ascii="Book Antiqua" w:eastAsia="Book Antiqua" w:hAnsi="Book Antiqua" w:cs="Book Antiqua"/>
          <w:b/>
          <w:color w:val="C00000"/>
          <w:sz w:val="24"/>
          <w:szCs w:val="24"/>
        </w:rPr>
      </w:pPr>
      <w:bookmarkStart w:id="5" w:name="_heading=h.gjdgxs" w:colFirst="0" w:colLast="0"/>
      <w:bookmarkEnd w:id="5"/>
      <w:r>
        <w:rPr>
          <w:rFonts w:ascii="Book Antiqua" w:eastAsia="Book Antiqua" w:hAnsi="Book Antiqua" w:cs="Book Antiqua"/>
          <w:b/>
          <w:color w:val="C00000"/>
          <w:sz w:val="24"/>
          <w:szCs w:val="24"/>
        </w:rPr>
        <w:lastRenderedPageBreak/>
        <w:t>Examination of Serang Regency’s Regional Local Potential Development Model in the Context of Intellectual Property</w:t>
      </w:r>
    </w:p>
    <w:p w:rsidR="00E00E53" w:rsidRPr="00C03B9B"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 xml:space="preserve">Each of Indonesia's many products and civilisations has unique traits and personalities. A product or culture can be built on </w:t>
      </w:r>
      <w:r w:rsidR="00CF3467">
        <w:rPr>
          <w:rFonts w:asciiTheme="minorHAnsi" w:eastAsia="Book Antiqua" w:hAnsiTheme="minorHAnsi" w:cs="Book Antiqua"/>
          <w:sz w:val="24"/>
          <w:szCs w:val="24"/>
        </w:rPr>
        <w:t>communal intellectual property</w:t>
      </w:r>
      <w:r>
        <w:rPr>
          <w:rFonts w:ascii="Book Antiqua" w:eastAsia="Book Antiqua" w:hAnsi="Book Antiqua" w:cs="Book Antiqua"/>
          <w:sz w:val="24"/>
          <w:szCs w:val="24"/>
        </w:rPr>
        <w:t xml:space="preserve">, where ownership is collective and owned by </w:t>
      </w:r>
      <w:r w:rsidRPr="00C03B9B">
        <w:rPr>
          <w:rFonts w:ascii="Book Antiqua" w:eastAsia="Book Antiqua" w:hAnsi="Book Antiqua" w:cs="Book Antiqua"/>
          <w:sz w:val="24"/>
          <w:szCs w:val="24"/>
        </w:rPr>
        <w:t xml:space="preserve">the community, if it is studied and examined. The author has selected three product and cultures—Silat Bandrong, Golok Seuat, and Rudat—based on </w:t>
      </w:r>
      <w:r w:rsidR="000C1404" w:rsidRPr="00C03B9B">
        <w:rPr>
          <w:rFonts w:ascii="Book Antiqua" w:eastAsia="Book Antiqua" w:hAnsi="Book Antiqua" w:cs="Book Antiqua"/>
          <w:sz w:val="24"/>
          <w:szCs w:val="24"/>
        </w:rPr>
        <w:t>communal intellectual property</w:t>
      </w:r>
      <w:r w:rsidRPr="00C03B9B">
        <w:rPr>
          <w:rFonts w:ascii="Book Antiqua" w:eastAsia="Book Antiqua" w:hAnsi="Book Antiqua" w:cs="Book Antiqua"/>
          <w:sz w:val="24"/>
          <w:szCs w:val="24"/>
        </w:rPr>
        <w:t>, as explained in the previous section. As a result, in order to preserve</w:t>
      </w:r>
      <w:r w:rsidR="000C1404" w:rsidRPr="00C03B9B">
        <w:rPr>
          <w:rFonts w:ascii="Book Antiqua" w:eastAsia="Book Antiqua" w:hAnsi="Book Antiqua" w:cs="Book Antiqua"/>
          <w:sz w:val="24"/>
          <w:szCs w:val="24"/>
        </w:rPr>
        <w:t xml:space="preserve"> Communal Intellectual Property </w:t>
      </w:r>
      <w:r w:rsidR="00C03B9B">
        <w:rPr>
          <w:rFonts w:ascii="Book Antiqua" w:eastAsia="Book Antiqua" w:hAnsi="Book Antiqua" w:cs="Book Antiqua"/>
          <w:sz w:val="24"/>
          <w:szCs w:val="24"/>
        </w:rPr>
        <w:t>Traditional Cultural Expression</w:t>
      </w:r>
      <w:r w:rsidRPr="00C03B9B">
        <w:rPr>
          <w:rFonts w:ascii="Book Antiqua" w:eastAsia="Book Antiqua" w:hAnsi="Book Antiqua" w:cs="Book Antiqua"/>
          <w:sz w:val="24"/>
          <w:szCs w:val="24"/>
        </w:rPr>
        <w:t>'s existence and viability, a protection-oriented growth model must be created by implementing numerous innovations and advancements in all initiatives meant to create and preserve these goods and culture.</w:t>
      </w:r>
    </w:p>
    <w:p w:rsidR="00E00E53" w:rsidRDefault="00270AAC">
      <w:pPr>
        <w:spacing w:after="0" w:line="240" w:lineRule="auto"/>
        <w:ind w:firstLine="426"/>
        <w:jc w:val="both"/>
        <w:rPr>
          <w:rFonts w:ascii="Book Antiqua" w:eastAsia="Book Antiqua" w:hAnsi="Book Antiqua" w:cs="Book Antiqua"/>
          <w:sz w:val="24"/>
          <w:szCs w:val="24"/>
        </w:rPr>
      </w:pPr>
      <w:r w:rsidRPr="00C03B9B">
        <w:rPr>
          <w:rFonts w:ascii="Book Antiqua" w:eastAsia="Book Antiqua" w:hAnsi="Book Antiqua" w:cs="Book Antiqua"/>
          <w:sz w:val="24"/>
          <w:szCs w:val="24"/>
        </w:rPr>
        <w:t xml:space="preserve">Regulation of </w:t>
      </w:r>
      <w:r w:rsidR="006A37C7" w:rsidRPr="00C03B9B">
        <w:rPr>
          <w:rFonts w:ascii="Book Antiqua" w:eastAsia="Book Antiqua" w:hAnsi="Book Antiqua" w:cs="Book Antiqua"/>
          <w:sz w:val="24"/>
          <w:szCs w:val="24"/>
        </w:rPr>
        <w:t xml:space="preserve">communal intellectual property </w:t>
      </w:r>
      <w:r w:rsidRPr="00C03B9B">
        <w:rPr>
          <w:rFonts w:ascii="Book Antiqua" w:eastAsia="Book Antiqua" w:hAnsi="Book Antiqua" w:cs="Book Antiqua"/>
          <w:sz w:val="24"/>
          <w:szCs w:val="24"/>
        </w:rPr>
        <w:t xml:space="preserve">protection is desperately needed to prevent abuse and improper exploitation. The purpose of protecting </w:t>
      </w:r>
      <w:r w:rsidR="006A37C7" w:rsidRPr="00C03B9B">
        <w:rPr>
          <w:rFonts w:ascii="Book Antiqua" w:eastAsia="Book Antiqua" w:hAnsi="Book Antiqua" w:cs="Book Antiqua"/>
          <w:sz w:val="24"/>
          <w:szCs w:val="24"/>
        </w:rPr>
        <w:t>commumal intellectual property i</w:t>
      </w:r>
      <w:r w:rsidRPr="00C03B9B">
        <w:rPr>
          <w:rFonts w:ascii="Book Antiqua" w:eastAsia="Book Antiqua" w:hAnsi="Book Antiqua" w:cs="Book Antiqua"/>
          <w:sz w:val="24"/>
          <w:szCs w:val="24"/>
        </w:rPr>
        <w:t xml:space="preserve">s to save its owners' collective cultural identity from disappearing along with </w:t>
      </w:r>
      <w:r w:rsidR="00C03B9B">
        <w:rPr>
          <w:rFonts w:ascii="Book Antiqua" w:eastAsia="Book Antiqua" w:hAnsi="Book Antiqua" w:cs="Book Antiqua"/>
          <w:sz w:val="24"/>
          <w:szCs w:val="24"/>
        </w:rPr>
        <w:t>T</w:t>
      </w:r>
      <w:r w:rsidRPr="00C03B9B">
        <w:rPr>
          <w:rFonts w:ascii="Book Antiqua" w:eastAsia="Book Antiqua" w:hAnsi="Book Antiqua" w:cs="Book Antiqua"/>
          <w:sz w:val="24"/>
          <w:szCs w:val="24"/>
        </w:rPr>
        <w:t xml:space="preserve">raditional </w:t>
      </w:r>
      <w:r w:rsidR="00C03B9B">
        <w:rPr>
          <w:rFonts w:ascii="Book Antiqua" w:eastAsia="Book Antiqua" w:hAnsi="Book Antiqua" w:cs="Book Antiqua"/>
          <w:sz w:val="24"/>
          <w:szCs w:val="24"/>
        </w:rPr>
        <w:t>K</w:t>
      </w:r>
      <w:r w:rsidRPr="00C03B9B">
        <w:rPr>
          <w:rFonts w:ascii="Book Antiqua" w:eastAsia="Book Antiqua" w:hAnsi="Book Antiqua" w:cs="Book Antiqua"/>
          <w:sz w:val="24"/>
          <w:szCs w:val="24"/>
        </w:rPr>
        <w:t xml:space="preserve">nowledge and </w:t>
      </w:r>
      <w:r w:rsidR="00C03B9B">
        <w:rPr>
          <w:rFonts w:ascii="Book Antiqua" w:eastAsia="Book Antiqua" w:hAnsi="Book Antiqua" w:cs="Book Antiqua"/>
          <w:sz w:val="24"/>
          <w:szCs w:val="24"/>
        </w:rPr>
        <w:t>Traditional Cultural Expression</w:t>
      </w:r>
      <w:r w:rsidRPr="00C03B9B">
        <w:rPr>
          <w:rFonts w:ascii="Book Antiqua" w:eastAsia="Book Antiqua" w:hAnsi="Book Antiqua" w:cs="Book Antiqua"/>
          <w:sz w:val="24"/>
          <w:szCs w:val="24"/>
        </w:rPr>
        <w:t>.</w:t>
      </w:r>
      <w:r w:rsidRPr="00C03B9B">
        <w:rPr>
          <w:rFonts w:ascii="Book Antiqua" w:eastAsia="Book Antiqua" w:hAnsi="Book Antiqua" w:cs="Book Antiqua"/>
          <w:sz w:val="24"/>
          <w:szCs w:val="24"/>
          <w:vertAlign w:val="superscript"/>
        </w:rPr>
        <w:footnoteReference w:id="26"/>
      </w:r>
      <w:r w:rsidRPr="00C03B9B">
        <w:rPr>
          <w:rFonts w:ascii="Book Antiqua" w:eastAsia="Book Antiqua" w:hAnsi="Book Antiqua" w:cs="Book Antiqua"/>
          <w:sz w:val="24"/>
          <w:szCs w:val="24"/>
        </w:rPr>
        <w:t xml:space="preserve"> Together with the communities that own the goods and culture from which </w:t>
      </w:r>
      <w:r w:rsidR="00E54D1F" w:rsidRPr="00C03B9B">
        <w:rPr>
          <w:rFonts w:ascii="Book Antiqua" w:eastAsia="Book Antiqua" w:hAnsi="Book Antiqua" w:cs="Book Antiqua"/>
          <w:sz w:val="24"/>
          <w:szCs w:val="24"/>
        </w:rPr>
        <w:t xml:space="preserve">communal intellectual property </w:t>
      </w:r>
      <w:r w:rsidR="006A37C7" w:rsidRPr="00C03B9B">
        <w:rPr>
          <w:rFonts w:ascii="Book Antiqua" w:eastAsia="Book Antiqua" w:hAnsi="Book Antiqua" w:cs="Book Antiqua"/>
          <w:sz w:val="24"/>
          <w:szCs w:val="24"/>
        </w:rPr>
        <w:t>are</w:t>
      </w:r>
      <w:r w:rsidRPr="00C03B9B">
        <w:rPr>
          <w:rFonts w:ascii="Book Antiqua" w:eastAsia="Book Antiqua" w:hAnsi="Book Antiqua" w:cs="Book Antiqua"/>
          <w:sz w:val="24"/>
          <w:szCs w:val="24"/>
        </w:rPr>
        <w:t xml:space="preserve"> generated and maintained, the state plays a part in protecting these rights. This means that the state has a responsibility to maintain the distribution of local potential in the region, both in ter</w:t>
      </w:r>
      <w:r>
        <w:rPr>
          <w:rFonts w:ascii="Book Antiqua" w:eastAsia="Book Antiqua" w:hAnsi="Book Antiqua" w:cs="Book Antiqua"/>
          <w:sz w:val="24"/>
          <w:szCs w:val="24"/>
        </w:rPr>
        <w:t>ms of goods and culture, and to ensure its sustainability.</w:t>
      </w:r>
      <w:r>
        <w:rPr>
          <w:rFonts w:ascii="Book Antiqua" w:eastAsia="Book Antiqua" w:hAnsi="Book Antiqua" w:cs="Book Antiqua"/>
          <w:sz w:val="24"/>
          <w:szCs w:val="24"/>
          <w:vertAlign w:val="superscript"/>
        </w:rPr>
        <w:footnoteReference w:id="27"/>
      </w:r>
      <w:r>
        <w:rPr>
          <w:rFonts w:ascii="Book Antiqua" w:eastAsia="Book Antiqua" w:hAnsi="Book Antiqua" w:cs="Book Antiqua"/>
          <w:sz w:val="24"/>
          <w:szCs w:val="24"/>
        </w:rPr>
        <w:t xml:space="preserve"> The state's role encompasses both the creation of a system or scheme designed to safeguard these products and culture, as well as the formation of a legal framework that can accommodate them in a complete manner.</w:t>
      </w:r>
    </w:p>
    <w:p w:rsidR="00E00E53" w:rsidRDefault="00C03B9B">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Traditional Cultural Expression</w:t>
      </w:r>
      <w:r w:rsidR="004E7056">
        <w:rPr>
          <w:rFonts w:ascii="Book Antiqua" w:eastAsia="Book Antiqua" w:hAnsi="Book Antiqua" w:cs="Book Antiqua"/>
          <w:sz w:val="24"/>
          <w:szCs w:val="24"/>
        </w:rPr>
        <w:t>s</w:t>
      </w:r>
      <w:r w:rsidR="00270AAC">
        <w:rPr>
          <w:rFonts w:ascii="Book Antiqua" w:eastAsia="Book Antiqua" w:hAnsi="Book Antiqua" w:cs="Book Antiqua"/>
          <w:sz w:val="24"/>
          <w:szCs w:val="24"/>
        </w:rPr>
        <w:t xml:space="preserve"> requires copyright protection since it is a form of intellectual creation that is both individual and collective. This is due to the fact that both the creator and the created itself need to be protected as it is a valuable and helpful production. Additionally, </w:t>
      </w:r>
      <w:r w:rsidR="004E7056">
        <w:rPr>
          <w:rFonts w:ascii="Book Antiqua" w:eastAsia="Book Antiqua" w:hAnsi="Book Antiqua" w:cs="Book Antiqua"/>
          <w:sz w:val="24"/>
          <w:szCs w:val="24"/>
        </w:rPr>
        <w:t>Traditional Cultural Expressions</w:t>
      </w:r>
      <w:r w:rsidR="00270AAC">
        <w:rPr>
          <w:rFonts w:ascii="Book Antiqua" w:eastAsia="Book Antiqua" w:hAnsi="Book Antiqua" w:cs="Book Antiqua"/>
          <w:sz w:val="24"/>
          <w:szCs w:val="24"/>
        </w:rPr>
        <w:t xml:space="preserve"> is protected for the progress of Culture, which satisfies the cultural objectives of elevating living standards and benefiting the nation, state, and society via the progress of science, literature, and the arts.</w:t>
      </w:r>
      <w:r w:rsidR="00270AAC">
        <w:rPr>
          <w:rFonts w:ascii="Book Antiqua" w:eastAsia="Book Antiqua" w:hAnsi="Book Antiqua" w:cs="Book Antiqua"/>
          <w:sz w:val="24"/>
          <w:szCs w:val="24"/>
          <w:vertAlign w:val="superscript"/>
        </w:rPr>
        <w:footnoteReference w:id="28"/>
      </w:r>
      <w:r w:rsidR="00270AAC">
        <w:rPr>
          <w:rFonts w:ascii="Book Antiqua" w:eastAsia="Book Antiqua" w:hAnsi="Book Antiqua" w:cs="Book Antiqua"/>
          <w:sz w:val="24"/>
          <w:szCs w:val="24"/>
        </w:rPr>
        <w:t xml:space="preserve"> </w:t>
      </w:r>
    </w:p>
    <w:p w:rsidR="00E00E53" w:rsidRDefault="00270AAC" w:rsidP="00A923B0">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 xml:space="preserve">According to secondary research, a number of laws, including </w:t>
      </w:r>
      <w:r w:rsidR="00185F93" w:rsidRPr="00185F93">
        <w:rPr>
          <w:rFonts w:ascii="Book Antiqua" w:eastAsia="Book Antiqua" w:hAnsi="Book Antiqua" w:cs="Book Antiqua"/>
          <w:sz w:val="24"/>
          <w:szCs w:val="24"/>
        </w:rPr>
        <w:t>Law Number 28 of 2014 on Copyright</w:t>
      </w:r>
      <w:r w:rsidR="004E7056">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and </w:t>
      </w:r>
      <w:r w:rsidR="00185F93" w:rsidRPr="00185F93">
        <w:rPr>
          <w:rFonts w:ascii="Book Antiqua" w:eastAsia="Book Antiqua" w:hAnsi="Book Antiqua" w:cs="Book Antiqua"/>
          <w:sz w:val="24"/>
          <w:szCs w:val="24"/>
        </w:rPr>
        <w:t>Law Number 5 of 2017 on Advancement of Culture</w:t>
      </w:r>
      <w:r w:rsidR="004E7056">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govern efforts to establish models of local and regional potential. </w:t>
      </w:r>
      <w:r w:rsidR="00F07518" w:rsidRPr="00F07518">
        <w:rPr>
          <w:rFonts w:ascii="Book Antiqua" w:eastAsia="Book Antiqua" w:hAnsi="Book Antiqua" w:cs="Book Antiqua"/>
          <w:sz w:val="24"/>
          <w:szCs w:val="24"/>
        </w:rPr>
        <w:t>Regulation Number 9 of 2014 of the Minister of Home Affairs of the Republic of Indonesia concerning Guidelines for Development of Regional Featured Products</w:t>
      </w:r>
      <w:r>
        <w:rPr>
          <w:rFonts w:ascii="Book Antiqua" w:eastAsia="Book Antiqua" w:hAnsi="Book Antiqua" w:cs="Book Antiqua"/>
          <w:sz w:val="24"/>
          <w:szCs w:val="24"/>
        </w:rPr>
        <w:t xml:space="preserve">, which outlines the Guidelines for Regional Superior Product Development, serves as an </w:t>
      </w:r>
      <w:r>
        <w:rPr>
          <w:rFonts w:ascii="Book Antiqua" w:eastAsia="Book Antiqua" w:hAnsi="Book Antiqua" w:cs="Book Antiqua"/>
          <w:sz w:val="24"/>
          <w:szCs w:val="24"/>
        </w:rPr>
        <w:lastRenderedPageBreak/>
        <w:t xml:space="preserve">implementation regulation for these two laws. The following table </w:t>
      </w:r>
      <w:r w:rsidRPr="004E7056">
        <w:rPr>
          <w:rFonts w:ascii="Book Antiqua" w:eastAsia="Book Antiqua" w:hAnsi="Book Antiqua" w:cs="Book Antiqua"/>
          <w:sz w:val="24"/>
          <w:szCs w:val="24"/>
        </w:rPr>
        <w:t xml:space="preserve">lists the provisions of the statutory regulations that pertain to the </w:t>
      </w:r>
      <w:r w:rsidR="00E54D1F" w:rsidRPr="004E7056">
        <w:rPr>
          <w:rFonts w:ascii="Book Antiqua" w:eastAsia="Book Antiqua" w:hAnsi="Book Antiqua" w:cs="Book Antiqua"/>
          <w:sz w:val="24"/>
          <w:szCs w:val="24"/>
        </w:rPr>
        <w:t>communal intellectual</w:t>
      </w:r>
      <w:r w:rsidR="004E7056">
        <w:rPr>
          <w:rFonts w:ascii="Book Antiqua" w:eastAsia="Book Antiqua" w:hAnsi="Book Antiqua" w:cs="Book Antiqua"/>
          <w:sz w:val="24"/>
          <w:szCs w:val="24"/>
        </w:rPr>
        <w:t xml:space="preserve"> </w:t>
      </w:r>
      <w:proofErr w:type="gramStart"/>
      <w:r w:rsidR="00E54D1F" w:rsidRPr="004E7056">
        <w:rPr>
          <w:rFonts w:ascii="Book Antiqua" w:eastAsia="Book Antiqua" w:hAnsi="Book Antiqua" w:cs="Book Antiqua"/>
          <w:sz w:val="24"/>
          <w:szCs w:val="24"/>
        </w:rPr>
        <w:t>property</w:t>
      </w:r>
      <w:r w:rsidR="004E7056">
        <w:rPr>
          <w:rFonts w:ascii="Book Antiqua" w:eastAsia="Book Antiqua" w:hAnsi="Book Antiqua" w:cs="Book Antiqua"/>
          <w:sz w:val="24"/>
          <w:szCs w:val="24"/>
        </w:rPr>
        <w:t xml:space="preserve"> b</w:t>
      </w:r>
      <w:r w:rsidRPr="004E7056">
        <w:rPr>
          <w:rFonts w:ascii="Book Antiqua" w:eastAsia="Book Antiqua" w:hAnsi="Book Antiqua" w:cs="Book Antiqua"/>
          <w:sz w:val="24"/>
          <w:szCs w:val="24"/>
        </w:rPr>
        <w:t>ased</w:t>
      </w:r>
      <w:proofErr w:type="gramEnd"/>
      <w:r w:rsidRPr="004E7056">
        <w:rPr>
          <w:rFonts w:ascii="Book Antiqua" w:eastAsia="Book Antiqua" w:hAnsi="Book Antiqua" w:cs="Book Antiqua"/>
          <w:sz w:val="24"/>
          <w:szCs w:val="24"/>
        </w:rPr>
        <w:t xml:space="preserve"> model for developing local and regional potential, including products and culture:</w:t>
      </w:r>
    </w:p>
    <w:p w:rsidR="004E7056" w:rsidRPr="00A923B0" w:rsidRDefault="004E7056" w:rsidP="00A923B0">
      <w:pPr>
        <w:spacing w:after="0" w:line="240" w:lineRule="auto"/>
        <w:ind w:firstLine="426"/>
        <w:jc w:val="both"/>
        <w:rPr>
          <w:rFonts w:ascii="Book Antiqua" w:eastAsia="Book Antiqua" w:hAnsi="Book Antiqua" w:cs="Book Antiqua"/>
          <w:sz w:val="24"/>
          <w:szCs w:val="24"/>
        </w:rPr>
      </w:pPr>
    </w:p>
    <w:p w:rsidR="00E00E53" w:rsidRDefault="00270AAC">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Table 5. </w:t>
      </w:r>
      <w:r>
        <w:rPr>
          <w:rFonts w:ascii="Book Antiqua" w:eastAsia="Book Antiqua" w:hAnsi="Book Antiqua" w:cs="Book Antiqua"/>
          <w:sz w:val="24"/>
          <w:szCs w:val="24"/>
        </w:rPr>
        <w:t>Intellectual Property Communal Based Regional Local Potential Development Modelling Efforts</w:t>
      </w:r>
    </w:p>
    <w:tbl>
      <w:tblPr>
        <w:tblStyle w:val="aa"/>
        <w:tblW w:w="85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105"/>
        <w:gridCol w:w="1650"/>
        <w:gridCol w:w="105"/>
        <w:gridCol w:w="2925"/>
        <w:gridCol w:w="780"/>
        <w:gridCol w:w="2250"/>
      </w:tblGrid>
      <w:tr w:rsidR="00E00E53">
        <w:trPr>
          <w:trHeight w:val="397"/>
        </w:trPr>
        <w:tc>
          <w:tcPr>
            <w:tcW w:w="855" w:type="dxa"/>
            <w:gridSpan w:val="2"/>
            <w:tcBorders>
              <w:top w:val="single" w:sz="4" w:space="0" w:color="000000"/>
              <w:left w:val="nil"/>
              <w:bottom w:val="single" w:sz="4" w:space="0" w:color="000000"/>
              <w:right w:val="nil"/>
            </w:tcBorders>
            <w:vAlign w:val="center"/>
          </w:tcPr>
          <w:p w:rsidR="00E00E53" w:rsidRDefault="00270AAC">
            <w:pPr>
              <w:widowControl w:val="0"/>
              <w:spacing w:after="0" w:line="240" w:lineRule="auto"/>
              <w:ind w:left="201"/>
              <w:jc w:val="center"/>
              <w:rPr>
                <w:rFonts w:ascii="Book Antiqua" w:eastAsia="Book Antiqua" w:hAnsi="Book Antiqua" w:cs="Book Antiqua"/>
                <w:sz w:val="24"/>
                <w:szCs w:val="24"/>
              </w:rPr>
            </w:pPr>
            <w:r>
              <w:rPr>
                <w:rFonts w:ascii="Book Antiqua" w:eastAsia="Book Antiqua" w:hAnsi="Book Antiqua" w:cs="Book Antiqua"/>
                <w:b/>
                <w:sz w:val="24"/>
                <w:szCs w:val="24"/>
              </w:rPr>
              <w:t>No</w:t>
            </w:r>
          </w:p>
        </w:tc>
        <w:tc>
          <w:tcPr>
            <w:tcW w:w="7710" w:type="dxa"/>
            <w:gridSpan w:val="5"/>
            <w:tcBorders>
              <w:top w:val="single" w:sz="4" w:space="0" w:color="000000"/>
              <w:left w:val="nil"/>
              <w:bottom w:val="single" w:sz="4" w:space="0" w:color="000000"/>
              <w:right w:val="nil"/>
            </w:tcBorders>
            <w:vAlign w:val="center"/>
          </w:tcPr>
          <w:p w:rsidR="00E00E53" w:rsidRDefault="00F07518">
            <w:pPr>
              <w:spacing w:after="0" w:line="240" w:lineRule="auto"/>
              <w:jc w:val="center"/>
              <w:rPr>
                <w:rFonts w:ascii="Book Antiqua" w:eastAsia="Book Antiqua" w:hAnsi="Book Antiqua" w:cs="Book Antiqua"/>
                <w:b/>
                <w:sz w:val="24"/>
                <w:szCs w:val="24"/>
              </w:rPr>
            </w:pPr>
            <w:r w:rsidRPr="00F07518">
              <w:rPr>
                <w:rFonts w:ascii="Book Antiqua" w:eastAsia="Book Antiqua" w:hAnsi="Book Antiqua" w:cs="Book Antiqua"/>
                <w:b/>
                <w:sz w:val="24"/>
                <w:szCs w:val="24"/>
              </w:rPr>
              <w:t>Regulation Number 9 of 2014 of the Minister of Home Affairs of the Republic of Indonesia concerning Guidelines for Development of Regional Featured Products</w:t>
            </w:r>
          </w:p>
        </w:tc>
      </w:tr>
      <w:tr w:rsidR="00E00E53">
        <w:trPr>
          <w:trHeight w:val="440"/>
        </w:trPr>
        <w:tc>
          <w:tcPr>
            <w:tcW w:w="855" w:type="dxa"/>
            <w:gridSpan w:val="2"/>
            <w:tcBorders>
              <w:top w:val="single" w:sz="4" w:space="0" w:color="000000"/>
              <w:left w:val="nil"/>
              <w:bottom w:val="single" w:sz="4" w:space="0" w:color="FDFEF4"/>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1</w:t>
            </w:r>
          </w:p>
        </w:tc>
        <w:tc>
          <w:tcPr>
            <w:tcW w:w="1650" w:type="dxa"/>
            <w:tcBorders>
              <w:top w:val="single" w:sz="4" w:space="0" w:color="000000"/>
              <w:left w:val="nil"/>
              <w:bottom w:val="single" w:sz="4" w:space="0" w:color="FDFEF4"/>
              <w:right w:val="nil"/>
            </w:tcBorders>
            <w:vAlign w:val="center"/>
          </w:tcPr>
          <w:p w:rsidR="00E00E53" w:rsidRDefault="00270AAC">
            <w:pPr>
              <w:widowControl w:val="0"/>
              <w:spacing w:after="0" w:line="240" w:lineRule="auto"/>
              <w:ind w:left="100" w:right="174"/>
              <w:jc w:val="center"/>
              <w:rPr>
                <w:rFonts w:ascii="Book Antiqua" w:eastAsia="Book Antiqua" w:hAnsi="Book Antiqua" w:cs="Book Antiqua"/>
                <w:sz w:val="24"/>
                <w:szCs w:val="24"/>
              </w:rPr>
            </w:pPr>
            <w:r>
              <w:rPr>
                <w:rFonts w:ascii="Book Antiqua" w:eastAsia="Book Antiqua" w:hAnsi="Book Antiqua" w:cs="Book Antiqua"/>
                <w:sz w:val="24"/>
                <w:szCs w:val="24"/>
              </w:rPr>
              <w:t>Article 5 Paragraph (1)</w:t>
            </w:r>
          </w:p>
        </w:tc>
        <w:tc>
          <w:tcPr>
            <w:tcW w:w="6060" w:type="dxa"/>
            <w:gridSpan w:val="4"/>
            <w:tcBorders>
              <w:top w:val="single" w:sz="4" w:space="0" w:color="000000"/>
              <w:left w:val="nil"/>
              <w:bottom w:val="single" w:sz="4" w:space="0" w:color="FDFEF4"/>
              <w:right w:val="nil"/>
            </w:tcBorders>
          </w:tcPr>
          <w:p w:rsidR="00E00E53" w:rsidRPr="004E7056" w:rsidRDefault="00270AAC">
            <w:pPr>
              <w:spacing w:after="0" w:line="240" w:lineRule="auto"/>
              <w:jc w:val="both"/>
              <w:rPr>
                <w:rFonts w:ascii="Book Antiqua" w:eastAsia="Book Antiqua" w:hAnsi="Book Antiqua" w:cs="Book Antiqua"/>
                <w:sz w:val="24"/>
                <w:szCs w:val="24"/>
              </w:rPr>
            </w:pPr>
            <w:r w:rsidRPr="004E7056">
              <w:rPr>
                <w:rFonts w:ascii="Book Antiqua" w:eastAsia="Book Antiqua" w:hAnsi="Book Antiqua" w:cs="Book Antiqua"/>
                <w:sz w:val="24"/>
                <w:szCs w:val="24"/>
              </w:rPr>
              <w:t xml:space="preserve">It is possible to use the incubator, cluster, One Village One Product, and core competency models to carry out regional medium-term </w:t>
            </w:r>
            <w:r w:rsidR="00BE4378" w:rsidRPr="004E7056">
              <w:rPr>
                <w:rFonts w:ascii="Book Antiqua" w:eastAsia="Book Antiqua" w:hAnsi="Book Antiqua" w:cs="Book Antiqua"/>
                <w:sz w:val="24"/>
                <w:szCs w:val="24"/>
              </w:rPr>
              <w:t xml:space="preserve">regional superior product </w:t>
            </w:r>
            <w:r w:rsidRPr="004E7056">
              <w:rPr>
                <w:rFonts w:ascii="Book Antiqua" w:eastAsia="Book Antiqua" w:hAnsi="Book Antiqua" w:cs="Book Antiqua"/>
                <w:sz w:val="24"/>
                <w:szCs w:val="24"/>
              </w:rPr>
              <w:t>development planning.</w:t>
            </w:r>
            <w:r w:rsidRPr="004E7056">
              <w:rPr>
                <w:rFonts w:ascii="Book Antiqua" w:eastAsia="Book Antiqua" w:hAnsi="Book Antiqua" w:cs="Book Antiqua"/>
                <w:sz w:val="24"/>
                <w:szCs w:val="24"/>
              </w:rPr>
              <w:br/>
              <w:t xml:space="preserve">Increasing </w:t>
            </w:r>
            <w:r w:rsidR="00BE4378" w:rsidRPr="004E7056">
              <w:rPr>
                <w:rFonts w:ascii="Book Antiqua" w:eastAsia="Book Antiqua" w:hAnsi="Book Antiqua" w:cs="Book Antiqua"/>
                <w:sz w:val="24"/>
                <w:szCs w:val="24"/>
              </w:rPr>
              <w:t>regional superior product</w:t>
            </w:r>
            <w:r w:rsidRPr="004E7056">
              <w:rPr>
                <w:rFonts w:ascii="Book Antiqua" w:eastAsia="Book Antiqua" w:hAnsi="Book Antiqua" w:cs="Book Antiqua"/>
                <w:sz w:val="24"/>
                <w:szCs w:val="24"/>
              </w:rPr>
              <w:t xml:space="preserve"> attractiveness, enhancing infrastructure, boosting investment and promotion, fostering collaboration, fostering community involvement, and fortifying </w:t>
            </w:r>
            <w:r w:rsidR="00A646BA" w:rsidRPr="004E7056">
              <w:rPr>
                <w:rFonts w:ascii="Book Antiqua" w:eastAsia="Book Antiqua" w:hAnsi="Book Antiqua" w:cs="Book Antiqua"/>
                <w:sz w:val="24"/>
                <w:szCs w:val="24"/>
              </w:rPr>
              <w:t>regional superior product</w:t>
            </w:r>
            <w:r w:rsidRPr="004E7056">
              <w:rPr>
                <w:rFonts w:ascii="Book Antiqua" w:eastAsia="Book Antiqua" w:hAnsi="Book Antiqua" w:cs="Book Antiqua"/>
                <w:sz w:val="24"/>
                <w:szCs w:val="24"/>
              </w:rPr>
              <w:t xml:space="preserve"> protection are some of the ways that the medium-term </w:t>
            </w:r>
            <w:r w:rsidR="00A646BA" w:rsidRPr="004E7056">
              <w:rPr>
                <w:rFonts w:ascii="Book Antiqua" w:eastAsia="Book Antiqua" w:hAnsi="Book Antiqua" w:cs="Book Antiqua"/>
                <w:sz w:val="24"/>
                <w:szCs w:val="24"/>
              </w:rPr>
              <w:t>regional superior product</w:t>
            </w:r>
            <w:r w:rsidRPr="004E7056">
              <w:rPr>
                <w:rFonts w:ascii="Book Antiqua" w:eastAsia="Book Antiqua" w:hAnsi="Book Antiqua" w:cs="Book Antiqua"/>
                <w:sz w:val="24"/>
                <w:szCs w:val="24"/>
              </w:rPr>
              <w:t xml:space="preserve"> development model is put into practice.</w:t>
            </w:r>
          </w:p>
        </w:tc>
      </w:tr>
      <w:tr w:rsidR="00E00E53">
        <w:trPr>
          <w:trHeight w:val="440"/>
        </w:trPr>
        <w:tc>
          <w:tcPr>
            <w:tcW w:w="855" w:type="dxa"/>
            <w:gridSpan w:val="2"/>
            <w:tcBorders>
              <w:top w:val="single" w:sz="4" w:space="0" w:color="FDFEF4"/>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2</w:t>
            </w:r>
          </w:p>
        </w:tc>
        <w:tc>
          <w:tcPr>
            <w:tcW w:w="1650" w:type="dxa"/>
            <w:tcBorders>
              <w:top w:val="single" w:sz="4" w:space="0" w:color="FDFEF4"/>
              <w:left w:val="nil"/>
              <w:bottom w:val="nil"/>
              <w:right w:val="nil"/>
            </w:tcBorders>
            <w:vAlign w:val="center"/>
          </w:tcPr>
          <w:p w:rsidR="00E00E53" w:rsidRDefault="00270AAC">
            <w:pPr>
              <w:widowControl w:val="0"/>
              <w:spacing w:after="0" w:line="240" w:lineRule="auto"/>
              <w:ind w:left="100" w:right="174"/>
              <w:jc w:val="center"/>
              <w:rPr>
                <w:rFonts w:ascii="Book Antiqua" w:eastAsia="Book Antiqua" w:hAnsi="Book Antiqua" w:cs="Book Antiqua"/>
                <w:sz w:val="24"/>
                <w:szCs w:val="24"/>
              </w:rPr>
            </w:pPr>
            <w:r>
              <w:rPr>
                <w:rFonts w:ascii="Book Antiqua" w:eastAsia="Book Antiqua" w:hAnsi="Book Antiqua" w:cs="Book Antiqua"/>
                <w:sz w:val="24"/>
                <w:szCs w:val="24"/>
              </w:rPr>
              <w:t>Article 5 Paragraph (2)</w:t>
            </w:r>
          </w:p>
        </w:tc>
        <w:tc>
          <w:tcPr>
            <w:tcW w:w="6060" w:type="dxa"/>
            <w:gridSpan w:val="4"/>
            <w:tcBorders>
              <w:top w:val="single" w:sz="4" w:space="0" w:color="FDFEF4"/>
              <w:left w:val="nil"/>
              <w:bottom w:val="nil"/>
              <w:right w:val="nil"/>
            </w:tcBorders>
          </w:tcPr>
          <w:p w:rsidR="00E00E53" w:rsidRPr="004E7056" w:rsidRDefault="00270AAC">
            <w:pPr>
              <w:spacing w:after="0" w:line="240" w:lineRule="auto"/>
              <w:jc w:val="both"/>
              <w:rPr>
                <w:rFonts w:ascii="Book Antiqua" w:eastAsia="Book Antiqua" w:hAnsi="Book Antiqua" w:cs="Book Antiqua"/>
                <w:sz w:val="24"/>
                <w:szCs w:val="24"/>
              </w:rPr>
            </w:pPr>
            <w:r w:rsidRPr="004E7056">
              <w:rPr>
                <w:rFonts w:ascii="Book Antiqua" w:eastAsia="Book Antiqua" w:hAnsi="Book Antiqua" w:cs="Book Antiqua"/>
                <w:sz w:val="24"/>
                <w:szCs w:val="24"/>
              </w:rPr>
              <w:t xml:space="preserve">It is possible to use the incubator, cluster, One Village One Product/OVOP, and core competency models to carry out regional medium-term </w:t>
            </w:r>
            <w:r w:rsidR="00A646BA" w:rsidRPr="004E7056">
              <w:rPr>
                <w:rFonts w:ascii="Book Antiqua" w:eastAsia="Book Antiqua" w:hAnsi="Book Antiqua" w:cs="Book Antiqua"/>
                <w:sz w:val="24"/>
                <w:szCs w:val="24"/>
              </w:rPr>
              <w:t>regional superior product</w:t>
            </w:r>
            <w:r w:rsidRPr="004E7056">
              <w:rPr>
                <w:rFonts w:ascii="Book Antiqua" w:eastAsia="Book Antiqua" w:hAnsi="Book Antiqua" w:cs="Book Antiqua"/>
                <w:sz w:val="24"/>
                <w:szCs w:val="24"/>
              </w:rPr>
              <w:t xml:space="preserve"> development planning.</w:t>
            </w:r>
            <w:r w:rsidRPr="004E7056">
              <w:rPr>
                <w:rFonts w:ascii="Book Antiqua" w:eastAsia="Book Antiqua" w:hAnsi="Book Antiqua" w:cs="Book Antiqua"/>
                <w:sz w:val="24"/>
                <w:szCs w:val="24"/>
              </w:rPr>
              <w:br/>
              <w:t xml:space="preserve">Increasing </w:t>
            </w:r>
            <w:r w:rsidR="00DF34EC" w:rsidRPr="004E7056">
              <w:rPr>
                <w:rFonts w:ascii="Book Antiqua" w:eastAsia="Book Antiqua" w:hAnsi="Book Antiqua" w:cs="Book Antiqua"/>
                <w:sz w:val="24"/>
                <w:szCs w:val="24"/>
              </w:rPr>
              <w:t>regional superior product</w:t>
            </w:r>
            <w:r w:rsidRPr="004E7056">
              <w:rPr>
                <w:rFonts w:ascii="Book Antiqua" w:eastAsia="Book Antiqua" w:hAnsi="Book Antiqua" w:cs="Book Antiqua"/>
                <w:sz w:val="24"/>
                <w:szCs w:val="24"/>
              </w:rPr>
              <w:t xml:space="preserve"> attractiveness, enhancing infrastructure, boosting investment and promotion, fostering collaboration, fostering community involvement, and fortifying </w:t>
            </w:r>
            <w:r w:rsidR="00DF34EC" w:rsidRPr="004E7056">
              <w:rPr>
                <w:rFonts w:ascii="Book Antiqua" w:eastAsia="Book Antiqua" w:hAnsi="Book Antiqua" w:cs="Book Antiqua"/>
                <w:sz w:val="24"/>
                <w:szCs w:val="24"/>
              </w:rPr>
              <w:t xml:space="preserve">regional superior product </w:t>
            </w:r>
            <w:r w:rsidRPr="004E7056">
              <w:rPr>
                <w:rFonts w:ascii="Book Antiqua" w:eastAsia="Book Antiqua" w:hAnsi="Book Antiqua" w:cs="Book Antiqua"/>
                <w:sz w:val="24"/>
                <w:szCs w:val="24"/>
              </w:rPr>
              <w:t xml:space="preserve">protection are some of the ways that the medium-term </w:t>
            </w:r>
            <w:r w:rsidR="00DF34EC" w:rsidRPr="004E7056">
              <w:rPr>
                <w:rFonts w:ascii="Book Antiqua" w:eastAsia="Book Antiqua" w:hAnsi="Book Antiqua" w:cs="Book Antiqua"/>
                <w:sz w:val="24"/>
                <w:szCs w:val="24"/>
              </w:rPr>
              <w:t>regional superior product</w:t>
            </w:r>
            <w:r w:rsidRPr="004E7056">
              <w:rPr>
                <w:rFonts w:ascii="Book Antiqua" w:eastAsia="Book Antiqua" w:hAnsi="Book Antiqua" w:cs="Book Antiqua"/>
                <w:sz w:val="24"/>
                <w:szCs w:val="24"/>
              </w:rPr>
              <w:t xml:space="preserve"> development model is put into practice.</w:t>
            </w:r>
          </w:p>
        </w:tc>
      </w:tr>
      <w:tr w:rsidR="00E00E53">
        <w:trPr>
          <w:trHeight w:val="397"/>
        </w:trPr>
        <w:tc>
          <w:tcPr>
            <w:tcW w:w="855" w:type="dxa"/>
            <w:gridSpan w:val="2"/>
            <w:tcBorders>
              <w:top w:val="single" w:sz="4" w:space="0" w:color="000000"/>
              <w:left w:val="nil"/>
              <w:bottom w:val="single" w:sz="4" w:space="0" w:color="000000"/>
              <w:right w:val="nil"/>
            </w:tcBorders>
            <w:vAlign w:val="center"/>
          </w:tcPr>
          <w:p w:rsidR="00E00E53" w:rsidRDefault="00270AAC">
            <w:pPr>
              <w:widowControl w:val="0"/>
              <w:spacing w:after="0" w:line="240" w:lineRule="auto"/>
              <w:ind w:left="201"/>
              <w:jc w:val="center"/>
              <w:rPr>
                <w:rFonts w:ascii="Book Antiqua" w:eastAsia="Book Antiqua" w:hAnsi="Book Antiqua" w:cs="Book Antiqua"/>
                <w:b/>
                <w:sz w:val="24"/>
                <w:szCs w:val="24"/>
              </w:rPr>
            </w:pPr>
            <w:r>
              <w:rPr>
                <w:rFonts w:ascii="Book Antiqua" w:eastAsia="Book Antiqua" w:hAnsi="Book Antiqua" w:cs="Book Antiqua"/>
                <w:b/>
                <w:sz w:val="24"/>
                <w:szCs w:val="24"/>
              </w:rPr>
              <w:t>No</w:t>
            </w:r>
          </w:p>
        </w:tc>
        <w:tc>
          <w:tcPr>
            <w:tcW w:w="7710" w:type="dxa"/>
            <w:gridSpan w:val="5"/>
            <w:tcBorders>
              <w:top w:val="single" w:sz="4" w:space="0" w:color="000000"/>
              <w:left w:val="nil"/>
              <w:bottom w:val="single" w:sz="4" w:space="0" w:color="000000"/>
              <w:right w:val="nil"/>
            </w:tcBorders>
            <w:vAlign w:val="center"/>
          </w:tcPr>
          <w:p w:rsidR="00E00E53" w:rsidRPr="004E7056" w:rsidRDefault="00270AAC">
            <w:pPr>
              <w:widowControl w:val="0"/>
              <w:spacing w:after="0" w:line="240" w:lineRule="auto"/>
              <w:jc w:val="center"/>
              <w:rPr>
                <w:rFonts w:ascii="Book Antiqua" w:eastAsia="Book Antiqua" w:hAnsi="Book Antiqua" w:cs="Book Antiqua"/>
                <w:b/>
                <w:sz w:val="24"/>
                <w:szCs w:val="24"/>
              </w:rPr>
            </w:pPr>
            <w:r w:rsidRPr="004E7056">
              <w:rPr>
                <w:rFonts w:ascii="Book Antiqua" w:eastAsia="Book Antiqua" w:hAnsi="Book Antiqua" w:cs="Book Antiqua"/>
                <w:b/>
                <w:sz w:val="24"/>
                <w:szCs w:val="24"/>
              </w:rPr>
              <w:t>Law Number 28 of 2014 on Copyright</w:t>
            </w:r>
          </w:p>
        </w:tc>
      </w:tr>
      <w:tr w:rsidR="00E00E53">
        <w:trPr>
          <w:trHeight w:val="440"/>
        </w:trPr>
        <w:tc>
          <w:tcPr>
            <w:tcW w:w="855" w:type="dxa"/>
            <w:gridSpan w:val="2"/>
            <w:tcBorders>
              <w:top w:val="single" w:sz="4" w:space="0" w:color="000000"/>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 xml:space="preserve">1 </w:t>
            </w:r>
          </w:p>
        </w:tc>
        <w:tc>
          <w:tcPr>
            <w:tcW w:w="1650" w:type="dxa"/>
            <w:tcBorders>
              <w:top w:val="single" w:sz="4" w:space="0" w:color="000000"/>
              <w:left w:val="nil"/>
              <w:bottom w:val="nil"/>
              <w:right w:val="nil"/>
            </w:tcBorders>
            <w:vAlign w:val="center"/>
          </w:tcPr>
          <w:p w:rsidR="00E00E53" w:rsidRDefault="00270AAC">
            <w:pPr>
              <w:widowControl w:val="0"/>
              <w:spacing w:after="0" w:line="240" w:lineRule="auto"/>
              <w:ind w:left="100" w:right="174"/>
              <w:jc w:val="center"/>
              <w:rPr>
                <w:rFonts w:ascii="Book Antiqua" w:eastAsia="Book Antiqua" w:hAnsi="Book Antiqua" w:cs="Book Antiqua"/>
                <w:sz w:val="24"/>
                <w:szCs w:val="24"/>
              </w:rPr>
            </w:pPr>
            <w:r>
              <w:rPr>
                <w:rFonts w:ascii="Book Antiqua" w:eastAsia="Book Antiqua" w:hAnsi="Book Antiqua" w:cs="Book Antiqua"/>
                <w:sz w:val="24"/>
                <w:szCs w:val="24"/>
              </w:rPr>
              <w:t xml:space="preserve">Article 38 </w:t>
            </w:r>
          </w:p>
        </w:tc>
        <w:tc>
          <w:tcPr>
            <w:tcW w:w="6060" w:type="dxa"/>
            <w:gridSpan w:val="4"/>
            <w:tcBorders>
              <w:top w:val="single" w:sz="4" w:space="0" w:color="000000"/>
              <w:left w:val="nil"/>
              <w:bottom w:val="nil"/>
              <w:right w:val="nil"/>
            </w:tcBorders>
            <w:vAlign w:val="center"/>
          </w:tcPr>
          <w:p w:rsidR="00E00E53" w:rsidRPr="004E7056" w:rsidRDefault="00270AAC">
            <w:pPr>
              <w:spacing w:after="0" w:line="240" w:lineRule="auto"/>
              <w:jc w:val="both"/>
              <w:rPr>
                <w:rFonts w:ascii="Book Antiqua" w:eastAsia="Book Antiqua" w:hAnsi="Book Antiqua" w:cs="Book Antiqua"/>
                <w:sz w:val="24"/>
                <w:szCs w:val="24"/>
              </w:rPr>
            </w:pPr>
            <w:r w:rsidRPr="004E7056">
              <w:rPr>
                <w:rFonts w:ascii="Book Antiqua" w:eastAsia="Book Antiqua" w:hAnsi="Book Antiqua" w:cs="Book Antiqua"/>
                <w:sz w:val="24"/>
                <w:szCs w:val="24"/>
              </w:rPr>
              <w:t>The state owns the copyright to EBT, and it is its responsibility to inventory, safeguard, and maintain it while keeping in mind societal values.</w:t>
            </w:r>
          </w:p>
        </w:tc>
      </w:tr>
      <w:tr w:rsidR="00E00E53">
        <w:trPr>
          <w:trHeight w:val="397"/>
        </w:trPr>
        <w:tc>
          <w:tcPr>
            <w:tcW w:w="855" w:type="dxa"/>
            <w:gridSpan w:val="2"/>
            <w:tcBorders>
              <w:top w:val="nil"/>
              <w:left w:val="nil"/>
              <w:bottom w:val="nil"/>
              <w:right w:val="nil"/>
            </w:tcBorders>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2</w:t>
            </w:r>
          </w:p>
        </w:tc>
        <w:tc>
          <w:tcPr>
            <w:tcW w:w="1650" w:type="dxa"/>
            <w:tcBorders>
              <w:top w:val="nil"/>
              <w:left w:val="nil"/>
              <w:bottom w:val="nil"/>
              <w:right w:val="nil"/>
            </w:tcBorders>
            <w:vAlign w:val="center"/>
          </w:tcPr>
          <w:p w:rsidR="00E00E53" w:rsidRDefault="00270AAC">
            <w:pPr>
              <w:widowControl w:val="0"/>
              <w:spacing w:after="0" w:line="240" w:lineRule="auto"/>
              <w:ind w:left="100" w:right="174"/>
              <w:jc w:val="center"/>
              <w:rPr>
                <w:rFonts w:ascii="Book Antiqua" w:eastAsia="Book Antiqua" w:hAnsi="Book Antiqua" w:cs="Book Antiqua"/>
                <w:sz w:val="24"/>
                <w:szCs w:val="24"/>
              </w:rPr>
            </w:pPr>
            <w:r>
              <w:rPr>
                <w:rFonts w:ascii="Book Antiqua" w:eastAsia="Book Antiqua" w:hAnsi="Book Antiqua" w:cs="Book Antiqua"/>
                <w:sz w:val="24"/>
                <w:szCs w:val="24"/>
              </w:rPr>
              <w:t>Article 39</w:t>
            </w:r>
          </w:p>
        </w:tc>
        <w:tc>
          <w:tcPr>
            <w:tcW w:w="6060" w:type="dxa"/>
            <w:gridSpan w:val="4"/>
            <w:tcBorders>
              <w:top w:val="nil"/>
              <w:left w:val="nil"/>
              <w:bottom w:val="nil"/>
              <w:right w:val="nil"/>
            </w:tcBorders>
            <w:vAlign w:val="center"/>
          </w:tcPr>
          <w:p w:rsidR="00E00E53" w:rsidRPr="004E7056" w:rsidRDefault="00270AAC">
            <w:pPr>
              <w:spacing w:after="0" w:line="240" w:lineRule="auto"/>
              <w:jc w:val="both"/>
              <w:rPr>
                <w:rFonts w:ascii="Book Antiqua" w:eastAsia="Book Antiqua" w:hAnsi="Book Antiqua" w:cs="Book Antiqua"/>
                <w:sz w:val="24"/>
                <w:szCs w:val="24"/>
              </w:rPr>
            </w:pPr>
            <w:r w:rsidRPr="004E7056">
              <w:rPr>
                <w:rFonts w:ascii="Book Antiqua" w:eastAsia="Book Antiqua" w:hAnsi="Book Antiqua" w:cs="Book Antiqua"/>
                <w:sz w:val="24"/>
                <w:szCs w:val="24"/>
              </w:rPr>
              <w:t>The state owns the products if its creator is unknown or cannot be identified at this time due to a lack of announcement, and vice versa. The copyright and work are owned by the state for the benefit of the creator in the event that a work has been published but the creator and the person making the notification are unknown.</w:t>
            </w:r>
          </w:p>
        </w:tc>
      </w:tr>
      <w:tr w:rsidR="00E00E53">
        <w:trPr>
          <w:trHeight w:val="397"/>
        </w:trPr>
        <w:tc>
          <w:tcPr>
            <w:tcW w:w="75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b/>
                <w:sz w:val="24"/>
                <w:szCs w:val="24"/>
              </w:rPr>
              <w:t>No</w:t>
            </w:r>
          </w:p>
        </w:tc>
        <w:tc>
          <w:tcPr>
            <w:tcW w:w="7815" w:type="dxa"/>
            <w:gridSpan w:val="6"/>
            <w:tcBorders>
              <w:top w:val="single" w:sz="4" w:space="0" w:color="000000"/>
              <w:left w:val="nil"/>
              <w:bottom w:val="single" w:sz="4" w:space="0" w:color="000000"/>
              <w:right w:val="nil"/>
            </w:tcBorders>
            <w:tcMar>
              <w:top w:w="15" w:type="dxa"/>
              <w:left w:w="15" w:type="dxa"/>
              <w:bottom w:w="15" w:type="dxa"/>
              <w:right w:w="15" w:type="dxa"/>
            </w:tcMar>
            <w:vAlign w:val="center"/>
          </w:tcPr>
          <w:p w:rsidR="00E00E53" w:rsidRPr="004E7056" w:rsidRDefault="00F07518">
            <w:pPr>
              <w:widowControl w:val="0"/>
              <w:spacing w:after="0" w:line="240" w:lineRule="auto"/>
              <w:ind w:left="100"/>
              <w:jc w:val="center"/>
              <w:rPr>
                <w:rFonts w:ascii="Book Antiqua" w:eastAsia="Book Antiqua" w:hAnsi="Book Antiqua" w:cs="Book Antiqua"/>
                <w:sz w:val="24"/>
                <w:szCs w:val="24"/>
              </w:rPr>
            </w:pPr>
            <w:r w:rsidRPr="00F07518">
              <w:rPr>
                <w:rFonts w:ascii="Book Antiqua" w:eastAsia="Book Antiqua" w:hAnsi="Book Antiqua" w:cs="Book Antiqua"/>
                <w:b/>
                <w:sz w:val="24"/>
                <w:szCs w:val="24"/>
              </w:rPr>
              <w:t>Law Number 5 of 2017 on Advancement of Culture</w:t>
            </w:r>
          </w:p>
        </w:tc>
      </w:tr>
      <w:tr w:rsidR="00E00E53">
        <w:trPr>
          <w:trHeight w:val="397"/>
        </w:trPr>
        <w:tc>
          <w:tcPr>
            <w:tcW w:w="750" w:type="dxa"/>
            <w:tcBorders>
              <w:top w:val="single" w:sz="4" w:space="0" w:color="000000"/>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1</w:t>
            </w:r>
          </w:p>
        </w:tc>
        <w:tc>
          <w:tcPr>
            <w:tcW w:w="1860" w:type="dxa"/>
            <w:gridSpan w:val="3"/>
            <w:tcBorders>
              <w:top w:val="single" w:sz="4" w:space="0" w:color="000000"/>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Article 1 Paragraph 4</w:t>
            </w:r>
          </w:p>
        </w:tc>
        <w:tc>
          <w:tcPr>
            <w:tcW w:w="5955" w:type="dxa"/>
            <w:gridSpan w:val="3"/>
            <w:tcBorders>
              <w:top w:val="single" w:sz="4" w:space="0" w:color="000000"/>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 xml:space="preserve">Protection is an effort to maintain the sustainability of culture carried out by means of inventory, security, </w:t>
            </w:r>
            <w:r>
              <w:rPr>
                <w:rFonts w:ascii="Book Antiqua" w:eastAsia="Book Antiqua" w:hAnsi="Book Antiqua" w:cs="Book Antiqua"/>
                <w:sz w:val="24"/>
                <w:szCs w:val="24"/>
              </w:rPr>
              <w:lastRenderedPageBreak/>
              <w:t>maintenance, rescue, and publication.</w:t>
            </w:r>
          </w:p>
        </w:tc>
      </w:tr>
      <w:tr w:rsidR="00E00E53">
        <w:trPr>
          <w:trHeight w:val="397"/>
        </w:trPr>
        <w:tc>
          <w:tcPr>
            <w:tcW w:w="750" w:type="dxa"/>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lastRenderedPageBreak/>
              <w:t>2</w:t>
            </w:r>
          </w:p>
        </w:tc>
        <w:tc>
          <w:tcPr>
            <w:tcW w:w="1860" w:type="dxa"/>
            <w:gridSpan w:val="3"/>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Article 1 Paragraph 5</w:t>
            </w:r>
          </w:p>
        </w:tc>
        <w:tc>
          <w:tcPr>
            <w:tcW w:w="5955" w:type="dxa"/>
            <w:gridSpan w:val="3"/>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Development is an effort to revive the cultural ecosystem and improve, enrich, and disseminate culture.</w:t>
            </w:r>
          </w:p>
        </w:tc>
      </w:tr>
      <w:tr w:rsidR="00E00E53">
        <w:trPr>
          <w:trHeight w:val="397"/>
        </w:trPr>
        <w:tc>
          <w:tcPr>
            <w:tcW w:w="750" w:type="dxa"/>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3</w:t>
            </w:r>
          </w:p>
        </w:tc>
        <w:tc>
          <w:tcPr>
            <w:tcW w:w="1860" w:type="dxa"/>
            <w:gridSpan w:val="3"/>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Article 16</w:t>
            </w:r>
          </w:p>
        </w:tc>
        <w:tc>
          <w:tcPr>
            <w:tcW w:w="5955" w:type="dxa"/>
            <w:gridSpan w:val="3"/>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Inventory of Cultural Advancement Objects consists of recording and documenting, assigning, and updating data carried out through the Cultural Data Collection System</w:t>
            </w:r>
            <w:r w:rsidR="004E7056">
              <w:rPr>
                <w:rFonts w:ascii="Book Antiqua" w:eastAsia="Book Antiqua" w:hAnsi="Book Antiqua" w:cs="Book Antiqua"/>
                <w:sz w:val="24"/>
                <w:szCs w:val="24"/>
              </w:rPr>
              <w:t>.</w:t>
            </w:r>
          </w:p>
        </w:tc>
      </w:tr>
      <w:tr w:rsidR="00E00E53">
        <w:trPr>
          <w:trHeight w:val="397"/>
        </w:trPr>
        <w:tc>
          <w:tcPr>
            <w:tcW w:w="750" w:type="dxa"/>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4</w:t>
            </w:r>
          </w:p>
        </w:tc>
        <w:tc>
          <w:tcPr>
            <w:tcW w:w="1860" w:type="dxa"/>
            <w:gridSpan w:val="3"/>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Article 22</w:t>
            </w:r>
          </w:p>
        </w:tc>
        <w:tc>
          <w:tcPr>
            <w:tcW w:w="5955" w:type="dxa"/>
            <w:gridSpan w:val="3"/>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Everyone, both the Central Government, Regional Government, and the community are obliged and play an active role in safeguarding to prevent foreign parties from claiming the intellectual property of Cultural Advancement Objects, by updating data, inheriting, and fighting for Cultural Advancement Objects.</w:t>
            </w:r>
          </w:p>
        </w:tc>
      </w:tr>
      <w:tr w:rsidR="00E00E53">
        <w:trPr>
          <w:trHeight w:val="397"/>
        </w:trPr>
        <w:tc>
          <w:tcPr>
            <w:tcW w:w="750" w:type="dxa"/>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5</w:t>
            </w:r>
          </w:p>
        </w:tc>
        <w:tc>
          <w:tcPr>
            <w:tcW w:w="1860" w:type="dxa"/>
            <w:gridSpan w:val="3"/>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Article 24</w:t>
            </w:r>
          </w:p>
        </w:tc>
        <w:tc>
          <w:tcPr>
            <w:tcW w:w="5955" w:type="dxa"/>
            <w:gridSpan w:val="3"/>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Everyone, both the Central Government, Regional Government, and the community are obliged to carry out maintenance to prevent damage, loss, or destruction of Cultural Advancement Objects by maintaining the noble value and wisdom, using it in everyday life, maintaining diversity, reviving and maintaining cultural ecosystems, and passing on Cultural Advancement Objects.</w:t>
            </w:r>
          </w:p>
        </w:tc>
      </w:tr>
      <w:tr w:rsidR="00E00E53">
        <w:trPr>
          <w:trHeight w:val="397"/>
        </w:trPr>
        <w:tc>
          <w:tcPr>
            <w:tcW w:w="750" w:type="dxa"/>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6</w:t>
            </w:r>
          </w:p>
        </w:tc>
        <w:tc>
          <w:tcPr>
            <w:tcW w:w="1860" w:type="dxa"/>
            <w:gridSpan w:val="3"/>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Article 26</w:t>
            </w:r>
          </w:p>
        </w:tc>
        <w:tc>
          <w:tcPr>
            <w:tcW w:w="5955" w:type="dxa"/>
            <w:gridSpan w:val="3"/>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Everyone, both the Central Government, Regional Government, and the community are obliged and play an active role in saving, by revitalizing, repatriating, and restoring the Object of Cultural Advancement.</w:t>
            </w:r>
          </w:p>
        </w:tc>
      </w:tr>
      <w:tr w:rsidR="00E00E53">
        <w:trPr>
          <w:trHeight w:val="397"/>
        </w:trPr>
        <w:tc>
          <w:tcPr>
            <w:tcW w:w="750" w:type="dxa"/>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7</w:t>
            </w:r>
          </w:p>
        </w:tc>
        <w:tc>
          <w:tcPr>
            <w:tcW w:w="1860" w:type="dxa"/>
            <w:gridSpan w:val="3"/>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Article 28</w:t>
            </w:r>
          </w:p>
        </w:tc>
        <w:tc>
          <w:tcPr>
            <w:tcW w:w="5955" w:type="dxa"/>
            <w:gridSpan w:val="3"/>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Every person, whether the Central Government, Regional Government, or the community is obliged and plays an active role in conducting publications that are published both domestically and abroad using various forms of media.</w:t>
            </w:r>
          </w:p>
        </w:tc>
      </w:tr>
      <w:tr w:rsidR="00E00E53">
        <w:trPr>
          <w:trHeight w:val="397"/>
        </w:trPr>
        <w:tc>
          <w:tcPr>
            <w:tcW w:w="750" w:type="dxa"/>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8</w:t>
            </w:r>
          </w:p>
        </w:tc>
        <w:tc>
          <w:tcPr>
            <w:tcW w:w="1860" w:type="dxa"/>
            <w:gridSpan w:val="3"/>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center"/>
              <w:rPr>
                <w:rFonts w:ascii="Book Antiqua" w:eastAsia="Book Antiqua" w:hAnsi="Book Antiqua" w:cs="Book Antiqua"/>
                <w:sz w:val="24"/>
                <w:szCs w:val="24"/>
              </w:rPr>
            </w:pPr>
            <w:r>
              <w:rPr>
                <w:rFonts w:ascii="Book Antiqua" w:eastAsia="Book Antiqua" w:hAnsi="Book Antiqua" w:cs="Book Antiqua"/>
                <w:sz w:val="24"/>
                <w:szCs w:val="24"/>
              </w:rPr>
              <w:t>Article 37</w:t>
            </w:r>
          </w:p>
        </w:tc>
        <w:tc>
          <w:tcPr>
            <w:tcW w:w="5955" w:type="dxa"/>
            <w:gridSpan w:val="3"/>
            <w:tcBorders>
              <w:top w:val="nil"/>
              <w:left w:val="nil"/>
              <w:bottom w:val="nil"/>
              <w:right w:val="nil"/>
            </w:tcBorders>
            <w:tcMar>
              <w:top w:w="15" w:type="dxa"/>
              <w:left w:w="15" w:type="dxa"/>
              <w:bottom w:w="15" w:type="dxa"/>
              <w:right w:w="15" w:type="dxa"/>
            </w:tcMar>
            <w:vAlign w:val="center"/>
          </w:tcPr>
          <w:p w:rsidR="00E00E53" w:rsidRDefault="00270AAC">
            <w:pPr>
              <w:widowControl w:val="0"/>
              <w:spacing w:after="0" w:line="240" w:lineRule="auto"/>
              <w:ind w:left="100"/>
              <w:jc w:val="both"/>
              <w:rPr>
                <w:rFonts w:ascii="Book Antiqua" w:eastAsia="Book Antiqua" w:hAnsi="Book Antiqua" w:cs="Book Antiqua"/>
                <w:sz w:val="24"/>
                <w:szCs w:val="24"/>
              </w:rPr>
            </w:pPr>
            <w:r>
              <w:rPr>
                <w:rFonts w:ascii="Book Antiqua" w:eastAsia="Book Antiqua" w:hAnsi="Book Antiqua" w:cs="Book Antiqua"/>
                <w:sz w:val="24"/>
                <w:szCs w:val="24"/>
              </w:rPr>
              <w:t>Large industries and/or foreign parties who wish to utilize the Object of Cultural Advancement must obtain a permit from the Minister with the following conditions, namely: have approval on the basis of initial information, benefit sharing, and inclusion of the origin of the Cultural Advancement Object. This aims to revive and maintain the ecosystem of the Cultural Advancement Object.</w:t>
            </w:r>
          </w:p>
        </w:tc>
      </w:tr>
      <w:tr w:rsidR="00E00E53">
        <w:trPr>
          <w:trHeight w:val="68"/>
        </w:trPr>
        <w:tc>
          <w:tcPr>
            <w:tcW w:w="855" w:type="dxa"/>
            <w:gridSpan w:val="2"/>
            <w:tcBorders>
              <w:top w:val="nil"/>
              <w:left w:val="nil"/>
              <w:bottom w:val="single" w:sz="4" w:space="0" w:color="000000"/>
              <w:right w:val="nil"/>
            </w:tcBorders>
            <w:vAlign w:val="center"/>
          </w:tcPr>
          <w:p w:rsidR="00E00E53" w:rsidRDefault="00E00E53">
            <w:pPr>
              <w:widowControl w:val="0"/>
              <w:spacing w:after="0" w:line="240" w:lineRule="auto"/>
              <w:ind w:left="100"/>
              <w:jc w:val="center"/>
              <w:rPr>
                <w:rFonts w:ascii="Book Antiqua" w:eastAsia="Book Antiqua" w:hAnsi="Book Antiqua" w:cs="Book Antiqua"/>
                <w:sz w:val="2"/>
                <w:szCs w:val="2"/>
              </w:rPr>
            </w:pPr>
          </w:p>
        </w:tc>
        <w:tc>
          <w:tcPr>
            <w:tcW w:w="1650" w:type="dxa"/>
            <w:tcBorders>
              <w:top w:val="nil"/>
              <w:left w:val="nil"/>
              <w:bottom w:val="single" w:sz="4" w:space="0" w:color="000000"/>
              <w:right w:val="nil"/>
            </w:tcBorders>
            <w:vAlign w:val="center"/>
          </w:tcPr>
          <w:p w:rsidR="00E00E53" w:rsidRDefault="00E00E53">
            <w:pPr>
              <w:widowControl w:val="0"/>
              <w:spacing w:after="0" w:line="240" w:lineRule="auto"/>
              <w:ind w:left="100"/>
              <w:jc w:val="center"/>
              <w:rPr>
                <w:rFonts w:ascii="Book Antiqua" w:eastAsia="Book Antiqua" w:hAnsi="Book Antiqua" w:cs="Book Antiqua"/>
                <w:sz w:val="2"/>
                <w:szCs w:val="2"/>
              </w:rPr>
            </w:pPr>
          </w:p>
        </w:tc>
        <w:tc>
          <w:tcPr>
            <w:tcW w:w="3030" w:type="dxa"/>
            <w:gridSpan w:val="2"/>
            <w:tcBorders>
              <w:top w:val="nil"/>
              <w:left w:val="nil"/>
              <w:bottom w:val="single" w:sz="4" w:space="0" w:color="000000"/>
              <w:right w:val="nil"/>
            </w:tcBorders>
            <w:vAlign w:val="center"/>
          </w:tcPr>
          <w:p w:rsidR="00E00E53" w:rsidRDefault="00E00E53">
            <w:pPr>
              <w:widowControl w:val="0"/>
              <w:spacing w:after="0" w:line="240" w:lineRule="auto"/>
              <w:ind w:left="201"/>
              <w:jc w:val="center"/>
              <w:rPr>
                <w:rFonts w:ascii="Book Antiqua" w:eastAsia="Book Antiqua" w:hAnsi="Book Antiqua" w:cs="Book Antiqua"/>
                <w:sz w:val="2"/>
                <w:szCs w:val="2"/>
              </w:rPr>
            </w:pPr>
          </w:p>
        </w:tc>
        <w:tc>
          <w:tcPr>
            <w:tcW w:w="780" w:type="dxa"/>
            <w:tcBorders>
              <w:top w:val="nil"/>
              <w:left w:val="nil"/>
              <w:bottom w:val="single" w:sz="4" w:space="0" w:color="000000"/>
              <w:right w:val="nil"/>
            </w:tcBorders>
            <w:vAlign w:val="center"/>
          </w:tcPr>
          <w:p w:rsidR="00E00E53" w:rsidRDefault="00E00E53">
            <w:pPr>
              <w:widowControl w:val="0"/>
              <w:spacing w:after="0" w:line="240" w:lineRule="auto"/>
              <w:ind w:left="201"/>
              <w:jc w:val="center"/>
              <w:rPr>
                <w:rFonts w:ascii="Book Antiqua" w:eastAsia="Book Antiqua" w:hAnsi="Book Antiqua" w:cs="Book Antiqua"/>
                <w:sz w:val="2"/>
                <w:szCs w:val="2"/>
              </w:rPr>
            </w:pPr>
          </w:p>
        </w:tc>
        <w:tc>
          <w:tcPr>
            <w:tcW w:w="2250" w:type="dxa"/>
            <w:tcBorders>
              <w:top w:val="nil"/>
              <w:left w:val="nil"/>
              <w:bottom w:val="single" w:sz="4" w:space="0" w:color="000000"/>
              <w:right w:val="nil"/>
            </w:tcBorders>
            <w:vAlign w:val="center"/>
          </w:tcPr>
          <w:p w:rsidR="00E00E53" w:rsidRDefault="00E00E53">
            <w:pPr>
              <w:widowControl w:val="0"/>
              <w:spacing w:after="0" w:line="240" w:lineRule="auto"/>
              <w:rPr>
                <w:rFonts w:ascii="Book Antiqua" w:eastAsia="Book Antiqua" w:hAnsi="Book Antiqua" w:cs="Book Antiqua"/>
                <w:sz w:val="2"/>
                <w:szCs w:val="2"/>
              </w:rPr>
            </w:pPr>
          </w:p>
        </w:tc>
      </w:tr>
    </w:tbl>
    <w:p w:rsidR="00E00E53" w:rsidRDefault="00270AAC">
      <w:pPr>
        <w:spacing w:after="0" w:line="240" w:lineRule="auto"/>
        <w:jc w:val="center"/>
        <w:rPr>
          <w:rFonts w:ascii="Book Antiqua" w:eastAsia="Book Antiqua" w:hAnsi="Book Antiqua" w:cs="Book Antiqua"/>
          <w:sz w:val="20"/>
          <w:szCs w:val="20"/>
        </w:rPr>
      </w:pPr>
      <w:bookmarkStart w:id="6" w:name="_heading=h.1t3h5sf" w:colFirst="0" w:colLast="0"/>
      <w:bookmarkEnd w:id="6"/>
      <w:r>
        <w:rPr>
          <w:rFonts w:ascii="Book Antiqua" w:eastAsia="Book Antiqua" w:hAnsi="Book Antiqua" w:cs="Book Antiqua"/>
          <w:sz w:val="24"/>
          <w:szCs w:val="24"/>
        </w:rPr>
        <w:t>Source: The Republic of Indonesia's legislation.</w:t>
      </w:r>
    </w:p>
    <w:p w:rsidR="00E00E53" w:rsidRDefault="00E00E53">
      <w:pPr>
        <w:spacing w:after="0" w:line="240" w:lineRule="auto"/>
        <w:ind w:firstLine="426"/>
        <w:jc w:val="both"/>
        <w:rPr>
          <w:rFonts w:ascii="Book Antiqua" w:eastAsia="Book Antiqua" w:hAnsi="Book Antiqua" w:cs="Book Antiqua"/>
          <w:sz w:val="14"/>
          <w:szCs w:val="14"/>
        </w:rPr>
      </w:pPr>
    </w:p>
    <w:p w:rsidR="00E00E53" w:rsidRPr="004E7056" w:rsidRDefault="00270AAC">
      <w:pPr>
        <w:spacing w:after="0" w:line="240" w:lineRule="auto"/>
        <w:ind w:firstLine="426"/>
        <w:jc w:val="both"/>
        <w:rPr>
          <w:rFonts w:ascii="Book Antiqua" w:eastAsia="Book Antiqua" w:hAnsi="Book Antiqua" w:cs="Book Antiqua"/>
          <w:sz w:val="24"/>
          <w:szCs w:val="24"/>
        </w:rPr>
      </w:pPr>
      <w:r w:rsidRPr="004E7056">
        <w:rPr>
          <w:rFonts w:ascii="Book Antiqua" w:eastAsia="Book Antiqua" w:hAnsi="Book Antiqua" w:cs="Book Antiqua"/>
          <w:sz w:val="24"/>
          <w:szCs w:val="24"/>
        </w:rPr>
        <w:t xml:space="preserve">Incubator, cluster, one village one product, and core competencies are among the options for developing </w:t>
      </w:r>
      <w:r w:rsidR="001D5896" w:rsidRPr="004E7056">
        <w:rPr>
          <w:rFonts w:ascii="Book Antiqua" w:eastAsia="Book Antiqua" w:hAnsi="Book Antiqua" w:cs="Book Antiqua"/>
          <w:sz w:val="24"/>
          <w:szCs w:val="24"/>
        </w:rPr>
        <w:t>communal intellectual property</w:t>
      </w:r>
      <w:r w:rsidRPr="004E7056">
        <w:rPr>
          <w:rFonts w:ascii="Book Antiqua" w:eastAsia="Book Antiqua" w:hAnsi="Book Antiqua" w:cs="Book Antiqua"/>
          <w:sz w:val="24"/>
          <w:szCs w:val="24"/>
        </w:rPr>
        <w:t xml:space="preserve"> protection for local regional potential in products, according to the explanation of the three laws and regulations mentioned above. Local and regional cultural potential, meanwhile, </w:t>
      </w:r>
      <w:r w:rsidRPr="004E7056">
        <w:rPr>
          <w:rFonts w:ascii="Book Antiqua" w:eastAsia="Book Antiqua" w:hAnsi="Book Antiqua" w:cs="Book Antiqua"/>
          <w:sz w:val="24"/>
          <w:szCs w:val="24"/>
        </w:rPr>
        <w:lastRenderedPageBreak/>
        <w:t>includes data inventory, maintenance, publication, security, and rescue. All of these initiatives have the potential to grow into a development model that will enable Serang Regency to maintain its local and regional potential—both in terms of products and culture.</w:t>
      </w:r>
    </w:p>
    <w:p w:rsidR="00E00E53" w:rsidRPr="004E7056" w:rsidRDefault="00270AAC">
      <w:pPr>
        <w:spacing w:after="0" w:line="240" w:lineRule="auto"/>
        <w:ind w:firstLine="426"/>
        <w:jc w:val="both"/>
        <w:rPr>
          <w:rFonts w:ascii="Book Antiqua" w:eastAsia="Book Antiqua" w:hAnsi="Book Antiqua" w:cs="Book Antiqua"/>
          <w:sz w:val="24"/>
          <w:szCs w:val="24"/>
        </w:rPr>
      </w:pPr>
      <w:r w:rsidRPr="004E7056">
        <w:rPr>
          <w:rFonts w:ascii="Book Antiqua" w:eastAsia="Book Antiqua" w:hAnsi="Book Antiqua" w:cs="Book Antiqua"/>
          <w:sz w:val="24"/>
          <w:szCs w:val="24"/>
        </w:rPr>
        <w:t xml:space="preserve">The following subchapter will provide a detailed analysis and discussion of the development models for the 3 (three) </w:t>
      </w:r>
      <w:r w:rsidR="001D5896" w:rsidRPr="004E7056">
        <w:rPr>
          <w:rFonts w:ascii="Book Antiqua" w:eastAsia="Book Antiqua" w:hAnsi="Book Antiqua" w:cs="Book Antiqua"/>
          <w:sz w:val="24"/>
          <w:szCs w:val="24"/>
        </w:rPr>
        <w:t>communal intellectual property b</w:t>
      </w:r>
      <w:r w:rsidRPr="004E7056">
        <w:rPr>
          <w:rFonts w:ascii="Book Antiqua" w:eastAsia="Book Antiqua" w:hAnsi="Book Antiqua" w:cs="Book Antiqua"/>
          <w:sz w:val="24"/>
          <w:szCs w:val="24"/>
        </w:rPr>
        <w:t>ased local potential regions that the author focusses on: Golok Seuat, Silat Bandrong, and Rudat.</w:t>
      </w:r>
    </w:p>
    <w:p w:rsidR="00E00E53" w:rsidRDefault="00E00E53">
      <w:pPr>
        <w:spacing w:after="0" w:line="240" w:lineRule="auto"/>
        <w:ind w:firstLine="426"/>
        <w:jc w:val="both"/>
        <w:rPr>
          <w:rFonts w:ascii="Book Antiqua" w:eastAsia="Book Antiqua" w:hAnsi="Book Antiqua" w:cs="Book Antiqua"/>
          <w:sz w:val="14"/>
          <w:szCs w:val="14"/>
        </w:rPr>
      </w:pPr>
    </w:p>
    <w:p w:rsidR="00E00E53" w:rsidRDefault="00270AAC">
      <w:pPr>
        <w:pStyle w:val="Heading1"/>
        <w:spacing w:before="0" w:after="0" w:line="240" w:lineRule="auto"/>
        <w:ind w:left="567" w:hanging="567"/>
        <w:jc w:val="both"/>
        <w:rPr>
          <w:rFonts w:ascii="Book Antiqua" w:eastAsia="Book Antiqua" w:hAnsi="Book Antiqua" w:cs="Book Antiqua"/>
          <w:b/>
          <w:color w:val="C00000"/>
          <w:sz w:val="24"/>
          <w:szCs w:val="24"/>
        </w:rPr>
      </w:pPr>
      <w:r>
        <w:rPr>
          <w:rFonts w:ascii="Book Antiqua" w:eastAsia="Book Antiqua" w:hAnsi="Book Antiqua" w:cs="Book Antiqua"/>
          <w:b/>
          <w:color w:val="C00000"/>
          <w:sz w:val="24"/>
          <w:szCs w:val="24"/>
        </w:rPr>
        <w:t>4.1. Golok Seuat</w:t>
      </w:r>
    </w:p>
    <w:p w:rsidR="00E00E53"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 xml:space="preserve">One of the local potentials in the Serang Regency area is Golok Seuat, which has the potential to develop into one of the region's regional featured products. Incubator, cluster, </w:t>
      </w:r>
      <w:r w:rsidRPr="004E7056">
        <w:rPr>
          <w:rFonts w:ascii="Book Antiqua" w:eastAsia="Book Antiqua" w:hAnsi="Book Antiqua" w:cs="Book Antiqua"/>
          <w:sz w:val="24"/>
          <w:szCs w:val="24"/>
        </w:rPr>
        <w:t>one village one produc</w:t>
      </w:r>
      <w:r w:rsidR="004E7056" w:rsidRPr="004E7056">
        <w:rPr>
          <w:rFonts w:ascii="Book Antiqua" w:eastAsia="Book Antiqua" w:hAnsi="Book Antiqua" w:cs="Book Antiqua"/>
          <w:sz w:val="24"/>
          <w:szCs w:val="24"/>
        </w:rPr>
        <w:t>t</w:t>
      </w:r>
      <w:r w:rsidRPr="004E7056">
        <w:rPr>
          <w:rFonts w:ascii="Book Antiqua" w:eastAsia="Book Antiqua" w:hAnsi="Book Antiqua" w:cs="Book Antiqua"/>
          <w:sz w:val="24"/>
          <w:szCs w:val="24"/>
        </w:rPr>
        <w:t xml:space="preserve">, and core competency models can be used for medium-term </w:t>
      </w:r>
      <w:r w:rsidR="008F2EBB" w:rsidRPr="004E7056">
        <w:rPr>
          <w:rFonts w:ascii="Book Antiqua" w:eastAsia="Book Antiqua" w:hAnsi="Book Antiqua" w:cs="Book Antiqua"/>
          <w:sz w:val="24"/>
          <w:szCs w:val="24"/>
        </w:rPr>
        <w:t xml:space="preserve">regional superior product </w:t>
      </w:r>
      <w:r w:rsidRPr="004E7056">
        <w:rPr>
          <w:rFonts w:ascii="Book Antiqua" w:eastAsia="Book Antiqua" w:hAnsi="Book Antiqua" w:cs="Book Antiqua"/>
          <w:sz w:val="24"/>
          <w:szCs w:val="24"/>
        </w:rPr>
        <w:t xml:space="preserve">development in accordance with Article 5 of </w:t>
      </w:r>
      <w:r w:rsidR="00F07518" w:rsidRPr="00F07518">
        <w:rPr>
          <w:rFonts w:ascii="Book Antiqua" w:eastAsia="Book Antiqua" w:hAnsi="Book Antiqua" w:cs="Book Antiqua"/>
          <w:sz w:val="24"/>
          <w:szCs w:val="24"/>
        </w:rPr>
        <w:t>Regulation Number 9 of 2014 of the Minister of Home Affairs of concerning Guidelines for Development of Regional Featured Products</w:t>
      </w:r>
      <w:r w:rsidRPr="004E7056">
        <w:rPr>
          <w:rFonts w:ascii="Book Antiqua" w:eastAsia="Book Antiqua" w:hAnsi="Book Antiqua" w:cs="Book Antiqua"/>
          <w:sz w:val="24"/>
          <w:szCs w:val="24"/>
        </w:rPr>
        <w:t xml:space="preserve">. These models can be implemented through raising the standard of </w:t>
      </w:r>
      <w:r w:rsidR="008F2EBB" w:rsidRPr="004E7056">
        <w:rPr>
          <w:rFonts w:ascii="Book Antiqua" w:eastAsia="Book Antiqua" w:hAnsi="Book Antiqua" w:cs="Book Antiqua"/>
          <w:sz w:val="24"/>
          <w:szCs w:val="24"/>
        </w:rPr>
        <w:t>regional superior product</w:t>
      </w:r>
      <w:r w:rsidRPr="004E7056">
        <w:rPr>
          <w:rFonts w:ascii="Book Antiqua" w:eastAsia="Book Antiqua" w:hAnsi="Book Antiqua" w:cs="Book Antiqua"/>
          <w:sz w:val="24"/>
          <w:szCs w:val="24"/>
        </w:rPr>
        <w:t xml:space="preserve"> attractiveness, infrastructure quality, promotion and investment of </w:t>
      </w:r>
      <w:r w:rsidR="008F2EBB" w:rsidRPr="004E7056">
        <w:rPr>
          <w:rFonts w:ascii="Book Antiqua" w:eastAsia="Book Antiqua" w:hAnsi="Book Antiqua" w:cs="Book Antiqua"/>
          <w:sz w:val="24"/>
          <w:szCs w:val="24"/>
        </w:rPr>
        <w:t>regional superior product</w:t>
      </w:r>
      <w:r w:rsidRPr="004E7056">
        <w:rPr>
          <w:rFonts w:ascii="Book Antiqua" w:eastAsia="Book Antiqua" w:hAnsi="Book Antiqua" w:cs="Book Antiqua"/>
          <w:sz w:val="24"/>
          <w:szCs w:val="24"/>
        </w:rPr>
        <w:t xml:space="preserve">, increased cooperation, increased community participation, and increased protection of </w:t>
      </w:r>
      <w:r w:rsidR="006257D6" w:rsidRPr="004E7056">
        <w:rPr>
          <w:rFonts w:ascii="Book Antiqua" w:eastAsia="Book Antiqua" w:hAnsi="Book Antiqua" w:cs="Book Antiqua"/>
          <w:sz w:val="24"/>
          <w:szCs w:val="24"/>
        </w:rPr>
        <w:t>regional superior product</w:t>
      </w:r>
      <w:r w:rsidRPr="004E7056">
        <w:rPr>
          <w:rFonts w:ascii="Book Antiqua" w:eastAsia="Book Antiqua" w:hAnsi="Book Antiqua" w:cs="Book Antiqua"/>
          <w:sz w:val="24"/>
          <w:szCs w:val="24"/>
        </w:rPr>
        <w:t xml:space="preserve">. In an endeavour to enhance safeguarding </w:t>
      </w:r>
      <w:r w:rsidR="006257D6" w:rsidRPr="004E7056">
        <w:rPr>
          <w:rFonts w:ascii="Book Antiqua" w:eastAsia="Book Antiqua" w:hAnsi="Book Antiqua" w:cs="Book Antiqua"/>
          <w:sz w:val="24"/>
          <w:szCs w:val="24"/>
        </w:rPr>
        <w:t>regional superior product</w:t>
      </w:r>
      <w:r w:rsidRPr="004E7056">
        <w:rPr>
          <w:rFonts w:ascii="Book Antiqua" w:eastAsia="Book Antiqua" w:hAnsi="Book Antiqua" w:cs="Book Antiqua"/>
          <w:sz w:val="24"/>
          <w:szCs w:val="24"/>
        </w:rPr>
        <w:t>, Golok Seuat requires security to avert abuse by external entities and to enhance the calibre of Golok Seuat's attractiveness and marketing. This can be accomplished by putting the decided-upon development model into practice</w:t>
      </w:r>
      <w:r>
        <w:rPr>
          <w:rFonts w:ascii="Book Antiqua" w:eastAsia="Book Antiqua" w:hAnsi="Book Antiqua" w:cs="Book Antiqua"/>
          <w:sz w:val="24"/>
          <w:szCs w:val="24"/>
        </w:rPr>
        <w:t>.</w:t>
      </w:r>
    </w:p>
    <w:p w:rsidR="00E00E53" w:rsidRPr="004E7056"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 xml:space="preserve">It is known that the Golok Seuat development model used in publications for inventory purposes has not been registered on the </w:t>
      </w:r>
      <w:r w:rsidRPr="004E7056">
        <w:rPr>
          <w:rFonts w:ascii="Book Antiqua" w:eastAsia="Book Antiqua" w:hAnsi="Book Antiqua" w:cs="Book Antiqua"/>
          <w:sz w:val="24"/>
          <w:szCs w:val="24"/>
        </w:rPr>
        <w:t>Communal</w:t>
      </w:r>
      <w:r w:rsidR="000B6C02" w:rsidRPr="004E7056">
        <w:rPr>
          <w:rFonts w:ascii="Book Antiqua" w:eastAsia="Book Antiqua" w:hAnsi="Book Antiqua" w:cs="Book Antiqua"/>
          <w:sz w:val="24"/>
          <w:szCs w:val="24"/>
        </w:rPr>
        <w:t xml:space="preserve"> Intellectual Property</w:t>
      </w:r>
      <w:r w:rsidRPr="004E7056">
        <w:rPr>
          <w:rFonts w:ascii="Book Antiqua" w:eastAsia="Book Antiqua" w:hAnsi="Book Antiqua" w:cs="Book Antiqua"/>
          <w:sz w:val="24"/>
          <w:szCs w:val="24"/>
        </w:rPr>
        <w:t xml:space="preserve"> website run by the Ministry of Law and Human Rights' Directorate General of Intellectual Property, the Intangible Cultural Heritage website, or the Integrated Cultural Data Collection System</w:t>
      </w:r>
      <w:r w:rsidR="004E7056" w:rsidRPr="004E7056">
        <w:rPr>
          <w:rFonts w:ascii="Book Antiqua" w:eastAsia="Book Antiqua" w:hAnsi="Book Antiqua" w:cs="Book Antiqua"/>
          <w:sz w:val="24"/>
          <w:szCs w:val="24"/>
        </w:rPr>
        <w:t>,</w:t>
      </w:r>
      <w:r w:rsidRPr="004E7056">
        <w:rPr>
          <w:rFonts w:ascii="Book Antiqua" w:eastAsia="Book Antiqua" w:hAnsi="Book Antiqua" w:cs="Book Antiqua"/>
          <w:sz w:val="24"/>
          <w:szCs w:val="24"/>
        </w:rPr>
        <w:t xml:space="preserve"> Nonetheless, Golok Seuat has published by using online marketplaces </w:t>
      </w:r>
      <w:r w:rsidR="004E7056">
        <w:rPr>
          <w:rFonts w:ascii="Book Antiqua" w:eastAsia="Book Antiqua" w:hAnsi="Book Antiqua" w:cs="Book Antiqua"/>
          <w:sz w:val="24"/>
          <w:szCs w:val="24"/>
        </w:rPr>
        <w:t>such as</w:t>
      </w:r>
      <w:r w:rsidRPr="004E7056">
        <w:rPr>
          <w:rFonts w:ascii="Book Antiqua" w:eastAsia="Book Antiqua" w:hAnsi="Book Antiqua" w:cs="Book Antiqua"/>
          <w:sz w:val="24"/>
          <w:szCs w:val="24"/>
        </w:rPr>
        <w:t xml:space="preserve"> </w:t>
      </w:r>
      <w:proofErr w:type="spellStart"/>
      <w:r w:rsidRPr="004E7056">
        <w:rPr>
          <w:rFonts w:ascii="Book Antiqua" w:eastAsia="Book Antiqua" w:hAnsi="Book Antiqua" w:cs="Book Antiqua"/>
          <w:sz w:val="24"/>
          <w:szCs w:val="24"/>
        </w:rPr>
        <w:t>Shopee</w:t>
      </w:r>
      <w:proofErr w:type="spellEnd"/>
      <w:r w:rsidRPr="004E7056">
        <w:rPr>
          <w:rFonts w:ascii="Book Antiqua" w:eastAsia="Book Antiqua" w:hAnsi="Book Antiqua" w:cs="Book Antiqua"/>
          <w:sz w:val="24"/>
          <w:szCs w:val="24"/>
        </w:rPr>
        <w:t xml:space="preserve">, Lazada, Facebook, and others to market his wares. Therefore, it is well recognised that Golok Seuat's publications result in promotion. Publication promotion is a component of the medium-term </w:t>
      </w:r>
      <w:r w:rsidR="006257D6" w:rsidRPr="004E7056">
        <w:rPr>
          <w:rFonts w:ascii="Book Antiqua" w:eastAsia="Book Antiqua" w:hAnsi="Book Antiqua" w:cs="Book Antiqua"/>
          <w:sz w:val="24"/>
          <w:szCs w:val="24"/>
        </w:rPr>
        <w:t>regional superior product</w:t>
      </w:r>
      <w:r w:rsidRPr="004E7056">
        <w:rPr>
          <w:rFonts w:ascii="Book Antiqua" w:eastAsia="Book Antiqua" w:hAnsi="Book Antiqua" w:cs="Book Antiqua"/>
          <w:sz w:val="24"/>
          <w:szCs w:val="24"/>
        </w:rPr>
        <w:t xml:space="preserve"> development strategy.</w:t>
      </w:r>
    </w:p>
    <w:p w:rsidR="00E00E53" w:rsidRPr="004E7056"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 xml:space="preserve">In addition to stepping up its marketing, Golok Seuat is also working to improve the calibre of its attractions. As previously said by responders, Golok Seuat has experienced multiple alterations and is distinct in its sulangkar. This demonstrates how </w:t>
      </w:r>
      <w:r w:rsidR="004E7056">
        <w:rPr>
          <w:rFonts w:ascii="Book Antiqua" w:eastAsia="Book Antiqua" w:hAnsi="Book Antiqua" w:cs="Book Antiqua"/>
          <w:sz w:val="24"/>
          <w:szCs w:val="24"/>
        </w:rPr>
        <w:t>craftsmen</w:t>
      </w:r>
      <w:r>
        <w:rPr>
          <w:rFonts w:ascii="Book Antiqua" w:eastAsia="Book Antiqua" w:hAnsi="Book Antiqua" w:cs="Book Antiqua"/>
          <w:sz w:val="24"/>
          <w:szCs w:val="24"/>
        </w:rPr>
        <w:t xml:space="preserve"> are working to innovate new products and raise the standard of appeal. In order to incorporate efforts to build attractive quality, Golok Seuat craftspeople who actively promote their items through online marketplaces must expand the capacity of their products. In addition, because there are so many Golok Seuat craftsmen in Seuat Village and Seuat Jaya Villages, practically every adult in these two villages works with Golok Seuat, which implies that children and young people in Seuat Village and Seuat Jaya Village also work with Golok Seuat because it has become a sustainable culture in these two villages. Thus, there is a natural increase in community participation. Therefore, it can be said </w:t>
      </w:r>
      <w:r w:rsidRPr="004E7056">
        <w:rPr>
          <w:rFonts w:ascii="Book Antiqua" w:eastAsia="Book Antiqua" w:hAnsi="Book Antiqua" w:cs="Book Antiqua"/>
          <w:sz w:val="24"/>
          <w:szCs w:val="24"/>
        </w:rPr>
        <w:t xml:space="preserve">that Golok Seuat's initial development model aimed to </w:t>
      </w:r>
      <w:r w:rsidRPr="004E7056">
        <w:rPr>
          <w:rFonts w:ascii="Book Antiqua" w:eastAsia="Book Antiqua" w:hAnsi="Book Antiqua" w:cs="Book Antiqua"/>
          <w:sz w:val="24"/>
          <w:szCs w:val="24"/>
        </w:rPr>
        <w:lastRenderedPageBreak/>
        <w:t xml:space="preserve">improve the quality of product attractiveness by boosting </w:t>
      </w:r>
      <w:r w:rsidR="00C13F69" w:rsidRPr="004E7056">
        <w:rPr>
          <w:rFonts w:ascii="Book Antiqua" w:eastAsia="Book Antiqua" w:hAnsi="Book Antiqua" w:cs="Book Antiqua"/>
          <w:sz w:val="24"/>
          <w:szCs w:val="24"/>
        </w:rPr>
        <w:t>regional superior product</w:t>
      </w:r>
      <w:r w:rsidRPr="004E7056">
        <w:rPr>
          <w:rFonts w:ascii="Book Antiqua" w:eastAsia="Book Antiqua" w:hAnsi="Book Antiqua" w:cs="Book Antiqua"/>
          <w:sz w:val="24"/>
          <w:szCs w:val="24"/>
        </w:rPr>
        <w:t xml:space="preserve"> products' capability. The second is boosting investment and product promotion through publishing. Thirdly, raising community involvement through raising community involvement in product creation.</w:t>
      </w:r>
    </w:p>
    <w:p w:rsidR="00E00E53" w:rsidRDefault="00E00E53">
      <w:pPr>
        <w:spacing w:after="0" w:line="240" w:lineRule="auto"/>
        <w:ind w:firstLine="426"/>
        <w:jc w:val="both"/>
        <w:rPr>
          <w:rFonts w:ascii="Book Antiqua" w:eastAsia="Book Antiqua" w:hAnsi="Book Antiqua" w:cs="Book Antiqua"/>
          <w:sz w:val="14"/>
          <w:szCs w:val="14"/>
        </w:rPr>
      </w:pPr>
    </w:p>
    <w:p w:rsidR="00E00E53" w:rsidRDefault="00270AAC">
      <w:pPr>
        <w:pStyle w:val="Heading1"/>
        <w:spacing w:before="0" w:after="0" w:line="240" w:lineRule="auto"/>
        <w:ind w:left="567" w:hanging="567"/>
        <w:jc w:val="both"/>
        <w:rPr>
          <w:rFonts w:ascii="Book Antiqua" w:eastAsia="Book Antiqua" w:hAnsi="Book Antiqua" w:cs="Book Antiqua"/>
          <w:b/>
          <w:color w:val="C00000"/>
          <w:sz w:val="24"/>
          <w:szCs w:val="24"/>
        </w:rPr>
      </w:pPr>
      <w:r>
        <w:rPr>
          <w:rFonts w:ascii="Book Antiqua" w:eastAsia="Book Antiqua" w:hAnsi="Book Antiqua" w:cs="Book Antiqua"/>
          <w:b/>
          <w:color w:val="C00000"/>
          <w:sz w:val="24"/>
          <w:szCs w:val="24"/>
        </w:rPr>
        <w:t>4.2. Silat Bandrong</w:t>
      </w:r>
    </w:p>
    <w:p w:rsidR="00E00E53"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 xml:space="preserve">It is known that Silat Bandrong has not registered on the website https://kikomunal-indonesia.dgip.go.id/, which is run by the Ministry of Law and Human Rights' Directorate General of Intellectual Property, as part of the development model for inventorying data for security. With Dapobud Number OP.5050.20140101.00011, Silat Bandrong is registered in the </w:t>
      </w:r>
      <w:r w:rsidR="004E7056">
        <w:rPr>
          <w:rFonts w:ascii="Book Antiqua" w:eastAsia="Book Antiqua" w:hAnsi="Book Antiqua" w:cs="Book Antiqua"/>
          <w:sz w:val="24"/>
          <w:szCs w:val="24"/>
        </w:rPr>
        <w:t>Integrated Cultural Data Collection System</w:t>
      </w:r>
      <w:r>
        <w:rPr>
          <w:rFonts w:ascii="Book Antiqua" w:eastAsia="Book Antiqua" w:hAnsi="Book Antiqua" w:cs="Book Antiqua"/>
          <w:sz w:val="24"/>
          <w:szCs w:val="24"/>
        </w:rPr>
        <w:t xml:space="preserve"> as an art and as an Object for the Advancement of Culture</w:t>
      </w:r>
      <w:r w:rsidR="004E7056">
        <w:rPr>
          <w:rFonts w:ascii="Book Antiqua" w:eastAsia="Book Antiqua" w:hAnsi="Book Antiqua" w:cs="Book Antiqua"/>
          <w:sz w:val="24"/>
          <w:szCs w:val="24"/>
        </w:rPr>
        <w:t xml:space="preserve">. </w:t>
      </w:r>
      <w:r>
        <w:rPr>
          <w:rFonts w:ascii="Book Antiqua" w:eastAsia="Book Antiqua" w:hAnsi="Book Antiqua" w:cs="Book Antiqua"/>
          <w:sz w:val="24"/>
          <w:szCs w:val="24"/>
        </w:rPr>
        <w:t>The Directorate of Cultural Heritage and Diplomacy of the Ministry of Education, Culture, Research, and Technology is in charge of managing the inventory of Intangible Cultural Heritage on the website https://warisankultur.kemdikbud.go.id/. The performing arts domain has been a part of this inventory since 2014, and it is referred to as "Pencak Silat Bandrong" with registration number 201400119.</w:t>
      </w:r>
    </w:p>
    <w:p w:rsidR="00E00E53"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 xml:space="preserve">Maintenance of Silat Bandrong is based on respondents' information, namely by carrying out training consistently. As explained in the previous sub-chapter, there are 6 basic moves and 27 basic movements in Silat Bandrong, so to maintain the existence of this art, training needs to be carried out regularly and consistently. </w:t>
      </w:r>
    </w:p>
    <w:p w:rsidR="00E00E53"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There was no rescue attempt would be made for Silat Bandrong Arts. This is a result of the continued preservation and application of Silat Bandrong. Plagiarism attempts from outside the Silat Bandrong Arts community were nonexistent. The same as publications. Additionally, no publicity campaign was launched for Silat Bandrong. Nonetheless, a lot of art festivals are held, whether they are organized by academic institutions, municipal governments, or other cultural organisations.</w:t>
      </w:r>
    </w:p>
    <w:p w:rsidR="00E00E53"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 xml:space="preserve">Silat Bandrong has </w:t>
      </w:r>
      <w:r w:rsidRPr="00CF281E">
        <w:rPr>
          <w:rFonts w:ascii="Book Antiqua" w:eastAsia="Book Antiqua" w:hAnsi="Book Antiqua" w:cs="Book Antiqua"/>
          <w:sz w:val="24"/>
          <w:szCs w:val="24"/>
        </w:rPr>
        <w:t xml:space="preserve">never been listed as a </w:t>
      </w:r>
      <w:r w:rsidR="00694C7C" w:rsidRPr="00CF281E">
        <w:rPr>
          <w:rFonts w:ascii="Book Antiqua" w:eastAsia="Book Antiqua" w:hAnsi="Book Antiqua" w:cs="Book Antiqua"/>
          <w:sz w:val="24"/>
          <w:szCs w:val="24"/>
        </w:rPr>
        <w:t xml:space="preserve">communal intellectual property </w:t>
      </w:r>
      <w:r w:rsidRPr="00CF281E">
        <w:rPr>
          <w:rFonts w:ascii="Book Antiqua" w:eastAsia="Book Antiqua" w:hAnsi="Book Antiqua" w:cs="Book Antiqua"/>
          <w:sz w:val="24"/>
          <w:szCs w:val="24"/>
        </w:rPr>
        <w:t xml:space="preserve">since it is a form of art that is exclusive to the people of Serang Regency. There was no registration attempts due to activists and the Local Cultural Service's unawareness of </w:t>
      </w:r>
      <w:r w:rsidR="00694C7C" w:rsidRPr="00CF281E">
        <w:rPr>
          <w:rFonts w:ascii="Book Antiqua" w:eastAsia="Book Antiqua" w:hAnsi="Book Antiqua" w:cs="Book Antiqua"/>
          <w:sz w:val="24"/>
          <w:szCs w:val="24"/>
        </w:rPr>
        <w:t>communal intellectual property</w:t>
      </w:r>
      <w:r w:rsidRPr="00CF281E">
        <w:rPr>
          <w:rFonts w:ascii="Book Antiqua" w:eastAsia="Book Antiqua" w:hAnsi="Book Antiqua" w:cs="Book Antiqua"/>
          <w:sz w:val="24"/>
          <w:szCs w:val="24"/>
        </w:rPr>
        <w:t>. They both acknowledged that they had never been socialised in this area. As a result, Silat Bandrong</w:t>
      </w:r>
      <w:r>
        <w:rPr>
          <w:rFonts w:ascii="Book Antiqua" w:eastAsia="Book Antiqua" w:hAnsi="Book Antiqua" w:cs="Book Antiqua"/>
          <w:sz w:val="24"/>
          <w:szCs w:val="24"/>
        </w:rPr>
        <w:t xml:space="preserve"> has only been protected by the Indonesian Pencak Silat Association (IPSI) up until today.</w:t>
      </w:r>
    </w:p>
    <w:p w:rsidR="00E00E53" w:rsidRDefault="00E00E53">
      <w:pPr>
        <w:spacing w:after="0" w:line="240" w:lineRule="auto"/>
        <w:ind w:firstLine="426"/>
        <w:jc w:val="both"/>
        <w:rPr>
          <w:rFonts w:ascii="Book Antiqua" w:eastAsia="Book Antiqua" w:hAnsi="Book Antiqua" w:cs="Book Antiqua"/>
          <w:sz w:val="14"/>
          <w:szCs w:val="14"/>
        </w:rPr>
      </w:pPr>
    </w:p>
    <w:p w:rsidR="00E00E53" w:rsidRDefault="00270AAC">
      <w:pPr>
        <w:pStyle w:val="Heading1"/>
        <w:spacing w:before="0" w:after="0" w:line="240" w:lineRule="auto"/>
        <w:ind w:left="567" w:hanging="567"/>
        <w:jc w:val="both"/>
        <w:rPr>
          <w:rFonts w:ascii="Book Antiqua" w:eastAsia="Book Antiqua" w:hAnsi="Book Antiqua" w:cs="Book Antiqua"/>
          <w:b/>
          <w:color w:val="C00000"/>
          <w:sz w:val="24"/>
          <w:szCs w:val="24"/>
        </w:rPr>
      </w:pPr>
      <w:r>
        <w:rPr>
          <w:rFonts w:ascii="Book Antiqua" w:eastAsia="Book Antiqua" w:hAnsi="Book Antiqua" w:cs="Book Antiqua"/>
          <w:b/>
          <w:color w:val="C00000"/>
          <w:sz w:val="24"/>
          <w:szCs w:val="24"/>
        </w:rPr>
        <w:t>4.3. Rudat</w:t>
      </w:r>
    </w:p>
    <w:p w:rsidR="00E00E53" w:rsidRPr="0010451F"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 xml:space="preserve">The development model for Rudat in data registration for security purposes, it is known that Rudat has not been registered on the website https://kikomunal-indonesia.dgip.go.id/ which is managed by the Directorate General of Intellectual Property of the Ministry of Law and Human Rights. In the </w:t>
      </w:r>
      <w:r w:rsidR="0010451F" w:rsidRPr="0010451F">
        <w:rPr>
          <w:rFonts w:ascii="Book Antiqua" w:eastAsia="Book Antiqua" w:hAnsi="Book Antiqua" w:cs="Book Antiqua"/>
          <w:sz w:val="24"/>
          <w:szCs w:val="24"/>
        </w:rPr>
        <w:t>Integrated Cultural Data Collection System</w:t>
      </w:r>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Bandrong</w:t>
      </w:r>
      <w:proofErr w:type="spellEnd"/>
      <w:r>
        <w:rPr>
          <w:rFonts w:ascii="Book Antiqua" w:eastAsia="Book Antiqua" w:hAnsi="Book Antiqua" w:cs="Book Antiqua"/>
          <w:sz w:val="24"/>
          <w:szCs w:val="24"/>
        </w:rPr>
        <w:t xml:space="preserve"> Silat is registered as an </w:t>
      </w:r>
      <w:r w:rsidR="0010451F">
        <w:rPr>
          <w:rFonts w:ascii="Book Antiqua" w:eastAsia="Book Antiqua" w:hAnsi="Book Antiqua" w:cs="Book Antiqua"/>
          <w:sz w:val="24"/>
          <w:szCs w:val="24"/>
        </w:rPr>
        <w:t>Object for the Advancement of Culture</w:t>
      </w:r>
      <w:r>
        <w:rPr>
          <w:rFonts w:ascii="Book Antiqua" w:eastAsia="Book Antiqua" w:hAnsi="Book Antiqua" w:cs="Book Antiqua"/>
          <w:sz w:val="24"/>
          <w:szCs w:val="24"/>
        </w:rPr>
        <w:t xml:space="preserve"> as a Custom, with OP.6060.20180101.00788. Inventory of Intangible Cultural Heritage on the website https://warisankultur.kemdikbud.go.id/ which is managed by the Directorate </w:t>
      </w:r>
      <w:r>
        <w:rPr>
          <w:rFonts w:ascii="Book Antiqua" w:eastAsia="Book Antiqua" w:hAnsi="Book Antiqua" w:cs="Book Antiqua"/>
          <w:sz w:val="24"/>
          <w:szCs w:val="24"/>
        </w:rPr>
        <w:lastRenderedPageBreak/>
        <w:t xml:space="preserve">of Cultural Heritage and Diplomacy of the Ministry of Education, Culture, Research and Technology, is designated with the name "Rudat" registration number 201800666, with domain performing arts, which has been established since 2018. Based on information from respondents, Rudat Banten activists who live in Padarincang Village, </w:t>
      </w:r>
      <w:r w:rsidRPr="0010451F">
        <w:rPr>
          <w:rFonts w:ascii="Book Antiqua" w:eastAsia="Book Antiqua" w:hAnsi="Book Antiqua" w:cs="Book Antiqua"/>
          <w:sz w:val="24"/>
          <w:szCs w:val="24"/>
        </w:rPr>
        <w:t xml:space="preserve">Padarincang District, Serang Regency, Banten did not know that their art had been registered as a </w:t>
      </w:r>
      <w:r w:rsidR="00F22FBF" w:rsidRPr="0010451F">
        <w:rPr>
          <w:rFonts w:ascii="Book Antiqua" w:eastAsia="Book Antiqua" w:hAnsi="Book Antiqua" w:cs="Book Antiqua"/>
          <w:sz w:val="24"/>
          <w:szCs w:val="24"/>
        </w:rPr>
        <w:t xml:space="preserve">communal intellectual property </w:t>
      </w:r>
      <w:r w:rsidRPr="0010451F">
        <w:rPr>
          <w:rFonts w:ascii="Book Antiqua" w:eastAsia="Book Antiqua" w:hAnsi="Book Antiqua" w:cs="Book Antiqua"/>
          <w:sz w:val="24"/>
          <w:szCs w:val="24"/>
        </w:rPr>
        <w:t xml:space="preserve">with the </w:t>
      </w:r>
      <w:r w:rsidR="00D81A4C" w:rsidRPr="00D81A4C">
        <w:rPr>
          <w:rFonts w:ascii="Book Antiqua" w:eastAsia="Book Antiqua" w:hAnsi="Book Antiqua" w:cs="Book Antiqua"/>
          <w:sz w:val="24"/>
          <w:szCs w:val="24"/>
        </w:rPr>
        <w:t>traditional cultural expressions</w:t>
      </w:r>
      <w:r w:rsidRPr="0010451F">
        <w:rPr>
          <w:rFonts w:ascii="Book Antiqua" w:eastAsia="Book Antiqua" w:hAnsi="Book Antiqua" w:cs="Book Antiqua"/>
          <w:sz w:val="24"/>
          <w:szCs w:val="24"/>
        </w:rPr>
        <w:t xml:space="preserve"> type or as an Object for Cultural Advancement. Activists stated that Rudat Art had not been registered or recorded.</w:t>
      </w:r>
    </w:p>
    <w:p w:rsidR="00E00E53" w:rsidRDefault="00270AAC">
      <w:pPr>
        <w:spacing w:after="0" w:line="240" w:lineRule="auto"/>
        <w:ind w:firstLine="426"/>
        <w:jc w:val="both"/>
        <w:rPr>
          <w:rFonts w:ascii="Book Antiqua" w:eastAsia="Book Antiqua" w:hAnsi="Book Antiqua" w:cs="Book Antiqua"/>
          <w:sz w:val="24"/>
          <w:szCs w:val="24"/>
        </w:rPr>
      </w:pPr>
      <w:r>
        <w:rPr>
          <w:rFonts w:ascii="Book Antiqua" w:eastAsia="Book Antiqua" w:hAnsi="Book Antiqua" w:cs="Book Antiqua"/>
          <w:sz w:val="24"/>
          <w:szCs w:val="24"/>
        </w:rPr>
        <w:t>Based on the information provided by respondents, Rudat is maintained, specifically through regular training implementation. Each and every time Rudat makes an appearance—which is frequently done at holy occasions like the Prophet's birthday—it has also been somewhat altered. As previously mentioned, the Rudat is performed by 15 (fifteen) players, and the only way to keep it alive is by regular performances. There was no attempt made to save Rudat Arts. This is due to the fact that Rudat is still upheld and used today. There aren't any noteworthy publication efforts. On the other hand, some members publish Rudat Art performances for their own use solely. The Rudat group is not making any attempts to spread information through official publications. Rudat is still in high demand among the general public. The audience becomes interested in Rudat's performance when the musical instrument "Indung" is played.</w:t>
      </w:r>
    </w:p>
    <w:p w:rsidR="00E00E53" w:rsidRDefault="00E00E53">
      <w:pPr>
        <w:spacing w:after="0"/>
        <w:ind w:firstLine="426"/>
        <w:jc w:val="both"/>
        <w:rPr>
          <w:rFonts w:ascii="Book Antiqua" w:eastAsia="Book Antiqua" w:hAnsi="Book Antiqua" w:cs="Book Antiqua"/>
          <w:sz w:val="24"/>
          <w:szCs w:val="24"/>
        </w:rPr>
      </w:pPr>
    </w:p>
    <w:p w:rsidR="00E00E53" w:rsidRDefault="00270AAC">
      <w:pPr>
        <w:pStyle w:val="Heading1"/>
        <w:numPr>
          <w:ilvl w:val="0"/>
          <w:numId w:val="1"/>
        </w:numPr>
        <w:spacing w:before="0" w:after="0" w:line="240" w:lineRule="auto"/>
        <w:ind w:left="426" w:hanging="426"/>
        <w:jc w:val="both"/>
        <w:rPr>
          <w:rFonts w:ascii="Book Antiqua" w:eastAsia="Book Antiqua" w:hAnsi="Book Antiqua" w:cs="Book Antiqua"/>
          <w:b/>
          <w:color w:val="C00000"/>
          <w:sz w:val="24"/>
          <w:szCs w:val="24"/>
        </w:rPr>
      </w:pPr>
      <w:r>
        <w:rPr>
          <w:rFonts w:ascii="Book Antiqua" w:eastAsia="Book Antiqua" w:hAnsi="Book Antiqua" w:cs="Book Antiqua"/>
          <w:b/>
          <w:color w:val="C00000"/>
          <w:sz w:val="24"/>
          <w:szCs w:val="24"/>
        </w:rPr>
        <w:t>Conclusion</w:t>
      </w:r>
    </w:p>
    <w:p w:rsidR="00E00E53" w:rsidRPr="0010451F" w:rsidRDefault="00270AAC">
      <w:pPr>
        <w:spacing w:after="0" w:line="240" w:lineRule="auto"/>
        <w:ind w:left="426"/>
        <w:rPr>
          <w:rFonts w:ascii="Book Antiqua" w:eastAsia="Book Antiqua" w:hAnsi="Book Antiqua" w:cs="Book Antiqua"/>
          <w:color w:val="000000"/>
          <w:sz w:val="24"/>
          <w:szCs w:val="24"/>
        </w:rPr>
      </w:pPr>
      <w:r w:rsidRPr="0010451F">
        <w:rPr>
          <w:rFonts w:ascii="Book Antiqua" w:eastAsia="Book Antiqua" w:hAnsi="Book Antiqua" w:cs="Book Antiqua"/>
          <w:color w:val="000000"/>
          <w:sz w:val="24"/>
          <w:szCs w:val="24"/>
        </w:rPr>
        <w:t>Based on the analysis and discussion above, it can be concluded that:</w:t>
      </w:r>
    </w:p>
    <w:p w:rsidR="00E00E53" w:rsidRPr="0010451F" w:rsidRDefault="00270AAC">
      <w:pPr>
        <w:numPr>
          <w:ilvl w:val="0"/>
          <w:numId w:val="2"/>
        </w:numPr>
        <w:pBdr>
          <w:top w:val="nil"/>
          <w:left w:val="nil"/>
          <w:bottom w:val="nil"/>
          <w:right w:val="nil"/>
          <w:between w:val="nil"/>
        </w:pBdr>
        <w:spacing w:after="0" w:line="240" w:lineRule="auto"/>
        <w:ind w:hanging="294"/>
        <w:jc w:val="both"/>
        <w:rPr>
          <w:rFonts w:ascii="Book Antiqua" w:eastAsia="Book Antiqua" w:hAnsi="Book Antiqua" w:cs="Book Antiqua"/>
          <w:color w:val="000000"/>
          <w:sz w:val="24"/>
          <w:szCs w:val="24"/>
        </w:rPr>
      </w:pPr>
      <w:r w:rsidRPr="0010451F">
        <w:rPr>
          <w:rFonts w:ascii="Book Antiqua" w:eastAsia="Book Antiqua" w:hAnsi="Book Antiqua" w:cs="Book Antiqua"/>
          <w:color w:val="000000"/>
          <w:sz w:val="24"/>
          <w:szCs w:val="24"/>
        </w:rPr>
        <w:t xml:space="preserve">In </w:t>
      </w:r>
      <w:proofErr w:type="spellStart"/>
      <w:r w:rsidRPr="0010451F">
        <w:rPr>
          <w:rFonts w:ascii="Book Antiqua" w:eastAsia="Book Antiqua" w:hAnsi="Book Antiqua" w:cs="Book Antiqua"/>
          <w:color w:val="000000"/>
          <w:sz w:val="24"/>
          <w:szCs w:val="24"/>
        </w:rPr>
        <w:t>Serang</w:t>
      </w:r>
      <w:proofErr w:type="spellEnd"/>
      <w:r w:rsidRPr="0010451F">
        <w:rPr>
          <w:rFonts w:ascii="Book Antiqua" w:eastAsia="Book Antiqua" w:hAnsi="Book Antiqua" w:cs="Book Antiqua"/>
          <w:color w:val="000000"/>
          <w:sz w:val="24"/>
          <w:szCs w:val="24"/>
        </w:rPr>
        <w:t xml:space="preserve"> Regency, there is a substantial dispersion of </w:t>
      </w:r>
      <w:r w:rsidR="001B621E" w:rsidRPr="0010451F">
        <w:rPr>
          <w:rFonts w:ascii="Book Antiqua" w:eastAsia="Book Antiqua" w:hAnsi="Book Antiqua" w:cs="Book Antiqua"/>
          <w:color w:val="000000"/>
          <w:sz w:val="24"/>
          <w:szCs w:val="24"/>
        </w:rPr>
        <w:t xml:space="preserve">communal intellectual property </w:t>
      </w:r>
      <w:r w:rsidRPr="0010451F">
        <w:rPr>
          <w:rFonts w:ascii="Book Antiqua" w:eastAsia="Book Antiqua" w:hAnsi="Book Antiqua" w:cs="Book Antiqua"/>
          <w:color w:val="000000"/>
          <w:sz w:val="24"/>
          <w:szCs w:val="24"/>
        </w:rPr>
        <w:t xml:space="preserve">based local potential in both products and culture. </w:t>
      </w:r>
      <w:r w:rsidR="0010451F" w:rsidRPr="0010451F">
        <w:rPr>
          <w:rFonts w:ascii="Book Antiqua" w:eastAsia="Book Antiqua" w:hAnsi="Book Antiqua" w:cs="Book Antiqua"/>
          <w:color w:val="000000"/>
          <w:sz w:val="24"/>
          <w:szCs w:val="24"/>
        </w:rPr>
        <w:t xml:space="preserve">Regional Cultural Thoughts of </w:t>
      </w:r>
      <w:proofErr w:type="spellStart"/>
      <w:r w:rsidR="0010451F" w:rsidRPr="0010451F">
        <w:rPr>
          <w:rFonts w:ascii="Book Antiqua" w:eastAsia="Book Antiqua" w:hAnsi="Book Antiqua" w:cs="Book Antiqua"/>
          <w:color w:val="000000"/>
          <w:sz w:val="24"/>
          <w:szCs w:val="24"/>
        </w:rPr>
        <w:t>Serang</w:t>
      </w:r>
      <w:proofErr w:type="spellEnd"/>
      <w:r w:rsidR="0010451F" w:rsidRPr="0010451F">
        <w:rPr>
          <w:rFonts w:ascii="Book Antiqua" w:eastAsia="Book Antiqua" w:hAnsi="Book Antiqua" w:cs="Book Antiqua"/>
          <w:color w:val="000000"/>
          <w:sz w:val="24"/>
          <w:szCs w:val="24"/>
        </w:rPr>
        <w:t xml:space="preserve"> Regency 2024</w:t>
      </w:r>
      <w:r w:rsidRPr="0010451F">
        <w:rPr>
          <w:rFonts w:ascii="Book Antiqua" w:eastAsia="Book Antiqua" w:hAnsi="Book Antiqua" w:cs="Book Antiqua"/>
          <w:color w:val="000000"/>
          <w:sz w:val="24"/>
          <w:szCs w:val="24"/>
        </w:rPr>
        <w:t xml:space="preserve"> clarified that customs, rites, traditional knowledge, traditional technology, and art are the five categories of regional local potential. Out of the five different </w:t>
      </w:r>
      <w:r w:rsidR="001B621E" w:rsidRPr="0010451F">
        <w:rPr>
          <w:rFonts w:ascii="Book Antiqua" w:eastAsia="Book Antiqua" w:hAnsi="Book Antiqua" w:cs="Book Antiqua"/>
          <w:color w:val="000000"/>
          <w:sz w:val="24"/>
          <w:szCs w:val="24"/>
        </w:rPr>
        <w:t xml:space="preserve">commun intellectual property </w:t>
      </w:r>
      <w:r w:rsidRPr="0010451F">
        <w:rPr>
          <w:rFonts w:ascii="Book Antiqua" w:eastAsia="Book Antiqua" w:hAnsi="Book Antiqua" w:cs="Book Antiqua"/>
          <w:color w:val="000000"/>
          <w:sz w:val="24"/>
          <w:szCs w:val="24"/>
        </w:rPr>
        <w:t>based local potential types, Golok Seuat, Silat Bandrong, and Rudat are the three things that are being examined. In Seuat Village and Seuat Jaya, Petir District, Serang Regency, Golok Seuat is dispersed fairly equally. There is little significance in the spread of Rudat and Silat Bandrong. This is brought about by the members' lack of motivation as well as the difficult performance method in both Rudat and Silat Bandrong;</w:t>
      </w:r>
    </w:p>
    <w:p w:rsidR="00E00E53" w:rsidRDefault="00270AAC">
      <w:pPr>
        <w:numPr>
          <w:ilvl w:val="0"/>
          <w:numId w:val="2"/>
        </w:numPr>
        <w:pBdr>
          <w:top w:val="nil"/>
          <w:left w:val="nil"/>
          <w:bottom w:val="nil"/>
          <w:right w:val="nil"/>
          <w:between w:val="nil"/>
        </w:pBdr>
        <w:spacing w:after="0" w:line="240" w:lineRule="auto"/>
        <w:ind w:hanging="294"/>
        <w:jc w:val="both"/>
        <w:rPr>
          <w:rFonts w:ascii="Book Antiqua" w:eastAsia="Book Antiqua" w:hAnsi="Book Antiqua" w:cs="Book Antiqua"/>
          <w:color w:val="000000"/>
          <w:sz w:val="24"/>
          <w:szCs w:val="24"/>
        </w:rPr>
      </w:pPr>
      <w:r w:rsidRPr="0010451F">
        <w:rPr>
          <w:rFonts w:ascii="Book Antiqua" w:eastAsia="Book Antiqua" w:hAnsi="Book Antiqua" w:cs="Book Antiqua"/>
          <w:color w:val="000000"/>
          <w:sz w:val="24"/>
          <w:szCs w:val="24"/>
        </w:rPr>
        <w:t xml:space="preserve">Different regulations serve as the foundation for the development models of the three </w:t>
      </w:r>
      <w:r w:rsidR="005929CF" w:rsidRPr="0010451F">
        <w:rPr>
          <w:rFonts w:ascii="Book Antiqua" w:eastAsia="Book Antiqua" w:hAnsi="Book Antiqua" w:cs="Book Antiqua"/>
          <w:color w:val="000000"/>
          <w:sz w:val="24"/>
          <w:szCs w:val="24"/>
        </w:rPr>
        <w:t xml:space="preserve">communal intellectual </w:t>
      </w:r>
      <w:proofErr w:type="gramStart"/>
      <w:r w:rsidR="005929CF" w:rsidRPr="0010451F">
        <w:rPr>
          <w:rFonts w:ascii="Book Antiqua" w:eastAsia="Book Antiqua" w:hAnsi="Book Antiqua" w:cs="Book Antiqua"/>
          <w:color w:val="000000"/>
          <w:sz w:val="24"/>
          <w:szCs w:val="24"/>
        </w:rPr>
        <w:t xml:space="preserve">property </w:t>
      </w:r>
      <w:r w:rsidRPr="0010451F">
        <w:rPr>
          <w:rFonts w:ascii="Book Antiqua" w:eastAsia="Book Antiqua" w:hAnsi="Book Antiqua" w:cs="Book Antiqua"/>
          <w:color w:val="000000"/>
          <w:sz w:val="24"/>
          <w:szCs w:val="24"/>
        </w:rPr>
        <w:t>based</w:t>
      </w:r>
      <w:proofErr w:type="gramEnd"/>
      <w:r w:rsidRPr="0010451F">
        <w:rPr>
          <w:rFonts w:ascii="Book Antiqua" w:eastAsia="Book Antiqua" w:hAnsi="Book Antiqua" w:cs="Book Antiqua"/>
          <w:color w:val="000000"/>
          <w:sz w:val="24"/>
          <w:szCs w:val="24"/>
        </w:rPr>
        <w:t xml:space="preserve"> products and culture. The product adheres to </w:t>
      </w:r>
      <w:r w:rsidR="0010451F" w:rsidRPr="0010451F">
        <w:rPr>
          <w:rFonts w:ascii="Book Antiqua" w:eastAsia="Book Antiqua" w:hAnsi="Book Antiqua" w:cs="Book Antiqua"/>
          <w:color w:val="000000"/>
          <w:sz w:val="24"/>
          <w:szCs w:val="24"/>
        </w:rPr>
        <w:t>Regulation Number 9 of 2014 of the Minister of Home Affairs of the Republic of Indonesia concerning Guidelines for Development of Regional Featured Products</w:t>
      </w:r>
      <w:r w:rsidRPr="0010451F">
        <w:rPr>
          <w:rFonts w:ascii="Book Antiqua" w:eastAsia="Book Antiqua" w:hAnsi="Book Antiqua" w:cs="Book Antiqua"/>
          <w:color w:val="000000"/>
          <w:sz w:val="24"/>
          <w:szCs w:val="24"/>
        </w:rPr>
        <w:t xml:space="preserve">, but the culture follows </w:t>
      </w:r>
      <w:r w:rsidR="00D81A4C" w:rsidRPr="00D81A4C">
        <w:rPr>
          <w:rFonts w:ascii="Book Antiqua" w:eastAsia="Book Antiqua" w:hAnsi="Book Antiqua" w:cs="Book Antiqua"/>
          <w:color w:val="000000"/>
          <w:sz w:val="24"/>
          <w:szCs w:val="24"/>
        </w:rPr>
        <w:t xml:space="preserve">Law Number 28 of 2014 on Copyright </w:t>
      </w:r>
      <w:r w:rsidRPr="0010451F">
        <w:rPr>
          <w:rFonts w:ascii="Book Antiqua" w:eastAsia="Book Antiqua" w:hAnsi="Book Antiqua" w:cs="Book Antiqua"/>
          <w:color w:val="000000"/>
          <w:sz w:val="24"/>
          <w:szCs w:val="24"/>
        </w:rPr>
        <w:t xml:space="preserve">and </w:t>
      </w:r>
      <w:r w:rsidR="00F07518" w:rsidRPr="00F07518">
        <w:rPr>
          <w:rFonts w:ascii="Book Antiqua" w:eastAsia="Book Antiqua" w:hAnsi="Book Antiqua" w:cs="Book Antiqua"/>
          <w:color w:val="000000"/>
          <w:sz w:val="24"/>
          <w:szCs w:val="24"/>
        </w:rPr>
        <w:t>Law Number 5 of 2017 on Advancement of Culture</w:t>
      </w:r>
      <w:r w:rsidRPr="0010451F">
        <w:rPr>
          <w:rFonts w:ascii="Book Antiqua" w:eastAsia="Book Antiqua" w:hAnsi="Book Antiqua" w:cs="Book Antiqua"/>
          <w:color w:val="000000"/>
          <w:sz w:val="24"/>
          <w:szCs w:val="24"/>
        </w:rPr>
        <w:t xml:space="preserve">. The Golok Seuat development model employs the core competency concept, which enhances the appeal of </w:t>
      </w:r>
      <w:r w:rsidR="00C13F69" w:rsidRPr="0010451F">
        <w:rPr>
          <w:rFonts w:ascii="Book Antiqua" w:eastAsia="Book Antiqua" w:hAnsi="Book Antiqua" w:cs="Book Antiqua"/>
          <w:color w:val="000000"/>
          <w:sz w:val="24"/>
          <w:szCs w:val="24"/>
        </w:rPr>
        <w:t xml:space="preserve">regional </w:t>
      </w:r>
      <w:r w:rsidR="00C13F69" w:rsidRPr="0010451F">
        <w:rPr>
          <w:rFonts w:ascii="Book Antiqua" w:eastAsia="Book Antiqua" w:hAnsi="Book Antiqua" w:cs="Book Antiqua"/>
          <w:color w:val="000000"/>
          <w:sz w:val="24"/>
          <w:szCs w:val="24"/>
        </w:rPr>
        <w:lastRenderedPageBreak/>
        <w:t xml:space="preserve">superior product </w:t>
      </w:r>
      <w:r w:rsidRPr="0010451F">
        <w:rPr>
          <w:rFonts w:ascii="Book Antiqua" w:eastAsia="Book Antiqua" w:hAnsi="Book Antiqua" w:cs="Book Antiqua"/>
          <w:color w:val="000000"/>
          <w:sz w:val="24"/>
          <w:szCs w:val="24"/>
        </w:rPr>
        <w:t xml:space="preserve">and augments community and government involvement. The development models of Rudat and Silat Bandrong are similar in that data and security have been inventoried in both </w:t>
      </w:r>
      <w:r w:rsidR="00D81A4C" w:rsidRPr="00D81A4C">
        <w:rPr>
          <w:rFonts w:ascii="Book Antiqua" w:eastAsia="Book Antiqua" w:hAnsi="Book Antiqua" w:cs="Book Antiqua"/>
          <w:color w:val="000000"/>
          <w:sz w:val="24"/>
          <w:szCs w:val="24"/>
        </w:rPr>
        <w:t>the Intangible Cultural Heritage website</w:t>
      </w:r>
      <w:r w:rsidRPr="0010451F">
        <w:rPr>
          <w:rFonts w:ascii="Book Antiqua" w:eastAsia="Book Antiqua" w:hAnsi="Book Antiqua" w:cs="Book Antiqua"/>
          <w:color w:val="000000"/>
          <w:sz w:val="24"/>
          <w:szCs w:val="24"/>
        </w:rPr>
        <w:t xml:space="preserve"> and </w:t>
      </w:r>
      <w:r w:rsidR="00D81A4C" w:rsidRPr="00D81A4C">
        <w:rPr>
          <w:rFonts w:ascii="Book Antiqua" w:eastAsia="Book Antiqua" w:hAnsi="Book Antiqua" w:cs="Book Antiqua"/>
          <w:color w:val="000000"/>
          <w:sz w:val="24"/>
          <w:szCs w:val="24"/>
        </w:rPr>
        <w:t>the Ministry of Law and Human Rights' Directorate General of Intellectual Property</w:t>
      </w:r>
      <w:r w:rsidRPr="0010451F">
        <w:rPr>
          <w:rFonts w:ascii="Book Antiqua" w:eastAsia="Book Antiqua" w:hAnsi="Book Antiqua" w:cs="Book Antiqua"/>
          <w:color w:val="000000"/>
          <w:sz w:val="24"/>
          <w:szCs w:val="24"/>
        </w:rPr>
        <w:t>. Aside from that, rescue measures were not undertaken because neither culture had any acquisition or plagiarism attempts by international or local parties. Regular and consistent exercises and activities are used to carry out maintenance tasks. This prevents the two civilisations' legacy from disappearing. Promotional activities are not very important. There is no attempt made on social media or other official media</w:t>
      </w:r>
      <w:r>
        <w:rPr>
          <w:rFonts w:ascii="Book Antiqua" w:eastAsia="Book Antiqua" w:hAnsi="Book Antiqua" w:cs="Book Antiqua"/>
          <w:color w:val="000000"/>
          <w:sz w:val="24"/>
          <w:szCs w:val="24"/>
        </w:rPr>
        <w:t>.</w:t>
      </w:r>
    </w:p>
    <w:p w:rsidR="00E00E53" w:rsidRDefault="00E00E53">
      <w:pPr>
        <w:pBdr>
          <w:top w:val="nil"/>
          <w:left w:val="nil"/>
          <w:bottom w:val="nil"/>
          <w:right w:val="nil"/>
          <w:between w:val="nil"/>
        </w:pBdr>
        <w:spacing w:after="0" w:line="240" w:lineRule="auto"/>
        <w:jc w:val="both"/>
        <w:rPr>
          <w:rFonts w:ascii="Book Antiqua" w:eastAsia="Book Antiqua" w:hAnsi="Book Antiqua" w:cs="Book Antiqua"/>
          <w:b/>
          <w:color w:val="C00000"/>
          <w:sz w:val="24"/>
          <w:szCs w:val="24"/>
        </w:rPr>
      </w:pPr>
    </w:p>
    <w:p w:rsidR="00E00E53" w:rsidRDefault="00270AAC">
      <w:pPr>
        <w:pBdr>
          <w:top w:val="nil"/>
          <w:left w:val="nil"/>
          <w:bottom w:val="nil"/>
          <w:right w:val="nil"/>
          <w:between w:val="nil"/>
        </w:pBdr>
        <w:spacing w:after="0" w:line="240" w:lineRule="auto"/>
        <w:ind w:left="426"/>
        <w:jc w:val="both"/>
        <w:rPr>
          <w:rFonts w:ascii="Book Antiqua" w:eastAsia="Book Antiqua" w:hAnsi="Book Antiqua" w:cs="Book Antiqua"/>
          <w:b/>
          <w:color w:val="C00000"/>
          <w:sz w:val="24"/>
          <w:szCs w:val="24"/>
        </w:rPr>
      </w:pPr>
      <w:bookmarkStart w:id="7" w:name="_heading=h.2et92p0" w:colFirst="0" w:colLast="0"/>
      <w:bookmarkEnd w:id="7"/>
      <w:r>
        <w:rPr>
          <w:rFonts w:ascii="Book Antiqua" w:eastAsia="Book Antiqua" w:hAnsi="Book Antiqua" w:cs="Book Antiqua"/>
          <w:b/>
          <w:color w:val="C00000"/>
          <w:sz w:val="24"/>
          <w:szCs w:val="24"/>
        </w:rPr>
        <w:t xml:space="preserve">References </w:t>
      </w:r>
    </w:p>
    <w:p w:rsidR="00E00E53" w:rsidRDefault="00E00E53">
      <w:pPr>
        <w:pBdr>
          <w:top w:val="nil"/>
          <w:left w:val="nil"/>
          <w:bottom w:val="nil"/>
          <w:right w:val="nil"/>
          <w:between w:val="nil"/>
        </w:pBdr>
        <w:spacing w:after="0" w:line="240" w:lineRule="auto"/>
        <w:ind w:left="200" w:hanging="200"/>
        <w:jc w:val="both"/>
        <w:rPr>
          <w:rFonts w:ascii="Book Antiqua" w:eastAsia="Book Antiqua" w:hAnsi="Book Antiqua" w:cs="Book Antiqua"/>
          <w:b/>
          <w:color w:val="C00000"/>
          <w:sz w:val="24"/>
          <w:szCs w:val="24"/>
        </w:rPr>
      </w:pPr>
    </w:p>
    <w:p w:rsidR="00E00E53" w:rsidRDefault="00270AAC">
      <w:pPr>
        <w:spacing w:line="240" w:lineRule="auto"/>
        <w:ind w:left="1418" w:hanging="992"/>
        <w:jc w:val="both"/>
        <w:rPr>
          <w:rFonts w:ascii="Book Antiqua" w:eastAsia="Book Antiqua" w:hAnsi="Book Antiqua" w:cs="Book Antiqua"/>
          <w:sz w:val="24"/>
          <w:szCs w:val="24"/>
        </w:rPr>
      </w:pPr>
      <w:r>
        <w:rPr>
          <w:rFonts w:ascii="Book Antiqua" w:eastAsia="Book Antiqua" w:hAnsi="Book Antiqua" w:cs="Book Antiqua"/>
          <w:sz w:val="24"/>
          <w:szCs w:val="24"/>
        </w:rPr>
        <w:t xml:space="preserve">Adawiyah, Robiatul, dan Rumawi, “Pengaturan Hak Kekayaan Intelektual dalam Masyarakat Komunal di Indonesia,” </w:t>
      </w:r>
      <w:r>
        <w:rPr>
          <w:rFonts w:ascii="Book Antiqua" w:eastAsia="Book Antiqua" w:hAnsi="Book Antiqua" w:cs="Book Antiqua"/>
          <w:i/>
          <w:sz w:val="24"/>
          <w:szCs w:val="24"/>
        </w:rPr>
        <w:t xml:space="preserve">Repertorium Jurnal Ilmiah Kenotariatan </w:t>
      </w:r>
      <w:r>
        <w:rPr>
          <w:rFonts w:ascii="Book Antiqua" w:eastAsia="Book Antiqua" w:hAnsi="Book Antiqua" w:cs="Book Antiqua"/>
          <w:sz w:val="24"/>
          <w:szCs w:val="24"/>
        </w:rPr>
        <w:t xml:space="preserve">10, no. 1 (May 2021): 672, </w:t>
      </w:r>
      <w:hyperlink r:id="rId8">
        <w:r>
          <w:rPr>
            <w:rFonts w:ascii="Book Antiqua" w:eastAsia="Book Antiqua" w:hAnsi="Book Antiqua" w:cs="Book Antiqua"/>
            <w:color w:val="C00000"/>
            <w:sz w:val="24"/>
            <w:szCs w:val="24"/>
          </w:rPr>
          <w:t>http://dx.doi.org/10.28946/rpt.v10i1.672</w:t>
        </w:r>
      </w:hyperlink>
      <w:r>
        <w:rPr>
          <w:rFonts w:ascii="Book Antiqua" w:eastAsia="Book Antiqua" w:hAnsi="Book Antiqua" w:cs="Book Antiqua"/>
          <w:sz w:val="24"/>
          <w:szCs w:val="24"/>
        </w:rPr>
        <w:t>.</w:t>
      </w:r>
    </w:p>
    <w:p w:rsidR="00E00E53" w:rsidRDefault="00270AAC">
      <w:pPr>
        <w:spacing w:line="240" w:lineRule="auto"/>
        <w:ind w:left="1418" w:hanging="992"/>
        <w:jc w:val="both"/>
        <w:rPr>
          <w:rFonts w:ascii="Book Antiqua" w:eastAsia="Book Antiqua" w:hAnsi="Book Antiqua" w:cs="Book Antiqua"/>
          <w:sz w:val="24"/>
          <w:szCs w:val="24"/>
        </w:rPr>
      </w:pPr>
      <w:r>
        <w:rPr>
          <w:rFonts w:ascii="Book Antiqua" w:eastAsia="Book Antiqua" w:hAnsi="Book Antiqua" w:cs="Book Antiqua"/>
          <w:sz w:val="24"/>
          <w:szCs w:val="24"/>
        </w:rPr>
        <w:t>Aprilia, Rully, Yuni Maryuni, dan Ana Nurhasanah, “Perkembangan Kesenian Rudat Banten di Kecamatan Kasemen Kota Serang Provinsi Banten Pada Tahun 2013-2018,”</w:t>
      </w:r>
      <w:r>
        <w:rPr>
          <w:rFonts w:ascii="Book Antiqua" w:eastAsia="Book Antiqua" w:hAnsi="Book Antiqua" w:cs="Book Antiqua"/>
          <w:i/>
          <w:sz w:val="24"/>
          <w:szCs w:val="24"/>
        </w:rPr>
        <w:t xml:space="preserve"> Bihari: Jurnal Pendidikan Sejarah dan Ilmu Sejarah</w:t>
      </w:r>
      <w:r>
        <w:rPr>
          <w:rFonts w:ascii="Book Antiqua" w:eastAsia="Book Antiqua" w:hAnsi="Book Antiqua" w:cs="Book Antiqua"/>
          <w:sz w:val="24"/>
          <w:szCs w:val="24"/>
        </w:rPr>
        <w:t xml:space="preserve"> 4 no. 2 (June 2021): 115, Retrieved from </w:t>
      </w:r>
      <w:hyperlink r:id="rId9">
        <w:r>
          <w:rPr>
            <w:rFonts w:ascii="Book Antiqua" w:eastAsia="Book Antiqua" w:hAnsi="Book Antiqua" w:cs="Book Antiqua"/>
            <w:color w:val="C00000"/>
            <w:sz w:val="24"/>
            <w:szCs w:val="24"/>
          </w:rPr>
          <w:t>https://jurnal.unsil.ac.id/index.php/bihari/issue/view/288</w:t>
        </w:r>
      </w:hyperlink>
      <w:r>
        <w:rPr>
          <w:rFonts w:ascii="Book Antiqua" w:eastAsia="Book Antiqua" w:hAnsi="Book Antiqua" w:cs="Book Antiqua"/>
          <w:color w:val="C00000"/>
          <w:sz w:val="24"/>
          <w:szCs w:val="24"/>
        </w:rPr>
        <w:t>.</w:t>
      </w:r>
    </w:p>
    <w:p w:rsidR="00E00E53" w:rsidRDefault="00270AAC">
      <w:pPr>
        <w:spacing w:line="240" w:lineRule="auto"/>
        <w:ind w:left="1418" w:hanging="992"/>
        <w:jc w:val="both"/>
        <w:rPr>
          <w:rFonts w:ascii="Book Antiqua" w:eastAsia="Book Antiqua" w:hAnsi="Book Antiqua" w:cs="Book Antiqua"/>
          <w:color w:val="C00000"/>
          <w:sz w:val="24"/>
          <w:szCs w:val="24"/>
        </w:rPr>
      </w:pPr>
      <w:r>
        <w:rPr>
          <w:rFonts w:ascii="Book Antiqua" w:eastAsia="Book Antiqua" w:hAnsi="Book Antiqua" w:cs="Book Antiqua"/>
          <w:sz w:val="24"/>
          <w:szCs w:val="24"/>
        </w:rPr>
        <w:t xml:space="preserve">Basuki Antariksa, “Desain Induk (Grand Design) Pengembangan Ekonomi Kreatif di Indonesia,” Academia.edu, 11 November 2022, </w:t>
      </w:r>
      <w:hyperlink r:id="rId10">
        <w:r>
          <w:rPr>
            <w:rFonts w:ascii="Book Antiqua" w:eastAsia="Book Antiqua" w:hAnsi="Book Antiqua" w:cs="Book Antiqua"/>
            <w:color w:val="C00000"/>
            <w:sz w:val="24"/>
            <w:szCs w:val="24"/>
          </w:rPr>
          <w:t>https://www.academia.edu/41563602/DESAIN_INDUK_GRAND_DESIGN_KEBIJAKAN_PENGEMBANGAN_EKONOMI_KREATIF_DI_INDONESIA_1_Basuki_Antariksa</w:t>
        </w:r>
      </w:hyperlink>
      <w:r>
        <w:rPr>
          <w:rFonts w:ascii="Book Antiqua" w:eastAsia="Book Antiqua" w:hAnsi="Book Antiqua" w:cs="Book Antiqua"/>
          <w:color w:val="C00000"/>
          <w:sz w:val="24"/>
          <w:szCs w:val="24"/>
        </w:rPr>
        <w:t>.</w:t>
      </w:r>
    </w:p>
    <w:p w:rsidR="00E00E53" w:rsidRDefault="00270AAC">
      <w:pPr>
        <w:spacing w:line="240" w:lineRule="auto"/>
        <w:ind w:left="1418" w:hanging="992"/>
        <w:jc w:val="both"/>
        <w:rPr>
          <w:rFonts w:ascii="Book Antiqua" w:eastAsia="Book Antiqua" w:hAnsi="Book Antiqua" w:cs="Book Antiqua"/>
          <w:color w:val="C00000"/>
          <w:sz w:val="24"/>
          <w:szCs w:val="24"/>
        </w:rPr>
      </w:pPr>
      <w:r>
        <w:rPr>
          <w:rFonts w:ascii="Book Antiqua" w:eastAsia="Book Antiqua" w:hAnsi="Book Antiqua" w:cs="Book Antiqua"/>
          <w:sz w:val="24"/>
          <w:szCs w:val="24"/>
        </w:rPr>
        <w:t>BPS Provinsi Banten, “Jumlah Desa/Kelurahan Menurut Kabupaten/Kota di Provinsi Banten 2019-2014,” 22 July 2024</w:t>
      </w:r>
      <w:r>
        <w:t xml:space="preserve"> </w:t>
      </w:r>
      <w:hyperlink r:id="rId11">
        <w:r>
          <w:rPr>
            <w:rFonts w:ascii="Book Antiqua" w:eastAsia="Book Antiqua" w:hAnsi="Book Antiqua" w:cs="Book Antiqua"/>
            <w:color w:val="C00000"/>
            <w:sz w:val="24"/>
            <w:szCs w:val="24"/>
          </w:rPr>
          <w:t>https://banten.bps.go.id/indicator/101/39/1/jumlah-desa-kelurahtl</w:t>
        </w:r>
      </w:hyperlink>
      <w:r>
        <w:rPr>
          <w:rFonts w:ascii="Book Antiqua" w:eastAsia="Book Antiqua" w:hAnsi="Book Antiqua" w:cs="Book Antiqua"/>
          <w:color w:val="C00000"/>
          <w:sz w:val="24"/>
          <w:szCs w:val="24"/>
        </w:rPr>
        <w:t>.</w:t>
      </w:r>
    </w:p>
    <w:p w:rsidR="00E00E53" w:rsidRDefault="00270AAC">
      <w:pPr>
        <w:spacing w:line="240" w:lineRule="auto"/>
        <w:ind w:left="1418" w:hanging="992"/>
        <w:jc w:val="both"/>
        <w:rPr>
          <w:rFonts w:ascii="Book Antiqua" w:eastAsia="Book Antiqua" w:hAnsi="Book Antiqua" w:cs="Book Antiqua"/>
          <w:color w:val="C00000"/>
          <w:sz w:val="24"/>
          <w:szCs w:val="24"/>
        </w:rPr>
      </w:pPr>
      <w:r>
        <w:rPr>
          <w:rFonts w:ascii="Book Antiqua" w:eastAsia="Book Antiqua" w:hAnsi="Book Antiqua" w:cs="Book Antiqua"/>
          <w:sz w:val="24"/>
          <w:szCs w:val="24"/>
        </w:rPr>
        <w:t xml:space="preserve">Direktorat Jenderal Kekayaan Intelektual, “Pusat Daya Kekayaan Intelektual Komunal Indonesia,” 23 October 2024, </w:t>
      </w:r>
      <w:r>
        <w:rPr>
          <w:rFonts w:ascii="Book Antiqua" w:eastAsia="Book Antiqua" w:hAnsi="Book Antiqua" w:cs="Book Antiqua"/>
          <w:color w:val="C00000"/>
          <w:sz w:val="24"/>
          <w:szCs w:val="24"/>
        </w:rPr>
        <w:t>https://kik.dgip.go.id</w:t>
      </w:r>
      <w:r>
        <w:rPr>
          <w:rFonts w:ascii="Book Antiqua" w:eastAsia="Book Antiqua" w:hAnsi="Book Antiqua" w:cs="Book Antiqua"/>
          <w:sz w:val="24"/>
          <w:szCs w:val="24"/>
        </w:rPr>
        <w:t>.</w:t>
      </w:r>
    </w:p>
    <w:p w:rsidR="00E00E53" w:rsidRDefault="00270AAC">
      <w:pPr>
        <w:spacing w:line="240" w:lineRule="auto"/>
        <w:ind w:left="1418" w:hanging="992"/>
        <w:jc w:val="both"/>
        <w:rPr>
          <w:rFonts w:ascii="Book Antiqua" w:eastAsia="Book Antiqua" w:hAnsi="Book Antiqua" w:cs="Book Antiqua"/>
          <w:color w:val="C00000"/>
          <w:sz w:val="24"/>
          <w:szCs w:val="24"/>
        </w:rPr>
      </w:pPr>
      <w:r>
        <w:rPr>
          <w:rFonts w:ascii="Book Antiqua" w:eastAsia="Book Antiqua" w:hAnsi="Book Antiqua" w:cs="Book Antiqua"/>
          <w:sz w:val="24"/>
          <w:szCs w:val="24"/>
        </w:rPr>
        <w:t xml:space="preserve">Dwisvimiar, Inge, Dede Agus, dan Maulia Tasyafa Audry, </w:t>
      </w:r>
      <w:r>
        <w:rPr>
          <w:rFonts w:ascii="Book Antiqua" w:eastAsia="Book Antiqua" w:hAnsi="Book Antiqua" w:cs="Book Antiqua"/>
          <w:i/>
          <w:sz w:val="24"/>
          <w:szCs w:val="24"/>
        </w:rPr>
        <w:t>“Development of Traditional Cultural Expression of Patingtung Art from the Aspects of Copyright and Advancement of Culture,”</w:t>
      </w:r>
      <w:r>
        <w:rPr>
          <w:rFonts w:ascii="Book Antiqua" w:eastAsia="Book Antiqua" w:hAnsi="Book Antiqua" w:cs="Book Antiqua"/>
          <w:sz w:val="24"/>
          <w:szCs w:val="24"/>
        </w:rPr>
        <w:t xml:space="preserve"> </w:t>
      </w:r>
      <w:r>
        <w:rPr>
          <w:rFonts w:ascii="Book Antiqua" w:eastAsia="Book Antiqua" w:hAnsi="Book Antiqua" w:cs="Book Antiqua"/>
          <w:i/>
          <w:sz w:val="24"/>
          <w:szCs w:val="24"/>
        </w:rPr>
        <w:t>Pandecta</w:t>
      </w:r>
      <w:r>
        <w:rPr>
          <w:rFonts w:ascii="Book Antiqua" w:eastAsia="Book Antiqua" w:hAnsi="Book Antiqua" w:cs="Book Antiqua"/>
          <w:sz w:val="24"/>
          <w:szCs w:val="24"/>
        </w:rPr>
        <w:t xml:space="preserve"> (June 2023): 25</w:t>
      </w:r>
      <w:r>
        <w:rPr>
          <w:rFonts w:ascii="Book Antiqua" w:eastAsia="Book Antiqua" w:hAnsi="Book Antiqua" w:cs="Book Antiqua"/>
          <w:color w:val="C00000"/>
          <w:sz w:val="24"/>
          <w:szCs w:val="24"/>
        </w:rPr>
        <w:t xml:space="preserve">, </w:t>
      </w:r>
      <w:hyperlink r:id="rId12">
        <w:r>
          <w:rPr>
            <w:rFonts w:ascii="Book Antiqua" w:eastAsia="Book Antiqua" w:hAnsi="Book Antiqua" w:cs="Book Antiqua"/>
            <w:color w:val="C00000"/>
            <w:sz w:val="24"/>
            <w:szCs w:val="24"/>
          </w:rPr>
          <w:t>http://dx.doi.org/10.15294/pandecta.v18i1.43359</w:t>
        </w:r>
      </w:hyperlink>
      <w:r>
        <w:rPr>
          <w:rFonts w:ascii="Book Antiqua" w:eastAsia="Book Antiqua" w:hAnsi="Book Antiqua" w:cs="Book Antiqua"/>
          <w:color w:val="C00000"/>
          <w:sz w:val="24"/>
          <w:szCs w:val="24"/>
        </w:rPr>
        <w:t>.</w:t>
      </w:r>
    </w:p>
    <w:p w:rsidR="00E00E53" w:rsidRDefault="00270AAC">
      <w:pPr>
        <w:spacing w:line="240" w:lineRule="auto"/>
        <w:ind w:left="1418" w:hanging="992"/>
        <w:jc w:val="both"/>
        <w:rPr>
          <w:rFonts w:ascii="Book Antiqua" w:eastAsia="Book Antiqua" w:hAnsi="Book Antiqua" w:cs="Book Antiqua"/>
          <w:color w:val="C00000"/>
          <w:sz w:val="24"/>
          <w:szCs w:val="24"/>
        </w:rPr>
      </w:pPr>
      <w:r>
        <w:rPr>
          <w:rFonts w:ascii="Book Antiqua" w:eastAsia="Book Antiqua" w:hAnsi="Book Antiqua" w:cs="Book Antiqua"/>
          <w:sz w:val="24"/>
          <w:szCs w:val="24"/>
        </w:rPr>
        <w:t xml:space="preserve">Ghalib Agfa Polnaya dan Darwanto, “Pengembangan Ekonomi Lokal untuk meningkatkan Daya Saing pada UKM Ekonomi Kreatif Batik Bakaran di Pati, Jawa Tengah,” </w:t>
      </w:r>
      <w:r>
        <w:rPr>
          <w:rFonts w:ascii="Book Antiqua" w:eastAsia="Book Antiqua" w:hAnsi="Book Antiqua" w:cs="Book Antiqua"/>
          <w:i/>
          <w:sz w:val="24"/>
          <w:szCs w:val="24"/>
        </w:rPr>
        <w:t xml:space="preserve">Jurnal Bisnis dan Ekonomi (JBE) </w:t>
      </w:r>
      <w:r>
        <w:rPr>
          <w:rFonts w:ascii="Book Antiqua" w:eastAsia="Book Antiqua" w:hAnsi="Book Antiqua" w:cs="Book Antiqua"/>
          <w:sz w:val="24"/>
          <w:szCs w:val="24"/>
        </w:rPr>
        <w:t xml:space="preserve">22, no. 1 (March 2015): 2, Retrieved from </w:t>
      </w:r>
      <w:hyperlink r:id="rId13">
        <w:r>
          <w:rPr>
            <w:rFonts w:ascii="Book Antiqua" w:eastAsia="Book Antiqua" w:hAnsi="Book Antiqua" w:cs="Book Antiqua"/>
            <w:color w:val="C00000"/>
            <w:sz w:val="24"/>
            <w:szCs w:val="24"/>
          </w:rPr>
          <w:t>https://www.unisbank.ac.id/ojs/index.php/fe3/article/view/4118</w:t>
        </w:r>
      </w:hyperlink>
      <w:r>
        <w:rPr>
          <w:rFonts w:ascii="Book Antiqua" w:eastAsia="Book Antiqua" w:hAnsi="Book Antiqua" w:cs="Book Antiqua"/>
          <w:color w:val="C00000"/>
          <w:sz w:val="24"/>
          <w:szCs w:val="24"/>
        </w:rPr>
        <w:t>.</w:t>
      </w:r>
    </w:p>
    <w:p w:rsidR="00E00E53" w:rsidRDefault="00270AAC">
      <w:pPr>
        <w:spacing w:line="240" w:lineRule="auto"/>
        <w:ind w:left="1418" w:hanging="992"/>
        <w:jc w:val="both"/>
        <w:rPr>
          <w:rFonts w:ascii="Book Antiqua" w:eastAsia="Book Antiqua" w:hAnsi="Book Antiqua" w:cs="Book Antiqua"/>
          <w:color w:val="C00000"/>
          <w:sz w:val="24"/>
          <w:szCs w:val="24"/>
        </w:rPr>
      </w:pPr>
      <w:r>
        <w:rPr>
          <w:rFonts w:ascii="Book Antiqua" w:eastAsia="Book Antiqua" w:hAnsi="Book Antiqua" w:cs="Book Antiqua"/>
          <w:sz w:val="24"/>
          <w:szCs w:val="24"/>
        </w:rPr>
        <w:t xml:space="preserve">Kementerian Pendidikan, Kebudayaan, Riset, dan Teknologi, “SPKT,” 31 Juli 2024, </w:t>
      </w:r>
      <w:hyperlink r:id="rId14">
        <w:r>
          <w:rPr>
            <w:rFonts w:ascii="Book Antiqua" w:eastAsia="Book Antiqua" w:hAnsi="Book Antiqua" w:cs="Book Antiqua"/>
            <w:color w:val="C00000"/>
            <w:sz w:val="24"/>
            <w:szCs w:val="24"/>
          </w:rPr>
          <w:t>https://spkt.kemdikbud.go.id/</w:t>
        </w:r>
      </w:hyperlink>
      <w:r>
        <w:rPr>
          <w:rFonts w:ascii="Book Antiqua" w:eastAsia="Book Antiqua" w:hAnsi="Book Antiqua" w:cs="Book Antiqua"/>
          <w:color w:val="C00000"/>
          <w:sz w:val="24"/>
          <w:szCs w:val="24"/>
        </w:rPr>
        <w:t>.</w:t>
      </w:r>
    </w:p>
    <w:p w:rsidR="00E00E53" w:rsidRDefault="00270AAC">
      <w:pPr>
        <w:spacing w:line="240" w:lineRule="auto"/>
        <w:ind w:left="1418" w:hanging="992"/>
        <w:jc w:val="both"/>
        <w:rPr>
          <w:rFonts w:ascii="Book Antiqua" w:eastAsia="Book Antiqua" w:hAnsi="Book Antiqua" w:cs="Book Antiqua"/>
          <w:sz w:val="24"/>
          <w:szCs w:val="24"/>
        </w:rPr>
      </w:pPr>
      <w:r>
        <w:rPr>
          <w:rFonts w:ascii="Book Antiqua" w:eastAsia="Book Antiqua" w:hAnsi="Book Antiqua" w:cs="Book Antiqua"/>
          <w:sz w:val="24"/>
          <w:szCs w:val="24"/>
        </w:rPr>
        <w:t xml:space="preserve">M. Ramli, Ahmad, “Perlindungan Kekayaan Intelektual dalam Pemanfaatan Teknologi Informasi saat Covid-19 </w:t>
      </w:r>
      <w:r>
        <w:rPr>
          <w:rFonts w:ascii="Book Antiqua" w:eastAsia="Book Antiqua" w:hAnsi="Book Antiqua" w:cs="Book Antiqua"/>
          <w:i/>
          <w:sz w:val="24"/>
          <w:szCs w:val="24"/>
        </w:rPr>
        <w:t>(The Protection of Intellectual Property on The Use of Information Technology at The Covid-19),”</w:t>
      </w:r>
      <w:r>
        <w:rPr>
          <w:rFonts w:ascii="Book Antiqua" w:eastAsia="Book Antiqua" w:hAnsi="Book Antiqua" w:cs="Book Antiqua"/>
          <w:sz w:val="24"/>
          <w:szCs w:val="24"/>
        </w:rPr>
        <w:t xml:space="preserve"> </w:t>
      </w:r>
      <w:r>
        <w:rPr>
          <w:rFonts w:ascii="Book Antiqua" w:eastAsia="Book Antiqua" w:hAnsi="Book Antiqua" w:cs="Book Antiqua"/>
          <w:i/>
          <w:sz w:val="24"/>
          <w:szCs w:val="24"/>
        </w:rPr>
        <w:t xml:space="preserve">Jurnal Penelitian Hukum De Jure </w:t>
      </w:r>
      <w:r>
        <w:rPr>
          <w:rFonts w:ascii="Book Antiqua" w:eastAsia="Book Antiqua" w:hAnsi="Book Antiqua" w:cs="Book Antiqua"/>
          <w:sz w:val="24"/>
          <w:szCs w:val="24"/>
        </w:rPr>
        <w:t xml:space="preserve">1, no. 1 (January 2021): 47, </w:t>
      </w:r>
      <w:r>
        <w:rPr>
          <w:rFonts w:ascii="Book Antiqua" w:eastAsia="Book Antiqua" w:hAnsi="Book Antiqua" w:cs="Book Antiqua"/>
          <w:color w:val="C00000"/>
          <w:sz w:val="24"/>
          <w:szCs w:val="24"/>
        </w:rPr>
        <w:t>https://doi.org/10.30641/dejure.2021.v21.45-58.</w:t>
      </w:r>
    </w:p>
    <w:p w:rsidR="00E00E53" w:rsidRDefault="00270AAC">
      <w:pPr>
        <w:spacing w:line="240" w:lineRule="auto"/>
        <w:ind w:left="1418" w:hanging="992"/>
        <w:jc w:val="both"/>
        <w:rPr>
          <w:rFonts w:ascii="Book Antiqua" w:eastAsia="Book Antiqua" w:hAnsi="Book Antiqua" w:cs="Book Antiqua"/>
          <w:sz w:val="24"/>
          <w:szCs w:val="24"/>
        </w:rPr>
      </w:pPr>
      <w:r>
        <w:rPr>
          <w:rFonts w:ascii="Book Antiqua" w:eastAsia="Book Antiqua" w:hAnsi="Book Antiqua" w:cs="Book Antiqua"/>
          <w:sz w:val="24"/>
          <w:szCs w:val="24"/>
        </w:rPr>
        <w:t xml:space="preserve">Nur Dewata, Mukti, Fajar, dan Yulianto Achmad, </w:t>
      </w:r>
      <w:r>
        <w:rPr>
          <w:rFonts w:ascii="Book Antiqua" w:eastAsia="Book Antiqua" w:hAnsi="Book Antiqua" w:cs="Book Antiqua"/>
          <w:i/>
          <w:sz w:val="24"/>
          <w:szCs w:val="24"/>
        </w:rPr>
        <w:t>Dualisme Penelitian Hukum Normatif dan Empiris</w:t>
      </w:r>
      <w:r>
        <w:rPr>
          <w:rFonts w:ascii="Book Antiqua" w:eastAsia="Book Antiqua" w:hAnsi="Book Antiqua" w:cs="Book Antiqua"/>
          <w:sz w:val="24"/>
          <w:szCs w:val="24"/>
        </w:rPr>
        <w:t>. Yogyakarta: Pustaka Pelajar, 2016.</w:t>
      </w:r>
    </w:p>
    <w:p w:rsidR="00E00E53" w:rsidRDefault="00270AAC">
      <w:pPr>
        <w:spacing w:line="240" w:lineRule="auto"/>
        <w:ind w:left="1418" w:hanging="992"/>
        <w:jc w:val="both"/>
        <w:rPr>
          <w:rFonts w:ascii="Book Antiqua" w:eastAsia="Book Antiqua" w:hAnsi="Book Antiqua" w:cs="Book Antiqua"/>
          <w:color w:val="C00000"/>
          <w:sz w:val="24"/>
          <w:szCs w:val="24"/>
        </w:rPr>
      </w:pPr>
      <w:r>
        <w:rPr>
          <w:rFonts w:ascii="Book Antiqua" w:eastAsia="Book Antiqua" w:hAnsi="Book Antiqua" w:cs="Book Antiqua"/>
          <w:sz w:val="24"/>
          <w:szCs w:val="24"/>
        </w:rPr>
        <w:t xml:space="preserve">Nurfitri, Dian, “Perlindungan Kekayaan Intelektual Komunal Pasca Terbitnya Peraturan Pemerintah Nomor 56 Tahun 2022 Tentang Kekayaan Intelektual Komunal”, </w:t>
      </w:r>
      <w:r>
        <w:rPr>
          <w:rFonts w:ascii="Book Antiqua" w:eastAsia="Book Antiqua" w:hAnsi="Book Antiqua" w:cs="Book Antiqua"/>
          <w:i/>
          <w:sz w:val="24"/>
          <w:szCs w:val="24"/>
        </w:rPr>
        <w:t>Jurnal Hukum De Lege Ferenda Trisakti</w:t>
      </w:r>
      <w:r>
        <w:rPr>
          <w:rFonts w:ascii="Book Antiqua" w:eastAsia="Book Antiqua" w:hAnsi="Book Antiqua" w:cs="Book Antiqua"/>
          <w:sz w:val="24"/>
          <w:szCs w:val="24"/>
        </w:rPr>
        <w:t xml:space="preserve"> (September 2023): 230, </w:t>
      </w:r>
      <w:hyperlink r:id="rId15">
        <w:r>
          <w:rPr>
            <w:rFonts w:ascii="Book Antiqua" w:eastAsia="Book Antiqua" w:hAnsi="Book Antiqua" w:cs="Book Antiqua"/>
            <w:color w:val="C00000"/>
            <w:sz w:val="24"/>
            <w:szCs w:val="24"/>
          </w:rPr>
          <w:t>https://doi.org/10.25105/ferenda.v1i2.18276</w:t>
        </w:r>
      </w:hyperlink>
      <w:r>
        <w:rPr>
          <w:rFonts w:ascii="Book Antiqua" w:eastAsia="Book Antiqua" w:hAnsi="Book Antiqua" w:cs="Book Antiqua"/>
          <w:color w:val="C00000"/>
          <w:sz w:val="24"/>
          <w:szCs w:val="24"/>
        </w:rPr>
        <w:t>.</w:t>
      </w:r>
    </w:p>
    <w:p w:rsidR="00E00E53" w:rsidRDefault="00270AAC">
      <w:pPr>
        <w:spacing w:line="240" w:lineRule="auto"/>
        <w:ind w:left="1418" w:hanging="992"/>
        <w:jc w:val="both"/>
        <w:rPr>
          <w:rFonts w:ascii="Book Antiqua" w:eastAsia="Book Antiqua" w:hAnsi="Book Antiqua" w:cs="Book Antiqua"/>
          <w:sz w:val="24"/>
          <w:szCs w:val="24"/>
        </w:rPr>
      </w:pPr>
      <w:r>
        <w:rPr>
          <w:rFonts w:ascii="Book Antiqua" w:eastAsia="Book Antiqua" w:hAnsi="Book Antiqua" w:cs="Book Antiqua"/>
          <w:sz w:val="24"/>
          <w:szCs w:val="24"/>
        </w:rPr>
        <w:t xml:space="preserve">Nurhaini Butarbutar, Elisabeth, </w:t>
      </w:r>
      <w:r>
        <w:rPr>
          <w:rFonts w:ascii="Book Antiqua" w:eastAsia="Book Antiqua" w:hAnsi="Book Antiqua" w:cs="Book Antiqua"/>
          <w:i/>
          <w:sz w:val="24"/>
          <w:szCs w:val="24"/>
        </w:rPr>
        <w:t>Metode Penelitian Hukum</w:t>
      </w:r>
      <w:r>
        <w:rPr>
          <w:rFonts w:ascii="Book Antiqua" w:eastAsia="Book Antiqua" w:hAnsi="Book Antiqua" w:cs="Book Antiqua"/>
          <w:sz w:val="24"/>
          <w:szCs w:val="24"/>
        </w:rPr>
        <w:t>. Bandung: Refika Aditama, 2018.</w:t>
      </w:r>
    </w:p>
    <w:p w:rsidR="00E00E53" w:rsidRDefault="00270AAC">
      <w:pPr>
        <w:spacing w:line="240" w:lineRule="auto"/>
        <w:ind w:left="1418" w:hanging="992"/>
        <w:jc w:val="both"/>
        <w:rPr>
          <w:rFonts w:ascii="Book Antiqua" w:eastAsia="Book Antiqua" w:hAnsi="Book Antiqua" w:cs="Book Antiqua"/>
          <w:sz w:val="24"/>
          <w:szCs w:val="24"/>
        </w:rPr>
      </w:pPr>
      <w:r>
        <w:rPr>
          <w:rFonts w:ascii="Book Antiqua" w:eastAsia="Book Antiqua" w:hAnsi="Book Antiqua" w:cs="Book Antiqua"/>
          <w:sz w:val="24"/>
          <w:szCs w:val="24"/>
        </w:rPr>
        <w:t xml:space="preserve">Penyusun, Tim, </w:t>
      </w:r>
      <w:r>
        <w:rPr>
          <w:rFonts w:ascii="Book Antiqua" w:eastAsia="Book Antiqua" w:hAnsi="Book Antiqua" w:cs="Book Antiqua"/>
          <w:i/>
          <w:sz w:val="24"/>
          <w:szCs w:val="24"/>
        </w:rPr>
        <w:t xml:space="preserve">Pokok Pikiran Kebudayaan Daerah Kabupaten Serang Provinsi Banten Tahun 2024. </w:t>
      </w:r>
      <w:r>
        <w:rPr>
          <w:rFonts w:ascii="Book Antiqua" w:eastAsia="Book Antiqua" w:hAnsi="Book Antiqua" w:cs="Book Antiqua"/>
          <w:sz w:val="24"/>
          <w:szCs w:val="24"/>
        </w:rPr>
        <w:t xml:space="preserve">Serang: Sekretariat Daerah Kabupaten Serang Dinas Pendidikan dan Kebudayaan Kabupaten Serang, 2024.  </w:t>
      </w:r>
    </w:p>
    <w:p w:rsidR="00E00E53" w:rsidRDefault="00270AAC">
      <w:pPr>
        <w:spacing w:line="240" w:lineRule="auto"/>
        <w:ind w:left="1418" w:hanging="992"/>
        <w:jc w:val="both"/>
        <w:rPr>
          <w:rFonts w:ascii="Book Antiqua" w:eastAsia="Book Antiqua" w:hAnsi="Book Antiqua" w:cs="Book Antiqua"/>
          <w:color w:val="C00000"/>
          <w:sz w:val="24"/>
          <w:szCs w:val="24"/>
        </w:rPr>
      </w:pPr>
      <w:r>
        <w:rPr>
          <w:rFonts w:ascii="Book Antiqua" w:eastAsia="Book Antiqua" w:hAnsi="Book Antiqua" w:cs="Book Antiqua"/>
          <w:sz w:val="24"/>
          <w:szCs w:val="24"/>
        </w:rPr>
        <w:t xml:space="preserve">Prasetyo Adhi, Yuli, Dewi Sulistianingsih dan Rini Fidiyani, “Pengelolaan Kekayaan Intelektual Berbasis Kearifan Lokal Sebagai Penguatan. Buaya Literasi, Kreativitas dan Inovasi,” </w:t>
      </w:r>
      <w:r>
        <w:rPr>
          <w:rFonts w:ascii="Book Antiqua" w:eastAsia="Book Antiqua" w:hAnsi="Book Antiqua" w:cs="Book Antiqua"/>
          <w:i/>
          <w:sz w:val="24"/>
          <w:szCs w:val="24"/>
        </w:rPr>
        <w:t>Jurnal Pengabdian Hukum Indonesia (Indonesian Journal of Legal Community)</w:t>
      </w:r>
      <w:r>
        <w:rPr>
          <w:rFonts w:ascii="Book Antiqua" w:eastAsia="Book Antiqua" w:hAnsi="Book Antiqua" w:cs="Book Antiqua"/>
          <w:sz w:val="24"/>
          <w:szCs w:val="24"/>
        </w:rPr>
        <w:t xml:space="preserve"> 4, no. 1 (October 2020): 20, </w:t>
      </w:r>
      <w:hyperlink r:id="rId16">
        <w:r>
          <w:rPr>
            <w:rFonts w:ascii="Book Antiqua" w:eastAsia="Book Antiqua" w:hAnsi="Book Antiqua" w:cs="Book Antiqua"/>
            <w:color w:val="C00000"/>
            <w:sz w:val="24"/>
            <w:szCs w:val="24"/>
          </w:rPr>
          <w:t>https://doi.org/10.15294/jphi.v4i1.49934</w:t>
        </w:r>
      </w:hyperlink>
      <w:r>
        <w:rPr>
          <w:rFonts w:ascii="Book Antiqua" w:eastAsia="Book Antiqua" w:hAnsi="Book Antiqua" w:cs="Book Antiqua"/>
          <w:color w:val="C00000"/>
          <w:sz w:val="24"/>
          <w:szCs w:val="24"/>
        </w:rPr>
        <w:t>.</w:t>
      </w:r>
    </w:p>
    <w:p w:rsidR="00E00E53" w:rsidRDefault="00270AAC">
      <w:pPr>
        <w:spacing w:line="240" w:lineRule="auto"/>
        <w:ind w:left="1418" w:hanging="992"/>
        <w:jc w:val="both"/>
        <w:rPr>
          <w:rFonts w:ascii="Book Antiqua" w:eastAsia="Book Antiqua" w:hAnsi="Book Antiqua" w:cs="Book Antiqua"/>
          <w:color w:val="C00000"/>
          <w:sz w:val="24"/>
          <w:szCs w:val="24"/>
        </w:rPr>
      </w:pPr>
      <w:r>
        <w:rPr>
          <w:rFonts w:ascii="Book Antiqua" w:eastAsia="Book Antiqua" w:hAnsi="Book Antiqua" w:cs="Book Antiqua"/>
          <w:sz w:val="24"/>
          <w:szCs w:val="24"/>
        </w:rPr>
        <w:t xml:space="preserve">Roisah, Kholis “Perlindungan Ekspresi Budaya Tradisional dalam Sistem Hukum Kekayaan Intelektual,” </w:t>
      </w:r>
      <w:r>
        <w:rPr>
          <w:rFonts w:ascii="Book Antiqua" w:eastAsia="Book Antiqua" w:hAnsi="Book Antiqua" w:cs="Book Antiqua"/>
          <w:i/>
          <w:sz w:val="24"/>
          <w:szCs w:val="24"/>
        </w:rPr>
        <w:t>MMH</w:t>
      </w:r>
      <w:r>
        <w:rPr>
          <w:rFonts w:ascii="Book Antiqua" w:eastAsia="Book Antiqua" w:hAnsi="Book Antiqua" w:cs="Book Antiqua"/>
          <w:sz w:val="24"/>
          <w:szCs w:val="24"/>
        </w:rPr>
        <w:t xml:space="preserve"> 43, no. 3 (July 2014): 372</w:t>
      </w:r>
      <w:r>
        <w:rPr>
          <w:rFonts w:ascii="Book Antiqua" w:eastAsia="Book Antiqua" w:hAnsi="Book Antiqua" w:cs="Book Antiqua"/>
          <w:color w:val="333333"/>
          <w:sz w:val="24"/>
          <w:szCs w:val="24"/>
        </w:rPr>
        <w:t xml:space="preserve">, </w:t>
      </w:r>
      <w:hyperlink r:id="rId17">
        <w:r>
          <w:rPr>
            <w:rFonts w:ascii="Book Antiqua" w:eastAsia="Book Antiqua" w:hAnsi="Book Antiqua" w:cs="Book Antiqua"/>
            <w:color w:val="C00000"/>
            <w:sz w:val="24"/>
            <w:szCs w:val="24"/>
          </w:rPr>
          <w:t>http://dx.doi.org/10.14710/mmh.43.3.2014.372-379</w:t>
        </w:r>
      </w:hyperlink>
      <w:r>
        <w:rPr>
          <w:rFonts w:ascii="Book Antiqua" w:eastAsia="Book Antiqua" w:hAnsi="Book Antiqua" w:cs="Book Antiqua"/>
          <w:color w:val="C00000"/>
          <w:sz w:val="24"/>
          <w:szCs w:val="24"/>
        </w:rPr>
        <w:t>.</w:t>
      </w:r>
    </w:p>
    <w:p w:rsidR="00E00E53" w:rsidRDefault="00270AAC">
      <w:pPr>
        <w:spacing w:line="240" w:lineRule="auto"/>
        <w:ind w:left="1418" w:hanging="992"/>
        <w:jc w:val="both"/>
        <w:rPr>
          <w:rFonts w:ascii="Book Antiqua" w:eastAsia="Book Antiqua" w:hAnsi="Book Antiqua" w:cs="Book Antiqua"/>
          <w:color w:val="C00000"/>
          <w:sz w:val="24"/>
          <w:szCs w:val="24"/>
        </w:rPr>
      </w:pPr>
      <w:r>
        <w:rPr>
          <w:rFonts w:ascii="Book Antiqua" w:eastAsia="Book Antiqua" w:hAnsi="Book Antiqua" w:cs="Book Antiqua"/>
          <w:sz w:val="24"/>
          <w:szCs w:val="24"/>
        </w:rPr>
        <w:t xml:space="preserve">Setyaningtyas, Ayu Citra, dan Endang Sri Kawuryan, “Menjaga Ekspresi Budaya Tradisional di Indonesia,” </w:t>
      </w:r>
      <w:r>
        <w:rPr>
          <w:rFonts w:ascii="Book Antiqua" w:eastAsia="Book Antiqua" w:hAnsi="Book Antiqua" w:cs="Book Antiqua"/>
          <w:i/>
          <w:sz w:val="24"/>
          <w:szCs w:val="24"/>
        </w:rPr>
        <w:t>Jurnal Ilmu Hukum Tambun Bungai</w:t>
      </w:r>
      <w:r>
        <w:rPr>
          <w:rFonts w:ascii="Book Antiqua" w:eastAsia="Book Antiqua" w:hAnsi="Book Antiqua" w:cs="Book Antiqua"/>
          <w:sz w:val="24"/>
          <w:szCs w:val="24"/>
        </w:rPr>
        <w:t xml:space="preserve"> 1, no. 2 (September 2016): 122, </w:t>
      </w:r>
      <w:hyperlink r:id="rId18">
        <w:r>
          <w:rPr>
            <w:rFonts w:ascii="Book Antiqua" w:eastAsia="Book Antiqua" w:hAnsi="Book Antiqua" w:cs="Book Antiqua"/>
            <w:color w:val="C00000"/>
            <w:sz w:val="24"/>
            <w:szCs w:val="24"/>
          </w:rPr>
          <w:t>https://doi.org/10.20231/jihtb.v1i2.60</w:t>
        </w:r>
      </w:hyperlink>
      <w:r>
        <w:rPr>
          <w:rFonts w:ascii="Book Antiqua" w:eastAsia="Book Antiqua" w:hAnsi="Book Antiqua" w:cs="Book Antiqua"/>
          <w:color w:val="C00000"/>
          <w:sz w:val="24"/>
          <w:szCs w:val="24"/>
        </w:rPr>
        <w:t>.</w:t>
      </w:r>
    </w:p>
    <w:p w:rsidR="00E00E53" w:rsidRDefault="00270AAC">
      <w:pPr>
        <w:spacing w:line="240" w:lineRule="auto"/>
        <w:ind w:left="1418" w:hanging="992"/>
        <w:jc w:val="both"/>
        <w:rPr>
          <w:rFonts w:ascii="Book Antiqua" w:eastAsia="Book Antiqua" w:hAnsi="Book Antiqua" w:cs="Book Antiqua"/>
          <w:color w:val="C00000"/>
          <w:sz w:val="24"/>
          <w:szCs w:val="24"/>
        </w:rPr>
      </w:pPr>
      <w:r>
        <w:rPr>
          <w:rFonts w:ascii="Book Antiqua" w:eastAsia="Book Antiqua" w:hAnsi="Book Antiqua" w:cs="Book Antiqua"/>
          <w:sz w:val="24"/>
          <w:szCs w:val="24"/>
        </w:rPr>
        <w:t xml:space="preserve">Sugiyono, </w:t>
      </w:r>
      <w:r>
        <w:rPr>
          <w:rFonts w:ascii="Book Antiqua" w:eastAsia="Book Antiqua" w:hAnsi="Book Antiqua" w:cs="Book Antiqua"/>
          <w:i/>
          <w:sz w:val="24"/>
          <w:szCs w:val="24"/>
        </w:rPr>
        <w:t xml:space="preserve">Metode Penelitian Kuantitatif, Kualitatif dan R&amp;D. </w:t>
      </w:r>
      <w:r>
        <w:rPr>
          <w:rFonts w:ascii="Book Antiqua" w:eastAsia="Book Antiqua" w:hAnsi="Book Antiqua" w:cs="Book Antiqua"/>
          <w:sz w:val="24"/>
          <w:szCs w:val="24"/>
        </w:rPr>
        <w:t>Bandung: Alfabeta, 2017.</w:t>
      </w:r>
    </w:p>
    <w:p w:rsidR="00E00E53" w:rsidRDefault="00270AAC">
      <w:pPr>
        <w:spacing w:line="240" w:lineRule="auto"/>
        <w:ind w:left="1418" w:hanging="992"/>
        <w:jc w:val="both"/>
        <w:rPr>
          <w:rFonts w:ascii="Book Antiqua" w:eastAsia="Book Antiqua" w:hAnsi="Book Antiqua" w:cs="Book Antiqua"/>
          <w:sz w:val="24"/>
          <w:szCs w:val="24"/>
        </w:rPr>
      </w:pPr>
      <w:r>
        <w:rPr>
          <w:rFonts w:ascii="Book Antiqua" w:eastAsia="Book Antiqua" w:hAnsi="Book Antiqua" w:cs="Book Antiqua"/>
          <w:sz w:val="24"/>
          <w:szCs w:val="24"/>
        </w:rPr>
        <w:t xml:space="preserve">Sulaiman, </w:t>
      </w:r>
      <w:r>
        <w:rPr>
          <w:rFonts w:ascii="Book Antiqua" w:eastAsia="Book Antiqua" w:hAnsi="Book Antiqua" w:cs="Book Antiqua"/>
          <w:i/>
          <w:sz w:val="24"/>
          <w:szCs w:val="24"/>
        </w:rPr>
        <w:t xml:space="preserve">Sekilas Mengenal Kekayaan Budaya Banten. </w:t>
      </w:r>
      <w:r>
        <w:rPr>
          <w:rFonts w:ascii="Book Antiqua" w:eastAsia="Book Antiqua" w:hAnsi="Book Antiqua" w:cs="Book Antiqua"/>
          <w:sz w:val="24"/>
          <w:szCs w:val="24"/>
        </w:rPr>
        <w:t>Surabaya: JP Books, 2019.</w:t>
      </w:r>
    </w:p>
    <w:p w:rsidR="00E00E53" w:rsidRDefault="00270AAC">
      <w:pPr>
        <w:spacing w:line="240" w:lineRule="auto"/>
        <w:ind w:left="1418" w:hanging="992"/>
        <w:jc w:val="both"/>
        <w:rPr>
          <w:rFonts w:ascii="Book Antiqua" w:eastAsia="Book Antiqua" w:hAnsi="Book Antiqua" w:cs="Book Antiqua"/>
          <w:color w:val="C00000"/>
          <w:sz w:val="24"/>
          <w:szCs w:val="24"/>
        </w:rPr>
      </w:pPr>
      <w:r>
        <w:rPr>
          <w:rFonts w:ascii="Book Antiqua" w:eastAsia="Book Antiqua" w:hAnsi="Book Antiqua" w:cs="Book Antiqua"/>
          <w:sz w:val="24"/>
          <w:szCs w:val="24"/>
        </w:rPr>
        <w:lastRenderedPageBreak/>
        <w:t xml:space="preserve">Thresnawaty S., Euis, “Perguruan Silat Bandrong Renggong Ampel di Kabupaten Serang,” </w:t>
      </w:r>
      <w:r>
        <w:rPr>
          <w:rFonts w:ascii="Book Antiqua" w:eastAsia="Book Antiqua" w:hAnsi="Book Antiqua" w:cs="Book Antiqua"/>
          <w:i/>
          <w:sz w:val="24"/>
          <w:szCs w:val="24"/>
        </w:rPr>
        <w:t>Patanjala</w:t>
      </w:r>
      <w:r>
        <w:rPr>
          <w:rFonts w:ascii="Book Antiqua" w:eastAsia="Book Antiqua" w:hAnsi="Book Antiqua" w:cs="Book Antiqua"/>
          <w:sz w:val="24"/>
          <w:szCs w:val="24"/>
        </w:rPr>
        <w:t xml:space="preserve"> 5 no. 1 (March 2013): 104, </w:t>
      </w:r>
      <w:hyperlink r:id="rId19">
        <w:r>
          <w:rPr>
            <w:rFonts w:ascii="Book Antiqua" w:eastAsia="Book Antiqua" w:hAnsi="Book Antiqua" w:cs="Book Antiqua"/>
            <w:color w:val="C00000"/>
            <w:sz w:val="24"/>
            <w:szCs w:val="24"/>
          </w:rPr>
          <w:t>http://dx.doi.org/10.30959/patanjala.v5i1.165</w:t>
        </w:r>
      </w:hyperlink>
      <w:r>
        <w:rPr>
          <w:rFonts w:ascii="Book Antiqua" w:eastAsia="Book Antiqua" w:hAnsi="Book Antiqua" w:cs="Book Antiqua"/>
          <w:color w:val="C00000"/>
          <w:sz w:val="24"/>
          <w:szCs w:val="24"/>
        </w:rPr>
        <w:t>.</w:t>
      </w:r>
    </w:p>
    <w:p w:rsidR="00E00E53" w:rsidRDefault="00270AAC">
      <w:pPr>
        <w:spacing w:line="240" w:lineRule="auto"/>
        <w:ind w:left="1418" w:hanging="992"/>
        <w:jc w:val="both"/>
        <w:rPr>
          <w:rFonts w:ascii="Book Antiqua" w:eastAsia="Book Antiqua" w:hAnsi="Book Antiqua" w:cs="Book Antiqua"/>
          <w:color w:val="C00000"/>
          <w:sz w:val="24"/>
          <w:szCs w:val="24"/>
        </w:rPr>
      </w:pPr>
      <w:r>
        <w:rPr>
          <w:rFonts w:ascii="Book Antiqua" w:eastAsia="Book Antiqua" w:hAnsi="Book Antiqua" w:cs="Book Antiqua"/>
          <w:sz w:val="24"/>
          <w:szCs w:val="24"/>
        </w:rPr>
        <w:t>Ulinnuha, Lutfi, “Penggunaan Hak Cipta Sebagai Objek Jaminan Fidusia,”</w:t>
      </w:r>
      <w:r>
        <w:rPr>
          <w:rFonts w:ascii="Book Antiqua" w:eastAsia="Book Antiqua" w:hAnsi="Book Antiqua" w:cs="Book Antiqua"/>
          <w:i/>
          <w:sz w:val="24"/>
          <w:szCs w:val="24"/>
        </w:rPr>
        <w:t xml:space="preserve"> Jurnal of Private and Commercial Law</w:t>
      </w:r>
      <w:r>
        <w:rPr>
          <w:rFonts w:ascii="Book Antiqua" w:eastAsia="Book Antiqua" w:hAnsi="Book Antiqua" w:cs="Book Antiqua"/>
          <w:sz w:val="24"/>
          <w:szCs w:val="24"/>
        </w:rPr>
        <w:t xml:space="preserve"> 1, no. 1 (November 2017): 86, </w:t>
      </w:r>
      <w:hyperlink r:id="rId20">
        <w:r>
          <w:rPr>
            <w:rFonts w:ascii="Book Antiqua" w:eastAsia="Book Antiqua" w:hAnsi="Book Antiqua" w:cs="Book Antiqua"/>
            <w:color w:val="C00000"/>
            <w:sz w:val="24"/>
            <w:szCs w:val="24"/>
          </w:rPr>
          <w:t>http://dx.doi.org/10.15294/jpcl.v1i1.12357</w:t>
        </w:r>
      </w:hyperlink>
      <w:r>
        <w:rPr>
          <w:rFonts w:ascii="Book Antiqua" w:eastAsia="Book Antiqua" w:hAnsi="Book Antiqua" w:cs="Book Antiqua"/>
          <w:color w:val="C00000"/>
          <w:sz w:val="24"/>
          <w:szCs w:val="24"/>
        </w:rPr>
        <w:t>.</w:t>
      </w:r>
    </w:p>
    <w:p w:rsidR="00E00E53" w:rsidRDefault="00270AAC">
      <w:pPr>
        <w:spacing w:line="240" w:lineRule="auto"/>
        <w:ind w:left="1418" w:hanging="992"/>
        <w:jc w:val="both"/>
        <w:rPr>
          <w:rFonts w:ascii="Book Antiqua" w:eastAsia="Book Antiqua" w:hAnsi="Book Antiqua" w:cs="Book Antiqua"/>
          <w:color w:val="C00000"/>
          <w:sz w:val="24"/>
          <w:szCs w:val="24"/>
        </w:rPr>
      </w:pPr>
      <w:r>
        <w:rPr>
          <w:rFonts w:ascii="Book Antiqua" w:eastAsia="Book Antiqua" w:hAnsi="Book Antiqua" w:cs="Book Antiqua"/>
          <w:sz w:val="24"/>
          <w:szCs w:val="24"/>
        </w:rPr>
        <w:t xml:space="preserve">Wierma Putri, Ria, Yunita Maya Putri, dan Rehulina, </w:t>
      </w:r>
      <w:r>
        <w:rPr>
          <w:rFonts w:ascii="Book Antiqua" w:eastAsia="Book Antiqua" w:hAnsi="Book Antiqua" w:cs="Book Antiqua"/>
          <w:i/>
          <w:sz w:val="24"/>
          <w:szCs w:val="24"/>
        </w:rPr>
        <w:t>“Recognizing the Protection of Communal Intellectual Property Rights,”</w:t>
      </w:r>
      <w:r>
        <w:rPr>
          <w:rFonts w:ascii="Book Antiqua" w:eastAsia="Book Antiqua" w:hAnsi="Book Antiqua" w:cs="Book Antiqua"/>
          <w:sz w:val="24"/>
          <w:szCs w:val="24"/>
        </w:rPr>
        <w:t xml:space="preserve"> </w:t>
      </w:r>
      <w:r>
        <w:rPr>
          <w:rFonts w:ascii="Book Antiqua" w:eastAsia="Book Antiqua" w:hAnsi="Book Antiqua" w:cs="Book Antiqua"/>
          <w:i/>
          <w:sz w:val="24"/>
          <w:szCs w:val="24"/>
        </w:rPr>
        <w:t>Jurnal Hukum De’rechsstaat</w:t>
      </w:r>
      <w:r>
        <w:rPr>
          <w:rFonts w:ascii="Book Antiqua" w:eastAsia="Book Antiqua" w:hAnsi="Book Antiqua" w:cs="Book Antiqua"/>
          <w:sz w:val="24"/>
          <w:szCs w:val="24"/>
        </w:rPr>
        <w:t xml:space="preserve"> (September 2021): 90, </w:t>
      </w:r>
      <w:hyperlink r:id="rId21">
        <w:r>
          <w:rPr>
            <w:rFonts w:ascii="Book Antiqua" w:eastAsia="Book Antiqua" w:hAnsi="Book Antiqua" w:cs="Book Antiqua"/>
            <w:color w:val="C00000"/>
            <w:sz w:val="24"/>
            <w:szCs w:val="24"/>
          </w:rPr>
          <w:t>https://ojs.unida.ac.id/LAW/article/view/4073</w:t>
        </w:r>
      </w:hyperlink>
      <w:r>
        <w:rPr>
          <w:rFonts w:ascii="Book Antiqua" w:eastAsia="Book Antiqua" w:hAnsi="Book Antiqua" w:cs="Book Antiqua"/>
          <w:sz w:val="24"/>
          <w:szCs w:val="24"/>
        </w:rPr>
        <w:t>.</w:t>
      </w:r>
    </w:p>
    <w:p w:rsidR="00E00E53" w:rsidRDefault="00270AAC">
      <w:pPr>
        <w:spacing w:line="240" w:lineRule="auto"/>
        <w:ind w:left="1418" w:hanging="992"/>
        <w:jc w:val="both"/>
        <w:rPr>
          <w:rFonts w:ascii="Book Antiqua" w:eastAsia="Book Antiqua" w:hAnsi="Book Antiqua" w:cs="Book Antiqua"/>
          <w:color w:val="C00000"/>
          <w:sz w:val="24"/>
          <w:szCs w:val="24"/>
        </w:rPr>
      </w:pPr>
      <w:r>
        <w:rPr>
          <w:rFonts w:ascii="Book Antiqua" w:eastAsia="Book Antiqua" w:hAnsi="Book Antiqua" w:cs="Book Antiqua"/>
          <w:sz w:val="24"/>
          <w:szCs w:val="24"/>
        </w:rPr>
        <w:t xml:space="preserve">Yufit R, Hendra, Bambang Herry P, Alwan Abdurrahman, Trismayanti Dwi P, “Strategi Pengembangan Produk Unggulan Lintas Wilayah Untuk Mendukung Sistem Inovasi Daerah Di Kabupaten Magetan, Ponorogo, Dan Pacitan,” </w:t>
      </w:r>
      <w:r>
        <w:rPr>
          <w:rFonts w:ascii="Book Antiqua" w:eastAsia="Book Antiqua" w:hAnsi="Book Antiqua" w:cs="Book Antiqua"/>
          <w:i/>
          <w:sz w:val="24"/>
          <w:szCs w:val="24"/>
        </w:rPr>
        <w:t xml:space="preserve">Jurnal Cakrawala, Politeknik Negeri Jember, Universitas Negeri Jember </w:t>
      </w:r>
      <w:r>
        <w:rPr>
          <w:rFonts w:ascii="Book Antiqua" w:eastAsia="Book Antiqua" w:hAnsi="Book Antiqua" w:cs="Book Antiqua"/>
          <w:sz w:val="24"/>
          <w:szCs w:val="24"/>
        </w:rPr>
        <w:t xml:space="preserve">11 no. 1 (June 2017): 114, </w:t>
      </w:r>
      <w:r>
        <w:rPr>
          <w:rFonts w:ascii="Book Antiqua" w:eastAsia="Book Antiqua" w:hAnsi="Book Antiqua" w:cs="Book Antiqua"/>
          <w:color w:val="C00000"/>
          <w:sz w:val="24"/>
          <w:szCs w:val="24"/>
        </w:rPr>
        <w:t>https://doi.org/10.32781/cakrawala.v11i1.</w:t>
      </w:r>
    </w:p>
    <w:p w:rsidR="00E00E53" w:rsidRDefault="00E00E53">
      <w:pPr>
        <w:ind w:left="1418" w:hanging="992"/>
        <w:jc w:val="both"/>
        <w:rPr>
          <w:rFonts w:ascii="Book Antiqua" w:eastAsia="Book Antiqua" w:hAnsi="Book Antiqua" w:cs="Book Antiqua"/>
          <w:sz w:val="24"/>
          <w:szCs w:val="24"/>
        </w:rPr>
      </w:pPr>
    </w:p>
    <w:p w:rsidR="00E00E53" w:rsidRDefault="00E00E53">
      <w:pPr>
        <w:jc w:val="both"/>
        <w:rPr>
          <w:rFonts w:ascii="Book Antiqua" w:eastAsia="Book Antiqua" w:hAnsi="Book Antiqua" w:cs="Book Antiqua"/>
          <w:sz w:val="24"/>
          <w:szCs w:val="24"/>
        </w:rPr>
      </w:pPr>
    </w:p>
    <w:p w:rsidR="00E00E53" w:rsidRDefault="00E00E53">
      <w:pPr>
        <w:jc w:val="both"/>
        <w:rPr>
          <w:rFonts w:ascii="Book Antiqua" w:eastAsia="Book Antiqua" w:hAnsi="Book Antiqua" w:cs="Book Antiqua"/>
        </w:rPr>
      </w:pPr>
    </w:p>
    <w:sectPr w:rsidR="00E00E53">
      <w:headerReference w:type="even" r:id="rId22"/>
      <w:headerReference w:type="default" r:id="rId23"/>
      <w:footerReference w:type="even" r:id="rId24"/>
      <w:footerReference w:type="default" r:id="rId25"/>
      <w:headerReference w:type="first" r:id="rId26"/>
      <w:footerReference w:type="first" r:id="rId27"/>
      <w:pgSz w:w="11906" w:h="16838"/>
      <w:pgMar w:top="1701" w:right="1701" w:bottom="1401" w:left="1700" w:header="99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12C" w:rsidRDefault="00AE212C">
      <w:pPr>
        <w:spacing w:after="0" w:line="240" w:lineRule="auto"/>
      </w:pPr>
      <w:r>
        <w:separator/>
      </w:r>
    </w:p>
  </w:endnote>
  <w:endnote w:type="continuationSeparator" w:id="0">
    <w:p w:rsidR="00AE212C" w:rsidRDefault="00AE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altName w:val="Vrinda"/>
    <w:panose1 w:val="00000400000000000000"/>
    <w:charset w:val="00"/>
    <w:family w:val="swiss"/>
    <w:pitch w:val="variable"/>
    <w:sig w:usb0="0001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E53" w:rsidRDefault="00270AAC">
    <w:pPr>
      <w:pBdr>
        <w:top w:val="nil"/>
        <w:left w:val="nil"/>
        <w:bottom w:val="nil"/>
        <w:right w:val="nil"/>
        <w:between w:val="nil"/>
      </w:pBdr>
      <w:tabs>
        <w:tab w:val="center" w:pos="4680"/>
        <w:tab w:val="right" w:pos="9360"/>
      </w:tabs>
      <w:spacing w:after="0" w:line="240" w:lineRule="auto"/>
      <w:jc w:val="center"/>
      <w:rPr>
        <w:sz w:val="20"/>
        <w:szCs w:val="20"/>
      </w:rPr>
    </w:pPr>
    <w:r>
      <w:rPr>
        <w:sz w:val="20"/>
        <w:szCs w:val="20"/>
      </w:rPr>
      <w:t xml:space="preserve">I </w:t>
    </w:r>
    <w:r>
      <w:rPr>
        <w:sz w:val="20"/>
        <w:szCs w:val="20"/>
      </w:rPr>
      <w:fldChar w:fldCharType="begin"/>
    </w:r>
    <w:r>
      <w:rPr>
        <w:sz w:val="20"/>
        <w:szCs w:val="20"/>
      </w:rPr>
      <w:instrText>PAGE</w:instrText>
    </w:r>
    <w:r>
      <w:rPr>
        <w:sz w:val="20"/>
        <w:szCs w:val="20"/>
      </w:rPr>
      <w:fldChar w:fldCharType="separate"/>
    </w:r>
    <w:r w:rsidR="00740665">
      <w:rPr>
        <w:noProof/>
        <w:sz w:val="20"/>
        <w:szCs w:val="20"/>
      </w:rPr>
      <w:t>2</w:t>
    </w:r>
    <w:r>
      <w:rPr>
        <w:sz w:val="20"/>
        <w:szCs w:val="20"/>
      </w:rPr>
      <w:fldChar w:fldCharType="end"/>
    </w:r>
    <w:r>
      <w:rPr>
        <w:sz w:val="20"/>
        <w:szCs w:val="20"/>
      </w:rPr>
      <w:t xml:space="preserve"> 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E53" w:rsidRDefault="00270AAC">
    <w:pPr>
      <w:pBdr>
        <w:top w:val="nil"/>
        <w:left w:val="nil"/>
        <w:bottom w:val="nil"/>
        <w:right w:val="nil"/>
        <w:between w:val="nil"/>
      </w:pBdr>
      <w:tabs>
        <w:tab w:val="center" w:pos="4680"/>
        <w:tab w:val="right" w:pos="9360"/>
      </w:tabs>
      <w:spacing w:after="0" w:line="240" w:lineRule="auto"/>
      <w:jc w:val="center"/>
      <w:rPr>
        <w:sz w:val="20"/>
        <w:szCs w:val="20"/>
      </w:rPr>
    </w:pPr>
    <w:r>
      <w:rPr>
        <w:sz w:val="20"/>
        <w:szCs w:val="20"/>
      </w:rPr>
      <w:t xml:space="preserve">I </w:t>
    </w:r>
    <w:r>
      <w:rPr>
        <w:sz w:val="20"/>
        <w:szCs w:val="20"/>
      </w:rPr>
      <w:fldChar w:fldCharType="begin"/>
    </w:r>
    <w:r>
      <w:rPr>
        <w:sz w:val="20"/>
        <w:szCs w:val="20"/>
      </w:rPr>
      <w:instrText>PAGE</w:instrText>
    </w:r>
    <w:r>
      <w:rPr>
        <w:sz w:val="20"/>
        <w:szCs w:val="20"/>
      </w:rPr>
      <w:fldChar w:fldCharType="separate"/>
    </w:r>
    <w:r w:rsidR="00740665">
      <w:rPr>
        <w:noProof/>
        <w:sz w:val="20"/>
        <w:szCs w:val="20"/>
      </w:rPr>
      <w:t>3</w:t>
    </w:r>
    <w:r>
      <w:rPr>
        <w:sz w:val="20"/>
        <w:szCs w:val="20"/>
      </w:rPr>
      <w:fldChar w:fldCharType="end"/>
    </w:r>
    <w:r>
      <w:rPr>
        <w:sz w:val="20"/>
        <w:szCs w:val="20"/>
      </w:rPr>
      <w:t xml:space="preserve"> 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E53" w:rsidRDefault="00270AAC">
    <w:pPr>
      <w:pBdr>
        <w:top w:val="nil"/>
        <w:left w:val="nil"/>
        <w:bottom w:val="nil"/>
        <w:right w:val="nil"/>
        <w:between w:val="nil"/>
      </w:pBdr>
      <w:tabs>
        <w:tab w:val="center" w:pos="4680"/>
        <w:tab w:val="right" w:pos="9360"/>
      </w:tabs>
      <w:spacing w:after="0" w:line="240" w:lineRule="auto"/>
      <w:jc w:val="center"/>
      <w:rPr>
        <w:sz w:val="20"/>
        <w:szCs w:val="20"/>
      </w:rPr>
    </w:pPr>
    <w:r>
      <w:rPr>
        <w:sz w:val="20"/>
        <w:szCs w:val="20"/>
      </w:rPr>
      <w:t xml:space="preserve">I </w:t>
    </w:r>
    <w:r>
      <w:rPr>
        <w:sz w:val="20"/>
        <w:szCs w:val="20"/>
      </w:rPr>
      <w:fldChar w:fldCharType="begin"/>
    </w:r>
    <w:r>
      <w:rPr>
        <w:sz w:val="20"/>
        <w:szCs w:val="20"/>
      </w:rPr>
      <w:instrText>PAGE</w:instrText>
    </w:r>
    <w:r>
      <w:rPr>
        <w:sz w:val="20"/>
        <w:szCs w:val="20"/>
      </w:rPr>
      <w:fldChar w:fldCharType="separate"/>
    </w:r>
    <w:r w:rsidR="00740665">
      <w:rPr>
        <w:noProof/>
        <w:sz w:val="20"/>
        <w:szCs w:val="20"/>
      </w:rPr>
      <w:t>1</w:t>
    </w:r>
    <w:r>
      <w:rPr>
        <w:sz w:val="20"/>
        <w:szCs w:val="20"/>
      </w:rPr>
      <w:fldChar w:fldCharType="end"/>
    </w:r>
    <w:r>
      <w:rPr>
        <w:sz w:val="20"/>
        <w:szCs w:val="20"/>
      </w:rPr>
      <w:t xml:space="preserve"> 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12C" w:rsidRDefault="00AE212C">
      <w:pPr>
        <w:spacing w:after="0" w:line="240" w:lineRule="auto"/>
      </w:pPr>
      <w:r>
        <w:separator/>
      </w:r>
    </w:p>
  </w:footnote>
  <w:footnote w:type="continuationSeparator" w:id="0">
    <w:p w:rsidR="00AE212C" w:rsidRDefault="00AE212C">
      <w:pPr>
        <w:spacing w:after="0" w:line="240" w:lineRule="auto"/>
      </w:pPr>
      <w:r>
        <w:continuationSeparator/>
      </w:r>
    </w:p>
  </w:footnote>
  <w:footnote w:id="1">
    <w:p w:rsidR="00E00E53" w:rsidRDefault="00270AAC">
      <w:pPr>
        <w:spacing w:after="0" w:line="240" w:lineRule="auto"/>
        <w:jc w:val="both"/>
        <w:rPr>
          <w:rFonts w:ascii="Book Antiqua" w:eastAsia="Book Antiqua" w:hAnsi="Book Antiqua" w:cs="Book Antiqua"/>
          <w:color w:val="C00000"/>
          <w:sz w:val="20"/>
          <w:szCs w:val="20"/>
        </w:rPr>
      </w:pPr>
      <w:r>
        <w:rPr>
          <w:vertAlign w:val="superscript"/>
        </w:rPr>
        <w:footnoteRef/>
      </w:r>
      <w:r>
        <w:rPr>
          <w:rFonts w:ascii="Book Antiqua" w:eastAsia="Book Antiqua" w:hAnsi="Book Antiqua" w:cs="Book Antiqua"/>
          <w:sz w:val="20"/>
          <w:szCs w:val="20"/>
        </w:rPr>
        <w:t xml:space="preserve"> Kholis Roisah, “Perlindungan Ekspresi Budaya Tradisional dalam Sistem Hukum Kekayaan Intelektual,” </w:t>
      </w:r>
      <w:r>
        <w:rPr>
          <w:rFonts w:ascii="Book Antiqua" w:eastAsia="Book Antiqua" w:hAnsi="Book Antiqua" w:cs="Book Antiqua"/>
          <w:i/>
          <w:sz w:val="20"/>
          <w:szCs w:val="20"/>
        </w:rPr>
        <w:t>MMH</w:t>
      </w:r>
      <w:r>
        <w:rPr>
          <w:rFonts w:ascii="Book Antiqua" w:eastAsia="Book Antiqua" w:hAnsi="Book Antiqua" w:cs="Book Antiqua"/>
          <w:sz w:val="20"/>
          <w:szCs w:val="20"/>
        </w:rPr>
        <w:t xml:space="preserve"> 43, no. 3 (July 2014): 372</w:t>
      </w:r>
      <w:r>
        <w:rPr>
          <w:rFonts w:ascii="Book Antiqua" w:eastAsia="Book Antiqua" w:hAnsi="Book Antiqua" w:cs="Book Antiqua"/>
          <w:color w:val="333333"/>
          <w:sz w:val="20"/>
          <w:szCs w:val="20"/>
        </w:rPr>
        <w:t xml:space="preserve">, </w:t>
      </w:r>
      <w:r>
        <w:rPr>
          <w:rFonts w:ascii="Book Antiqua" w:eastAsia="Book Antiqua" w:hAnsi="Book Antiqua" w:cs="Book Antiqua"/>
          <w:color w:val="C00000"/>
          <w:sz w:val="20"/>
          <w:szCs w:val="20"/>
        </w:rPr>
        <w:t>http://dx.doi.org/10.14710/mmh.43.3.2014.372-379.</w:t>
      </w:r>
    </w:p>
  </w:footnote>
  <w:footnote w:id="2">
    <w:p w:rsidR="00E00E53" w:rsidRDefault="00270AAC">
      <w:pPr>
        <w:spacing w:after="0" w:line="240" w:lineRule="auto"/>
        <w:jc w:val="both"/>
        <w:rPr>
          <w:rFonts w:ascii="Book Antiqua" w:eastAsia="Book Antiqua" w:hAnsi="Book Antiqua" w:cs="Book Antiqua"/>
          <w:color w:val="C00000"/>
          <w:sz w:val="20"/>
          <w:szCs w:val="20"/>
        </w:rPr>
      </w:pPr>
      <w:r>
        <w:rPr>
          <w:vertAlign w:val="superscript"/>
        </w:rPr>
        <w:footnoteRef/>
      </w:r>
      <w:r>
        <w:rPr>
          <w:rFonts w:ascii="Book Antiqua" w:eastAsia="Book Antiqua" w:hAnsi="Book Antiqua" w:cs="Book Antiqua"/>
          <w:sz w:val="20"/>
          <w:szCs w:val="20"/>
        </w:rPr>
        <w:t xml:space="preserve"> IP has experienced four changes in nomenclature, the first was Copyright, Patent and Brand (HCPM) then changed to Rights on Intellectual Property (HaKI), then changed again to Intellectual Property Rights (IPR) and which has now changed to Intellectual Property (IP) after the signing of Presidential Regulation No. 44 of 2015 concerning the Ministry of Law and Human Rights, in Lutfi Ulinnuha, “Penggunaan Hak Cipta Sebagai Objek Jaminan Fidusia,”</w:t>
      </w:r>
      <w:r>
        <w:rPr>
          <w:rFonts w:ascii="Book Antiqua" w:eastAsia="Book Antiqua" w:hAnsi="Book Antiqua" w:cs="Book Antiqua"/>
          <w:i/>
          <w:sz w:val="20"/>
          <w:szCs w:val="20"/>
        </w:rPr>
        <w:t xml:space="preserve"> Jurnal of Private and Commercial Law</w:t>
      </w:r>
      <w:r>
        <w:rPr>
          <w:rFonts w:ascii="Book Antiqua" w:eastAsia="Book Antiqua" w:hAnsi="Book Antiqua" w:cs="Book Antiqua"/>
          <w:sz w:val="20"/>
          <w:szCs w:val="20"/>
        </w:rPr>
        <w:t xml:space="preserve"> 1, no. 1 (November 2017): 86, </w:t>
      </w:r>
      <w:r>
        <w:rPr>
          <w:rFonts w:ascii="Book Antiqua" w:eastAsia="Book Antiqua" w:hAnsi="Book Antiqua" w:cs="Book Antiqua"/>
          <w:color w:val="C00000"/>
          <w:sz w:val="20"/>
          <w:szCs w:val="20"/>
        </w:rPr>
        <w:t>http://dx.doi.org/10.15294/jpcl.v1i1.12357.</w:t>
      </w:r>
    </w:p>
  </w:footnote>
  <w:footnote w:id="3">
    <w:p w:rsidR="00E00E53" w:rsidRDefault="00270AAC">
      <w:pPr>
        <w:spacing w:after="0" w:line="240" w:lineRule="auto"/>
        <w:jc w:val="both"/>
        <w:rPr>
          <w:rFonts w:ascii="Book Antiqua" w:eastAsia="Book Antiqua" w:hAnsi="Book Antiqua" w:cs="Book Antiqua"/>
          <w:sz w:val="20"/>
          <w:szCs w:val="20"/>
        </w:rPr>
      </w:pPr>
      <w:bookmarkStart w:id="1" w:name="_heading=h.4d34og8" w:colFirst="0" w:colLast="0"/>
      <w:bookmarkEnd w:id="1"/>
      <w:r>
        <w:rPr>
          <w:vertAlign w:val="superscript"/>
        </w:rPr>
        <w:footnoteRef/>
      </w:r>
      <w:r>
        <w:rPr>
          <w:rFonts w:ascii="Book Antiqua" w:eastAsia="Book Antiqua" w:hAnsi="Book Antiqua" w:cs="Book Antiqua"/>
          <w:sz w:val="20"/>
          <w:szCs w:val="20"/>
        </w:rPr>
        <w:t xml:space="preserve"> Ahmad M. Ramli, “Perlindungan Kekayaan Intelektual dalam Pemanfaatan Teknologi Informasi saat Covid-19 </w:t>
      </w:r>
      <w:r>
        <w:rPr>
          <w:rFonts w:ascii="Book Antiqua" w:eastAsia="Book Antiqua" w:hAnsi="Book Antiqua" w:cs="Book Antiqua"/>
          <w:i/>
          <w:sz w:val="20"/>
          <w:szCs w:val="20"/>
        </w:rPr>
        <w:t>(The Protection of Intellectual Property on The Use of Information Technology at The Covid-19),”</w:t>
      </w:r>
      <w:r>
        <w:rPr>
          <w:rFonts w:ascii="Book Antiqua" w:eastAsia="Book Antiqua" w:hAnsi="Book Antiqua" w:cs="Book Antiqua"/>
          <w:sz w:val="20"/>
          <w:szCs w:val="20"/>
        </w:rPr>
        <w:t xml:space="preserve"> </w:t>
      </w:r>
      <w:r>
        <w:rPr>
          <w:rFonts w:ascii="Book Antiqua" w:eastAsia="Book Antiqua" w:hAnsi="Book Antiqua" w:cs="Book Antiqua"/>
          <w:i/>
          <w:sz w:val="20"/>
          <w:szCs w:val="20"/>
        </w:rPr>
        <w:t xml:space="preserve">Jurnal Penelitian Hukum De Jure </w:t>
      </w:r>
      <w:r>
        <w:rPr>
          <w:rFonts w:ascii="Book Antiqua" w:eastAsia="Book Antiqua" w:hAnsi="Book Antiqua" w:cs="Book Antiqua"/>
          <w:sz w:val="20"/>
          <w:szCs w:val="20"/>
        </w:rPr>
        <w:t xml:space="preserve">1, no. 1 (January 2021): 47, </w:t>
      </w:r>
      <w:r>
        <w:rPr>
          <w:rFonts w:ascii="Book Antiqua" w:eastAsia="Book Antiqua" w:hAnsi="Book Antiqua" w:cs="Book Antiqua"/>
          <w:color w:val="C00000"/>
          <w:sz w:val="20"/>
          <w:szCs w:val="20"/>
        </w:rPr>
        <w:t>https://doi.org/10.30641/dejure.2021.v21.45-58.</w:t>
      </w:r>
    </w:p>
  </w:footnote>
  <w:footnote w:id="4">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Intellectual property is classified into two categories: firstly, non-communal intellectual property, which includes trade secrets, patents, trademarks, integrated circuit layout designs, industrial designs, and plant varieties (plan variety); on the other hand, traditional cultural expressions, traditional knowledge, indications of origin, and geographical indications are included in communal intellectual property, in Robiatul Adawiyah and Rumawi, “Pengaturan Hak Kekayaan Intelektual dalam Masyarakat Komunal di Indonesia,” </w:t>
      </w:r>
      <w:r>
        <w:rPr>
          <w:rFonts w:ascii="Book Antiqua" w:eastAsia="Book Antiqua" w:hAnsi="Book Antiqua" w:cs="Book Antiqua"/>
          <w:i/>
          <w:sz w:val="20"/>
          <w:szCs w:val="20"/>
        </w:rPr>
        <w:t xml:space="preserve">Repertorium Jurnal Ilmiah Kenotariatan </w:t>
      </w:r>
      <w:r>
        <w:rPr>
          <w:rFonts w:ascii="Book Antiqua" w:eastAsia="Book Antiqua" w:hAnsi="Book Antiqua" w:cs="Book Antiqua"/>
          <w:sz w:val="20"/>
          <w:szCs w:val="20"/>
        </w:rPr>
        <w:t xml:space="preserve">10, no. 1 (May 2021): 672, </w:t>
      </w:r>
      <w:r>
        <w:rPr>
          <w:rFonts w:ascii="Book Antiqua" w:eastAsia="Book Antiqua" w:hAnsi="Book Antiqua" w:cs="Book Antiqua"/>
          <w:color w:val="C00000"/>
          <w:sz w:val="20"/>
          <w:szCs w:val="20"/>
        </w:rPr>
        <w:t>http://dx.doi.org/10.28946/rpt.v10i1.672</w:t>
      </w:r>
      <w:r>
        <w:rPr>
          <w:rFonts w:ascii="Book Antiqua" w:eastAsia="Book Antiqua" w:hAnsi="Book Antiqua" w:cs="Book Antiqua"/>
          <w:sz w:val="20"/>
          <w:szCs w:val="20"/>
        </w:rPr>
        <w:t>.</w:t>
      </w:r>
    </w:p>
  </w:footnote>
  <w:footnote w:id="5">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Yuli Prasetyo Adhi, Dewi Sulistianingsih dan Rini Fidiyani, “Pengelolaan Kekayaan Intelektual Berbasis Kearifan Lokal Sebagai Penguatan. Buaya Literasi, Kreativitas dan Inovasi,” </w:t>
      </w:r>
      <w:r>
        <w:rPr>
          <w:rFonts w:ascii="Book Antiqua" w:eastAsia="Book Antiqua" w:hAnsi="Book Antiqua" w:cs="Book Antiqua"/>
          <w:i/>
          <w:sz w:val="20"/>
          <w:szCs w:val="20"/>
        </w:rPr>
        <w:t>Jurnal Pengabdian Hukum Indonesia (Indonesian Journal of Legal Community)</w:t>
      </w:r>
      <w:r>
        <w:rPr>
          <w:rFonts w:ascii="Book Antiqua" w:eastAsia="Book Antiqua" w:hAnsi="Book Antiqua" w:cs="Book Antiqua"/>
          <w:sz w:val="20"/>
          <w:szCs w:val="20"/>
        </w:rPr>
        <w:t xml:space="preserve"> 4, no. 1 (October 2020): 20, </w:t>
      </w:r>
      <w:r>
        <w:rPr>
          <w:rFonts w:ascii="Book Antiqua" w:eastAsia="Book Antiqua" w:hAnsi="Book Antiqua" w:cs="Book Antiqua"/>
          <w:color w:val="C00000"/>
          <w:sz w:val="20"/>
          <w:szCs w:val="20"/>
        </w:rPr>
        <w:t>https://doi.org/10.15294/jphi.v4i1.49934</w:t>
      </w:r>
      <w:r>
        <w:rPr>
          <w:rFonts w:ascii="Book Antiqua" w:eastAsia="Book Antiqua" w:hAnsi="Book Antiqua" w:cs="Book Antiqua"/>
          <w:sz w:val="20"/>
          <w:szCs w:val="20"/>
        </w:rPr>
        <w:t>.</w:t>
      </w:r>
    </w:p>
  </w:footnote>
  <w:footnote w:id="6">
    <w:p w:rsidR="00E00E53" w:rsidRDefault="00270AAC">
      <w:pPr>
        <w:spacing w:after="0" w:line="240" w:lineRule="auto"/>
        <w:jc w:val="both"/>
        <w:rPr>
          <w:rFonts w:ascii="Book Antiqua" w:eastAsia="Book Antiqua" w:hAnsi="Book Antiqua" w:cs="Book Antiqua"/>
          <w:color w:val="C00000"/>
          <w:sz w:val="20"/>
          <w:szCs w:val="20"/>
        </w:rPr>
      </w:pPr>
      <w:r>
        <w:rPr>
          <w:vertAlign w:val="superscript"/>
        </w:rPr>
        <w:footnoteRef/>
      </w:r>
      <w:r>
        <w:rPr>
          <w:rFonts w:ascii="Book Antiqua" w:eastAsia="Book Antiqua" w:hAnsi="Book Antiqua" w:cs="Book Antiqua"/>
          <w:sz w:val="20"/>
          <w:szCs w:val="20"/>
        </w:rPr>
        <w:t xml:space="preserve"> Basuki Antariksa, “Desain Induk (Grand Design) Pengembangan Ekonomi Kreatif di Indonesia,” Academia.edu, 11 November 2022, </w:t>
      </w:r>
      <w:r>
        <w:rPr>
          <w:rFonts w:ascii="Book Antiqua" w:eastAsia="Book Antiqua" w:hAnsi="Book Antiqua" w:cs="Book Antiqua"/>
          <w:color w:val="C00000"/>
          <w:sz w:val="20"/>
          <w:szCs w:val="20"/>
        </w:rPr>
        <w:t>https://www.academia.edu/41563602/DESAIN_INDUK_GRAND_DESIGN_KEBIJAKAN_PENGEMBANGAN_EKONOMI_KREATIF_DI_INDONESIA_1_Basuki_Antariksa.</w:t>
      </w:r>
    </w:p>
  </w:footnote>
  <w:footnote w:id="7">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Ayu Citra Setyaningtyas dan Endang Sri Kawuryan, “Menjaga Ekspresi Budaya Tradisional di Indonesia,” </w:t>
      </w:r>
      <w:r>
        <w:rPr>
          <w:rFonts w:ascii="Book Antiqua" w:eastAsia="Book Antiqua" w:hAnsi="Book Antiqua" w:cs="Book Antiqua"/>
          <w:i/>
          <w:sz w:val="20"/>
          <w:szCs w:val="20"/>
        </w:rPr>
        <w:t>Jurnal Ilmu Hukum Tambun Bungai</w:t>
      </w:r>
      <w:r>
        <w:rPr>
          <w:rFonts w:ascii="Book Antiqua" w:eastAsia="Book Antiqua" w:hAnsi="Book Antiqua" w:cs="Book Antiqua"/>
          <w:sz w:val="20"/>
          <w:szCs w:val="20"/>
        </w:rPr>
        <w:t xml:space="preserve"> 1, no. 2 (September 2016): 122, </w:t>
      </w:r>
      <w:r>
        <w:rPr>
          <w:rFonts w:ascii="Book Antiqua" w:eastAsia="Book Antiqua" w:hAnsi="Book Antiqua" w:cs="Book Antiqua"/>
          <w:color w:val="C00000"/>
          <w:sz w:val="20"/>
          <w:szCs w:val="20"/>
        </w:rPr>
        <w:t>https://doi.org/10.20231/jihtb.v1i2.60</w:t>
      </w:r>
      <w:r>
        <w:rPr>
          <w:rFonts w:ascii="Book Antiqua" w:eastAsia="Book Antiqua" w:hAnsi="Book Antiqua" w:cs="Book Antiqua"/>
          <w:sz w:val="20"/>
          <w:szCs w:val="20"/>
        </w:rPr>
        <w:t>.</w:t>
      </w:r>
    </w:p>
  </w:footnote>
  <w:footnote w:id="8">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Sulaiman, </w:t>
      </w:r>
      <w:r>
        <w:rPr>
          <w:rFonts w:ascii="Book Antiqua" w:eastAsia="Book Antiqua" w:hAnsi="Book Antiqua" w:cs="Book Antiqua"/>
          <w:i/>
          <w:sz w:val="20"/>
          <w:szCs w:val="20"/>
        </w:rPr>
        <w:t xml:space="preserve">Sekilas Mengenal Kekayaan Budaya Banten, </w:t>
      </w:r>
      <w:r>
        <w:rPr>
          <w:rFonts w:ascii="Book Antiqua" w:eastAsia="Book Antiqua" w:hAnsi="Book Antiqua" w:cs="Book Antiqua"/>
          <w:sz w:val="20"/>
          <w:szCs w:val="20"/>
        </w:rPr>
        <w:t>(Surabaya: JP Books, 2019), 42.</w:t>
      </w:r>
    </w:p>
  </w:footnote>
  <w:footnote w:id="9">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Ghalib Agfa Polnaya and Darwanto, “Pengembangan Ekonomi Lokal untuk meningkatkan Daya Saing pada UKM Ekonomi Kreatif Batik Bakaran di Pati, Jawa Tengah,” </w:t>
      </w:r>
      <w:r>
        <w:rPr>
          <w:rFonts w:ascii="Book Antiqua" w:eastAsia="Book Antiqua" w:hAnsi="Book Antiqua" w:cs="Book Antiqua"/>
          <w:i/>
          <w:sz w:val="20"/>
          <w:szCs w:val="20"/>
        </w:rPr>
        <w:t xml:space="preserve">Jurnal Bisnis dan Ekonomi (JBE) </w:t>
      </w:r>
      <w:r>
        <w:rPr>
          <w:rFonts w:ascii="Book Antiqua" w:eastAsia="Book Antiqua" w:hAnsi="Book Antiqua" w:cs="Book Antiqua"/>
          <w:sz w:val="20"/>
          <w:szCs w:val="20"/>
        </w:rPr>
        <w:t xml:space="preserve">22, no. 1 (March 2015): 2, Retrieved from </w:t>
      </w:r>
      <w:r>
        <w:rPr>
          <w:rFonts w:ascii="Book Antiqua" w:eastAsia="Book Antiqua" w:hAnsi="Book Antiqua" w:cs="Book Antiqua"/>
          <w:color w:val="C00000"/>
          <w:sz w:val="20"/>
          <w:szCs w:val="20"/>
        </w:rPr>
        <w:t>https://www.unisbank.ac.id/ojs/index.php/fe3/article/view/4118</w:t>
      </w:r>
      <w:r>
        <w:rPr>
          <w:rFonts w:ascii="Book Antiqua" w:eastAsia="Book Antiqua" w:hAnsi="Book Antiqua" w:cs="Book Antiqua"/>
          <w:sz w:val="20"/>
          <w:szCs w:val="20"/>
        </w:rPr>
        <w:t>.</w:t>
      </w:r>
    </w:p>
  </w:footnote>
  <w:footnote w:id="10">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Direktorat Jenderal Kekayaan Intelektual, “Pusat Daya Kekayaan Intelektual Komunal Indonesia, 23 Oktober 2024, </w:t>
      </w:r>
      <w:r>
        <w:rPr>
          <w:rFonts w:ascii="Book Antiqua" w:eastAsia="Book Antiqua" w:hAnsi="Book Antiqua" w:cs="Book Antiqua"/>
          <w:color w:val="C00000"/>
          <w:sz w:val="20"/>
          <w:szCs w:val="20"/>
        </w:rPr>
        <w:t>https://kik.dgip.go.id</w:t>
      </w:r>
      <w:r>
        <w:rPr>
          <w:rFonts w:ascii="Book Antiqua" w:eastAsia="Book Antiqua" w:hAnsi="Book Antiqua" w:cs="Book Antiqua"/>
          <w:sz w:val="20"/>
          <w:szCs w:val="20"/>
        </w:rPr>
        <w:t>.</w:t>
      </w:r>
    </w:p>
  </w:footnote>
  <w:footnote w:id="11">
    <w:p w:rsidR="00E00E53" w:rsidRDefault="00270AAC">
      <w:pPr>
        <w:spacing w:after="0" w:line="240" w:lineRule="auto"/>
        <w:jc w:val="both"/>
        <w:rPr>
          <w:rFonts w:ascii="Book Antiqua" w:eastAsia="Book Antiqua" w:hAnsi="Book Antiqua" w:cs="Book Antiqua"/>
          <w:color w:val="C00000"/>
          <w:sz w:val="20"/>
          <w:szCs w:val="20"/>
        </w:rPr>
      </w:pPr>
      <w:bookmarkStart w:id="2" w:name="_heading=h.2s8eyo1" w:colFirst="0" w:colLast="0"/>
      <w:bookmarkEnd w:id="2"/>
      <w:r>
        <w:rPr>
          <w:vertAlign w:val="superscript"/>
        </w:rPr>
        <w:footnoteRef/>
      </w:r>
      <w:r>
        <w:rPr>
          <w:rFonts w:ascii="Book Antiqua" w:eastAsia="Book Antiqua" w:hAnsi="Book Antiqua" w:cs="Book Antiqua"/>
          <w:sz w:val="20"/>
          <w:szCs w:val="20"/>
        </w:rPr>
        <w:t xml:space="preserve"> Hendra Yufit R, Bambang Herry P, Alwan Abdurrahman, Trismayanti Dwi P, “Strategi Pengembangan Produk Unggulan Lintas Wilayah Untuk Mendukung Sistem Inovasi Daerah Di Kabupaten Magetan, Ponorogo, Dan Pacitan,” </w:t>
      </w:r>
      <w:r>
        <w:rPr>
          <w:rFonts w:ascii="Book Antiqua" w:eastAsia="Book Antiqua" w:hAnsi="Book Antiqua" w:cs="Book Antiqua"/>
          <w:i/>
          <w:sz w:val="20"/>
          <w:szCs w:val="20"/>
        </w:rPr>
        <w:t xml:space="preserve">Jurnal Cakrawala, Politeknik Negeri Jember, Universitas Negeri Jember </w:t>
      </w:r>
      <w:r>
        <w:rPr>
          <w:rFonts w:ascii="Book Antiqua" w:eastAsia="Book Antiqua" w:hAnsi="Book Antiqua" w:cs="Book Antiqua"/>
          <w:sz w:val="20"/>
          <w:szCs w:val="20"/>
        </w:rPr>
        <w:t xml:space="preserve">11 no. 1 (June 2017): 114, </w:t>
      </w:r>
      <w:r>
        <w:rPr>
          <w:rFonts w:ascii="Book Antiqua" w:eastAsia="Book Antiqua" w:hAnsi="Book Antiqua" w:cs="Book Antiqua"/>
          <w:color w:val="C00000"/>
          <w:sz w:val="20"/>
          <w:szCs w:val="20"/>
        </w:rPr>
        <w:t>https://doi.org/10.32781/cakrawala.v11i1.</w:t>
      </w:r>
    </w:p>
  </w:footnote>
  <w:footnote w:id="12">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Elisabeth Nurhaini Butarbutar, </w:t>
      </w:r>
      <w:r>
        <w:rPr>
          <w:rFonts w:ascii="Book Antiqua" w:eastAsia="Book Antiqua" w:hAnsi="Book Antiqua" w:cs="Book Antiqua"/>
          <w:i/>
          <w:sz w:val="20"/>
          <w:szCs w:val="20"/>
        </w:rPr>
        <w:t>Metode Penelitian Hukum</w:t>
      </w:r>
      <w:r>
        <w:rPr>
          <w:rFonts w:ascii="Book Antiqua" w:eastAsia="Book Antiqua" w:hAnsi="Book Antiqua" w:cs="Book Antiqua"/>
          <w:sz w:val="20"/>
          <w:szCs w:val="20"/>
        </w:rPr>
        <w:t xml:space="preserve"> (Bandung: Refika Aditama, 2018), 97.</w:t>
      </w:r>
    </w:p>
  </w:footnote>
  <w:footnote w:id="13">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Sugiyono, </w:t>
      </w:r>
      <w:r>
        <w:rPr>
          <w:rFonts w:ascii="Book Antiqua" w:eastAsia="Book Antiqua" w:hAnsi="Book Antiqua" w:cs="Book Antiqua"/>
          <w:i/>
          <w:sz w:val="20"/>
          <w:szCs w:val="20"/>
        </w:rPr>
        <w:t>Metode Penelitian Kuantitatif, Kualitatif dan R&amp;D.</w:t>
      </w:r>
      <w:r>
        <w:rPr>
          <w:rFonts w:ascii="Book Antiqua" w:eastAsia="Book Antiqua" w:hAnsi="Book Antiqua" w:cs="Book Antiqua"/>
          <w:sz w:val="20"/>
          <w:szCs w:val="20"/>
        </w:rPr>
        <w:t xml:space="preserve"> (Bandung: Alfabeta, 2017), 76.</w:t>
      </w:r>
    </w:p>
  </w:footnote>
  <w:footnote w:id="14">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Mukti Fajar Nur Dewata dan Yulianto Achmad, </w:t>
      </w:r>
      <w:r>
        <w:rPr>
          <w:rFonts w:ascii="Book Antiqua" w:eastAsia="Book Antiqua" w:hAnsi="Book Antiqua" w:cs="Book Antiqua"/>
          <w:i/>
          <w:sz w:val="20"/>
          <w:szCs w:val="20"/>
        </w:rPr>
        <w:t>Dualisme Penelitian Hukum Normatif dan Empiris</w:t>
      </w:r>
      <w:r>
        <w:rPr>
          <w:rFonts w:ascii="Book Antiqua" w:eastAsia="Book Antiqua" w:hAnsi="Book Antiqua" w:cs="Book Antiqua"/>
          <w:sz w:val="20"/>
          <w:szCs w:val="20"/>
        </w:rPr>
        <w:t xml:space="preserve"> (Yogyakarta: Pustaka Pelajar, 2016), 161.</w:t>
      </w:r>
    </w:p>
  </w:footnote>
  <w:footnote w:id="15">
    <w:p w:rsidR="00E00E53" w:rsidRDefault="00270AAC">
      <w:pPr>
        <w:spacing w:after="0" w:line="240" w:lineRule="auto"/>
        <w:jc w:val="both"/>
        <w:rPr>
          <w:rFonts w:ascii="Book Antiqua" w:eastAsia="Book Antiqua" w:hAnsi="Book Antiqua" w:cs="Book Antiqua"/>
          <w:i/>
          <w:color w:val="C00000"/>
          <w:sz w:val="20"/>
          <w:szCs w:val="20"/>
        </w:rPr>
      </w:pPr>
      <w:r>
        <w:rPr>
          <w:vertAlign w:val="superscript"/>
        </w:rPr>
        <w:footnoteRef/>
      </w:r>
      <w:r>
        <w:rPr>
          <w:rFonts w:ascii="Book Antiqua" w:eastAsia="Book Antiqua" w:hAnsi="Book Antiqua" w:cs="Book Antiqua"/>
          <w:sz w:val="20"/>
          <w:szCs w:val="20"/>
        </w:rPr>
        <w:t xml:space="preserve"> BPS Provinsi Banten, “Jumlah Desa/Kelurahan Menurut Kabupaten/Kota di Provinsi Banten 2019-2014,”</w:t>
      </w:r>
      <w:r>
        <w:rPr>
          <w:rFonts w:ascii="Book Antiqua" w:eastAsia="Book Antiqua" w:hAnsi="Book Antiqua" w:cs="Book Antiqua"/>
          <w:i/>
          <w:sz w:val="20"/>
          <w:szCs w:val="20"/>
        </w:rPr>
        <w:t xml:space="preserve"> </w:t>
      </w:r>
      <w:r>
        <w:rPr>
          <w:rFonts w:ascii="Book Antiqua" w:eastAsia="Book Antiqua" w:hAnsi="Book Antiqua" w:cs="Book Antiqua"/>
          <w:sz w:val="20"/>
          <w:szCs w:val="20"/>
        </w:rPr>
        <w:t xml:space="preserve">22 Juli 2024, </w:t>
      </w:r>
      <w:hyperlink r:id="rId1">
        <w:r>
          <w:rPr>
            <w:rFonts w:ascii="Book Antiqua" w:eastAsia="Book Antiqua" w:hAnsi="Book Antiqua" w:cs="Book Antiqua"/>
            <w:color w:val="C00000"/>
            <w:sz w:val="20"/>
            <w:szCs w:val="20"/>
          </w:rPr>
          <w:t>https://banten.bps.go.id/indicator/101/39/1/jumlah-desa-kelurahtl</w:t>
        </w:r>
      </w:hyperlink>
      <w:r>
        <w:rPr>
          <w:rFonts w:ascii="Book Antiqua" w:eastAsia="Book Antiqua" w:hAnsi="Book Antiqua" w:cs="Book Antiqua"/>
          <w:color w:val="C00000"/>
          <w:sz w:val="20"/>
          <w:szCs w:val="20"/>
        </w:rPr>
        <w:t>.</w:t>
      </w:r>
    </w:p>
  </w:footnote>
  <w:footnote w:id="16">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Tim Penyusun, </w:t>
      </w:r>
      <w:r>
        <w:rPr>
          <w:rFonts w:ascii="Book Antiqua" w:eastAsia="Book Antiqua" w:hAnsi="Book Antiqua" w:cs="Book Antiqua"/>
          <w:i/>
          <w:sz w:val="20"/>
          <w:szCs w:val="20"/>
        </w:rPr>
        <w:t xml:space="preserve">Pokok Pikiran Kebudayaan Daerah Kabupaten Serang Provinsi Banten Tahun 2024 </w:t>
      </w:r>
      <w:r>
        <w:rPr>
          <w:rFonts w:ascii="Book Antiqua" w:eastAsia="Book Antiqua" w:hAnsi="Book Antiqua" w:cs="Book Antiqua"/>
          <w:sz w:val="20"/>
          <w:szCs w:val="20"/>
        </w:rPr>
        <w:t>(Serang: Sekretariat Daerah Kabupaten Serang Dinas Pendidikan dan Kebudayaan Kabupaten Serang, 2024)</w:t>
      </w:r>
    </w:p>
  </w:footnote>
  <w:footnote w:id="17">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w:t>
      </w:r>
      <w:r>
        <w:rPr>
          <w:rFonts w:ascii="Book Antiqua" w:eastAsia="Book Antiqua" w:hAnsi="Book Antiqua" w:cs="Book Antiqua"/>
          <w:i/>
          <w:sz w:val="20"/>
          <w:szCs w:val="20"/>
        </w:rPr>
        <w:t xml:space="preserve">Ibid, </w:t>
      </w:r>
      <w:r>
        <w:rPr>
          <w:rFonts w:ascii="Book Antiqua" w:eastAsia="Book Antiqua" w:hAnsi="Book Antiqua" w:cs="Book Antiqua"/>
          <w:sz w:val="20"/>
          <w:szCs w:val="20"/>
        </w:rPr>
        <w:t>164-201.</w:t>
      </w:r>
    </w:p>
  </w:footnote>
  <w:footnote w:id="18">
    <w:p w:rsidR="00E00E53" w:rsidRDefault="00270AAC">
      <w:pPr>
        <w:spacing w:after="0" w:line="240" w:lineRule="auto"/>
        <w:jc w:val="both"/>
        <w:rPr>
          <w:rFonts w:ascii="Book Antiqua" w:eastAsia="Book Antiqua" w:hAnsi="Book Antiqua" w:cs="Book Antiqua"/>
          <w:color w:val="C00000"/>
          <w:sz w:val="20"/>
          <w:szCs w:val="20"/>
        </w:rPr>
      </w:pPr>
      <w:r>
        <w:rPr>
          <w:vertAlign w:val="superscript"/>
        </w:rPr>
        <w:footnoteRef/>
      </w:r>
      <w:r>
        <w:rPr>
          <w:rFonts w:ascii="Book Antiqua" w:eastAsia="Book Antiqua" w:hAnsi="Book Antiqua" w:cs="Book Antiqua"/>
          <w:sz w:val="20"/>
          <w:szCs w:val="20"/>
        </w:rPr>
        <w:t xml:space="preserve"> Kementerian Pendidikan, Kebudayaan, Riset, dan Teknologi, “SPKT”, 31 Juli 2024, </w:t>
      </w:r>
      <w:r>
        <w:rPr>
          <w:rFonts w:ascii="Book Antiqua" w:eastAsia="Book Antiqua" w:hAnsi="Book Antiqua" w:cs="Book Antiqua"/>
          <w:color w:val="C00000"/>
          <w:sz w:val="20"/>
          <w:szCs w:val="20"/>
        </w:rPr>
        <w:t>https://spkt.kemdikbud.go.id/.</w:t>
      </w:r>
    </w:p>
  </w:footnote>
  <w:footnote w:id="19">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Interview with Mr. Sujana, as a Golok Seuat Craftsman, on April 25, 2024, at 13.00 WIB.</w:t>
      </w:r>
    </w:p>
  </w:footnote>
  <w:footnote w:id="20">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w:t>
      </w:r>
      <w:r>
        <w:rPr>
          <w:rFonts w:ascii="Book Antiqua" w:eastAsia="Book Antiqua" w:hAnsi="Book Antiqua" w:cs="Book Antiqua"/>
          <w:i/>
          <w:sz w:val="20"/>
          <w:szCs w:val="20"/>
        </w:rPr>
        <w:t xml:space="preserve">Ibid, </w:t>
      </w:r>
      <w:r>
        <w:rPr>
          <w:rFonts w:ascii="Book Antiqua" w:eastAsia="Book Antiqua" w:hAnsi="Book Antiqua" w:cs="Book Antiqua"/>
          <w:sz w:val="20"/>
          <w:szCs w:val="20"/>
        </w:rPr>
        <w:t>164-201.</w:t>
      </w:r>
    </w:p>
  </w:footnote>
  <w:footnote w:id="21">
    <w:p w:rsidR="00E00E53" w:rsidRDefault="00270AAC">
      <w:pPr>
        <w:spacing w:after="0" w:line="240" w:lineRule="auto"/>
        <w:jc w:val="both"/>
        <w:rPr>
          <w:rFonts w:ascii="Book Antiqua" w:eastAsia="Book Antiqua" w:hAnsi="Book Antiqua" w:cs="Book Antiqua"/>
          <w:color w:val="C00000"/>
          <w:sz w:val="20"/>
          <w:szCs w:val="20"/>
        </w:rPr>
      </w:pPr>
      <w:r>
        <w:rPr>
          <w:vertAlign w:val="superscript"/>
        </w:rPr>
        <w:footnoteRef/>
      </w:r>
      <w:r>
        <w:rPr>
          <w:rFonts w:ascii="Book Antiqua" w:eastAsia="Book Antiqua" w:hAnsi="Book Antiqua" w:cs="Book Antiqua"/>
          <w:sz w:val="20"/>
          <w:szCs w:val="20"/>
        </w:rPr>
        <w:t xml:space="preserve"> Euis Thresnawaty S., “Perguruan Silat Bandrong Renggong Ampel di Kabupaten Serang,” </w:t>
      </w:r>
      <w:r>
        <w:rPr>
          <w:rFonts w:ascii="Book Antiqua" w:eastAsia="Book Antiqua" w:hAnsi="Book Antiqua" w:cs="Book Antiqua"/>
          <w:i/>
          <w:sz w:val="20"/>
          <w:szCs w:val="20"/>
        </w:rPr>
        <w:t>Patanjala</w:t>
      </w:r>
      <w:r>
        <w:rPr>
          <w:rFonts w:ascii="Book Antiqua" w:eastAsia="Book Antiqua" w:hAnsi="Book Antiqua" w:cs="Book Antiqua"/>
          <w:sz w:val="20"/>
          <w:szCs w:val="20"/>
        </w:rPr>
        <w:t xml:space="preserve"> 5 no. 1 (March 2013): 104, </w:t>
      </w:r>
      <w:r>
        <w:rPr>
          <w:rFonts w:ascii="Book Antiqua" w:eastAsia="Book Antiqua" w:hAnsi="Book Antiqua" w:cs="Book Antiqua"/>
          <w:color w:val="C00000"/>
          <w:sz w:val="20"/>
          <w:szCs w:val="20"/>
        </w:rPr>
        <w:t>http://dx.doi.org/10.30959/patanjala.v5i1.165.</w:t>
      </w:r>
    </w:p>
  </w:footnote>
  <w:footnote w:id="22">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Interview with Mr. Junaidi, as Silat Bandrong Activist, on April 25th, 2024, at 10.00 WIB.</w:t>
      </w:r>
    </w:p>
  </w:footnote>
  <w:footnote w:id="23">
    <w:p w:rsidR="00E00E53" w:rsidRDefault="00270AAC">
      <w:pPr>
        <w:spacing w:after="0" w:line="240" w:lineRule="auto"/>
        <w:jc w:val="both"/>
        <w:rPr>
          <w:rFonts w:ascii="Book Antiqua" w:eastAsia="Book Antiqua" w:hAnsi="Book Antiqua" w:cs="Book Antiqua"/>
          <w:sz w:val="20"/>
          <w:szCs w:val="20"/>
        </w:rPr>
      </w:pPr>
      <w:bookmarkStart w:id="4" w:name="_heading=h.17dp8vu" w:colFirst="0" w:colLast="0"/>
      <w:bookmarkEnd w:id="4"/>
      <w:r>
        <w:rPr>
          <w:vertAlign w:val="superscript"/>
        </w:rPr>
        <w:footnoteRef/>
      </w:r>
      <w:r>
        <w:rPr>
          <w:rFonts w:ascii="Book Antiqua" w:eastAsia="Book Antiqua" w:hAnsi="Book Antiqua" w:cs="Book Antiqua"/>
          <w:sz w:val="20"/>
          <w:szCs w:val="20"/>
        </w:rPr>
        <w:t xml:space="preserve"> Rully Aprilia, Yuni Maryuni, and Ana Nurhasanah, “Perkembangan Kesenian Rudat Banten di Kecamatan Kasemen Kota Serang Provinsi Banten Pada Tahun 2013-2018,”</w:t>
      </w:r>
      <w:r>
        <w:rPr>
          <w:rFonts w:ascii="Book Antiqua" w:eastAsia="Book Antiqua" w:hAnsi="Book Antiqua" w:cs="Book Antiqua"/>
          <w:i/>
          <w:sz w:val="20"/>
          <w:szCs w:val="20"/>
        </w:rPr>
        <w:t xml:space="preserve"> Bihari: Jurnal Pendidikan Sejarah dan Ilmu Sejarah</w:t>
      </w:r>
      <w:r>
        <w:rPr>
          <w:rFonts w:ascii="Book Antiqua" w:eastAsia="Book Antiqua" w:hAnsi="Book Antiqua" w:cs="Book Antiqua"/>
          <w:sz w:val="20"/>
          <w:szCs w:val="20"/>
        </w:rPr>
        <w:t xml:space="preserve"> 4 no. 2 (June 2021): 115, Retrieved from </w:t>
      </w:r>
      <w:hyperlink r:id="rId2">
        <w:r>
          <w:rPr>
            <w:rFonts w:ascii="Book Antiqua" w:eastAsia="Book Antiqua" w:hAnsi="Book Antiqua" w:cs="Book Antiqua"/>
            <w:color w:val="C00000"/>
            <w:sz w:val="20"/>
            <w:szCs w:val="20"/>
          </w:rPr>
          <w:t>https://jurnal.unsil.ac.id/index.php/bihari/issue/view/288</w:t>
        </w:r>
      </w:hyperlink>
      <w:r>
        <w:rPr>
          <w:rFonts w:ascii="Book Antiqua" w:eastAsia="Book Antiqua" w:hAnsi="Book Antiqua" w:cs="Book Antiqua"/>
          <w:color w:val="C00000"/>
          <w:sz w:val="20"/>
          <w:szCs w:val="20"/>
        </w:rPr>
        <w:t>.</w:t>
      </w:r>
    </w:p>
  </w:footnote>
  <w:footnote w:id="24">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Interview with Mr. Tedi and Mr. H. Damanhuri, as Secretary of Padarincang Village and Rudat Arts Activist, on Thursday, April 25th, 2024, at 16.00 WIB.</w:t>
      </w:r>
    </w:p>
  </w:footnote>
  <w:footnote w:id="25">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Interview with Mr. H. Damanhuri, as Rudat Arts Activist, on Thursday, April 25th, 2024, at 16.00 WIB.</w:t>
      </w:r>
    </w:p>
  </w:footnote>
  <w:footnote w:id="26">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Dian </w:t>
      </w:r>
      <w:proofErr w:type="spellStart"/>
      <w:r>
        <w:rPr>
          <w:rFonts w:ascii="Book Antiqua" w:eastAsia="Book Antiqua" w:hAnsi="Book Antiqua" w:cs="Book Antiqua"/>
          <w:sz w:val="20"/>
          <w:szCs w:val="20"/>
        </w:rPr>
        <w:t>Nurfitri</w:t>
      </w:r>
      <w:proofErr w:type="spellEnd"/>
      <w:r>
        <w:rPr>
          <w:rFonts w:ascii="Book Antiqua" w:eastAsia="Book Antiqua" w:hAnsi="Book Antiqua" w:cs="Book Antiqua"/>
          <w:sz w:val="20"/>
          <w:szCs w:val="20"/>
        </w:rPr>
        <w:t>, “</w:t>
      </w:r>
      <w:proofErr w:type="spellStart"/>
      <w:r>
        <w:rPr>
          <w:rFonts w:ascii="Book Antiqua" w:eastAsia="Book Antiqua" w:hAnsi="Book Antiqua" w:cs="Book Antiqua"/>
          <w:sz w:val="20"/>
          <w:szCs w:val="20"/>
        </w:rPr>
        <w:t>Perlindungan</w:t>
      </w:r>
      <w:proofErr w:type="spellEnd"/>
      <w:r>
        <w:rPr>
          <w:rFonts w:ascii="Book Antiqua" w:eastAsia="Book Antiqua" w:hAnsi="Book Antiqua" w:cs="Book Antiqua"/>
          <w:sz w:val="20"/>
          <w:szCs w:val="20"/>
        </w:rPr>
        <w:t xml:space="preserve"> </w:t>
      </w:r>
      <w:proofErr w:type="spellStart"/>
      <w:r>
        <w:rPr>
          <w:rFonts w:ascii="Book Antiqua" w:eastAsia="Book Antiqua" w:hAnsi="Book Antiqua" w:cs="Book Antiqua"/>
          <w:sz w:val="20"/>
          <w:szCs w:val="20"/>
        </w:rPr>
        <w:t>Kekayaan</w:t>
      </w:r>
      <w:proofErr w:type="spellEnd"/>
      <w:r>
        <w:rPr>
          <w:rFonts w:ascii="Book Antiqua" w:eastAsia="Book Antiqua" w:hAnsi="Book Antiqua" w:cs="Book Antiqua"/>
          <w:sz w:val="20"/>
          <w:szCs w:val="20"/>
        </w:rPr>
        <w:t xml:space="preserve"> </w:t>
      </w:r>
      <w:proofErr w:type="spellStart"/>
      <w:r>
        <w:rPr>
          <w:rFonts w:ascii="Book Antiqua" w:eastAsia="Book Antiqua" w:hAnsi="Book Antiqua" w:cs="Book Antiqua"/>
          <w:sz w:val="20"/>
          <w:szCs w:val="20"/>
        </w:rPr>
        <w:t>Intelektual</w:t>
      </w:r>
      <w:proofErr w:type="spellEnd"/>
      <w:r>
        <w:rPr>
          <w:rFonts w:ascii="Book Antiqua" w:eastAsia="Book Antiqua" w:hAnsi="Book Antiqua" w:cs="Book Antiqua"/>
          <w:sz w:val="20"/>
          <w:szCs w:val="20"/>
        </w:rPr>
        <w:t xml:space="preserve"> </w:t>
      </w:r>
      <w:proofErr w:type="spellStart"/>
      <w:r>
        <w:rPr>
          <w:rFonts w:ascii="Book Antiqua" w:eastAsia="Book Antiqua" w:hAnsi="Book Antiqua" w:cs="Book Antiqua"/>
          <w:sz w:val="20"/>
          <w:szCs w:val="20"/>
        </w:rPr>
        <w:t>Komunal</w:t>
      </w:r>
      <w:proofErr w:type="spellEnd"/>
      <w:r>
        <w:rPr>
          <w:rFonts w:ascii="Book Antiqua" w:eastAsia="Book Antiqua" w:hAnsi="Book Antiqua" w:cs="Book Antiqua"/>
          <w:sz w:val="20"/>
          <w:szCs w:val="20"/>
        </w:rPr>
        <w:t xml:space="preserve"> </w:t>
      </w:r>
      <w:proofErr w:type="spellStart"/>
      <w:r>
        <w:rPr>
          <w:rFonts w:ascii="Book Antiqua" w:eastAsia="Book Antiqua" w:hAnsi="Book Antiqua" w:cs="Book Antiqua"/>
          <w:sz w:val="20"/>
          <w:szCs w:val="20"/>
        </w:rPr>
        <w:t>Pasca</w:t>
      </w:r>
      <w:proofErr w:type="spellEnd"/>
      <w:r>
        <w:rPr>
          <w:rFonts w:ascii="Book Antiqua" w:eastAsia="Book Antiqua" w:hAnsi="Book Antiqua" w:cs="Book Antiqua"/>
          <w:sz w:val="20"/>
          <w:szCs w:val="20"/>
        </w:rPr>
        <w:t xml:space="preserve"> </w:t>
      </w:r>
      <w:proofErr w:type="spellStart"/>
      <w:r>
        <w:rPr>
          <w:rFonts w:ascii="Book Antiqua" w:eastAsia="Book Antiqua" w:hAnsi="Book Antiqua" w:cs="Book Antiqua"/>
          <w:sz w:val="20"/>
          <w:szCs w:val="20"/>
        </w:rPr>
        <w:t>Terbitnya</w:t>
      </w:r>
      <w:proofErr w:type="spellEnd"/>
      <w:r>
        <w:rPr>
          <w:rFonts w:ascii="Book Antiqua" w:eastAsia="Book Antiqua" w:hAnsi="Book Antiqua" w:cs="Book Antiqua"/>
          <w:sz w:val="20"/>
          <w:szCs w:val="20"/>
        </w:rPr>
        <w:t xml:space="preserve"> </w:t>
      </w:r>
      <w:proofErr w:type="spellStart"/>
      <w:r>
        <w:rPr>
          <w:rFonts w:ascii="Book Antiqua" w:eastAsia="Book Antiqua" w:hAnsi="Book Antiqua" w:cs="Book Antiqua"/>
          <w:sz w:val="20"/>
          <w:szCs w:val="20"/>
        </w:rPr>
        <w:t>Peraturan</w:t>
      </w:r>
      <w:proofErr w:type="spellEnd"/>
      <w:r>
        <w:rPr>
          <w:rFonts w:ascii="Book Antiqua" w:eastAsia="Book Antiqua" w:hAnsi="Book Antiqua" w:cs="Book Antiqua"/>
          <w:sz w:val="20"/>
          <w:szCs w:val="20"/>
        </w:rPr>
        <w:t xml:space="preserve"> </w:t>
      </w:r>
      <w:proofErr w:type="spellStart"/>
      <w:r>
        <w:rPr>
          <w:rFonts w:ascii="Book Antiqua" w:eastAsia="Book Antiqua" w:hAnsi="Book Antiqua" w:cs="Book Antiqua"/>
          <w:sz w:val="20"/>
          <w:szCs w:val="20"/>
        </w:rPr>
        <w:t>Pemerintah</w:t>
      </w:r>
      <w:proofErr w:type="spellEnd"/>
      <w:r>
        <w:rPr>
          <w:rFonts w:ascii="Book Antiqua" w:eastAsia="Book Antiqua" w:hAnsi="Book Antiqua" w:cs="Book Antiqua"/>
          <w:sz w:val="20"/>
          <w:szCs w:val="20"/>
        </w:rPr>
        <w:t xml:space="preserve"> </w:t>
      </w:r>
      <w:proofErr w:type="spellStart"/>
      <w:r>
        <w:rPr>
          <w:rFonts w:ascii="Book Antiqua" w:eastAsia="Book Antiqua" w:hAnsi="Book Antiqua" w:cs="Book Antiqua"/>
          <w:sz w:val="20"/>
          <w:szCs w:val="20"/>
        </w:rPr>
        <w:t>Nomor</w:t>
      </w:r>
      <w:proofErr w:type="spellEnd"/>
      <w:r>
        <w:rPr>
          <w:rFonts w:ascii="Book Antiqua" w:eastAsia="Book Antiqua" w:hAnsi="Book Antiqua" w:cs="Book Antiqua"/>
          <w:sz w:val="20"/>
          <w:szCs w:val="20"/>
        </w:rPr>
        <w:t xml:space="preserve"> 56 </w:t>
      </w:r>
      <w:proofErr w:type="spellStart"/>
      <w:r>
        <w:rPr>
          <w:rFonts w:ascii="Book Antiqua" w:eastAsia="Book Antiqua" w:hAnsi="Book Antiqua" w:cs="Book Antiqua"/>
          <w:sz w:val="20"/>
          <w:szCs w:val="20"/>
        </w:rPr>
        <w:t>Tahun</w:t>
      </w:r>
      <w:proofErr w:type="spellEnd"/>
      <w:r>
        <w:rPr>
          <w:rFonts w:ascii="Book Antiqua" w:eastAsia="Book Antiqua" w:hAnsi="Book Antiqua" w:cs="Book Antiqua"/>
          <w:sz w:val="20"/>
          <w:szCs w:val="20"/>
        </w:rPr>
        <w:t xml:space="preserve"> 2022 </w:t>
      </w:r>
      <w:proofErr w:type="spellStart"/>
      <w:r>
        <w:rPr>
          <w:rFonts w:ascii="Book Antiqua" w:eastAsia="Book Antiqua" w:hAnsi="Book Antiqua" w:cs="Book Antiqua"/>
          <w:sz w:val="20"/>
          <w:szCs w:val="20"/>
        </w:rPr>
        <w:t>Tentang</w:t>
      </w:r>
      <w:proofErr w:type="spellEnd"/>
      <w:r>
        <w:rPr>
          <w:rFonts w:ascii="Book Antiqua" w:eastAsia="Book Antiqua" w:hAnsi="Book Antiqua" w:cs="Book Antiqua"/>
          <w:sz w:val="20"/>
          <w:szCs w:val="20"/>
        </w:rPr>
        <w:t xml:space="preserve"> </w:t>
      </w:r>
      <w:proofErr w:type="spellStart"/>
      <w:r>
        <w:rPr>
          <w:rFonts w:ascii="Book Antiqua" w:eastAsia="Book Antiqua" w:hAnsi="Book Antiqua" w:cs="Book Antiqua"/>
          <w:sz w:val="20"/>
          <w:szCs w:val="20"/>
        </w:rPr>
        <w:t>Kekayaan</w:t>
      </w:r>
      <w:proofErr w:type="spellEnd"/>
      <w:r>
        <w:rPr>
          <w:rFonts w:ascii="Book Antiqua" w:eastAsia="Book Antiqua" w:hAnsi="Book Antiqua" w:cs="Book Antiqua"/>
          <w:sz w:val="20"/>
          <w:szCs w:val="20"/>
        </w:rPr>
        <w:t xml:space="preserve"> </w:t>
      </w:r>
      <w:proofErr w:type="spellStart"/>
      <w:r>
        <w:rPr>
          <w:rFonts w:ascii="Book Antiqua" w:eastAsia="Book Antiqua" w:hAnsi="Book Antiqua" w:cs="Book Antiqua"/>
          <w:sz w:val="20"/>
          <w:szCs w:val="20"/>
        </w:rPr>
        <w:t>Intelektual</w:t>
      </w:r>
      <w:proofErr w:type="spellEnd"/>
      <w:r>
        <w:rPr>
          <w:rFonts w:ascii="Book Antiqua" w:eastAsia="Book Antiqua" w:hAnsi="Book Antiqua" w:cs="Book Antiqua"/>
          <w:sz w:val="20"/>
          <w:szCs w:val="20"/>
        </w:rPr>
        <w:t xml:space="preserve"> </w:t>
      </w:r>
      <w:proofErr w:type="spellStart"/>
      <w:r>
        <w:rPr>
          <w:rFonts w:ascii="Book Antiqua" w:eastAsia="Book Antiqua" w:hAnsi="Book Antiqua" w:cs="Book Antiqua"/>
          <w:sz w:val="20"/>
          <w:szCs w:val="20"/>
        </w:rPr>
        <w:t>Komunal</w:t>
      </w:r>
      <w:proofErr w:type="spellEnd"/>
      <w:r>
        <w:rPr>
          <w:rFonts w:ascii="Book Antiqua" w:eastAsia="Book Antiqua" w:hAnsi="Book Antiqua" w:cs="Book Antiqua"/>
          <w:sz w:val="20"/>
          <w:szCs w:val="20"/>
        </w:rPr>
        <w:t xml:space="preserve">,” </w:t>
      </w:r>
      <w:proofErr w:type="spellStart"/>
      <w:r>
        <w:rPr>
          <w:rFonts w:ascii="Book Antiqua" w:eastAsia="Book Antiqua" w:hAnsi="Book Antiqua" w:cs="Book Antiqua"/>
          <w:i/>
          <w:sz w:val="20"/>
          <w:szCs w:val="20"/>
        </w:rPr>
        <w:t>Jurnal</w:t>
      </w:r>
      <w:proofErr w:type="spellEnd"/>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Hukum</w:t>
      </w:r>
      <w:proofErr w:type="spellEnd"/>
      <w:r>
        <w:rPr>
          <w:rFonts w:ascii="Book Antiqua" w:eastAsia="Book Antiqua" w:hAnsi="Book Antiqua" w:cs="Book Antiqua"/>
          <w:i/>
          <w:sz w:val="20"/>
          <w:szCs w:val="20"/>
        </w:rPr>
        <w:t xml:space="preserve"> De </w:t>
      </w:r>
      <w:proofErr w:type="spellStart"/>
      <w:r>
        <w:rPr>
          <w:rFonts w:ascii="Book Antiqua" w:eastAsia="Book Antiqua" w:hAnsi="Book Antiqua" w:cs="Book Antiqua"/>
          <w:i/>
          <w:sz w:val="20"/>
          <w:szCs w:val="20"/>
        </w:rPr>
        <w:t>Lege</w:t>
      </w:r>
      <w:proofErr w:type="spellEnd"/>
      <w:r>
        <w:rPr>
          <w:rFonts w:ascii="Book Antiqua" w:eastAsia="Book Antiqua" w:hAnsi="Book Antiqua" w:cs="Book Antiqua"/>
          <w:i/>
          <w:sz w:val="20"/>
          <w:szCs w:val="20"/>
        </w:rPr>
        <w:t xml:space="preserve"> Ferenda </w:t>
      </w:r>
      <w:proofErr w:type="spellStart"/>
      <w:r>
        <w:rPr>
          <w:rFonts w:ascii="Book Antiqua" w:eastAsia="Book Antiqua" w:hAnsi="Book Antiqua" w:cs="Book Antiqua"/>
          <w:i/>
          <w:sz w:val="20"/>
          <w:szCs w:val="20"/>
        </w:rPr>
        <w:t>Trisakti</w:t>
      </w:r>
      <w:proofErr w:type="spellEnd"/>
      <w:r>
        <w:rPr>
          <w:rFonts w:ascii="Book Antiqua" w:eastAsia="Book Antiqua" w:hAnsi="Book Antiqua" w:cs="Book Antiqua"/>
          <w:sz w:val="20"/>
          <w:szCs w:val="20"/>
        </w:rPr>
        <w:t xml:space="preserve"> (September 2023): 230, </w:t>
      </w:r>
      <w:r>
        <w:rPr>
          <w:rFonts w:ascii="Book Antiqua" w:eastAsia="Book Antiqua" w:hAnsi="Book Antiqua" w:cs="Book Antiqua"/>
          <w:color w:val="C00000"/>
          <w:sz w:val="20"/>
          <w:szCs w:val="20"/>
        </w:rPr>
        <w:t>https://doi.org/10.25105/ferenda.v1i2.18276</w:t>
      </w:r>
      <w:r>
        <w:rPr>
          <w:rFonts w:ascii="Book Antiqua" w:eastAsia="Book Antiqua" w:hAnsi="Book Antiqua" w:cs="Book Antiqua"/>
          <w:sz w:val="20"/>
          <w:szCs w:val="20"/>
        </w:rPr>
        <w:t>.</w:t>
      </w:r>
    </w:p>
  </w:footnote>
  <w:footnote w:id="27">
    <w:p w:rsidR="00E00E53" w:rsidRDefault="00270AAC">
      <w:pPr>
        <w:spacing w:after="0"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Ria </w:t>
      </w:r>
      <w:proofErr w:type="spellStart"/>
      <w:r>
        <w:rPr>
          <w:rFonts w:ascii="Book Antiqua" w:eastAsia="Book Antiqua" w:hAnsi="Book Antiqua" w:cs="Book Antiqua"/>
          <w:sz w:val="20"/>
          <w:szCs w:val="20"/>
        </w:rPr>
        <w:t>Wierma</w:t>
      </w:r>
      <w:proofErr w:type="spellEnd"/>
      <w:r>
        <w:rPr>
          <w:rFonts w:ascii="Book Antiqua" w:eastAsia="Book Antiqua" w:hAnsi="Book Antiqua" w:cs="Book Antiqua"/>
          <w:sz w:val="20"/>
          <w:szCs w:val="20"/>
        </w:rPr>
        <w:t xml:space="preserve"> Putri, </w:t>
      </w:r>
      <w:proofErr w:type="spellStart"/>
      <w:r>
        <w:rPr>
          <w:rFonts w:ascii="Book Antiqua" w:eastAsia="Book Antiqua" w:hAnsi="Book Antiqua" w:cs="Book Antiqua"/>
          <w:sz w:val="20"/>
          <w:szCs w:val="20"/>
        </w:rPr>
        <w:t>Yunita</w:t>
      </w:r>
      <w:proofErr w:type="spellEnd"/>
      <w:r>
        <w:rPr>
          <w:rFonts w:ascii="Book Antiqua" w:eastAsia="Book Antiqua" w:hAnsi="Book Antiqua" w:cs="Book Antiqua"/>
          <w:sz w:val="20"/>
          <w:szCs w:val="20"/>
        </w:rPr>
        <w:t xml:space="preserve"> Maya Putri, dan </w:t>
      </w:r>
      <w:proofErr w:type="spellStart"/>
      <w:r>
        <w:rPr>
          <w:rFonts w:ascii="Book Antiqua" w:eastAsia="Book Antiqua" w:hAnsi="Book Antiqua" w:cs="Book Antiqua"/>
          <w:sz w:val="20"/>
          <w:szCs w:val="20"/>
        </w:rPr>
        <w:t>Rehulina</w:t>
      </w:r>
      <w:proofErr w:type="spellEnd"/>
      <w:r>
        <w:rPr>
          <w:rFonts w:ascii="Book Antiqua" w:eastAsia="Book Antiqua" w:hAnsi="Book Antiqua" w:cs="Book Antiqua"/>
          <w:sz w:val="20"/>
          <w:szCs w:val="20"/>
        </w:rPr>
        <w:t xml:space="preserve">, </w:t>
      </w:r>
      <w:r>
        <w:rPr>
          <w:rFonts w:ascii="Book Antiqua" w:eastAsia="Book Antiqua" w:hAnsi="Book Antiqua" w:cs="Book Antiqua"/>
          <w:i/>
          <w:sz w:val="20"/>
          <w:szCs w:val="20"/>
        </w:rPr>
        <w:t>“Recognizing the Protection of Communal Intellectual Property Rights,”</w:t>
      </w:r>
      <w:r>
        <w:rPr>
          <w:rFonts w:ascii="Book Antiqua" w:eastAsia="Book Antiqua" w:hAnsi="Book Antiqua" w:cs="Book Antiqua"/>
          <w:sz w:val="20"/>
          <w:szCs w:val="20"/>
        </w:rPr>
        <w:t xml:space="preserve"> </w:t>
      </w:r>
      <w:proofErr w:type="spellStart"/>
      <w:r>
        <w:rPr>
          <w:rFonts w:ascii="Book Antiqua" w:eastAsia="Book Antiqua" w:hAnsi="Book Antiqua" w:cs="Book Antiqua"/>
          <w:i/>
          <w:sz w:val="20"/>
          <w:szCs w:val="20"/>
        </w:rPr>
        <w:t>Jurnal</w:t>
      </w:r>
      <w:proofErr w:type="spellEnd"/>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Hukum</w:t>
      </w:r>
      <w:proofErr w:type="spellEnd"/>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De’rechsstaat</w:t>
      </w:r>
      <w:proofErr w:type="spellEnd"/>
      <w:r>
        <w:rPr>
          <w:rFonts w:ascii="Book Antiqua" w:eastAsia="Book Antiqua" w:hAnsi="Book Antiqua" w:cs="Book Antiqua"/>
          <w:sz w:val="20"/>
          <w:szCs w:val="20"/>
        </w:rPr>
        <w:t xml:space="preserve"> (September 2021): 90, </w:t>
      </w:r>
      <w:r>
        <w:rPr>
          <w:rFonts w:ascii="Book Antiqua" w:eastAsia="Book Antiqua" w:hAnsi="Book Antiqua" w:cs="Book Antiqua"/>
          <w:color w:val="C00000"/>
          <w:sz w:val="20"/>
          <w:szCs w:val="20"/>
        </w:rPr>
        <w:t>https://ojs.unida.ac.id/LAW/article/view/4073</w:t>
      </w:r>
      <w:r>
        <w:rPr>
          <w:rFonts w:ascii="Book Antiqua" w:eastAsia="Book Antiqua" w:hAnsi="Book Antiqua" w:cs="Book Antiqua"/>
          <w:sz w:val="20"/>
          <w:szCs w:val="20"/>
        </w:rPr>
        <w:t xml:space="preserve">. </w:t>
      </w:r>
    </w:p>
  </w:footnote>
  <w:footnote w:id="28">
    <w:p w:rsidR="00E00E53" w:rsidRDefault="00270AAC">
      <w:pPr>
        <w:spacing w:after="0" w:line="240" w:lineRule="auto"/>
        <w:jc w:val="both"/>
        <w:rPr>
          <w:rFonts w:ascii="Book Antiqua" w:eastAsia="Book Antiqua" w:hAnsi="Book Antiqua" w:cs="Book Antiqua"/>
          <w:color w:val="C00000"/>
          <w:sz w:val="20"/>
          <w:szCs w:val="20"/>
        </w:rPr>
      </w:pPr>
      <w:r>
        <w:rPr>
          <w:vertAlign w:val="superscript"/>
        </w:rPr>
        <w:footnoteRef/>
      </w:r>
      <w:r>
        <w:rPr>
          <w:rFonts w:ascii="Book Antiqua" w:eastAsia="Book Antiqua" w:hAnsi="Book Antiqua" w:cs="Book Antiqua"/>
          <w:sz w:val="20"/>
          <w:szCs w:val="20"/>
        </w:rPr>
        <w:t xml:space="preserve"> Inge </w:t>
      </w:r>
      <w:proofErr w:type="spellStart"/>
      <w:r>
        <w:rPr>
          <w:rFonts w:ascii="Book Antiqua" w:eastAsia="Book Antiqua" w:hAnsi="Book Antiqua" w:cs="Book Antiqua"/>
          <w:sz w:val="20"/>
          <w:szCs w:val="20"/>
        </w:rPr>
        <w:t>Dwisvimiar</w:t>
      </w:r>
      <w:proofErr w:type="spellEnd"/>
      <w:r>
        <w:rPr>
          <w:rFonts w:ascii="Book Antiqua" w:eastAsia="Book Antiqua" w:hAnsi="Book Antiqua" w:cs="Book Antiqua"/>
          <w:sz w:val="20"/>
          <w:szCs w:val="20"/>
        </w:rPr>
        <w:t xml:space="preserve">, Dede </w:t>
      </w:r>
      <w:proofErr w:type="spellStart"/>
      <w:r>
        <w:rPr>
          <w:rFonts w:ascii="Book Antiqua" w:eastAsia="Book Antiqua" w:hAnsi="Book Antiqua" w:cs="Book Antiqua"/>
          <w:sz w:val="20"/>
          <w:szCs w:val="20"/>
        </w:rPr>
        <w:t>Agus</w:t>
      </w:r>
      <w:proofErr w:type="spellEnd"/>
      <w:r>
        <w:rPr>
          <w:rFonts w:ascii="Book Antiqua" w:eastAsia="Book Antiqua" w:hAnsi="Book Antiqua" w:cs="Book Antiqua"/>
          <w:sz w:val="20"/>
          <w:szCs w:val="20"/>
        </w:rPr>
        <w:t xml:space="preserve">, dan </w:t>
      </w:r>
      <w:proofErr w:type="spellStart"/>
      <w:r>
        <w:rPr>
          <w:rFonts w:ascii="Book Antiqua" w:eastAsia="Book Antiqua" w:hAnsi="Book Antiqua" w:cs="Book Antiqua"/>
          <w:sz w:val="20"/>
          <w:szCs w:val="20"/>
        </w:rPr>
        <w:t>Maulia</w:t>
      </w:r>
      <w:proofErr w:type="spellEnd"/>
      <w:r>
        <w:rPr>
          <w:rFonts w:ascii="Book Antiqua" w:eastAsia="Book Antiqua" w:hAnsi="Book Antiqua" w:cs="Book Antiqua"/>
          <w:sz w:val="20"/>
          <w:szCs w:val="20"/>
        </w:rPr>
        <w:t xml:space="preserve"> </w:t>
      </w:r>
      <w:proofErr w:type="spellStart"/>
      <w:r>
        <w:rPr>
          <w:rFonts w:ascii="Book Antiqua" w:eastAsia="Book Antiqua" w:hAnsi="Book Antiqua" w:cs="Book Antiqua"/>
          <w:sz w:val="20"/>
          <w:szCs w:val="20"/>
        </w:rPr>
        <w:t>Tasyafa</w:t>
      </w:r>
      <w:proofErr w:type="spellEnd"/>
      <w:r>
        <w:rPr>
          <w:rFonts w:ascii="Book Antiqua" w:eastAsia="Book Antiqua" w:hAnsi="Book Antiqua" w:cs="Book Antiqua"/>
          <w:sz w:val="20"/>
          <w:szCs w:val="20"/>
        </w:rPr>
        <w:t xml:space="preserve"> </w:t>
      </w:r>
      <w:proofErr w:type="spellStart"/>
      <w:r>
        <w:rPr>
          <w:rFonts w:ascii="Book Antiqua" w:eastAsia="Book Antiqua" w:hAnsi="Book Antiqua" w:cs="Book Antiqua"/>
          <w:sz w:val="20"/>
          <w:szCs w:val="20"/>
        </w:rPr>
        <w:t>Audry</w:t>
      </w:r>
      <w:proofErr w:type="spellEnd"/>
      <w:r>
        <w:rPr>
          <w:rFonts w:ascii="Book Antiqua" w:eastAsia="Book Antiqua" w:hAnsi="Book Antiqua" w:cs="Book Antiqua"/>
          <w:sz w:val="20"/>
          <w:szCs w:val="20"/>
        </w:rPr>
        <w:t xml:space="preserve">, </w:t>
      </w:r>
      <w:r>
        <w:rPr>
          <w:rFonts w:ascii="Book Antiqua" w:eastAsia="Book Antiqua" w:hAnsi="Book Antiqua" w:cs="Book Antiqua"/>
          <w:i/>
          <w:sz w:val="20"/>
          <w:szCs w:val="20"/>
        </w:rPr>
        <w:t xml:space="preserve">“Development of Traditional Cultural Expression of </w:t>
      </w:r>
      <w:proofErr w:type="spellStart"/>
      <w:r>
        <w:rPr>
          <w:rFonts w:ascii="Book Antiqua" w:eastAsia="Book Antiqua" w:hAnsi="Book Antiqua" w:cs="Book Antiqua"/>
          <w:i/>
          <w:sz w:val="20"/>
          <w:szCs w:val="20"/>
        </w:rPr>
        <w:t>Patingtung</w:t>
      </w:r>
      <w:proofErr w:type="spellEnd"/>
      <w:r>
        <w:rPr>
          <w:rFonts w:ascii="Book Antiqua" w:eastAsia="Book Antiqua" w:hAnsi="Book Antiqua" w:cs="Book Antiqua"/>
          <w:i/>
          <w:sz w:val="20"/>
          <w:szCs w:val="20"/>
        </w:rPr>
        <w:t xml:space="preserve"> Art from the Aspects of Copyright and Advancement of Culture,”</w:t>
      </w:r>
      <w:r>
        <w:rPr>
          <w:rFonts w:ascii="Book Antiqua" w:eastAsia="Book Antiqua" w:hAnsi="Book Antiqua" w:cs="Book Antiqua"/>
          <w:sz w:val="20"/>
          <w:szCs w:val="20"/>
        </w:rPr>
        <w:t xml:space="preserve"> </w:t>
      </w:r>
      <w:proofErr w:type="spellStart"/>
      <w:r>
        <w:rPr>
          <w:rFonts w:ascii="Book Antiqua" w:eastAsia="Book Antiqua" w:hAnsi="Book Antiqua" w:cs="Book Antiqua"/>
          <w:i/>
          <w:sz w:val="20"/>
          <w:szCs w:val="20"/>
        </w:rPr>
        <w:t>Pandecta</w:t>
      </w:r>
      <w:proofErr w:type="spellEnd"/>
      <w:r>
        <w:rPr>
          <w:rFonts w:ascii="Book Antiqua" w:eastAsia="Book Antiqua" w:hAnsi="Book Antiqua" w:cs="Book Antiqua"/>
          <w:sz w:val="20"/>
          <w:szCs w:val="20"/>
        </w:rPr>
        <w:t xml:space="preserve"> (June 2023): 25, </w:t>
      </w:r>
      <w:r>
        <w:rPr>
          <w:rFonts w:ascii="Book Antiqua" w:eastAsia="Book Antiqua" w:hAnsi="Book Antiqua" w:cs="Book Antiqua"/>
          <w:color w:val="C00000"/>
          <w:sz w:val="20"/>
          <w:szCs w:val="20"/>
        </w:rPr>
        <w:t>http://dx.doi.org/10.15294/pandecta.v18i1.43359.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E53" w:rsidRDefault="00270AAC">
    <w:pPr>
      <w:tabs>
        <w:tab w:val="center" w:pos="4680"/>
        <w:tab w:val="right" w:pos="9360"/>
      </w:tabs>
      <w:spacing w:after="0" w:line="240" w:lineRule="auto"/>
      <w:rPr>
        <w:b/>
        <w:sz w:val="24"/>
        <w:szCs w:val="24"/>
      </w:rPr>
    </w:pPr>
    <w:r>
      <w:rPr>
        <w:color w:val="3B3838"/>
        <w:sz w:val="24"/>
        <w:szCs w:val="24"/>
      </w:rPr>
      <w:t xml:space="preserve">Jurnal </w:t>
    </w:r>
    <w:r>
      <w:rPr>
        <w:b/>
        <w:color w:val="C00000"/>
        <w:sz w:val="28"/>
      </w:rPr>
      <w:t>C</w:t>
    </w:r>
    <w:r>
      <w:rPr>
        <w:b/>
        <w:color w:val="C00000"/>
        <w:sz w:val="24"/>
        <w:szCs w:val="24"/>
      </w:rPr>
      <w:t xml:space="preserve">akrawala </w:t>
    </w:r>
    <w:r>
      <w:rPr>
        <w:color w:val="3B3838"/>
        <w:sz w:val="24"/>
        <w:szCs w:val="24"/>
      </w:rPr>
      <w:t>Hukum</w:t>
    </w:r>
    <w:r>
      <w:rPr>
        <w:sz w:val="24"/>
        <w:szCs w:val="24"/>
      </w:rPr>
      <w:t>. xx(x):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E53" w:rsidRDefault="00270AAC">
    <w:pPr>
      <w:tabs>
        <w:tab w:val="center" w:pos="4680"/>
        <w:tab w:val="right" w:pos="9360"/>
      </w:tabs>
      <w:spacing w:after="0" w:line="240" w:lineRule="auto"/>
      <w:jc w:val="right"/>
      <w:rPr>
        <w:i/>
        <w:color w:val="000000"/>
        <w:sz w:val="24"/>
        <w:szCs w:val="24"/>
      </w:rPr>
    </w:pPr>
    <w:r>
      <w:rPr>
        <w:b/>
        <w:sz w:val="24"/>
        <w:szCs w:val="24"/>
      </w:rPr>
      <w:t>P-ISSN</w:t>
    </w:r>
    <w:r>
      <w:rPr>
        <w:sz w:val="24"/>
        <w:szCs w:val="24"/>
      </w:rPr>
      <w:t xml:space="preserve">: 2356-4962, </w:t>
    </w:r>
    <w:r>
      <w:rPr>
        <w:b/>
        <w:sz w:val="24"/>
        <w:szCs w:val="24"/>
      </w:rPr>
      <w:t>E-ISSN</w:t>
    </w:r>
    <w:r>
      <w:rPr>
        <w:sz w:val="24"/>
        <w:szCs w:val="24"/>
      </w:rPr>
      <w:t>: 2598-6538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E53" w:rsidRDefault="00270AAC">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000000"/>
        <w:sz w:val="46"/>
        <w:szCs w:val="46"/>
      </w:rPr>
    </w:pPr>
    <w:bookmarkStart w:id="8" w:name="_heading=h.tyjcwt" w:colFirst="0" w:colLast="0"/>
    <w:bookmarkEnd w:id="8"/>
    <w:r>
      <w:rPr>
        <w:rFonts w:ascii="Century Gothic" w:eastAsia="Century Gothic" w:hAnsi="Century Gothic" w:cs="Century Gothic"/>
        <w:color w:val="595959"/>
        <w:sz w:val="46"/>
        <w:szCs w:val="46"/>
      </w:rPr>
      <w:t xml:space="preserve">Jurnal </w:t>
    </w:r>
    <w:r>
      <w:rPr>
        <w:rFonts w:ascii="Century Gothic" w:eastAsia="Century Gothic" w:hAnsi="Century Gothic" w:cs="Century Gothic"/>
        <w:color w:val="B00000"/>
        <w:sz w:val="46"/>
        <w:szCs w:val="46"/>
      </w:rPr>
      <w:t xml:space="preserve">Cakrawala </w:t>
    </w:r>
    <w:r>
      <w:rPr>
        <w:rFonts w:ascii="Century Gothic" w:eastAsia="Century Gothic" w:hAnsi="Century Gothic" w:cs="Century Gothic"/>
        <w:color w:val="595959"/>
        <w:sz w:val="46"/>
        <w:szCs w:val="46"/>
      </w:rPr>
      <w:t>Hukum</w:t>
    </w:r>
    <w:r>
      <w:rPr>
        <w:noProof/>
      </w:rPr>
      <mc:AlternateContent>
        <mc:Choice Requires="wps">
          <w:drawing>
            <wp:anchor distT="0" distB="0" distL="0" distR="0" simplePos="0" relativeHeight="251658240" behindDoc="1" locked="0" layoutInCell="1" hidden="0" allowOverlap="1">
              <wp:simplePos x="0" y="0"/>
              <wp:positionH relativeFrom="column">
                <wp:posOffset>-1396999</wp:posOffset>
              </wp:positionH>
              <wp:positionV relativeFrom="paragraph">
                <wp:posOffset>50800</wp:posOffset>
              </wp:positionV>
              <wp:extent cx="7981950" cy="333375"/>
              <wp:effectExtent l="0" t="0" r="0" b="0"/>
              <wp:wrapNone/>
              <wp:docPr id="1536718457" name="Rectangle 1536718457"/>
              <wp:cNvGraphicFramePr/>
              <a:graphic xmlns:a="http://schemas.openxmlformats.org/drawingml/2006/main">
                <a:graphicData uri="http://schemas.microsoft.com/office/word/2010/wordprocessingShape">
                  <wps:wsp>
                    <wps:cNvSpPr/>
                    <wps:spPr>
                      <a:xfrm>
                        <a:off x="1362963" y="3611948"/>
                        <a:ext cx="7966075" cy="336104"/>
                      </a:xfrm>
                      <a:prstGeom prst="rect">
                        <a:avLst/>
                      </a:prstGeom>
                      <a:solidFill>
                        <a:srgbClr val="F3F3F3"/>
                      </a:solidFill>
                      <a:ln w="9525" cap="flat" cmpd="sng">
                        <a:solidFill>
                          <a:srgbClr val="A5A5A5"/>
                        </a:solidFill>
                        <a:prstDash val="solid"/>
                        <a:round/>
                        <a:headEnd type="none" w="sm" len="sm"/>
                        <a:tailEnd type="none" w="sm" len="sm"/>
                      </a:ln>
                    </wps:spPr>
                    <wps:txbx>
                      <w:txbxContent>
                        <w:p w:rsidR="00E00E53" w:rsidRDefault="00E00E5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536718457" o:spid="_x0000_s1026" style="position:absolute;left:0;text-align:left;margin-left:-110pt;margin-top:4pt;width:628.5pt;height:26.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" fillcolor="#f3f3f3" strokecolor="#a5a5a5">
              <v:stroke startarrowwidth="narrow" startarrowlength="short" endarrowwidth="narrow" endarrowlength="short" joinstyle="round"/>
              <v:textbox inset="2.53958mm,2.53958mm,2.53958mm,2.53958mm">
                <w:txbxContent>
                  <w:p w:rsidR="00E00E53" w:rsidRDefault="00E00E53">
                    <w:pPr>
                      <w:spacing w:after="0" w:line="240" w:lineRule="auto"/>
                      <w:textDirection w:val="btLr"/>
                    </w:pPr>
                  </w:p>
                </w:txbxContent>
              </v:textbox>
            </v:rect>
          </w:pict>
        </mc:Fallback>
      </mc:AlternateContent>
    </w:r>
    <w:r>
      <w:rPr>
        <w:noProof/>
      </w:rPr>
      <w:drawing>
        <wp:anchor distT="0" distB="0" distL="0" distR="0" simplePos="0" relativeHeight="251659264" behindDoc="1" locked="0" layoutInCell="1" hidden="0" allowOverlap="1">
          <wp:simplePos x="0" y="0"/>
          <wp:positionH relativeFrom="column">
            <wp:posOffset>-78928</wp:posOffset>
          </wp:positionH>
          <wp:positionV relativeFrom="paragraph">
            <wp:posOffset>-546733</wp:posOffset>
          </wp:positionV>
          <wp:extent cx="594995" cy="482600"/>
          <wp:effectExtent l="0" t="0" r="0" b="0"/>
          <wp:wrapNone/>
          <wp:docPr id="15367184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995" cy="48260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simplePos x="0" y="0"/>
              <wp:positionH relativeFrom="column">
                <wp:posOffset>406400</wp:posOffset>
              </wp:positionH>
              <wp:positionV relativeFrom="paragraph">
                <wp:posOffset>-660399</wp:posOffset>
              </wp:positionV>
              <wp:extent cx="3546475" cy="732128"/>
              <wp:effectExtent l="0" t="0" r="0" b="0"/>
              <wp:wrapNone/>
              <wp:docPr id="1536718458" name="Rectangle 1536718458"/>
              <wp:cNvGraphicFramePr/>
              <a:graphic xmlns:a="http://schemas.openxmlformats.org/drawingml/2006/main">
                <a:graphicData uri="http://schemas.microsoft.com/office/word/2010/wordprocessingShape">
                  <wps:wsp>
                    <wps:cNvSpPr/>
                    <wps:spPr>
                      <a:xfrm>
                        <a:off x="3582288" y="3429798"/>
                        <a:ext cx="3527425" cy="700405"/>
                      </a:xfrm>
                      <a:prstGeom prst="rect">
                        <a:avLst/>
                      </a:prstGeom>
                      <a:noFill/>
                      <a:ln>
                        <a:noFill/>
                      </a:ln>
                    </wps:spPr>
                    <wps:txbx>
                      <w:txbxContent>
                        <w:p w:rsidR="00E00E53" w:rsidRDefault="00270AAC">
                          <w:pPr>
                            <w:spacing w:after="0" w:line="240" w:lineRule="auto"/>
                            <w:jc w:val="both"/>
                            <w:textDirection w:val="btLr"/>
                          </w:pPr>
                          <w:r>
                            <w:rPr>
                              <w:b/>
                              <w:color w:val="000000"/>
                              <w:sz w:val="16"/>
                            </w:rPr>
                            <w:t>How to cite item</w:t>
                          </w:r>
                          <w:r>
                            <w:rPr>
                              <w:color w:val="000000"/>
                              <w:sz w:val="16"/>
                            </w:rPr>
                            <w:t xml:space="preserve">: Author1, Name, Name Author2, and Name Author3. “The Title is Written with Book Antiqua (8 pt) and Preferably Not More Than 14 Words.” </w:t>
                          </w:r>
                          <w:r>
                            <w:rPr>
                              <w:i/>
                              <w:color w:val="000000"/>
                              <w:sz w:val="16"/>
                            </w:rPr>
                            <w:t>Jurnal Cakrawala Hukum</w:t>
                          </w:r>
                          <w:r>
                            <w:rPr>
                              <w:color w:val="000000"/>
                              <w:sz w:val="16"/>
                            </w:rPr>
                            <w:t xml:space="preserve"> xx no. x (20xx): XXX-XXX. DOI: </w:t>
                          </w:r>
                          <w:r>
                            <w:rPr>
                              <w:color w:val="C00000"/>
                              <w:sz w:val="16"/>
                            </w:rPr>
                            <w:t>10.26905/idjch.vxxix.xxxx</w:t>
                          </w:r>
                          <w:r>
                            <w:rPr>
                              <w:color w:val="000000"/>
                              <w:sz w:val="16"/>
                            </w:rPr>
                            <w:t>.</w:t>
                          </w:r>
                        </w:p>
                      </w:txbxContent>
                    </wps:txbx>
                    <wps:bodyPr spcFirstLastPara="1" wrap="square" lIns="91425" tIns="45700" rIns="91425" bIns="45700" anchor="ctr" anchorCtr="0">
                      <a:noAutofit/>
                    </wps:bodyPr>
                  </wps:wsp>
                </a:graphicData>
              </a:graphic>
            </wp:anchor>
          </w:drawing>
        </mc:Choice>
        <mc:Fallback>
          <w:pict>
            <v:rect id="Rectangle 1536718458" o:spid="_x0000_s1027" style="position:absolute;left:0;text-align:left;margin-left:32pt;margin-top:-52pt;width:279.25pt;height:5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" filled="f" stroked="f">
              <v:textbox inset="2.53958mm,1.2694mm,2.53958mm,1.2694mm">
                <w:txbxContent>
                  <w:p w:rsidR="00E00E53" w:rsidRDefault="00270AAC">
                    <w:pPr>
                      <w:spacing w:after="0" w:line="240" w:lineRule="auto"/>
                      <w:jc w:val="both"/>
                      <w:textDirection w:val="btLr"/>
                    </w:pPr>
                    <w:r>
                      <w:rPr>
                        <w:b/>
                        <w:color w:val="000000"/>
                        <w:sz w:val="16"/>
                      </w:rPr>
                      <w:t>How to cite item</w:t>
                    </w:r>
                    <w:r>
                      <w:rPr>
                        <w:color w:val="000000"/>
                        <w:sz w:val="16"/>
                      </w:rPr>
                      <w:t xml:space="preserve">: Author1, Name, Name Author2, and Name Author3. “The Title is Written with Book Antiqua (8 pt) and Preferably Not More Than 14 Words.” </w:t>
                    </w:r>
                    <w:r>
                      <w:rPr>
                        <w:i/>
                        <w:color w:val="000000"/>
                        <w:sz w:val="16"/>
                      </w:rPr>
                      <w:t>Jurnal Cakrawala Hukum</w:t>
                    </w:r>
                    <w:r>
                      <w:rPr>
                        <w:color w:val="000000"/>
                        <w:sz w:val="16"/>
                      </w:rPr>
                      <w:t xml:space="preserve"> xx no. x (20xx): XXX-XXX. DOI: </w:t>
                    </w:r>
                    <w:r>
                      <w:rPr>
                        <w:color w:val="C00000"/>
                        <w:sz w:val="16"/>
                      </w:rPr>
                      <w:t>10.26905/idjch.vxxix.xxxx</w:t>
                    </w:r>
                    <w:r>
                      <w:rPr>
                        <w:color w:val="000000"/>
                        <w:sz w:val="16"/>
                      </w:rPr>
                      <w:t>.</w:t>
                    </w:r>
                  </w:p>
                </w:txbxContent>
              </v:textbox>
            </v:rect>
          </w:pict>
        </mc:Fallback>
      </mc:AlternateContent>
    </w:r>
  </w:p>
  <w:p w:rsidR="00E00E53" w:rsidRDefault="00270AAC">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Volume … Issue …, XXXX</w:t>
    </w:r>
  </w:p>
  <w:p w:rsidR="00E00E53" w:rsidRDefault="00270AAC">
    <w:pPr>
      <w:pBdr>
        <w:top w:val="nil"/>
        <w:left w:val="nil"/>
        <w:bottom w:val="nil"/>
        <w:right w:val="nil"/>
        <w:between w:val="nil"/>
      </w:pBdr>
      <w:tabs>
        <w:tab w:val="center" w:pos="4680"/>
        <w:tab w:val="right" w:pos="9360"/>
      </w:tabs>
      <w:spacing w:after="0" w:line="240" w:lineRule="auto"/>
      <w:jc w:val="right"/>
      <w:rPr>
        <w:color w:val="000000"/>
        <w:sz w:val="20"/>
        <w:szCs w:val="20"/>
      </w:rPr>
    </w:pPr>
    <w:r>
      <w:rPr>
        <w:b/>
        <w:color w:val="000000"/>
        <w:sz w:val="20"/>
        <w:szCs w:val="20"/>
      </w:rPr>
      <w:t>P-ISSN</w:t>
    </w:r>
    <w:r>
      <w:rPr>
        <w:color w:val="000000"/>
        <w:sz w:val="20"/>
        <w:szCs w:val="20"/>
      </w:rPr>
      <w:t xml:space="preserve">: 2356-4962, </w:t>
    </w:r>
    <w:r>
      <w:rPr>
        <w:b/>
        <w:color w:val="000000"/>
        <w:sz w:val="20"/>
        <w:szCs w:val="20"/>
      </w:rPr>
      <w:t>E-ISSN</w:t>
    </w:r>
    <w:r>
      <w:rPr>
        <w:color w:val="000000"/>
        <w:sz w:val="20"/>
        <w:szCs w:val="20"/>
      </w:rPr>
      <w:t>: 2598-6538</w:t>
    </w:r>
  </w:p>
  <w:p w:rsidR="00E00E53" w:rsidRDefault="00270AAC">
    <w:pPr>
      <w:pBdr>
        <w:top w:val="nil"/>
        <w:left w:val="nil"/>
        <w:bottom w:val="nil"/>
        <w:right w:val="nil"/>
        <w:between w:val="nil"/>
      </w:pBdr>
      <w:tabs>
        <w:tab w:val="center" w:pos="4680"/>
        <w:tab w:val="right" w:pos="9360"/>
      </w:tabs>
      <w:spacing w:after="0" w:line="240" w:lineRule="auto"/>
      <w:jc w:val="right"/>
      <w:rPr>
        <w:i/>
        <w:color w:val="C00000"/>
        <w:sz w:val="13"/>
        <w:szCs w:val="13"/>
      </w:rPr>
    </w:pPr>
    <w:r>
      <w:rPr>
        <w:i/>
        <w:color w:val="C00000"/>
        <w:sz w:val="13"/>
        <w:szCs w:val="13"/>
      </w:rPr>
      <w:t>This work is licensed under a</w:t>
    </w:r>
    <w:hyperlink r:id="rId2">
      <w:r>
        <w:rPr>
          <w:i/>
          <w:color w:val="C00000"/>
          <w:sz w:val="13"/>
          <w:szCs w:val="13"/>
        </w:rPr>
        <w:t xml:space="preserve"> Creative Commons Attribution-ShareAlike 4.0 International License</w:t>
      </w:r>
    </w:hyperlink>
  </w:p>
  <w:p w:rsidR="00E00E53" w:rsidRDefault="00E00E53">
    <w:pPr>
      <w:pBdr>
        <w:top w:val="nil"/>
        <w:left w:val="nil"/>
        <w:bottom w:val="nil"/>
        <w:right w:val="nil"/>
        <w:between w:val="nil"/>
      </w:pBdr>
      <w:tabs>
        <w:tab w:val="center" w:pos="4680"/>
        <w:tab w:val="right" w:pos="9360"/>
      </w:tabs>
      <w:spacing w:after="0" w:line="240"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F72E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96426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E53"/>
    <w:rsid w:val="0000325D"/>
    <w:rsid w:val="000325B8"/>
    <w:rsid w:val="000B6C02"/>
    <w:rsid w:val="000C1404"/>
    <w:rsid w:val="0010451F"/>
    <w:rsid w:val="0011534C"/>
    <w:rsid w:val="00185F93"/>
    <w:rsid w:val="001B621E"/>
    <w:rsid w:val="001D5896"/>
    <w:rsid w:val="001F1B22"/>
    <w:rsid w:val="00211BEC"/>
    <w:rsid w:val="00270AAC"/>
    <w:rsid w:val="00292D6C"/>
    <w:rsid w:val="003A2DF8"/>
    <w:rsid w:val="004001DB"/>
    <w:rsid w:val="00456A02"/>
    <w:rsid w:val="004E7056"/>
    <w:rsid w:val="005929CF"/>
    <w:rsid w:val="005C5B85"/>
    <w:rsid w:val="005F212D"/>
    <w:rsid w:val="006257D6"/>
    <w:rsid w:val="00627984"/>
    <w:rsid w:val="00642C77"/>
    <w:rsid w:val="00694C7C"/>
    <w:rsid w:val="006A0F95"/>
    <w:rsid w:val="006A37C7"/>
    <w:rsid w:val="00717546"/>
    <w:rsid w:val="00740665"/>
    <w:rsid w:val="008D100D"/>
    <w:rsid w:val="008F2EBB"/>
    <w:rsid w:val="00967390"/>
    <w:rsid w:val="00A646BA"/>
    <w:rsid w:val="00A75389"/>
    <w:rsid w:val="00A923B0"/>
    <w:rsid w:val="00AE212C"/>
    <w:rsid w:val="00B80E65"/>
    <w:rsid w:val="00BE4378"/>
    <w:rsid w:val="00C03B9B"/>
    <w:rsid w:val="00C13F69"/>
    <w:rsid w:val="00CF08CB"/>
    <w:rsid w:val="00CF281E"/>
    <w:rsid w:val="00CF3467"/>
    <w:rsid w:val="00D20AB8"/>
    <w:rsid w:val="00D81A4C"/>
    <w:rsid w:val="00DC1ECA"/>
    <w:rsid w:val="00DF34EC"/>
    <w:rsid w:val="00E00E53"/>
    <w:rsid w:val="00E54D1F"/>
    <w:rsid w:val="00F07518"/>
    <w:rsid w:val="00F22FBF"/>
    <w:rsid w:val="00F923A5"/>
    <w:rsid w:val="00FA24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CF66E"/>
  <w15:docId w15:val="{8B101602-6656-304F-B0EB-DB058CC0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DDB"/>
    <w:rPr>
      <w:szCs w:val="28"/>
      <w:lang w:bidi="bn-IN"/>
    </w:rPr>
  </w:style>
  <w:style w:type="paragraph" w:styleId="Heading1">
    <w:name w:val="heading 1"/>
    <w:next w:val="Normal"/>
    <w:link w:val="Heading1Char"/>
    <w:uiPriority w:val="9"/>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next w:val="Normal"/>
    <w:link w:val="Heading2Char"/>
    <w:uiPriority w:val="9"/>
    <w:unhideWhenUsed/>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Heading3">
    <w:name w:val="heading 3"/>
    <w:next w:val="Normal"/>
    <w:link w:val="Heading3Char"/>
    <w:uiPriority w:val="9"/>
    <w:unhideWhenUsed/>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paragraph" w:styleId="Heading4">
    <w:name w:val="heading 4"/>
    <w:basedOn w:val="Normal"/>
    <w:next w:val="Normal"/>
    <w:link w:val="Heading4Char"/>
    <w:uiPriority w:val="9"/>
    <w:semiHidden/>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table" w:customStyle="1" w:styleId="TableNormal2">
    <w:name w:val="Table Normal2"/>
    <w:tblPr>
      <w:tblCellMar>
        <w:top w:w="0" w:type="dxa"/>
        <w:left w:w="0" w:type="dxa"/>
        <w:bottom w:w="0" w:type="dxa"/>
        <w:right w:w="0" w:type="dxa"/>
      </w:tblCellMar>
    </w:tblPr>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styleId="Mention">
    <w:name w:val="Mention"/>
    <w:uiPriority w:val="99"/>
    <w:semiHidden/>
    <w:unhideWhenUsed/>
    <w:rsid w:val="0035562C"/>
    <w:rPr>
      <w:color w:val="2B579A"/>
      <w:shd w:val="clear" w:color="auto" w:fill="E6E6E6"/>
    </w:rPr>
  </w:style>
  <w:style w:type="character"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0">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eastAsia="fi-FI"/>
    </w:rPr>
  </w:style>
  <w:style w:type="numbering" w:customStyle="1" w:styleId="List0">
    <w:name w:val="List 0"/>
    <w:basedOn w:val="Tuotutyyli1"/>
    <w:rsid w:val="00ED3A3F"/>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u w:color="000000"/>
      <w:bdr w:val="nil"/>
      <w:lang w:val="fi-FI" w:eastAsia="fi-FI"/>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bidi="ar-SA"/>
    </w:rPr>
  </w:style>
  <w:style w:type="paragraph" w:styleId="BodyText">
    <w:name w:val="Body Text"/>
    <w:basedOn w:val="Normal"/>
    <w:link w:val="BodyTextChar"/>
    <w:uiPriority w:val="1"/>
    <w:unhideWhenUsed/>
    <w:qFormat/>
    <w:rsid w:val="00FF0ACC"/>
    <w:pPr>
      <w:suppressAutoHyphens/>
      <w:spacing w:after="120" w:line="1" w:lineRule="atLeast"/>
      <w:ind w:leftChars="-1" w:left="-1" w:hangingChars="1" w:hanging="1"/>
      <w:textDirection w:val="btLr"/>
      <w:textAlignment w:val="top"/>
      <w:outlineLvl w:val="0"/>
    </w:pPr>
    <w:rPr>
      <w:rFonts w:ascii="Times New Roman" w:eastAsia="Times New Roman" w:hAnsi="Times New Roman"/>
      <w:noProof/>
      <w:position w:val="-1"/>
      <w:sz w:val="24"/>
      <w:szCs w:val="24"/>
      <w:lang w:bidi="ar-SA"/>
    </w:rPr>
  </w:style>
  <w:style w:type="character" w:customStyle="1" w:styleId="BodyTextChar">
    <w:name w:val="Body Text Char"/>
    <w:basedOn w:val="DefaultParagraphFont"/>
    <w:link w:val="BodyText"/>
    <w:uiPriority w:val="1"/>
    <w:rsid w:val="00FF0ACC"/>
    <w:rPr>
      <w:rFonts w:ascii="Times New Roman" w:eastAsia="Times New Roman" w:hAnsi="Times New Roman"/>
      <w:noProof/>
      <w:position w:val="-1"/>
      <w:sz w:val="24"/>
      <w:szCs w:val="24"/>
      <w:lang w:val="en-US" w:eastAsia="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dx.doi.org/10.28946/rpt.v10i1.672" TargetMode="External"/><Relationship Id="rId13" Type="http://schemas.openxmlformats.org/officeDocument/2006/relationships/hyperlink" Target="https://www.unisbank.ac.id/ojs/index.php/fe3/article/view/4118" TargetMode="External"/><Relationship Id="rId18" Type="http://schemas.openxmlformats.org/officeDocument/2006/relationships/hyperlink" Target="https://doi.org/10.20231/jihtb.v1i2.6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ojs.unida.ac.id/LAW/article/view/4073" TargetMode="External"/><Relationship Id="rId7" Type="http://schemas.openxmlformats.org/officeDocument/2006/relationships/endnotes" Target="endnotes.xml"/><Relationship Id="rId12" Type="http://schemas.openxmlformats.org/officeDocument/2006/relationships/hyperlink" Target="http://dx.doi.org/10.15294/pandecta.v18i1.43359" TargetMode="External"/><Relationship Id="rId17" Type="http://schemas.openxmlformats.org/officeDocument/2006/relationships/hyperlink" Target="http://dx.doi.org/10.14710/mmh.43.3.2014.372-37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5294/jphi.v4i1.49934" TargetMode="External"/><Relationship Id="rId20" Type="http://schemas.openxmlformats.org/officeDocument/2006/relationships/hyperlink" Target="http://dx.doi.org/10.15294/jpcl.v1i1.1235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ten.bps.go.id/indicator/101/39/1/jumlah-desa-kelurahan-menurut-kabupaten-kota-di-provinsi-banten.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25105/ferenda.v1i2.1827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academia.edu/41563602/DESAIN_INDUK_GRAND_DESIGN_KEBIJAKAN_PENGEMBANGAN_EKONOMI_KREATIF_DI_INDONESIA_1_Basuki_Antariksa" TargetMode="External"/><Relationship Id="rId19" Type="http://schemas.openxmlformats.org/officeDocument/2006/relationships/hyperlink" Target="http://dx.doi.org/10.30959/patanjala.v5i1.165" TargetMode="External"/><Relationship Id="rId4" Type="http://schemas.openxmlformats.org/officeDocument/2006/relationships/settings" Target="settings.xml"/><Relationship Id="rId9" Type="http://schemas.openxmlformats.org/officeDocument/2006/relationships/hyperlink" Target="https://jurnal.unsil.ac.id/index.php/bihari/issue/view/288" TargetMode="External"/><Relationship Id="rId14" Type="http://schemas.openxmlformats.org/officeDocument/2006/relationships/hyperlink" Target="https://spkt.kemdikbud.go.id/"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jurnal.unsil.ac.id/index.php/bihari/issue/view/288" TargetMode="External"/><Relationship Id="rId1" Type="http://schemas.openxmlformats.org/officeDocument/2006/relationships/hyperlink" Target="https://banten.bps.go.id/indicator/101/39/1/jumlah-desa-kelurahtl"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7iXQO47DBNpqU5uKOWOQsOufg==">CgMxLjAyCWguMWZvYjl0ZTIIaC5namRneHMyCWguMXQzaDVzZjIJaC4yZXQ5MnAwMgloLjRkMzRvZzgyCWguMnM4ZXlvMTIJaC4xN2RwOHZ1MghoLnR5amN3dDgAciExcU52YmtHcUJJZFVsLVYwQmtQbWxjSkxhMnhXNm00Zm8=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19</Pages>
  <Words>6947</Words>
  <Characters>39599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SMP BULAKAN</cp:lastModifiedBy>
  <cp:revision>6</cp:revision>
  <dcterms:created xsi:type="dcterms:W3CDTF">2024-10-29T10:13:00Z</dcterms:created>
  <dcterms:modified xsi:type="dcterms:W3CDTF">2024-10-29T12:52:00Z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y fmtid="{D5CDD505-2E9C-101B-9397-08002B2CF9AE}" pid="4" name="GrammarlyDocumentId">
    <vt:lpwstr>ae0fe220-e937-4def-acf9-4e25900bae15</vt:lpwstr>
  </property>
</Properties>
</file>